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Arial" w:cs="Arial" w:eastAsia="Arial" w:hAnsi="Arial"/>
          <w:sz w:val="16"/>
          <w:szCs w:val="16"/>
          <w:b w:val="1"/>
          <w:bCs w:val="1"/>
          <w:color w:val="auto"/>
        </w:rPr>
        <w:t>UNITED STATES</w:t>
      </w:r>
    </w:p>
    <w:p>
      <w:pPr>
        <w:spacing w:after="0" w:line="78"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SECURITIES AND EXCHANGE COMMISSION</w:t>
      </w:r>
    </w:p>
    <w:p>
      <w:pPr>
        <w:spacing w:after="0" w:line="98" w:lineRule="exact"/>
        <w:rPr>
          <w:sz w:val="24"/>
          <w:szCs w:val="24"/>
          <w:color w:val="auto"/>
        </w:rPr>
      </w:pPr>
    </w:p>
    <w:p>
      <w:pPr>
        <w:jc w:val="center"/>
        <w:ind w:right="-1080"/>
        <w:spacing w:after="0"/>
        <w:rPr>
          <w:sz w:val="20"/>
          <w:szCs w:val="20"/>
          <w:color w:val="auto"/>
        </w:rPr>
      </w:pPr>
      <w:r>
        <w:rPr>
          <w:rFonts w:ascii="Arial" w:cs="Arial" w:eastAsia="Arial" w:hAnsi="Arial"/>
          <w:sz w:val="16"/>
          <w:szCs w:val="16"/>
          <w:color w:val="auto"/>
        </w:rPr>
        <w:t>Washington, DC 20549</w:t>
      </w:r>
    </w:p>
    <w:p>
      <w:pPr>
        <w:spacing w:after="0" w:line="138" w:lineRule="exact"/>
        <w:rPr>
          <w:sz w:val="24"/>
          <w:szCs w:val="24"/>
          <w:color w:val="auto"/>
        </w:rPr>
      </w:pPr>
    </w:p>
    <w:p>
      <w:pPr>
        <w:jc w:val="center"/>
        <w:ind w:right="-1080"/>
        <w:spacing w:after="0"/>
        <w:rPr>
          <w:sz w:val="20"/>
          <w:szCs w:val="20"/>
          <w:color w:val="auto"/>
        </w:rPr>
      </w:pPr>
      <w:r>
        <w:rPr>
          <w:rFonts w:ascii="Arial" w:cs="Arial" w:eastAsia="Arial" w:hAnsi="Arial"/>
          <w:sz w:val="25"/>
          <w:szCs w:val="25"/>
          <w:b w:val="1"/>
          <w:bCs w:val="1"/>
          <w:color w:val="auto"/>
        </w:rPr>
        <w:t>SCHEDULE 14A</w:t>
      </w:r>
    </w:p>
    <w:p>
      <w:pPr>
        <w:spacing w:after="0" w:line="203" w:lineRule="exact"/>
        <w:rPr>
          <w:sz w:val="24"/>
          <w:szCs w:val="24"/>
          <w:color w:val="auto"/>
        </w:rPr>
      </w:pPr>
    </w:p>
    <w:p>
      <w:pPr>
        <w:jc w:val="center"/>
        <w:ind w:right="-1020"/>
        <w:spacing w:after="0"/>
        <w:rPr>
          <w:sz w:val="20"/>
          <w:szCs w:val="20"/>
          <w:color w:val="auto"/>
        </w:rPr>
      </w:pPr>
      <w:r>
        <w:rPr>
          <w:rFonts w:ascii="Arial" w:cs="Arial" w:eastAsia="Arial" w:hAnsi="Arial"/>
          <w:sz w:val="16"/>
          <w:szCs w:val="16"/>
          <w:b w:val="1"/>
          <w:bCs w:val="1"/>
          <w:color w:val="auto"/>
        </w:rPr>
        <w:t>PROXY STATEMENT PURSUANT TO SECTION 14(a)</w:t>
      </w:r>
    </w:p>
    <w:p>
      <w:pPr>
        <w:spacing w:after="0" w:line="9"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OF THE SECURITIES EXCHANGE ACT OF 1934</w:t>
      </w:r>
    </w:p>
    <w:p>
      <w:pPr>
        <w:jc w:val="center"/>
        <w:ind w:right="-1080"/>
        <w:spacing w:after="0"/>
        <w:tabs>
          <w:tab w:leader="none" w:pos="200" w:val="left"/>
        </w:tabs>
        <w:rPr>
          <w:sz w:val="20"/>
          <w:szCs w:val="20"/>
          <w:color w:val="auto"/>
        </w:rPr>
      </w:pPr>
      <w:r>
        <w:rPr>
          <w:rFonts w:ascii="Arial" w:cs="Arial" w:eastAsia="Arial" w:hAnsi="Arial"/>
          <w:sz w:val="16"/>
          <w:szCs w:val="16"/>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831850</wp:posOffset>
            </wp:positionH>
            <wp:positionV relativeFrom="paragraph">
              <wp:posOffset>109855</wp:posOffset>
            </wp:positionV>
            <wp:extent cx="188595"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8595" cy="188595"/>
                    </a:xfrm>
                    <a:prstGeom prst="rect">
                      <a:avLst/>
                    </a:prstGeom>
                    <a:noFill/>
                  </pic:spPr>
                </pic:pic>
              </a:graphicData>
            </a:graphic>
          </wp:anchor>
        </w:drawing>
      </w:r>
    </w:p>
    <w:p>
      <w:pPr>
        <w:spacing w:after="0" w:line="130" w:lineRule="exact"/>
        <w:rPr>
          <w:sz w:val="24"/>
          <w:szCs w:val="24"/>
          <w:color w:val="auto"/>
        </w:rPr>
      </w:pPr>
    </w:p>
    <w:p>
      <w:pPr>
        <w:jc w:val="right"/>
        <w:ind w:right="779"/>
        <w:spacing w:after="0"/>
        <w:rPr>
          <w:sz w:val="20"/>
          <w:szCs w:val="20"/>
          <w:color w:val="auto"/>
        </w:rPr>
      </w:pPr>
      <w:r>
        <w:rPr>
          <w:rFonts w:ascii="Arial" w:cs="Arial" w:eastAsia="Arial" w:hAnsi="Arial"/>
          <w:sz w:val="16"/>
          <w:szCs w:val="16"/>
          <w:color w:val="auto"/>
        </w:rPr>
        <w:t xml:space="preserve">Filed by the Registrant                                </w:t>
      </w:r>
      <w:r>
        <w:rPr>
          <w:sz w:val="1"/>
          <w:szCs w:val="1"/>
          <w:color w:val="auto"/>
        </w:rPr>
        <w:drawing>
          <wp:inline distT="0" distB="0" distL="0" distR="0">
            <wp:extent cx="188595" cy="1885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8595" cy="188595"/>
                    </a:xfrm>
                    <a:prstGeom prst="rect">
                      <a:avLst/>
                    </a:prstGeom>
                    <a:noFill/>
                    <a:ln>
                      <a:noFill/>
                    </a:ln>
                  </pic:spPr>
                </pic:pic>
              </a:graphicData>
            </a:graphic>
          </wp:inline>
        </w:drawing>
      </w:r>
      <w:r>
        <w:rPr>
          <w:rFonts w:ascii="Arial" w:cs="Arial" w:eastAsia="Arial" w:hAnsi="Arial"/>
          <w:sz w:val="16"/>
          <w:szCs w:val="16"/>
          <w:color w:val="auto"/>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106680</wp:posOffset>
            </wp:positionV>
            <wp:extent cx="7148830" cy="1268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830" cy="1268095"/>
                    </a:xfrm>
                    <a:prstGeom prst="rect">
                      <a:avLst/>
                    </a:prstGeom>
                    <a:noFill/>
                  </pic:spPr>
                </pic:pic>
              </a:graphicData>
            </a:graphic>
          </wp:anchor>
        </w:drawing>
      </w:r>
    </w:p>
    <w:p>
      <w:pPr>
        <w:spacing w:after="0" w:line="15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Check the appropriate box:</w:t>
      </w:r>
    </w:p>
    <w:p>
      <w:pPr>
        <w:spacing w:after="0" w:line="191" w:lineRule="exact"/>
        <w:rPr>
          <w:sz w:val="24"/>
          <w:szCs w:val="24"/>
          <w:color w:val="auto"/>
        </w:rPr>
      </w:pPr>
    </w:p>
    <w:p>
      <w:pPr>
        <w:ind w:left="560"/>
        <w:spacing w:after="0"/>
        <w:rPr>
          <w:sz w:val="20"/>
          <w:szCs w:val="20"/>
          <w:color w:val="auto"/>
        </w:rPr>
      </w:pPr>
      <w:r>
        <w:rPr>
          <w:rFonts w:ascii="Arial" w:cs="Arial" w:eastAsia="Arial" w:hAnsi="Arial"/>
          <w:sz w:val="16"/>
          <w:szCs w:val="16"/>
          <w:color w:val="auto"/>
        </w:rPr>
        <w:t>Preliminary Proxy Statement</w:t>
      </w:r>
    </w:p>
    <w:p>
      <w:pPr>
        <w:spacing w:after="0" w:line="141"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Confidential, for Use of the Commission Only (as permitted by Rule 14A-6(E)(2))</w:t>
      </w:r>
    </w:p>
    <w:p>
      <w:pPr>
        <w:spacing w:after="0" w:line="181" w:lineRule="exact"/>
        <w:rPr>
          <w:sz w:val="24"/>
          <w:szCs w:val="24"/>
          <w:color w:val="auto"/>
        </w:rPr>
      </w:pPr>
    </w:p>
    <w:p>
      <w:pPr>
        <w:ind w:left="560"/>
        <w:spacing w:after="0"/>
        <w:rPr>
          <w:sz w:val="20"/>
          <w:szCs w:val="20"/>
          <w:color w:val="auto"/>
        </w:rPr>
      </w:pPr>
      <w:r>
        <w:rPr>
          <w:rFonts w:ascii="Arial" w:cs="Arial" w:eastAsia="Arial" w:hAnsi="Arial"/>
          <w:sz w:val="16"/>
          <w:szCs w:val="16"/>
          <w:color w:val="auto"/>
        </w:rPr>
        <w:t>Definitive Proxy Statement</w:t>
      </w:r>
    </w:p>
    <w:p>
      <w:pPr>
        <w:spacing w:after="0" w:line="161" w:lineRule="exact"/>
        <w:rPr>
          <w:sz w:val="24"/>
          <w:szCs w:val="24"/>
          <w:color w:val="auto"/>
        </w:rPr>
      </w:pPr>
    </w:p>
    <w:p>
      <w:pPr>
        <w:ind w:left="560"/>
        <w:spacing w:after="0"/>
        <w:rPr>
          <w:sz w:val="20"/>
          <w:szCs w:val="20"/>
          <w:color w:val="auto"/>
        </w:rPr>
      </w:pPr>
      <w:r>
        <w:rPr>
          <w:rFonts w:ascii="Arial" w:cs="Arial" w:eastAsia="Arial" w:hAnsi="Arial"/>
          <w:sz w:val="16"/>
          <w:szCs w:val="16"/>
          <w:color w:val="auto"/>
        </w:rPr>
        <w:t>Definitive Additional Materials</w:t>
      </w:r>
    </w:p>
    <w:p>
      <w:pPr>
        <w:spacing w:after="0" w:line="161" w:lineRule="exact"/>
        <w:rPr>
          <w:sz w:val="24"/>
          <w:szCs w:val="24"/>
          <w:color w:val="auto"/>
        </w:rPr>
      </w:pPr>
    </w:p>
    <w:p>
      <w:pPr>
        <w:ind w:left="560"/>
        <w:spacing w:after="0"/>
        <w:rPr>
          <w:sz w:val="20"/>
          <w:szCs w:val="20"/>
          <w:color w:val="auto"/>
        </w:rPr>
      </w:pPr>
      <w:r>
        <w:rPr>
          <w:rFonts w:ascii="Arial" w:cs="Arial" w:eastAsia="Arial" w:hAnsi="Arial"/>
          <w:sz w:val="16"/>
          <w:szCs w:val="16"/>
          <w:color w:val="auto"/>
        </w:rPr>
        <w:t>Soliciting Material under §240.14a-12</w:t>
      </w:r>
    </w:p>
    <w:p>
      <w:pPr>
        <w:spacing w:after="0" w:line="162" w:lineRule="exact"/>
        <w:rPr>
          <w:sz w:val="24"/>
          <w:szCs w:val="24"/>
          <w:color w:val="auto"/>
        </w:rPr>
      </w:pPr>
    </w:p>
    <w:p>
      <w:pPr>
        <w:ind w:left="3860"/>
        <w:spacing w:after="0"/>
        <w:rPr>
          <w:sz w:val="20"/>
          <w:szCs w:val="20"/>
          <w:color w:val="auto"/>
        </w:rPr>
      </w:pPr>
      <w:r>
        <w:rPr>
          <w:rFonts w:ascii="Arial" w:cs="Arial" w:eastAsia="Arial" w:hAnsi="Arial"/>
          <w:sz w:val="25"/>
          <w:szCs w:val="25"/>
          <w:b w:val="1"/>
          <w:bCs w:val="1"/>
          <w:color w:val="auto"/>
        </w:rPr>
        <w:t>ACTIVISION BLIZZARD,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142240</wp:posOffset>
            </wp:positionV>
            <wp:extent cx="2226945" cy="513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26945" cy="513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1080"/>
        <w:spacing w:after="0"/>
        <w:rPr>
          <w:sz w:val="20"/>
          <w:szCs w:val="20"/>
          <w:color w:val="auto"/>
        </w:rPr>
      </w:pPr>
      <w:r>
        <w:rPr>
          <w:rFonts w:ascii="Arial" w:cs="Arial" w:eastAsia="Arial" w:hAnsi="Arial"/>
          <w:sz w:val="16"/>
          <w:szCs w:val="16"/>
          <w:i w:val="1"/>
          <w:iCs w:val="1"/>
          <w:color w:val="auto"/>
        </w:rPr>
        <w:t>(Name of Registrant as Specified in Its Charter)</w:t>
      </w:r>
    </w:p>
    <w:p>
      <w:pPr>
        <w:spacing w:after="0" w:line="173" w:lineRule="exact"/>
        <w:rPr>
          <w:sz w:val="24"/>
          <w:szCs w:val="24"/>
          <w:color w:val="auto"/>
        </w:rPr>
      </w:pPr>
    </w:p>
    <w:p>
      <w:pPr>
        <w:jc w:val="center"/>
        <w:ind w:right="-1080"/>
        <w:spacing w:after="0"/>
        <w:rPr>
          <w:sz w:val="20"/>
          <w:szCs w:val="20"/>
          <w:color w:val="auto"/>
        </w:rPr>
      </w:pPr>
      <w:r>
        <w:rPr>
          <w:rFonts w:ascii="Arial" w:cs="Arial" w:eastAsia="Arial" w:hAnsi="Arial"/>
          <w:sz w:val="16"/>
          <w:szCs w:val="16"/>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45085</wp:posOffset>
            </wp:positionV>
            <wp:extent cx="7148830" cy="830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830" cy="830580"/>
                    </a:xfrm>
                    <a:prstGeom prst="rect">
                      <a:avLst/>
                    </a:prstGeom>
                    <a:noFill/>
                  </pic:spPr>
                </pic:pic>
              </a:graphicData>
            </a:graphic>
          </wp:anchor>
        </w:drawing>
      </w:r>
    </w:p>
    <w:p>
      <w:pPr>
        <w:spacing w:after="0" w:line="56"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Payment of Filing Fee (Check all boxes that apply):</w:t>
      </w:r>
    </w:p>
    <w:p>
      <w:pPr>
        <w:spacing w:after="0" w:line="171" w:lineRule="exact"/>
        <w:rPr>
          <w:sz w:val="24"/>
          <w:szCs w:val="24"/>
          <w:color w:val="auto"/>
        </w:rPr>
      </w:pPr>
    </w:p>
    <w:p>
      <w:pPr>
        <w:ind w:left="600"/>
        <w:spacing w:after="0"/>
        <w:rPr>
          <w:sz w:val="20"/>
          <w:szCs w:val="20"/>
          <w:color w:val="auto"/>
        </w:rPr>
      </w:pPr>
      <w:r>
        <w:rPr>
          <w:rFonts w:ascii="Arial" w:cs="Arial" w:eastAsia="Arial" w:hAnsi="Arial"/>
          <w:sz w:val="16"/>
          <w:szCs w:val="16"/>
          <w:b w:val="1"/>
          <w:bCs w:val="1"/>
          <w:color w:val="auto"/>
        </w:rPr>
        <w:t>No fee required.</w:t>
      </w:r>
    </w:p>
    <w:p>
      <w:pPr>
        <w:spacing w:after="0" w:line="161" w:lineRule="exact"/>
        <w:rPr>
          <w:sz w:val="24"/>
          <w:szCs w:val="24"/>
          <w:color w:val="auto"/>
        </w:rPr>
      </w:pPr>
    </w:p>
    <w:p>
      <w:pPr>
        <w:ind w:left="600"/>
        <w:spacing w:after="0"/>
        <w:rPr>
          <w:sz w:val="20"/>
          <w:szCs w:val="20"/>
          <w:color w:val="auto"/>
        </w:rPr>
      </w:pPr>
      <w:r>
        <w:rPr>
          <w:rFonts w:ascii="Arial" w:cs="Arial" w:eastAsia="Arial" w:hAnsi="Arial"/>
          <w:sz w:val="16"/>
          <w:szCs w:val="16"/>
          <w:b w:val="1"/>
          <w:bCs w:val="1"/>
          <w:color w:val="auto"/>
        </w:rPr>
        <w:t>Fee paid previously with preliminary materials.</w:t>
      </w:r>
    </w:p>
    <w:p>
      <w:pPr>
        <w:spacing w:after="0" w:line="161" w:lineRule="exact"/>
        <w:rPr>
          <w:sz w:val="24"/>
          <w:szCs w:val="24"/>
          <w:color w:val="auto"/>
        </w:rPr>
      </w:pPr>
    </w:p>
    <w:p>
      <w:pPr>
        <w:ind w:left="600"/>
        <w:spacing w:after="0"/>
        <w:rPr>
          <w:sz w:val="20"/>
          <w:szCs w:val="20"/>
          <w:color w:val="auto"/>
        </w:rPr>
      </w:pPr>
      <w:r>
        <w:rPr>
          <w:rFonts w:ascii="Arial" w:cs="Arial" w:eastAsia="Arial" w:hAnsi="Arial"/>
          <w:sz w:val="16"/>
          <w:szCs w:val="16"/>
          <w:b w:val="1"/>
          <w:bCs w:val="1"/>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250825</wp:posOffset>
            </wp:positionV>
            <wp:extent cx="714883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0099"/>
          </w:cols>
          <w:pgMar w:left="360" w:top="214"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48830" cy="8001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830" cy="8001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480"/>
        <w:spacing w:after="0"/>
        <w:rPr>
          <w:sz w:val="20"/>
          <w:szCs w:val="20"/>
          <w:color w:val="auto"/>
        </w:rPr>
      </w:pPr>
      <w:r>
        <w:rPr>
          <w:rFonts w:ascii="Arial" w:cs="Arial" w:eastAsia="Arial" w:hAnsi="Arial"/>
          <w:sz w:val="19"/>
          <w:szCs w:val="19"/>
          <w:color w:val="auto"/>
        </w:rPr>
        <w:t>April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91440</wp:posOffset>
            </wp:positionV>
            <wp:extent cx="654494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4945" cy="15240"/>
                    </a:xfrm>
                    <a:prstGeom prst="rect">
                      <a:avLst/>
                    </a:prstGeom>
                    <a:noFill/>
                  </pic:spPr>
                </pic:pic>
              </a:graphicData>
            </a:graphic>
          </wp:anchor>
        </w:drawing>
      </w:r>
    </w:p>
    <w:p>
      <w:pPr>
        <w:spacing w:after="0" w:line="389" w:lineRule="exact"/>
        <w:rPr>
          <w:sz w:val="20"/>
          <w:szCs w:val="20"/>
          <w:color w:val="auto"/>
        </w:rPr>
      </w:pPr>
    </w:p>
    <w:p>
      <w:pPr>
        <w:ind w:left="480"/>
        <w:spacing w:after="0"/>
        <w:rPr>
          <w:sz w:val="20"/>
          <w:szCs w:val="20"/>
          <w:color w:val="auto"/>
        </w:rPr>
      </w:pPr>
      <w:r>
        <w:rPr>
          <w:rFonts w:ascii="Arial" w:cs="Arial" w:eastAsia="Arial" w:hAnsi="Arial"/>
          <w:sz w:val="31"/>
          <w:szCs w:val="31"/>
          <w:b w:val="1"/>
          <w:bCs w:val="1"/>
          <w:color w:val="auto"/>
        </w:rPr>
        <w:t>DEAR SHAREHOLDERS:</w:t>
      </w:r>
    </w:p>
    <w:p>
      <w:pPr>
        <w:spacing w:after="0" w:line="312" w:lineRule="exact"/>
        <w:rPr>
          <w:sz w:val="20"/>
          <w:szCs w:val="20"/>
          <w:color w:val="auto"/>
        </w:rPr>
      </w:pPr>
    </w:p>
    <w:p>
      <w:pPr>
        <w:jc w:val="both"/>
        <w:ind w:left="480" w:right="480"/>
        <w:spacing w:after="0" w:line="238" w:lineRule="auto"/>
        <w:rPr>
          <w:sz w:val="20"/>
          <w:szCs w:val="20"/>
          <w:color w:val="auto"/>
        </w:rPr>
      </w:pPr>
      <w:r>
        <w:rPr>
          <w:rFonts w:ascii="Arial" w:cs="Arial" w:eastAsia="Arial" w:hAnsi="Arial"/>
          <w:sz w:val="19"/>
          <w:szCs w:val="19"/>
          <w:color w:val="auto"/>
        </w:rPr>
        <w:t>Throughout 2021, Activision Blizzard continued to engage the world through epic entertainment. We upheld our legacy of delivering great games to more than 350 million players globally—providing people a sense of community, excitement, and joy. We are incredibly proud of our team members for their unwavering dedication, creativity, and passion; our Company’s continued success is the result of the continued commitment to excellence demonstrated by our talented employees in 15 countries.</w:t>
      </w:r>
    </w:p>
    <w:p>
      <w:pPr>
        <w:spacing w:after="0" w:line="129" w:lineRule="exact"/>
        <w:rPr>
          <w:sz w:val="20"/>
          <w:szCs w:val="20"/>
          <w:color w:val="auto"/>
        </w:rPr>
      </w:pPr>
    </w:p>
    <w:p>
      <w:pPr>
        <w:jc w:val="both"/>
        <w:ind w:left="480" w:right="480"/>
        <w:spacing w:after="0" w:line="238" w:lineRule="auto"/>
        <w:rPr>
          <w:sz w:val="20"/>
          <w:szCs w:val="20"/>
          <w:color w:val="auto"/>
        </w:rPr>
      </w:pPr>
      <w:r>
        <w:rPr>
          <w:rFonts w:ascii="Arial" w:cs="Arial" w:eastAsia="Arial" w:hAnsi="Arial"/>
          <w:sz w:val="19"/>
          <w:szCs w:val="19"/>
          <w:color w:val="auto"/>
        </w:rPr>
        <w:t>Activision Blizzard has some of the world’s largest audiences, most recognizable intellectual properties, and iconic games. These unique assets—developed over three decades—enabled us to deliver long-term financial performance and value creation for shareholders. In 2021, we delivered record full-year GAAP results, growing GAAP revenue 9%, GAAP operating profit 19%, and GAAP EPS 22%, in each case year-over-year. Net bookings was broadly consistent at 1% lower year-over-year, following historic and unprecedented performance in 2020.</w:t>
      </w:r>
    </w:p>
    <w:p>
      <w:pPr>
        <w:spacing w:after="0" w:line="129" w:lineRule="exact"/>
        <w:rPr>
          <w:sz w:val="20"/>
          <w:szCs w:val="20"/>
          <w:color w:val="auto"/>
        </w:rPr>
      </w:pPr>
    </w:p>
    <w:p>
      <w:pPr>
        <w:jc w:val="both"/>
        <w:ind w:left="480" w:right="480"/>
        <w:spacing w:after="0" w:line="230" w:lineRule="auto"/>
        <w:rPr>
          <w:sz w:val="20"/>
          <w:szCs w:val="20"/>
          <w:color w:val="auto"/>
        </w:rPr>
      </w:pPr>
      <w:r>
        <w:rPr>
          <w:rFonts w:ascii="Arial" w:cs="Arial" w:eastAsia="Arial" w:hAnsi="Arial"/>
          <w:sz w:val="19"/>
          <w:szCs w:val="19"/>
          <w:color w:val="auto"/>
        </w:rPr>
        <w:t>Our performance last year was driven by our increased investment in our most successful franchises and the commitment and focus of our dedicated employees. The King business and its Candy Crush™ franchise grew strongly; King passed the $1 billion annual operating income milestone for the first time. In the Call of Duty</w:t>
      </w:r>
      <w:r>
        <w:rPr>
          <w:rFonts w:ascii="Arial" w:cs="Arial" w:eastAsia="Arial" w:hAnsi="Arial"/>
          <w:sz w:val="21"/>
          <w:szCs w:val="21"/>
          <w:color w:val="auto"/>
          <w:vertAlign w:val="superscript"/>
        </w:rPr>
        <w:t>®</w:t>
      </w:r>
      <w:r>
        <w:rPr>
          <w:rFonts w:ascii="Arial" w:cs="Arial" w:eastAsia="Arial" w:hAnsi="Arial"/>
          <w:sz w:val="19"/>
          <w:szCs w:val="19"/>
          <w:color w:val="auto"/>
        </w:rPr>
        <w:t xml:space="preserve"> franchise, full year results benefited from the availability of free-to-play experiences across PC, console, and mobile devices. While </w:t>
      </w:r>
      <w:r>
        <w:rPr>
          <w:rFonts w:ascii="Arial" w:cs="Arial" w:eastAsia="Arial" w:hAnsi="Arial"/>
          <w:sz w:val="19"/>
          <w:szCs w:val="19"/>
          <w:i w:val="1"/>
          <w:iCs w:val="1"/>
          <w:color w:val="auto"/>
        </w:rPr>
        <w:t>Call of Duty: Vanguard</w:t>
      </w:r>
      <w:r>
        <w:rPr>
          <w:rFonts w:ascii="Arial" w:cs="Arial" w:eastAsia="Arial" w:hAnsi="Arial"/>
          <w:sz w:val="19"/>
          <w:szCs w:val="19"/>
          <w:color w:val="auto"/>
        </w:rPr>
        <w:t xml:space="preserve"> did not meet our expectations, we are planning the most ambitious effort in franchise history and expect significant improvement in franchise performance. World of Warcraft</w:t>
      </w:r>
      <w:r>
        <w:rPr>
          <w:rFonts w:ascii="Arial" w:cs="Arial" w:eastAsia="Arial" w:hAnsi="Arial"/>
          <w:sz w:val="21"/>
          <w:szCs w:val="21"/>
          <w:color w:val="auto"/>
          <w:vertAlign w:val="superscript"/>
        </w:rPr>
        <w:t>®</w:t>
      </w:r>
      <w:r>
        <w:rPr>
          <w:rFonts w:ascii="Arial" w:cs="Arial" w:eastAsia="Arial" w:hAnsi="Arial"/>
          <w:sz w:val="19"/>
          <w:szCs w:val="19"/>
          <w:color w:val="auto"/>
        </w:rPr>
        <w:t xml:space="preserve"> continues to remain vibrant after almost two decades of delighting players. And, of course, we have exciting efforts underway for many of our other franchises, as well as new potential franchises on which we previously reported.</w:t>
      </w:r>
    </w:p>
    <w:p>
      <w:pPr>
        <w:spacing w:after="0" w:line="135" w:lineRule="exact"/>
        <w:rPr>
          <w:sz w:val="20"/>
          <w:szCs w:val="20"/>
          <w:color w:val="auto"/>
        </w:rPr>
      </w:pPr>
    </w:p>
    <w:p>
      <w:pPr>
        <w:jc w:val="both"/>
        <w:ind w:left="480" w:right="480"/>
        <w:spacing w:after="0" w:line="237" w:lineRule="auto"/>
        <w:rPr>
          <w:sz w:val="20"/>
          <w:szCs w:val="20"/>
          <w:color w:val="auto"/>
        </w:rPr>
      </w:pPr>
      <w:r>
        <w:rPr>
          <w:rFonts w:ascii="Arial" w:cs="Arial" w:eastAsia="Arial" w:hAnsi="Arial"/>
          <w:sz w:val="19"/>
          <w:szCs w:val="19"/>
          <w:color w:val="auto"/>
        </w:rPr>
        <w:t>Our strategy of increasing reach, engagement, and player investment for our largest, globally-recognized intellectual properties, combined with our track record of focus and operational excellence, should allow Activision Blizzard to continue to deliver superior operating results over time. This approach has also driven substantial long-term value creation for our shareholders. If you had invested $1,000 in our Company at the end of 1991, your investment, including dividend reinvestment, would have been worth $63,650 at the end of 2021, or more than three times the S&amp;P 500’s $20,822. During that same period, our market capitalization grew from less than $10 million in 1991 to over $50 billion.</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20"/>
          <w:szCs w:val="20"/>
          <w:color w:val="125288"/>
        </w:rPr>
        <w:t>Proposed Microsoft Transaction</w:t>
      </w:r>
    </w:p>
    <w:p>
      <w:pPr>
        <w:spacing w:after="0" w:line="149" w:lineRule="exact"/>
        <w:rPr>
          <w:sz w:val="20"/>
          <w:szCs w:val="20"/>
          <w:color w:val="auto"/>
        </w:rPr>
      </w:pPr>
    </w:p>
    <w:p>
      <w:pPr>
        <w:jc w:val="both"/>
        <w:ind w:left="480" w:right="480"/>
        <w:spacing w:after="0" w:line="232" w:lineRule="auto"/>
        <w:rPr>
          <w:sz w:val="20"/>
          <w:szCs w:val="20"/>
          <w:color w:val="auto"/>
        </w:rPr>
      </w:pPr>
      <w:r>
        <w:rPr>
          <w:rFonts w:ascii="Arial" w:cs="Arial" w:eastAsia="Arial" w:hAnsi="Arial"/>
          <w:sz w:val="19"/>
          <w:szCs w:val="19"/>
          <w:color w:val="auto"/>
        </w:rPr>
        <w:t>In January of this year, we announced that we entered into a merger agreement with Microsoft Corporation. Microsoft has agreed to acquire all outstanding shares of Activision Blizzard for $95 per share in cash</w:t>
      </w:r>
      <w:r>
        <w:rPr>
          <w:rFonts w:ascii="Arial" w:cs="Arial" w:eastAsia="Arial" w:hAnsi="Arial"/>
          <w:sz w:val="21"/>
          <w:szCs w:val="21"/>
          <w:color w:val="auto"/>
          <w:vertAlign w:val="superscript"/>
        </w:rPr>
        <w:t>(1)</w:t>
      </w:r>
      <w:r>
        <w:rPr>
          <w:rFonts w:ascii="Arial" w:cs="Arial" w:eastAsia="Arial" w:hAnsi="Arial"/>
          <w:sz w:val="19"/>
          <w:szCs w:val="19"/>
          <w:color w:val="auto"/>
        </w:rPr>
        <w:t>. Upon the closing of the transaction, Activision Blizzard will cease to be a publicly traded company but our mission to deliver the world’s best interactive entertainment will continue with greater resources and opportunity.</w:t>
      </w:r>
    </w:p>
    <w:p>
      <w:pPr>
        <w:spacing w:after="0" w:line="132" w:lineRule="exact"/>
        <w:rPr>
          <w:sz w:val="20"/>
          <w:szCs w:val="20"/>
          <w:color w:val="auto"/>
        </w:rPr>
      </w:pPr>
    </w:p>
    <w:p>
      <w:pPr>
        <w:jc w:val="both"/>
        <w:ind w:left="480" w:right="480"/>
        <w:spacing w:after="0" w:line="238" w:lineRule="auto"/>
        <w:rPr>
          <w:sz w:val="20"/>
          <w:szCs w:val="20"/>
          <w:color w:val="auto"/>
        </w:rPr>
      </w:pPr>
      <w:r>
        <w:rPr>
          <w:rFonts w:ascii="Arial" w:cs="Arial" w:eastAsia="Arial" w:hAnsi="Arial"/>
          <w:sz w:val="19"/>
          <w:szCs w:val="19"/>
          <w:color w:val="auto"/>
        </w:rPr>
        <w:t>This combination represents an exciting, new phase of our Company’s journey to continue delivering fun, joy, and connection through epic entertainment. The combination of Activision Blizzard’s world-class talent and extraordinary franchises with Microsoft’s technology, distribution, even greater access to talent, ambitious vision, and shared commitment to a welcoming and inclusive workplace will help ensure our continued success in an increasingly competitive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417830</wp:posOffset>
            </wp:positionV>
            <wp:extent cx="654494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49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760" w:right="500" w:hanging="289"/>
        <w:spacing w:after="0" w:line="254" w:lineRule="auto"/>
        <w:tabs>
          <w:tab w:leader="none" w:pos="760" w:val="left"/>
        </w:tabs>
        <w:numPr>
          <w:ilvl w:val="0"/>
          <w:numId w:val="1"/>
        </w:numPr>
        <w:rPr>
          <w:rFonts w:ascii="Arial" w:cs="Arial" w:eastAsia="Arial" w:hAnsi="Arial"/>
          <w:sz w:val="15"/>
          <w:szCs w:val="15"/>
          <w:color w:val="auto"/>
        </w:rPr>
      </w:pPr>
      <w:r>
        <w:rPr>
          <w:rFonts w:ascii="Arial" w:cs="Arial" w:eastAsia="Arial" w:hAnsi="Arial"/>
          <w:sz w:val="15"/>
          <w:szCs w:val="15"/>
          <w:color w:val="auto"/>
        </w:rPr>
        <w:t>For additional information related to the Agreement and Plan of Merger, dated as of January 18, 2022, by and among Activision Blizzard, Microsoft Corporation, and Anchorage Merger Sub Inc., a wholly owned subsidiary of Microsoft Corporation, please refer to the Definitive Proxy Statement on Schedule 14A filed with the Securities and Exchange Commission on March 21, 2022, and other relevant materials in connection with the proposed transaction that we may file with the SEC containing important information about Activision Blizzard and the merger.</w:t>
      </w:r>
    </w:p>
    <w:p>
      <w:pPr>
        <w:spacing w:after="0" w:line="178" w:lineRule="exact"/>
        <w:rPr>
          <w:sz w:val="20"/>
          <w:szCs w:val="20"/>
          <w:color w:val="auto"/>
        </w:rPr>
      </w:pPr>
    </w:p>
    <w:p>
      <w:pPr>
        <w:spacing w:after="0"/>
        <w:tabs>
          <w:tab w:leader="none" w:pos="7360" w:val="left"/>
          <w:tab w:leader="none" w:pos="9380" w:val="left"/>
          <w:tab w:leader="none" w:pos="1116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240030</wp:posOffset>
            </wp:positionV>
            <wp:extent cx="714883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34" w:right="319" w:bottom="1440" w:gutter="0" w:footer="0" w:header="0"/>
        </w:sectPr>
      </w:pPr>
    </w:p>
    <w:bookmarkStart w:id="3" w:name="page4"/>
    <w:bookmarkEnd w:id="3"/>
    <w:p>
      <w:pPr>
        <w:jc w:val="both"/>
        <w:ind w:left="480" w:right="480"/>
        <w:spacing w:after="0" w:line="237" w:lineRule="auto"/>
        <w:rPr>
          <w:sz w:val="20"/>
          <w:szCs w:val="20"/>
          <w:color w:val="auto"/>
        </w:rPr>
      </w:pPr>
      <w:r>
        <w:rPr>
          <w:rFonts w:ascii="Arial" w:cs="Arial" w:eastAsia="Arial" w:hAnsi="Arial"/>
          <w:sz w:val="19"/>
          <w:szCs w:val="19"/>
          <w:color w:val="auto"/>
        </w:rPr>
        <w:t>Activision Blizzard’s Board of Directors believe this is the right transaction with the right partner at the right time. The price of $95 per share in cash delivers a premium of approximately 45 percent to Activision Blizzard’s share price as of January 14, 2022, the last trading day before the merger was announced. The proposed transaction has been approved by Activision Blizzard’s shareholders and is expected to close in Microsoft’s fiscal year ending June 30, 2023, subject to the satisfaction of customary regulatory approvals, and other customary closing conditions. Until that time, both companies will continue to operate independently.</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20"/>
          <w:szCs w:val="20"/>
          <w:color w:val="125288"/>
        </w:rPr>
        <w:t>Ensuring a Safe and Diverse Working Environment</w:t>
      </w:r>
    </w:p>
    <w:p>
      <w:pPr>
        <w:spacing w:after="0" w:line="149" w:lineRule="exact"/>
        <w:rPr>
          <w:sz w:val="20"/>
          <w:szCs w:val="20"/>
          <w:color w:val="auto"/>
        </w:rPr>
      </w:pPr>
    </w:p>
    <w:p>
      <w:pPr>
        <w:jc w:val="both"/>
        <w:ind w:left="480" w:right="480"/>
        <w:spacing w:after="0"/>
        <w:rPr>
          <w:sz w:val="20"/>
          <w:szCs w:val="20"/>
          <w:color w:val="auto"/>
        </w:rPr>
      </w:pPr>
      <w:r>
        <w:rPr>
          <w:rFonts w:ascii="Arial" w:cs="Arial" w:eastAsia="Arial" w:hAnsi="Arial"/>
          <w:sz w:val="19"/>
          <w:szCs w:val="19"/>
          <w:color w:val="auto"/>
        </w:rPr>
        <w:t>Activision Blizzard has implemented a number of initiatives designed to enhance our workplace culture. Maintaining the very best workplace remains our focus, and we believe having such a workplace will give us a competitive advantage in attracting and retaining the highly in-demand talent we need to operate successfully.</w:t>
      </w:r>
    </w:p>
    <w:p>
      <w:pPr>
        <w:spacing w:after="0" w:line="129" w:lineRule="exact"/>
        <w:rPr>
          <w:sz w:val="20"/>
          <w:szCs w:val="20"/>
          <w:color w:val="auto"/>
        </w:rPr>
      </w:pPr>
    </w:p>
    <w:p>
      <w:pPr>
        <w:jc w:val="both"/>
        <w:ind w:left="480" w:right="480"/>
        <w:spacing w:after="0"/>
        <w:rPr>
          <w:sz w:val="20"/>
          <w:szCs w:val="20"/>
          <w:color w:val="auto"/>
        </w:rPr>
      </w:pPr>
      <w:r>
        <w:rPr>
          <w:rFonts w:ascii="Arial" w:cs="Arial" w:eastAsia="Arial" w:hAnsi="Arial"/>
          <w:sz w:val="19"/>
          <w:szCs w:val="19"/>
          <w:color w:val="auto"/>
        </w:rPr>
        <w:t>We intend for Activision Blizzard to be recognized as a model for other companies to emulate in the areas of inclusion, respect, and safety. We have made achieving this objective a top priority for the near and long term as we believe this will enable us to deliver the very best games for our players and returns for our shareholders.</w:t>
      </w:r>
    </w:p>
    <w:p>
      <w:pPr>
        <w:spacing w:after="0" w:line="129" w:lineRule="exact"/>
        <w:rPr>
          <w:sz w:val="20"/>
          <w:szCs w:val="20"/>
          <w:color w:val="auto"/>
        </w:rPr>
      </w:pPr>
    </w:p>
    <w:p>
      <w:pPr>
        <w:jc w:val="both"/>
        <w:ind w:left="480" w:right="480"/>
        <w:spacing w:after="0" w:line="236" w:lineRule="auto"/>
        <w:rPr>
          <w:sz w:val="20"/>
          <w:szCs w:val="20"/>
          <w:color w:val="auto"/>
        </w:rPr>
      </w:pPr>
      <w:r>
        <w:rPr>
          <w:rFonts w:ascii="Arial" w:cs="Arial" w:eastAsia="Arial" w:hAnsi="Arial"/>
          <w:sz w:val="19"/>
          <w:szCs w:val="19"/>
          <w:color w:val="auto"/>
        </w:rPr>
        <w:t>In 2021, we made a number of workplace-related commitments and significant progress toward achieving them. We announced new resources, commitments, and investment in our workplace with respect to the prevention of harassment, discrimination, and retaliation. We announced the launch of a new, more stringent approach to harassment Company-wide. We implemented several more aggressive measures in October 2021: we adopted a new policy waiving mandatory arbitration of individual sexual harassment, unlawful discrimination, or related retaliation claims arising from conduct after October 28, 2021; we began releasing data on the Company’s pay equity analyses; we released detailed U.S. representation data; and we again increased investment in training and compliance. While our benefits programs are very generous and provide a broad set of programs designed to support the health and personal needs of a diverse population, we also improved programs for a larger portion of our employees, including increased holiday, sick, and vacation time off. We have increased investment in our people, including converting approximately 500 temporary workers to full-time employees in 2021 and converting more than 1,000 this year, with most receiving increased pay and expanded benefits. Our effort to continuously improve our workplace is ongoing. We will strive to strengthen our culture and remain committed to an exemplary work environment for all employees.</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20"/>
          <w:szCs w:val="20"/>
          <w:color w:val="125288"/>
        </w:rPr>
        <w:t>Commitment to Good Governance</w:t>
      </w:r>
    </w:p>
    <w:p>
      <w:pPr>
        <w:spacing w:after="0" w:line="149" w:lineRule="exact"/>
        <w:rPr>
          <w:sz w:val="20"/>
          <w:szCs w:val="20"/>
          <w:color w:val="auto"/>
        </w:rPr>
      </w:pPr>
    </w:p>
    <w:p>
      <w:pPr>
        <w:jc w:val="both"/>
        <w:ind w:left="480" w:right="480"/>
        <w:spacing w:after="0" w:line="238" w:lineRule="auto"/>
        <w:rPr>
          <w:sz w:val="20"/>
          <w:szCs w:val="20"/>
          <w:color w:val="auto"/>
        </w:rPr>
      </w:pPr>
      <w:r>
        <w:rPr>
          <w:rFonts w:ascii="Arial" w:cs="Arial" w:eastAsia="Arial" w:hAnsi="Arial"/>
          <w:sz w:val="19"/>
          <w:szCs w:val="19"/>
          <w:color w:val="auto"/>
        </w:rPr>
        <w:t>At Activision Blizzard, we have always been committed to maintaining an active dialogue with stakeholders. Last year, as a direct result of conversations with our stakeholders, we undertook a review of—and again improved—various policies and practices related to executive compensation and human capital management. In November 2021, the Board of Directors established a Workplace Responsibility Committee to oversee workforce initiatives and ensure our accountability as we deliver on our pledges.</w:t>
      </w:r>
    </w:p>
    <w:p>
      <w:pPr>
        <w:spacing w:after="0" w:line="129" w:lineRule="exact"/>
        <w:rPr>
          <w:sz w:val="20"/>
          <w:szCs w:val="20"/>
          <w:color w:val="auto"/>
        </w:rPr>
      </w:pPr>
    </w:p>
    <w:p>
      <w:pPr>
        <w:jc w:val="both"/>
        <w:ind w:left="480" w:right="480"/>
        <w:spacing w:after="0" w:line="238" w:lineRule="auto"/>
        <w:rPr>
          <w:sz w:val="20"/>
          <w:szCs w:val="20"/>
          <w:color w:val="auto"/>
        </w:rPr>
      </w:pPr>
      <w:r>
        <w:rPr>
          <w:rFonts w:ascii="Arial" w:cs="Arial" w:eastAsia="Arial" w:hAnsi="Arial"/>
          <w:sz w:val="19"/>
          <w:szCs w:val="19"/>
          <w:color w:val="auto"/>
        </w:rPr>
        <w:t>We continue to broaden the diversity, skills, and experiences of our Board as part of our ongoing commitment to refreshing our Board. We recently announced Lulu Cheng Meservey’s appointment to our Board of Directors and Kerry Carr’s nomination for election at our 2022 Annual Meeting. In addition, we announced Hendrik J. Hartong III and Casey Wasserman have chosen to not stand for re-election. We are extremely grateful for Henk’s and Casey’s commitment to Activision Blizzard and strategic leadership and counsel over the years.</w:t>
      </w:r>
    </w:p>
    <w:p>
      <w:pPr>
        <w:spacing w:after="0" w:line="129" w:lineRule="exact"/>
        <w:rPr>
          <w:sz w:val="20"/>
          <w:szCs w:val="20"/>
          <w:color w:val="auto"/>
        </w:rPr>
      </w:pPr>
    </w:p>
    <w:p>
      <w:pPr>
        <w:jc w:val="both"/>
        <w:ind w:left="480" w:right="480"/>
        <w:spacing w:after="0" w:line="238" w:lineRule="auto"/>
        <w:rPr>
          <w:sz w:val="20"/>
          <w:szCs w:val="20"/>
          <w:color w:val="auto"/>
        </w:rPr>
      </w:pPr>
      <w:r>
        <w:rPr>
          <w:rFonts w:ascii="Arial" w:cs="Arial" w:eastAsia="Arial" w:hAnsi="Arial"/>
          <w:sz w:val="19"/>
          <w:szCs w:val="19"/>
          <w:color w:val="auto"/>
        </w:rPr>
        <w:t>This is a very exciting time for our Company. While this past year had unique challenges, we have experienced three decades of extraordinary success, and we remain optimistic about our future. We would like to express our appreciation to the Activision Blizzard leadership team and our employees, who have been instrumental to our success. We remain grateful to our shareholders and debt holders, for your continued support and investment in Activision Blizzard.</w:t>
      </w:r>
    </w:p>
    <w:p>
      <w:pPr>
        <w:spacing w:after="0" w:line="132" w:lineRule="exact"/>
        <w:rPr>
          <w:sz w:val="20"/>
          <w:szCs w:val="20"/>
          <w:color w:val="auto"/>
        </w:rPr>
      </w:pPr>
    </w:p>
    <w:p>
      <w:pPr>
        <w:ind w:left="480"/>
        <w:spacing w:after="0"/>
        <w:rPr>
          <w:sz w:val="20"/>
          <w:szCs w:val="20"/>
          <w:color w:val="auto"/>
        </w:rPr>
      </w:pPr>
      <w:r>
        <w:rPr>
          <w:rFonts w:ascii="Arial" w:cs="Arial" w:eastAsia="Arial" w:hAnsi="Arial"/>
          <w:sz w:val="19"/>
          <w:szCs w:val="19"/>
          <w:color w:val="auto"/>
        </w:rPr>
        <w:t>Sincerely,</w:t>
      </w:r>
    </w:p>
    <w:p>
      <w:pPr>
        <w:spacing w:after="0" w:line="138" w:lineRule="exact"/>
        <w:rPr>
          <w:sz w:val="20"/>
          <w:szCs w:val="20"/>
          <w:color w:val="auto"/>
        </w:rPr>
      </w:pPr>
    </w:p>
    <w:p>
      <w:pPr>
        <w:ind w:left="480"/>
        <w:spacing w:after="0"/>
        <w:tabs>
          <w:tab w:leader="none" w:pos="3940" w:val="left"/>
        </w:tabs>
        <w:rPr>
          <w:sz w:val="20"/>
          <w:szCs w:val="20"/>
          <w:color w:val="auto"/>
        </w:rPr>
      </w:pPr>
      <w:r>
        <w:rPr>
          <w:rFonts w:ascii="Arial" w:cs="Arial" w:eastAsia="Arial" w:hAnsi="Arial"/>
          <w:sz w:val="19"/>
          <w:szCs w:val="19"/>
          <w:b w:val="1"/>
          <w:bCs w:val="1"/>
          <w:color w:val="auto"/>
        </w:rPr>
        <w:t>Robert A. Kotick</w:t>
      </w:r>
      <w:r>
        <w:rPr>
          <w:sz w:val="20"/>
          <w:szCs w:val="20"/>
          <w:color w:val="auto"/>
        </w:rPr>
        <w:tab/>
      </w:r>
      <w:r>
        <w:rPr>
          <w:rFonts w:ascii="Arial" w:cs="Arial" w:eastAsia="Arial" w:hAnsi="Arial"/>
          <w:sz w:val="18"/>
          <w:szCs w:val="18"/>
          <w:b w:val="1"/>
          <w:bCs w:val="1"/>
          <w:color w:val="auto"/>
        </w:rPr>
        <w:t>Brian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61595</wp:posOffset>
            </wp:positionV>
            <wp:extent cx="679450" cy="2717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9450" cy="271780"/>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61595</wp:posOffset>
            </wp:positionV>
            <wp:extent cx="679450" cy="2717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9450" cy="27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7360" w:val="left"/>
          <w:tab w:leader="none" w:pos="9380" w:val="left"/>
          <w:tab w:leader="none" w:pos="1116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240030</wp:posOffset>
            </wp:positionV>
            <wp:extent cx="714883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34"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200025</wp:posOffset>
            </wp:positionH>
            <wp:positionV relativeFrom="page">
              <wp:posOffset>609600</wp:posOffset>
            </wp:positionV>
            <wp:extent cx="7148830" cy="287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830" cy="287020"/>
                    </a:xfrm>
                    <a:prstGeom prst="rect">
                      <a:avLst/>
                    </a:prstGeom>
                    <a:noFill/>
                  </pic:spPr>
                </pic:pic>
              </a:graphicData>
            </a:graphic>
          </wp:anchor>
        </w:drawing>
        <w:drawing>
          <wp:anchor simplePos="0" relativeHeight="251657728" behindDoc="1" locked="0" layoutInCell="0" allowOverlap="1">
            <wp:simplePos x="0" y="0"/>
            <wp:positionH relativeFrom="page">
              <wp:posOffset>3023235</wp:posOffset>
            </wp:positionH>
            <wp:positionV relativeFrom="page">
              <wp:posOffset>88900</wp:posOffset>
            </wp:positionV>
            <wp:extent cx="1510030" cy="3473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510030" cy="347345"/>
                    </a:xfrm>
                    <a:prstGeom prst="rect">
                      <a:avLst/>
                    </a:prstGeom>
                    <a:noFill/>
                  </pic:spPr>
                </pic:pic>
              </a:graphicData>
            </a:graphic>
          </wp:anchor>
        </w:drawing>
        <w:t>MEETING INFORMATION</w:t>
      </w:r>
    </w:p>
    <w:p>
      <w:pPr>
        <w:spacing w:after="0" w:line="110" w:lineRule="exact"/>
        <w:rPr>
          <w:sz w:val="20"/>
          <w:szCs w:val="20"/>
          <w:color w:val="auto"/>
        </w:rPr>
      </w:pPr>
    </w:p>
    <w:tbl>
      <w:tblPr>
        <w:tblLayout w:type="fixed"/>
        <w:tblInd w:w="10" w:type="dxa"/>
        <w:tblCellMar>
          <w:top w:w="0" w:type="dxa"/>
          <w:left w:w="0" w:type="dxa"/>
          <w:bottom w:w="0" w:type="dxa"/>
          <w:right w:w="0" w:type="dxa"/>
        </w:tblCellMar>
      </w:tblPr>
      <w:tr>
        <w:trPr>
          <w:trHeight w:val="300"/>
        </w:trPr>
        <w:tc>
          <w:tcPr>
            <w:tcW w:w="5660" w:type="dxa"/>
            <w:vAlign w:val="bottom"/>
            <w:tcBorders>
              <w:top w:val="single" w:sz="8" w:color="125288"/>
              <w:left w:val="single" w:sz="8" w:color="808284"/>
              <w:right w:val="single" w:sz="8" w:color="808284"/>
            </w:tcBorders>
          </w:tcPr>
          <w:p>
            <w:pPr>
              <w:ind w:left="2000"/>
              <w:spacing w:after="0"/>
              <w:rPr>
                <w:sz w:val="20"/>
                <w:szCs w:val="20"/>
                <w:color w:val="auto"/>
              </w:rPr>
            </w:pPr>
            <w:r>
              <w:rPr>
                <w:rFonts w:ascii="Arial" w:cs="Arial" w:eastAsia="Arial" w:hAnsi="Arial"/>
                <w:sz w:val="17"/>
                <w:szCs w:val="17"/>
                <w:b w:val="1"/>
                <w:bCs w:val="1"/>
                <w:color w:val="125288"/>
              </w:rPr>
              <w:t>WHEN</w:t>
            </w:r>
          </w:p>
        </w:tc>
        <w:tc>
          <w:tcPr>
            <w:tcW w:w="5620" w:type="dxa"/>
            <w:vAlign w:val="bottom"/>
            <w:tcBorders>
              <w:top w:val="single" w:sz="8" w:color="125288"/>
              <w:right w:val="single" w:sz="8" w:color="808284"/>
            </w:tcBorders>
          </w:tcPr>
          <w:p>
            <w:pPr>
              <w:ind w:left="1980"/>
              <w:spacing w:after="0"/>
              <w:rPr>
                <w:sz w:val="20"/>
                <w:szCs w:val="20"/>
                <w:color w:val="auto"/>
              </w:rPr>
            </w:pPr>
            <w:r>
              <w:rPr>
                <w:rFonts w:ascii="Arial" w:cs="Arial" w:eastAsia="Arial" w:hAnsi="Arial"/>
                <w:sz w:val="17"/>
                <w:szCs w:val="17"/>
                <w:b w:val="1"/>
                <w:bCs w:val="1"/>
                <w:color w:val="125288"/>
              </w:rPr>
              <w:t>WHERE</w:t>
            </w:r>
          </w:p>
        </w:tc>
      </w:tr>
      <w:tr>
        <w:trPr>
          <w:trHeight w:val="192"/>
        </w:trPr>
        <w:tc>
          <w:tcPr>
            <w:tcW w:w="5660" w:type="dxa"/>
            <w:vAlign w:val="bottom"/>
            <w:tcBorders>
              <w:left w:val="single" w:sz="8" w:color="808284"/>
              <w:right w:val="single" w:sz="8" w:color="808284"/>
            </w:tcBorders>
          </w:tcPr>
          <w:p>
            <w:pPr>
              <w:ind w:left="2000"/>
              <w:spacing w:after="0" w:line="192" w:lineRule="exact"/>
              <w:rPr>
                <w:sz w:val="20"/>
                <w:szCs w:val="20"/>
                <w:color w:val="auto"/>
              </w:rPr>
            </w:pPr>
            <w:r>
              <w:rPr>
                <w:rFonts w:ascii="Arial" w:cs="Arial" w:eastAsia="Arial" w:hAnsi="Arial"/>
                <w:sz w:val="17"/>
                <w:szCs w:val="17"/>
                <w:color w:val="auto"/>
              </w:rPr>
              <w:t>Tuesday, June 21, 2022,</w:t>
            </w:r>
          </w:p>
        </w:tc>
        <w:tc>
          <w:tcPr>
            <w:tcW w:w="5620" w:type="dxa"/>
            <w:vAlign w:val="bottom"/>
            <w:tcBorders>
              <w:right w:val="single" w:sz="8" w:color="808284"/>
            </w:tcBorders>
          </w:tcPr>
          <w:p>
            <w:pPr>
              <w:ind w:left="1980"/>
              <w:spacing w:after="0" w:line="192" w:lineRule="exact"/>
              <w:rPr>
                <w:sz w:val="20"/>
                <w:szCs w:val="20"/>
                <w:color w:val="auto"/>
              </w:rPr>
            </w:pPr>
            <w:r>
              <w:rPr>
                <w:rFonts w:ascii="Arial" w:cs="Arial" w:eastAsia="Arial" w:hAnsi="Arial"/>
                <w:sz w:val="17"/>
                <w:szCs w:val="17"/>
                <w:color w:val="auto"/>
              </w:rPr>
              <w:t>Via live audio webcast at:</w:t>
            </w:r>
          </w:p>
        </w:tc>
      </w:tr>
      <w:tr>
        <w:trPr>
          <w:trHeight w:val="213"/>
        </w:trPr>
        <w:tc>
          <w:tcPr>
            <w:tcW w:w="5660" w:type="dxa"/>
            <w:vAlign w:val="bottom"/>
            <w:tcBorders>
              <w:left w:val="single" w:sz="8" w:color="808284"/>
              <w:right w:val="single" w:sz="8" w:color="808284"/>
            </w:tcBorders>
          </w:tcPr>
          <w:p>
            <w:pPr>
              <w:ind w:left="2000"/>
              <w:spacing w:after="0"/>
              <w:rPr>
                <w:sz w:val="20"/>
                <w:szCs w:val="20"/>
                <w:color w:val="auto"/>
              </w:rPr>
            </w:pPr>
            <w:r>
              <w:rPr>
                <w:rFonts w:ascii="Arial" w:cs="Arial" w:eastAsia="Arial" w:hAnsi="Arial"/>
                <w:sz w:val="17"/>
                <w:szCs w:val="17"/>
                <w:color w:val="auto"/>
              </w:rPr>
              <w:t>9:00 a.m., Pacific Time</w:t>
            </w:r>
          </w:p>
        </w:tc>
        <w:tc>
          <w:tcPr>
            <w:tcW w:w="5620" w:type="dxa"/>
            <w:vAlign w:val="bottom"/>
            <w:tcBorders>
              <w:right w:val="single" w:sz="8" w:color="808284"/>
            </w:tcBorders>
          </w:tcPr>
          <w:p>
            <w:pPr>
              <w:ind w:left="1980"/>
              <w:spacing w:after="0"/>
              <w:rPr>
                <w:sz w:val="20"/>
                <w:szCs w:val="20"/>
                <w:color w:val="auto"/>
              </w:rPr>
            </w:pPr>
            <w:r>
              <w:rPr>
                <w:rFonts w:ascii="Arial" w:cs="Arial" w:eastAsia="Arial" w:hAnsi="Arial"/>
                <w:sz w:val="17"/>
                <w:szCs w:val="17"/>
                <w:color w:val="auto"/>
              </w:rPr>
              <w:t>https://viewproxy.com/ATVI/2022</w:t>
            </w:r>
          </w:p>
        </w:tc>
      </w:tr>
      <w:tr>
        <w:trPr>
          <w:trHeight w:val="73"/>
        </w:trPr>
        <w:tc>
          <w:tcPr>
            <w:tcW w:w="5660" w:type="dxa"/>
            <w:vAlign w:val="bottom"/>
            <w:tcBorders>
              <w:left w:val="single" w:sz="8" w:color="808284"/>
              <w:bottom w:val="single" w:sz="8" w:color="808284"/>
              <w:right w:val="single" w:sz="8" w:color="808284"/>
            </w:tcBorders>
          </w:tcPr>
          <w:p>
            <w:pPr>
              <w:spacing w:after="0"/>
              <w:rPr>
                <w:sz w:val="6"/>
                <w:szCs w:val="6"/>
                <w:color w:val="auto"/>
              </w:rPr>
            </w:pPr>
          </w:p>
        </w:tc>
        <w:tc>
          <w:tcPr>
            <w:tcW w:w="5620" w:type="dxa"/>
            <w:vAlign w:val="bottom"/>
            <w:tcBorders>
              <w:bottom w:val="single" w:sz="8" w:color="808284"/>
              <w:right w:val="single" w:sz="8" w:color="808284"/>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0</wp:posOffset>
            </wp:positionV>
            <wp:extent cx="7148830" cy="287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830" cy="287020"/>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-436880</wp:posOffset>
            </wp:positionV>
            <wp:extent cx="362585" cy="3625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2585" cy="362585"/>
                    </a:xfrm>
                    <a:prstGeom prst="rect">
                      <a:avLst/>
                    </a:prstGeom>
                    <a:noFill/>
                  </pic:spPr>
                </pic:pic>
              </a:graphicData>
            </a:graphic>
          </wp:anchor>
        </w:drawing>
        <w:drawing>
          <wp:anchor simplePos="0" relativeHeight="251657728" behindDoc="1" locked="0" layoutInCell="0" allowOverlap="1">
            <wp:simplePos x="0" y="0"/>
            <wp:positionH relativeFrom="column">
              <wp:posOffset>4432935</wp:posOffset>
            </wp:positionH>
            <wp:positionV relativeFrom="paragraph">
              <wp:posOffset>-436880</wp:posOffset>
            </wp:positionV>
            <wp:extent cx="362585" cy="3625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2585" cy="362585"/>
                    </a:xfrm>
                    <a:prstGeom prst="rect">
                      <a:avLst/>
                    </a:prstGeom>
                    <a:noFill/>
                  </pic:spPr>
                </pic:pic>
              </a:graphicData>
            </a:graphic>
          </wp:anchor>
        </w:drawing>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FFFFF"/>
        </w:rPr>
        <w:t>WAYS TO VOTE</w:t>
      </w:r>
    </w:p>
    <w:p>
      <w:pPr>
        <w:spacing w:after="0" w:line="110" w:lineRule="exact"/>
        <w:rPr>
          <w:sz w:val="20"/>
          <w:szCs w:val="20"/>
          <w:color w:val="auto"/>
        </w:rPr>
      </w:pPr>
    </w:p>
    <w:tbl>
      <w:tblPr>
        <w:tblLayout w:type="fixed"/>
        <w:tblInd w:w="10" w:type="dxa"/>
        <w:tblCellMar>
          <w:top w:w="0" w:type="dxa"/>
          <w:left w:w="0" w:type="dxa"/>
          <w:bottom w:w="0" w:type="dxa"/>
          <w:right w:w="0" w:type="dxa"/>
        </w:tblCellMar>
      </w:tblPr>
      <w:tr>
        <w:trPr>
          <w:trHeight w:val="300"/>
        </w:trPr>
        <w:tc>
          <w:tcPr>
            <w:tcW w:w="3740" w:type="dxa"/>
            <w:vAlign w:val="bottom"/>
            <w:tcBorders>
              <w:top w:val="single" w:sz="8" w:color="125288"/>
              <w:left w:val="single" w:sz="8" w:color="808284"/>
              <w:right w:val="single" w:sz="8" w:color="808284"/>
            </w:tcBorders>
          </w:tcPr>
          <w:p>
            <w:pPr>
              <w:ind w:left="1260"/>
              <w:spacing w:after="0"/>
              <w:rPr>
                <w:sz w:val="20"/>
                <w:szCs w:val="20"/>
                <w:color w:val="auto"/>
              </w:rPr>
            </w:pPr>
            <w:r>
              <w:rPr>
                <w:rFonts w:ascii="Arial" w:cs="Arial" w:eastAsia="Arial" w:hAnsi="Arial"/>
                <w:sz w:val="17"/>
                <w:szCs w:val="17"/>
                <w:b w:val="1"/>
                <w:bCs w:val="1"/>
                <w:color w:val="125288"/>
              </w:rPr>
              <w:t>BY INTERNET</w:t>
            </w:r>
          </w:p>
        </w:tc>
        <w:tc>
          <w:tcPr>
            <w:tcW w:w="3940" w:type="dxa"/>
            <w:vAlign w:val="bottom"/>
            <w:tcBorders>
              <w:top w:val="single" w:sz="8" w:color="125288"/>
              <w:right w:val="single" w:sz="8" w:color="808284"/>
            </w:tcBorders>
          </w:tcPr>
          <w:p>
            <w:pPr>
              <w:ind w:left="1220"/>
              <w:spacing w:after="0"/>
              <w:rPr>
                <w:sz w:val="20"/>
                <w:szCs w:val="20"/>
                <w:color w:val="auto"/>
              </w:rPr>
            </w:pPr>
            <w:r>
              <w:rPr>
                <w:rFonts w:ascii="Arial" w:cs="Arial" w:eastAsia="Arial" w:hAnsi="Arial"/>
                <w:sz w:val="17"/>
                <w:szCs w:val="17"/>
                <w:b w:val="1"/>
                <w:bCs w:val="1"/>
                <w:color w:val="125288"/>
              </w:rPr>
              <w:t>BY TELEPHONE</w:t>
            </w:r>
          </w:p>
        </w:tc>
        <w:tc>
          <w:tcPr>
            <w:tcW w:w="3600" w:type="dxa"/>
            <w:vAlign w:val="bottom"/>
            <w:tcBorders>
              <w:top w:val="single" w:sz="8" w:color="125288"/>
              <w:right w:val="single" w:sz="8" w:color="808284"/>
            </w:tcBorders>
          </w:tcPr>
          <w:p>
            <w:pPr>
              <w:ind w:left="1220"/>
              <w:spacing w:after="0"/>
              <w:rPr>
                <w:sz w:val="20"/>
                <w:szCs w:val="20"/>
                <w:color w:val="auto"/>
              </w:rPr>
            </w:pPr>
            <w:r>
              <w:rPr>
                <w:rFonts w:ascii="Arial" w:cs="Arial" w:eastAsia="Arial" w:hAnsi="Arial"/>
                <w:sz w:val="17"/>
                <w:szCs w:val="17"/>
                <w:b w:val="1"/>
                <w:bCs w:val="1"/>
                <w:color w:val="125288"/>
              </w:rPr>
              <w:t>BY MAIL</w:t>
            </w:r>
          </w:p>
        </w:tc>
      </w:tr>
      <w:tr>
        <w:trPr>
          <w:trHeight w:val="192"/>
        </w:trPr>
        <w:tc>
          <w:tcPr>
            <w:tcW w:w="3740" w:type="dxa"/>
            <w:vAlign w:val="bottom"/>
            <w:tcBorders>
              <w:left w:val="single" w:sz="8" w:color="808284"/>
              <w:right w:val="single" w:sz="8" w:color="808284"/>
            </w:tcBorders>
          </w:tcPr>
          <w:p>
            <w:pPr>
              <w:ind w:left="1260"/>
              <w:spacing w:after="0" w:line="192" w:lineRule="exact"/>
              <w:rPr>
                <w:sz w:val="20"/>
                <w:szCs w:val="20"/>
                <w:color w:val="auto"/>
              </w:rPr>
            </w:pPr>
            <w:r>
              <w:rPr>
                <w:rFonts w:ascii="Arial" w:cs="Arial" w:eastAsia="Arial" w:hAnsi="Arial"/>
                <w:sz w:val="17"/>
                <w:szCs w:val="17"/>
                <w:color w:val="auto"/>
              </w:rPr>
              <w:t>www.proxyvote.com</w:t>
            </w:r>
          </w:p>
        </w:tc>
        <w:tc>
          <w:tcPr>
            <w:tcW w:w="3940" w:type="dxa"/>
            <w:vAlign w:val="bottom"/>
            <w:tcBorders>
              <w:right w:val="single" w:sz="8" w:color="808284"/>
            </w:tcBorders>
          </w:tcPr>
          <w:p>
            <w:pPr>
              <w:ind w:left="1220"/>
              <w:spacing w:after="0" w:line="192" w:lineRule="exact"/>
              <w:rPr>
                <w:sz w:val="20"/>
                <w:szCs w:val="20"/>
                <w:color w:val="auto"/>
              </w:rPr>
            </w:pPr>
            <w:r>
              <w:rPr>
                <w:rFonts w:ascii="Arial" w:cs="Arial" w:eastAsia="Arial" w:hAnsi="Arial"/>
                <w:sz w:val="17"/>
                <w:szCs w:val="17"/>
                <w:color w:val="auto"/>
              </w:rPr>
              <w:t>Call (800) 690-6903 or the</w:t>
            </w:r>
          </w:p>
        </w:tc>
        <w:tc>
          <w:tcPr>
            <w:tcW w:w="3600" w:type="dxa"/>
            <w:vAlign w:val="bottom"/>
            <w:tcBorders>
              <w:right w:val="single" w:sz="8" w:color="808284"/>
            </w:tcBorders>
          </w:tcPr>
          <w:p>
            <w:pPr>
              <w:ind w:left="1220"/>
              <w:spacing w:after="0" w:line="192" w:lineRule="exact"/>
              <w:rPr>
                <w:sz w:val="20"/>
                <w:szCs w:val="20"/>
                <w:color w:val="auto"/>
              </w:rPr>
            </w:pPr>
            <w:r>
              <w:rPr>
                <w:rFonts w:ascii="Arial" w:cs="Arial" w:eastAsia="Arial" w:hAnsi="Arial"/>
                <w:sz w:val="17"/>
                <w:szCs w:val="17"/>
                <w:color w:val="auto"/>
              </w:rPr>
              <w:t>Sign, date, and return your</w:t>
            </w:r>
          </w:p>
        </w:tc>
      </w:tr>
      <w:tr>
        <w:trPr>
          <w:trHeight w:val="201"/>
        </w:trPr>
        <w:tc>
          <w:tcPr>
            <w:tcW w:w="3740" w:type="dxa"/>
            <w:vAlign w:val="bottom"/>
            <w:tcBorders>
              <w:left w:val="single" w:sz="8" w:color="808284"/>
              <w:right w:val="single" w:sz="8" w:color="808284"/>
            </w:tcBorders>
          </w:tcPr>
          <w:p>
            <w:pPr>
              <w:spacing w:after="0"/>
              <w:rPr>
                <w:sz w:val="17"/>
                <w:szCs w:val="17"/>
                <w:color w:val="auto"/>
              </w:rPr>
            </w:pPr>
          </w:p>
        </w:tc>
        <w:tc>
          <w:tcPr>
            <w:tcW w:w="3940" w:type="dxa"/>
            <w:vAlign w:val="bottom"/>
            <w:tcBorders>
              <w:right w:val="single" w:sz="8" w:color="808284"/>
            </w:tcBorders>
          </w:tcPr>
          <w:p>
            <w:pPr>
              <w:ind w:left="1220"/>
              <w:spacing w:after="0"/>
              <w:rPr>
                <w:sz w:val="20"/>
                <w:szCs w:val="20"/>
                <w:color w:val="auto"/>
              </w:rPr>
            </w:pPr>
            <w:r>
              <w:rPr>
                <w:rFonts w:ascii="Arial" w:cs="Arial" w:eastAsia="Arial" w:hAnsi="Arial"/>
                <w:sz w:val="17"/>
                <w:szCs w:val="17"/>
                <w:color w:val="auto"/>
              </w:rPr>
              <w:t>number on your proxy card.</w:t>
            </w:r>
          </w:p>
        </w:tc>
        <w:tc>
          <w:tcPr>
            <w:tcW w:w="3600" w:type="dxa"/>
            <w:vAlign w:val="bottom"/>
            <w:tcBorders>
              <w:right w:val="single" w:sz="8" w:color="808284"/>
            </w:tcBorders>
          </w:tcPr>
          <w:p>
            <w:pPr>
              <w:ind w:left="1220"/>
              <w:spacing w:after="0"/>
              <w:rPr>
                <w:sz w:val="20"/>
                <w:szCs w:val="20"/>
                <w:color w:val="auto"/>
              </w:rPr>
            </w:pPr>
            <w:r>
              <w:rPr>
                <w:rFonts w:ascii="Arial" w:cs="Arial" w:eastAsia="Arial" w:hAnsi="Arial"/>
                <w:sz w:val="17"/>
                <w:szCs w:val="17"/>
                <w:color w:val="auto"/>
              </w:rPr>
              <w:t>proxy card.</w:t>
            </w:r>
          </w:p>
        </w:tc>
      </w:tr>
      <w:tr>
        <w:trPr>
          <w:trHeight w:val="85"/>
        </w:trPr>
        <w:tc>
          <w:tcPr>
            <w:tcW w:w="3740" w:type="dxa"/>
            <w:vAlign w:val="bottom"/>
            <w:tcBorders>
              <w:left w:val="single" w:sz="8" w:color="808284"/>
              <w:bottom w:val="single" w:sz="8" w:color="808284"/>
              <w:right w:val="single" w:sz="8" w:color="808284"/>
            </w:tcBorders>
          </w:tcPr>
          <w:p>
            <w:pPr>
              <w:spacing w:after="0"/>
              <w:rPr>
                <w:sz w:val="7"/>
                <w:szCs w:val="7"/>
                <w:color w:val="auto"/>
              </w:rPr>
            </w:pPr>
          </w:p>
        </w:tc>
        <w:tc>
          <w:tcPr>
            <w:tcW w:w="3940" w:type="dxa"/>
            <w:vAlign w:val="bottom"/>
            <w:tcBorders>
              <w:bottom w:val="single" w:sz="8" w:color="808284"/>
              <w:right w:val="single" w:sz="8" w:color="808284"/>
            </w:tcBorders>
          </w:tcPr>
          <w:p>
            <w:pPr>
              <w:spacing w:after="0"/>
              <w:rPr>
                <w:sz w:val="7"/>
                <w:szCs w:val="7"/>
                <w:color w:val="auto"/>
              </w:rPr>
            </w:pPr>
          </w:p>
        </w:tc>
        <w:tc>
          <w:tcPr>
            <w:tcW w:w="3600" w:type="dxa"/>
            <w:vAlign w:val="bottom"/>
            <w:tcBorders>
              <w:bottom w:val="single" w:sz="8" w:color="808284"/>
              <w:right w:val="single" w:sz="8" w:color="808284"/>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-436880</wp:posOffset>
            </wp:positionV>
            <wp:extent cx="362585" cy="3625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2585" cy="362585"/>
                    </a:xfrm>
                    <a:prstGeom prst="rect">
                      <a:avLst/>
                    </a:prstGeom>
                    <a:noFill/>
                  </pic:spPr>
                </pic:pic>
              </a:graphicData>
            </a:graphic>
          </wp:anchor>
        </w:drawing>
        <w:drawing>
          <wp:anchor simplePos="0" relativeHeight="251657728" behindDoc="1" locked="0" layoutInCell="0" allowOverlap="1">
            <wp:simplePos x="0" y="0"/>
            <wp:positionH relativeFrom="column">
              <wp:posOffset>2583815</wp:posOffset>
            </wp:positionH>
            <wp:positionV relativeFrom="paragraph">
              <wp:posOffset>-436880</wp:posOffset>
            </wp:positionV>
            <wp:extent cx="362585" cy="3625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2585" cy="36258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-436880</wp:posOffset>
            </wp:positionV>
            <wp:extent cx="362585" cy="3625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2585" cy="36258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34"/>
          <w:szCs w:val="34"/>
          <w:b w:val="1"/>
          <w:bCs w:val="1"/>
          <w:color w:val="auto"/>
        </w:rPr>
        <w:t>NOTICE OF 2022 ANNUAL MEETING OF SHAREHOLDERS</w:t>
      </w:r>
    </w:p>
    <w:p>
      <w:pPr>
        <w:spacing w:after="0" w:line="185" w:lineRule="exact"/>
        <w:rPr>
          <w:sz w:val="20"/>
          <w:szCs w:val="20"/>
          <w:color w:val="auto"/>
        </w:rPr>
      </w:pPr>
    </w:p>
    <w:p>
      <w:pPr>
        <w:jc w:val="both"/>
        <w:ind w:left="20" w:right="20"/>
        <w:spacing w:after="0" w:line="245" w:lineRule="auto"/>
        <w:rPr>
          <w:sz w:val="20"/>
          <w:szCs w:val="20"/>
          <w:color w:val="auto"/>
        </w:rPr>
      </w:pPr>
      <w:r>
        <w:rPr>
          <w:rFonts w:ascii="Arial" w:cs="Arial" w:eastAsia="Arial" w:hAnsi="Arial"/>
          <w:sz w:val="19"/>
          <w:szCs w:val="19"/>
          <w:color w:val="auto"/>
        </w:rPr>
        <w:t>The Annual Meeting of Shareholders of Activision Blizzard, Inc. will be held via live audio webcast, on Tuesday, June 21, 2022, at 9:00 a.m., Pacific Time.</w:t>
      </w:r>
    </w:p>
    <w:p>
      <w:pPr>
        <w:spacing w:after="0" w:line="255" w:lineRule="exact"/>
        <w:rPr>
          <w:sz w:val="20"/>
          <w:szCs w:val="20"/>
          <w:color w:val="auto"/>
        </w:rPr>
      </w:pPr>
    </w:p>
    <w:p>
      <w:pPr>
        <w:jc w:val="both"/>
        <w:ind w:left="20" w:right="20"/>
        <w:spacing w:after="0" w:line="238" w:lineRule="auto"/>
        <w:rPr>
          <w:sz w:val="20"/>
          <w:szCs w:val="20"/>
          <w:color w:val="auto"/>
        </w:rPr>
      </w:pPr>
      <w:r>
        <w:rPr>
          <w:rFonts w:ascii="Arial" w:cs="Arial" w:eastAsia="Arial" w:hAnsi="Arial"/>
          <w:sz w:val="19"/>
          <w:szCs w:val="19"/>
          <w:color w:val="auto"/>
        </w:rPr>
        <w:t>To attend the meeting, visit https://viewproxy.com/ATVI/2022. Certain materials customarily made available at shareholder meetings (including the proxy materials and our shareholder list) will be available during the virtual meeting. Additional details regarding the logistics of the meeting can be found in the accompanying proxy statement, on the Investor Relations section of our website (https://investor.activision.com), and at https://materials.proxyvote.com/00507V.</w:t>
      </w:r>
    </w:p>
    <w:p>
      <w:pPr>
        <w:spacing w:after="0" w:line="263" w:lineRule="exact"/>
        <w:rPr>
          <w:sz w:val="20"/>
          <w:szCs w:val="20"/>
          <w:color w:val="auto"/>
        </w:rPr>
      </w:pPr>
    </w:p>
    <w:p>
      <w:pPr>
        <w:jc w:val="both"/>
        <w:ind w:left="20" w:right="20"/>
        <w:spacing w:after="0" w:line="245" w:lineRule="auto"/>
        <w:rPr>
          <w:sz w:val="20"/>
          <w:szCs w:val="20"/>
          <w:color w:val="auto"/>
        </w:rPr>
      </w:pPr>
      <w:r>
        <w:rPr>
          <w:rFonts w:ascii="Arial" w:cs="Arial" w:eastAsia="Arial" w:hAnsi="Arial"/>
          <w:sz w:val="19"/>
          <w:szCs w:val="19"/>
          <w:color w:val="auto"/>
        </w:rPr>
        <w:t>Our Board of Directors set April 22, 2022, as the record date for determining the shareholders entitled to receive notice of, and to vote at, the Annual Meeting.</w:t>
      </w:r>
    </w:p>
    <w:p>
      <w:pPr>
        <w:spacing w:after="0" w:line="255" w:lineRule="exact"/>
        <w:rPr>
          <w:sz w:val="20"/>
          <w:szCs w:val="20"/>
          <w:color w:val="auto"/>
        </w:rPr>
      </w:pPr>
    </w:p>
    <w:p>
      <w:pPr>
        <w:jc w:val="both"/>
        <w:ind w:left="20" w:right="20"/>
        <w:spacing w:after="0" w:line="245" w:lineRule="auto"/>
        <w:rPr>
          <w:sz w:val="20"/>
          <w:szCs w:val="20"/>
          <w:color w:val="auto"/>
        </w:rPr>
      </w:pPr>
      <w:r>
        <w:rPr>
          <w:rFonts w:ascii="Arial" w:cs="Arial" w:eastAsia="Arial" w:hAnsi="Arial"/>
          <w:sz w:val="19"/>
          <w:szCs w:val="19"/>
          <w:color w:val="auto"/>
        </w:rPr>
        <w:t>We will be mailing a notice regarding the Internet availability of these proxy materials (containing instructions on how to access the proxy materials and vote shares through the Internet) to shareholders on or about April 29, 2022.</w:t>
      </w:r>
    </w:p>
    <w:p>
      <w:pPr>
        <w:spacing w:after="0" w:line="150" w:lineRule="exact"/>
        <w:rPr>
          <w:sz w:val="20"/>
          <w:szCs w:val="20"/>
          <w:color w:val="auto"/>
        </w:rPr>
      </w:pPr>
    </w:p>
    <w:p>
      <w:pPr>
        <w:ind w:left="20"/>
        <w:spacing w:after="0"/>
        <w:tabs>
          <w:tab w:leader="none" w:pos="7380" w:val="left"/>
          <w:tab w:leader="none" w:pos="9400" w:val="left"/>
          <w:tab w:leader="none" w:pos="111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240030</wp:posOffset>
            </wp:positionV>
            <wp:extent cx="714883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80"/>
          </w:cols>
          <w:pgMar w:left="300" w:top="1074" w:right="319" w:bottom="1440" w:gutter="0" w:footer="0" w:header="0"/>
        </w:sectPr>
      </w:pPr>
    </w:p>
    <w:bookmarkStart w:id="5" w:name="page6"/>
    <w:bookmarkEnd w:id="5"/>
    <w:p>
      <w:pPr>
        <w:spacing w:after="0"/>
        <w:rPr>
          <w:sz w:val="20"/>
          <w:szCs w:val="20"/>
          <w:color w:val="auto"/>
        </w:rPr>
      </w:pPr>
      <w:r>
        <w:rPr>
          <w:rFonts w:ascii="Arial" w:cs="Arial" w:eastAsia="Arial" w:hAnsi="Arial"/>
          <w:sz w:val="19"/>
          <w:szCs w:val="19"/>
          <w:color w:val="auto"/>
        </w:rPr>
        <w:t>Shareholders are being asked to vote on the following matters at the 2022 annual meeting of shareholders.</w:t>
      </w:r>
    </w:p>
    <w:p>
      <w:pPr>
        <w:spacing w:after="0" w:line="152" w:lineRule="exact"/>
        <w:rPr>
          <w:sz w:val="20"/>
          <w:szCs w:val="20"/>
          <w:color w:val="auto"/>
        </w:rPr>
      </w:pPr>
    </w:p>
    <w:p>
      <w:pPr>
        <w:jc w:val="center"/>
        <w:ind w:left="9340"/>
        <w:spacing w:after="0"/>
        <w:rPr>
          <w:sz w:val="20"/>
          <w:szCs w:val="20"/>
          <w:color w:val="auto"/>
        </w:rPr>
      </w:pPr>
      <w:r>
        <w:rPr>
          <w:rFonts w:ascii="Arial" w:cs="Arial" w:eastAsia="Arial" w:hAnsi="Arial"/>
          <w:sz w:val="17"/>
          <w:szCs w:val="17"/>
          <w:b w:val="1"/>
          <w:bCs w:val="1"/>
          <w:color w:val="125288"/>
        </w:rPr>
        <w:t>OUR BOARD’S</w:t>
      </w:r>
    </w:p>
    <w:p>
      <w:pPr>
        <w:spacing w:after="0" w:line="30" w:lineRule="exact"/>
        <w:rPr>
          <w:sz w:val="20"/>
          <w:szCs w:val="20"/>
          <w:color w:val="auto"/>
        </w:rPr>
      </w:pPr>
    </w:p>
    <w:p>
      <w:pPr>
        <w:jc w:val="center"/>
        <w:ind w:left="9340"/>
        <w:spacing w:after="0"/>
        <w:rPr>
          <w:sz w:val="20"/>
          <w:szCs w:val="20"/>
          <w:color w:val="auto"/>
        </w:rPr>
      </w:pPr>
      <w:r>
        <w:rPr>
          <w:rFonts w:ascii="Arial" w:cs="Arial" w:eastAsia="Arial" w:hAnsi="Arial"/>
          <w:sz w:val="17"/>
          <w:szCs w:val="17"/>
          <w:b w:val="1"/>
          <w:bCs w:val="1"/>
          <w:color w:val="125288"/>
        </w:rPr>
        <w:t>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7156450" cy="3834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6450" cy="383476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9380" w:type="dxa"/>
            <w:vAlign w:val="bottom"/>
            <w:tcBorders>
              <w:right w:val="single" w:sz="8" w:color="F2F3F3"/>
            </w:tcBorders>
          </w:tcPr>
          <w:p>
            <w:pPr>
              <w:ind w:left="40"/>
              <w:spacing w:after="0"/>
              <w:rPr>
                <w:sz w:val="20"/>
                <w:szCs w:val="20"/>
                <w:color w:val="auto"/>
              </w:rPr>
            </w:pPr>
            <w:r>
              <w:rPr>
                <w:rFonts w:ascii="Arial" w:cs="Arial" w:eastAsia="Arial" w:hAnsi="Arial"/>
                <w:sz w:val="20"/>
                <w:szCs w:val="20"/>
                <w:b w:val="1"/>
                <w:bCs w:val="1"/>
                <w:color w:val="auto"/>
              </w:rPr>
              <w:t>Proposal 1. Election of Directors (page 18)</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9380" w:type="dxa"/>
            <w:vAlign w:val="bottom"/>
            <w:tcBorders>
              <w:right w:val="single" w:sz="8" w:color="F2F3F3"/>
            </w:tcBorders>
          </w:tcPr>
          <w:p>
            <w:pPr>
              <w:ind w:left="40"/>
              <w:spacing w:after="0"/>
              <w:rPr>
                <w:sz w:val="20"/>
                <w:szCs w:val="20"/>
                <w:color w:val="auto"/>
              </w:rPr>
            </w:pPr>
            <w:r>
              <w:rPr>
                <w:rFonts w:ascii="Arial" w:cs="Arial" w:eastAsia="Arial" w:hAnsi="Arial"/>
                <w:sz w:val="20"/>
                <w:szCs w:val="20"/>
                <w:color w:val="auto"/>
              </w:rPr>
              <w:t>Our Board and its Nominating and Corporate Governance Committee believe our ten director nominees</w:t>
            </w:r>
          </w:p>
        </w:tc>
        <w:tc>
          <w:tcPr>
            <w:tcW w:w="1880" w:type="dxa"/>
            <w:vAlign w:val="bottom"/>
            <w:vMerge w:val="restart"/>
          </w:tcPr>
          <w:p>
            <w:pPr>
              <w:ind w:left="720"/>
              <w:spacing w:after="0"/>
              <w:rPr>
                <w:sz w:val="20"/>
                <w:szCs w:val="20"/>
                <w:color w:val="auto"/>
              </w:rPr>
            </w:pPr>
            <w:r>
              <w:rPr>
                <w:rFonts w:ascii="Arial" w:cs="Arial" w:eastAsia="Arial" w:hAnsi="Arial"/>
                <w:sz w:val="19"/>
                <w:szCs w:val="19"/>
                <w:b w:val="1"/>
                <w:bCs w:val="1"/>
                <w:color w:val="61B736"/>
              </w:rPr>
              <w:t>FOR</w:t>
            </w:r>
          </w:p>
        </w:tc>
        <w:tc>
          <w:tcPr>
            <w:tcW w:w="0" w:type="dxa"/>
            <w:vAlign w:val="bottom"/>
          </w:tcPr>
          <w:p>
            <w:pPr>
              <w:spacing w:after="0"/>
              <w:rPr>
                <w:sz w:val="1"/>
                <w:szCs w:val="1"/>
                <w:color w:val="auto"/>
              </w:rPr>
            </w:pPr>
          </w:p>
        </w:tc>
      </w:tr>
      <w:tr>
        <w:trPr>
          <w:trHeight w:val="96"/>
        </w:trPr>
        <w:tc>
          <w:tcPr>
            <w:tcW w:w="9380" w:type="dxa"/>
            <w:vAlign w:val="bottom"/>
            <w:tcBorders>
              <w:right w:val="single" w:sz="8" w:color="F2F3F3"/>
            </w:tcBorders>
            <w:vMerge w:val="restart"/>
          </w:tcPr>
          <w:p>
            <w:pPr>
              <w:ind w:left="40"/>
              <w:spacing w:after="0"/>
              <w:rPr>
                <w:sz w:val="20"/>
                <w:szCs w:val="20"/>
                <w:color w:val="auto"/>
              </w:rPr>
            </w:pPr>
            <w:r>
              <w:rPr>
                <w:rFonts w:ascii="Arial" w:cs="Arial" w:eastAsia="Arial" w:hAnsi="Arial"/>
                <w:sz w:val="20"/>
                <w:szCs w:val="20"/>
                <w:color w:val="auto"/>
              </w:rPr>
              <w:t>are well-qualified to provide oversight of the Company’s business for the benefit of all of the Company’s</w:t>
            </w:r>
          </w:p>
        </w:tc>
        <w:tc>
          <w:tcPr>
            <w:tcW w:w="1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9380" w:type="dxa"/>
            <w:vAlign w:val="bottom"/>
            <w:tcBorders>
              <w:right w:val="single" w:sz="8" w:color="F2F3F3"/>
            </w:tcBorders>
            <w:vMerge w:val="continue"/>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9380" w:type="dxa"/>
            <w:vAlign w:val="bottom"/>
            <w:tcBorders>
              <w:right w:val="single" w:sz="8" w:color="F2F3F3"/>
            </w:tcBorders>
          </w:tcPr>
          <w:p>
            <w:pPr>
              <w:ind w:left="40"/>
              <w:spacing w:after="0"/>
              <w:rPr>
                <w:sz w:val="20"/>
                <w:szCs w:val="20"/>
                <w:color w:val="auto"/>
              </w:rPr>
            </w:pPr>
            <w:r>
              <w:rPr>
                <w:rFonts w:ascii="Arial" w:cs="Arial" w:eastAsia="Arial" w:hAnsi="Arial"/>
                <w:sz w:val="20"/>
                <w:szCs w:val="20"/>
                <w:color w:val="auto"/>
              </w:rPr>
              <w:t>shareholders</w:t>
            </w: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9380" w:type="dxa"/>
            <w:vAlign w:val="bottom"/>
            <w:tcBorders>
              <w:bottom w:val="single" w:sz="8" w:color="125288"/>
              <w:right w:val="single" w:sz="8" w:color="F2F3F3"/>
            </w:tcBorders>
          </w:tcPr>
          <w:p>
            <w:pPr>
              <w:spacing w:after="0"/>
              <w:rPr>
                <w:sz w:val="8"/>
                <w:szCs w:val="8"/>
                <w:color w:val="auto"/>
              </w:rPr>
            </w:pPr>
          </w:p>
        </w:tc>
        <w:tc>
          <w:tcPr>
            <w:tcW w:w="1880" w:type="dxa"/>
            <w:vAlign w:val="bottom"/>
            <w:tcBorders>
              <w:bottom w:val="single" w:sz="8" w:color="125288"/>
            </w:tcBorders>
          </w:tcPr>
          <w:p>
            <w:pPr>
              <w:spacing w:after="0"/>
              <w:rPr>
                <w:sz w:val="8"/>
                <w:szCs w:val="8"/>
                <w:color w:val="auto"/>
              </w:rPr>
            </w:pPr>
          </w:p>
        </w:tc>
        <w:tc>
          <w:tcPr>
            <w:tcW w:w="0" w:type="dxa"/>
            <w:vAlign w:val="bottom"/>
          </w:tcPr>
          <w:p>
            <w:pPr>
              <w:spacing w:after="0"/>
              <w:rPr>
                <w:sz w:val="1"/>
                <w:szCs w:val="1"/>
                <w:color w:val="auto"/>
              </w:rPr>
            </w:pPr>
          </w:p>
        </w:tc>
      </w:tr>
      <w:tr>
        <w:trPr>
          <w:trHeight w:val="310"/>
        </w:trPr>
        <w:tc>
          <w:tcPr>
            <w:tcW w:w="9380" w:type="dxa"/>
            <w:vAlign w:val="bottom"/>
            <w:tcBorders>
              <w:right w:val="single" w:sz="8" w:color="F2F3F3"/>
            </w:tcBorders>
          </w:tcPr>
          <w:p>
            <w:pPr>
              <w:ind w:left="40"/>
              <w:spacing w:after="0"/>
              <w:rPr>
                <w:sz w:val="20"/>
                <w:szCs w:val="20"/>
                <w:color w:val="auto"/>
              </w:rPr>
            </w:pPr>
            <w:r>
              <w:rPr>
                <w:rFonts w:ascii="Arial" w:cs="Arial" w:eastAsia="Arial" w:hAnsi="Arial"/>
                <w:sz w:val="20"/>
                <w:szCs w:val="20"/>
                <w:b w:val="1"/>
                <w:bCs w:val="1"/>
                <w:color w:val="auto"/>
              </w:rPr>
              <w:t>Proposal 2. Advisory vote to approve our executive compensation (page 52)</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9380" w:type="dxa"/>
            <w:vAlign w:val="bottom"/>
            <w:tcBorders>
              <w:right w:val="single" w:sz="8" w:color="F2F3F3"/>
            </w:tcBorders>
          </w:tcPr>
          <w:p>
            <w:pPr>
              <w:ind w:left="40"/>
              <w:spacing w:after="0"/>
              <w:rPr>
                <w:sz w:val="20"/>
                <w:szCs w:val="20"/>
                <w:color w:val="auto"/>
              </w:rPr>
            </w:pPr>
            <w:r>
              <w:rPr>
                <w:rFonts w:ascii="Arial" w:cs="Arial" w:eastAsia="Arial" w:hAnsi="Arial"/>
                <w:sz w:val="20"/>
                <w:szCs w:val="20"/>
                <w:color w:val="auto"/>
              </w:rPr>
              <w:t>Our Board and its Compensation Committee believe our compensation policies and practices enable us</w:t>
            </w:r>
          </w:p>
        </w:tc>
        <w:tc>
          <w:tcPr>
            <w:tcW w:w="1880" w:type="dxa"/>
            <w:vAlign w:val="bottom"/>
            <w:vMerge w:val="restart"/>
          </w:tcPr>
          <w:p>
            <w:pPr>
              <w:ind w:left="720"/>
              <w:spacing w:after="0"/>
              <w:rPr>
                <w:sz w:val="20"/>
                <w:szCs w:val="20"/>
                <w:color w:val="auto"/>
              </w:rPr>
            </w:pPr>
            <w:r>
              <w:rPr>
                <w:rFonts w:ascii="Arial" w:cs="Arial" w:eastAsia="Arial" w:hAnsi="Arial"/>
                <w:sz w:val="19"/>
                <w:szCs w:val="19"/>
                <w:b w:val="1"/>
                <w:bCs w:val="1"/>
                <w:color w:val="61B736"/>
              </w:rPr>
              <w:t>FOR</w:t>
            </w:r>
          </w:p>
        </w:tc>
        <w:tc>
          <w:tcPr>
            <w:tcW w:w="0" w:type="dxa"/>
            <w:vAlign w:val="bottom"/>
          </w:tcPr>
          <w:p>
            <w:pPr>
              <w:spacing w:after="0"/>
              <w:rPr>
                <w:sz w:val="1"/>
                <w:szCs w:val="1"/>
                <w:color w:val="auto"/>
              </w:rPr>
            </w:pPr>
          </w:p>
        </w:tc>
      </w:tr>
      <w:tr>
        <w:trPr>
          <w:trHeight w:val="96"/>
        </w:trPr>
        <w:tc>
          <w:tcPr>
            <w:tcW w:w="9380" w:type="dxa"/>
            <w:vAlign w:val="bottom"/>
            <w:tcBorders>
              <w:right w:val="single" w:sz="8" w:color="F2F3F3"/>
            </w:tcBorders>
            <w:vMerge w:val="restart"/>
          </w:tcPr>
          <w:p>
            <w:pPr>
              <w:ind w:left="40"/>
              <w:spacing w:after="0"/>
              <w:rPr>
                <w:sz w:val="20"/>
                <w:szCs w:val="20"/>
                <w:color w:val="auto"/>
              </w:rPr>
            </w:pPr>
            <w:r>
              <w:rPr>
                <w:rFonts w:ascii="Arial" w:cs="Arial" w:eastAsia="Arial" w:hAnsi="Arial"/>
                <w:sz w:val="20"/>
                <w:szCs w:val="20"/>
                <w:color w:val="auto"/>
              </w:rPr>
              <w:t>to deliver superior returns to our shareholders and to motivate, attract, and retain the key executive</w:t>
            </w:r>
          </w:p>
        </w:tc>
        <w:tc>
          <w:tcPr>
            <w:tcW w:w="1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9380" w:type="dxa"/>
            <w:vAlign w:val="bottom"/>
            <w:tcBorders>
              <w:right w:val="single" w:sz="8" w:color="F2F3F3"/>
            </w:tcBorders>
            <w:vMerge w:val="continue"/>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9380" w:type="dxa"/>
            <w:vAlign w:val="bottom"/>
            <w:tcBorders>
              <w:right w:val="single" w:sz="8" w:color="F2F3F3"/>
            </w:tcBorders>
          </w:tcPr>
          <w:p>
            <w:pPr>
              <w:ind w:left="40"/>
              <w:spacing w:after="0"/>
              <w:rPr>
                <w:sz w:val="20"/>
                <w:szCs w:val="20"/>
                <w:color w:val="auto"/>
              </w:rPr>
            </w:pPr>
            <w:r>
              <w:rPr>
                <w:rFonts w:ascii="Arial" w:cs="Arial" w:eastAsia="Arial" w:hAnsi="Arial"/>
                <w:sz w:val="20"/>
                <w:szCs w:val="20"/>
                <w:color w:val="auto"/>
              </w:rPr>
              <w:t>talent necessary for our long-term success</w:t>
            </w: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9380" w:type="dxa"/>
            <w:vAlign w:val="bottom"/>
            <w:tcBorders>
              <w:right w:val="single" w:sz="8" w:color="F2F3F3"/>
            </w:tcBorders>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9380" w:type="dxa"/>
            <w:vAlign w:val="bottom"/>
            <w:tcBorders>
              <w:right w:val="single" w:sz="8" w:color="F2F3F3"/>
            </w:tcBorders>
          </w:tcPr>
          <w:p>
            <w:pPr>
              <w:ind w:left="40"/>
              <w:spacing w:after="0"/>
              <w:rPr>
                <w:sz w:val="20"/>
                <w:szCs w:val="20"/>
                <w:color w:val="auto"/>
              </w:rPr>
            </w:pPr>
            <w:r>
              <w:rPr>
                <w:rFonts w:ascii="Arial" w:cs="Arial" w:eastAsia="Arial" w:hAnsi="Arial"/>
                <w:sz w:val="20"/>
                <w:szCs w:val="20"/>
                <w:b w:val="1"/>
                <w:bCs w:val="1"/>
                <w:color w:val="auto"/>
              </w:rPr>
              <w:t>Proposal 3. Ratification of the appointment of PricewaterhouseCoopers LLP as the Company’s</w:t>
            </w:r>
          </w:p>
        </w:tc>
        <w:tc>
          <w:tcPr>
            <w:tcW w:w="1880" w:type="dxa"/>
            <w:vAlign w:val="bottom"/>
          </w:tcPr>
          <w:p>
            <w:pPr>
              <w:jc w:val="center"/>
              <w:spacing w:after="0"/>
              <w:rPr>
                <w:sz w:val="20"/>
                <w:szCs w:val="20"/>
                <w:color w:val="auto"/>
              </w:rPr>
            </w:pPr>
            <w:r>
              <w:rPr>
                <w:rFonts w:ascii="Arial" w:cs="Arial" w:eastAsia="Arial" w:hAnsi="Arial"/>
                <w:sz w:val="19"/>
                <w:szCs w:val="19"/>
                <w:b w:val="1"/>
                <w:bCs w:val="1"/>
                <w:color w:val="61B736"/>
                <w:w w:val="99"/>
              </w:rPr>
              <w:t>FOR</w:t>
            </w:r>
          </w:p>
        </w:tc>
        <w:tc>
          <w:tcPr>
            <w:tcW w:w="0" w:type="dxa"/>
            <w:vAlign w:val="bottom"/>
          </w:tcPr>
          <w:p>
            <w:pPr>
              <w:spacing w:after="0"/>
              <w:rPr>
                <w:sz w:val="1"/>
                <w:szCs w:val="1"/>
                <w:color w:val="auto"/>
              </w:rPr>
            </w:pPr>
          </w:p>
        </w:tc>
      </w:tr>
      <w:tr>
        <w:trPr>
          <w:trHeight w:val="267"/>
        </w:trPr>
        <w:tc>
          <w:tcPr>
            <w:tcW w:w="9380" w:type="dxa"/>
            <w:vAlign w:val="bottom"/>
            <w:tcBorders>
              <w:right w:val="single" w:sz="8" w:color="F2F3F3"/>
            </w:tcBorders>
          </w:tcPr>
          <w:p>
            <w:pPr>
              <w:ind w:left="40"/>
              <w:spacing w:after="0"/>
              <w:rPr>
                <w:sz w:val="20"/>
                <w:szCs w:val="20"/>
                <w:color w:val="auto"/>
              </w:rPr>
            </w:pPr>
            <w:r>
              <w:rPr>
                <w:rFonts w:ascii="Arial" w:cs="Arial" w:eastAsia="Arial" w:hAnsi="Arial"/>
                <w:sz w:val="20"/>
                <w:szCs w:val="20"/>
                <w:b w:val="1"/>
                <w:bCs w:val="1"/>
                <w:color w:val="auto"/>
              </w:rPr>
              <w:t>independent registered public accounting firm (page 132)</w:t>
            </w: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9380" w:type="dxa"/>
            <w:vAlign w:val="bottom"/>
            <w:tcBorders>
              <w:right w:val="single" w:sz="8" w:color="F2F3F3"/>
            </w:tcBorders>
          </w:tcPr>
          <w:p>
            <w:pPr>
              <w:ind w:left="40"/>
              <w:spacing w:after="0"/>
              <w:rPr>
                <w:sz w:val="20"/>
                <w:szCs w:val="20"/>
                <w:color w:val="auto"/>
              </w:rPr>
            </w:pPr>
            <w:r>
              <w:rPr>
                <w:rFonts w:ascii="Arial" w:cs="Arial" w:eastAsia="Arial" w:hAnsi="Arial"/>
                <w:sz w:val="20"/>
                <w:szCs w:val="20"/>
                <w:color w:val="auto"/>
              </w:rPr>
              <w:t>Our Board and its Audit Committee believe that continuing to retain PricewaterhouseCoopers LLP as</w:t>
            </w: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9380" w:type="dxa"/>
            <w:vAlign w:val="bottom"/>
            <w:tcBorders>
              <w:right w:val="single" w:sz="8" w:color="F2F3F3"/>
            </w:tcBorders>
          </w:tcPr>
          <w:p>
            <w:pPr>
              <w:ind w:left="40"/>
              <w:spacing w:after="0"/>
              <w:rPr>
                <w:sz w:val="20"/>
                <w:szCs w:val="20"/>
                <w:color w:val="auto"/>
              </w:rPr>
            </w:pPr>
            <w:r>
              <w:rPr>
                <w:rFonts w:ascii="Arial" w:cs="Arial" w:eastAsia="Arial" w:hAnsi="Arial"/>
                <w:sz w:val="20"/>
                <w:szCs w:val="20"/>
                <w:color w:val="auto"/>
              </w:rPr>
              <w:t>the Company’s independent registered public accounting firm is in the best interests of the Company</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380" w:type="dxa"/>
            <w:vAlign w:val="bottom"/>
            <w:tcBorders>
              <w:right w:val="single" w:sz="8" w:color="F2F3F3"/>
            </w:tcBorders>
          </w:tcPr>
          <w:p>
            <w:pPr>
              <w:ind w:left="40"/>
              <w:spacing w:after="0"/>
              <w:rPr>
                <w:sz w:val="20"/>
                <w:szCs w:val="20"/>
                <w:color w:val="auto"/>
              </w:rPr>
            </w:pPr>
            <w:r>
              <w:rPr>
                <w:rFonts w:ascii="Arial" w:cs="Arial" w:eastAsia="Arial" w:hAnsi="Arial"/>
                <w:sz w:val="20"/>
                <w:szCs w:val="20"/>
                <w:color w:val="auto"/>
              </w:rPr>
              <w:t>and our shareholders</w:t>
            </w: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9380" w:type="dxa"/>
            <w:vAlign w:val="bottom"/>
            <w:tcBorders>
              <w:bottom w:val="single" w:sz="8" w:color="125288"/>
              <w:right w:val="single" w:sz="8" w:color="F2F3F3"/>
            </w:tcBorders>
          </w:tcPr>
          <w:p>
            <w:pPr>
              <w:spacing w:after="0"/>
              <w:rPr>
                <w:sz w:val="8"/>
                <w:szCs w:val="8"/>
                <w:color w:val="auto"/>
              </w:rPr>
            </w:pPr>
          </w:p>
        </w:tc>
        <w:tc>
          <w:tcPr>
            <w:tcW w:w="1880" w:type="dxa"/>
            <w:vAlign w:val="bottom"/>
            <w:tcBorders>
              <w:bottom w:val="single" w:sz="8" w:color="125288"/>
            </w:tcBorders>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9380" w:type="dxa"/>
            <w:vAlign w:val="bottom"/>
            <w:tcBorders>
              <w:right w:val="single" w:sz="8" w:color="F2F3F3"/>
            </w:tcBorders>
          </w:tcPr>
          <w:p>
            <w:pPr>
              <w:ind w:left="40"/>
              <w:spacing w:after="0"/>
              <w:rPr>
                <w:sz w:val="20"/>
                <w:szCs w:val="20"/>
                <w:color w:val="auto"/>
              </w:rPr>
            </w:pPr>
            <w:r>
              <w:rPr>
                <w:rFonts w:ascii="Arial" w:cs="Arial" w:eastAsia="Arial" w:hAnsi="Arial"/>
                <w:sz w:val="20"/>
                <w:szCs w:val="20"/>
                <w:b w:val="1"/>
                <w:bCs w:val="1"/>
                <w:color w:val="auto"/>
              </w:rPr>
              <w:t>Proposal 4. Shareholder proposal regarding the nomination of an employee representative</w:t>
            </w:r>
          </w:p>
        </w:tc>
        <w:tc>
          <w:tcPr>
            <w:tcW w:w="1880" w:type="dxa"/>
            <w:vAlign w:val="bottom"/>
          </w:tcPr>
          <w:p>
            <w:pPr>
              <w:jc w:val="center"/>
              <w:spacing w:after="0"/>
              <w:rPr>
                <w:sz w:val="20"/>
                <w:szCs w:val="20"/>
                <w:color w:val="auto"/>
              </w:rPr>
            </w:pPr>
            <w:r>
              <w:rPr>
                <w:rFonts w:ascii="Arial" w:cs="Arial" w:eastAsia="Arial" w:hAnsi="Arial"/>
                <w:sz w:val="19"/>
                <w:szCs w:val="19"/>
                <w:b w:val="1"/>
                <w:bCs w:val="1"/>
                <w:color w:val="FF0000"/>
              </w:rPr>
              <w:t>AGAINST</w:t>
            </w:r>
          </w:p>
        </w:tc>
        <w:tc>
          <w:tcPr>
            <w:tcW w:w="0" w:type="dxa"/>
            <w:vAlign w:val="bottom"/>
          </w:tcPr>
          <w:p>
            <w:pPr>
              <w:spacing w:after="0"/>
              <w:rPr>
                <w:sz w:val="1"/>
                <w:szCs w:val="1"/>
                <w:color w:val="auto"/>
              </w:rPr>
            </w:pPr>
          </w:p>
        </w:tc>
      </w:tr>
      <w:tr>
        <w:trPr>
          <w:trHeight w:val="267"/>
        </w:trPr>
        <w:tc>
          <w:tcPr>
            <w:tcW w:w="9380" w:type="dxa"/>
            <w:vAlign w:val="bottom"/>
            <w:tcBorders>
              <w:right w:val="single" w:sz="8" w:color="F2F3F3"/>
            </w:tcBorders>
          </w:tcPr>
          <w:p>
            <w:pPr>
              <w:ind w:left="40"/>
              <w:spacing w:after="0"/>
              <w:rPr>
                <w:sz w:val="20"/>
                <w:szCs w:val="20"/>
                <w:color w:val="auto"/>
              </w:rPr>
            </w:pPr>
            <w:r>
              <w:rPr>
                <w:rFonts w:ascii="Arial" w:cs="Arial" w:eastAsia="Arial" w:hAnsi="Arial"/>
                <w:sz w:val="20"/>
                <w:szCs w:val="20"/>
                <w:b w:val="1"/>
                <w:bCs w:val="1"/>
                <w:color w:val="auto"/>
              </w:rPr>
              <w:t>director (page 134)</w:t>
            </w: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9380" w:type="dxa"/>
            <w:vAlign w:val="bottom"/>
            <w:tcBorders>
              <w:right w:val="single" w:sz="8" w:color="F2F3F3"/>
            </w:tcBorders>
          </w:tcPr>
          <w:p>
            <w:pPr>
              <w:ind w:left="40"/>
              <w:spacing w:after="0"/>
              <w:rPr>
                <w:sz w:val="20"/>
                <w:szCs w:val="20"/>
                <w:color w:val="auto"/>
              </w:rPr>
            </w:pPr>
            <w:r>
              <w:rPr>
                <w:rFonts w:ascii="Arial" w:cs="Arial" w:eastAsia="Arial" w:hAnsi="Arial"/>
                <w:sz w:val="20"/>
                <w:szCs w:val="20"/>
                <w:color w:val="auto"/>
              </w:rPr>
              <w:t>Our Board unanimously recommends that you vote AGAINST the shareholder proposal regarding the</w:t>
            </w: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380" w:type="dxa"/>
            <w:vAlign w:val="bottom"/>
            <w:tcBorders>
              <w:right w:val="single" w:sz="8" w:color="F2F3F3"/>
            </w:tcBorders>
          </w:tcPr>
          <w:p>
            <w:pPr>
              <w:ind w:left="40"/>
              <w:spacing w:after="0"/>
              <w:rPr>
                <w:sz w:val="20"/>
                <w:szCs w:val="20"/>
                <w:color w:val="auto"/>
              </w:rPr>
            </w:pPr>
            <w:r>
              <w:rPr>
                <w:rFonts w:ascii="Arial" w:cs="Arial" w:eastAsia="Arial" w:hAnsi="Arial"/>
                <w:sz w:val="20"/>
                <w:szCs w:val="20"/>
                <w:color w:val="auto"/>
              </w:rPr>
              <w:t>nomination of an employee representative director</w:t>
            </w: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9380" w:type="dxa"/>
            <w:vAlign w:val="bottom"/>
            <w:tcBorders>
              <w:bottom w:val="single" w:sz="8" w:color="125288"/>
              <w:right w:val="single" w:sz="8" w:color="F2F3F3"/>
            </w:tcBorders>
          </w:tcPr>
          <w:p>
            <w:pPr>
              <w:spacing w:after="0"/>
              <w:rPr>
                <w:sz w:val="8"/>
                <w:szCs w:val="8"/>
                <w:color w:val="auto"/>
              </w:rPr>
            </w:pPr>
          </w:p>
        </w:tc>
        <w:tc>
          <w:tcPr>
            <w:tcW w:w="1880" w:type="dxa"/>
            <w:vAlign w:val="bottom"/>
            <w:tcBorders>
              <w:bottom w:val="single" w:sz="8" w:color="125288"/>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9380" w:type="dxa"/>
            <w:vAlign w:val="bottom"/>
            <w:tcBorders>
              <w:right w:val="single" w:sz="8" w:color="F2F3F3"/>
            </w:tcBorders>
          </w:tcPr>
          <w:p>
            <w:pPr>
              <w:ind w:left="40"/>
              <w:spacing w:after="0"/>
              <w:rPr>
                <w:sz w:val="20"/>
                <w:szCs w:val="20"/>
                <w:color w:val="auto"/>
              </w:rPr>
            </w:pPr>
            <w:r>
              <w:rPr>
                <w:rFonts w:ascii="Arial" w:cs="Arial" w:eastAsia="Arial" w:hAnsi="Arial"/>
                <w:sz w:val="20"/>
                <w:szCs w:val="20"/>
                <w:b w:val="1"/>
                <w:bCs w:val="1"/>
                <w:color w:val="auto"/>
              </w:rPr>
              <w:t>Proposal 5. Shareholder proposal regarding the preparation of a report about the Company’s</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9380" w:type="dxa"/>
            <w:vAlign w:val="bottom"/>
            <w:tcBorders>
              <w:right w:val="single" w:sz="8" w:color="F2F3F3"/>
            </w:tcBorders>
          </w:tcPr>
          <w:p>
            <w:pPr>
              <w:ind w:left="40"/>
              <w:spacing w:after="0"/>
              <w:rPr>
                <w:sz w:val="20"/>
                <w:szCs w:val="20"/>
                <w:color w:val="auto"/>
              </w:rPr>
            </w:pPr>
            <w:r>
              <w:rPr>
                <w:rFonts w:ascii="Arial" w:cs="Arial" w:eastAsia="Arial" w:hAnsi="Arial"/>
                <w:sz w:val="20"/>
                <w:szCs w:val="20"/>
                <w:b w:val="1"/>
                <w:bCs w:val="1"/>
                <w:color w:val="auto"/>
              </w:rPr>
              <w:t>efforts to prevent abuse, harassment, and discrimination (page 137)</w:t>
            </w:r>
          </w:p>
        </w:tc>
        <w:tc>
          <w:tcPr>
            <w:tcW w:w="1880" w:type="dxa"/>
            <w:vAlign w:val="bottom"/>
            <w:vMerge w:val="restart"/>
          </w:tcPr>
          <w:p>
            <w:pPr>
              <w:jc w:val="center"/>
              <w:spacing w:after="0"/>
              <w:rPr>
                <w:sz w:val="20"/>
                <w:szCs w:val="20"/>
                <w:color w:val="auto"/>
              </w:rPr>
            </w:pPr>
            <w:r>
              <w:rPr>
                <w:rFonts w:ascii="Arial" w:cs="Arial" w:eastAsia="Arial" w:hAnsi="Arial"/>
                <w:sz w:val="19"/>
                <w:szCs w:val="19"/>
                <w:b w:val="1"/>
                <w:bCs w:val="1"/>
                <w:color w:val="FF0000"/>
              </w:rPr>
              <w:t>AGAINST</w:t>
            </w:r>
          </w:p>
        </w:tc>
        <w:tc>
          <w:tcPr>
            <w:tcW w:w="0" w:type="dxa"/>
            <w:vAlign w:val="bottom"/>
          </w:tcPr>
          <w:p>
            <w:pPr>
              <w:spacing w:after="0"/>
              <w:rPr>
                <w:sz w:val="1"/>
                <w:szCs w:val="1"/>
                <w:color w:val="auto"/>
              </w:rPr>
            </w:pPr>
          </w:p>
        </w:tc>
      </w:tr>
      <w:tr>
        <w:trPr>
          <w:trHeight w:val="127"/>
        </w:trPr>
        <w:tc>
          <w:tcPr>
            <w:tcW w:w="9380" w:type="dxa"/>
            <w:vAlign w:val="bottom"/>
            <w:tcBorders>
              <w:right w:val="single" w:sz="8" w:color="F2F3F3"/>
            </w:tcBorders>
            <w:vMerge w:val="restart"/>
          </w:tcPr>
          <w:p>
            <w:pPr>
              <w:ind w:left="40"/>
              <w:spacing w:after="0"/>
              <w:rPr>
                <w:sz w:val="20"/>
                <w:szCs w:val="20"/>
                <w:color w:val="auto"/>
              </w:rPr>
            </w:pPr>
            <w:r>
              <w:rPr>
                <w:rFonts w:ascii="Arial" w:cs="Arial" w:eastAsia="Arial" w:hAnsi="Arial"/>
                <w:sz w:val="20"/>
                <w:szCs w:val="20"/>
                <w:color w:val="auto"/>
              </w:rPr>
              <w:t>Our Board unanimously recommends that you vote AGAINST the shareholder proposal regarding the</w:t>
            </w:r>
          </w:p>
        </w:tc>
        <w:tc>
          <w:tcPr>
            <w:tcW w:w="1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9380" w:type="dxa"/>
            <w:vAlign w:val="bottom"/>
            <w:tcBorders>
              <w:right w:val="single" w:sz="8" w:color="F2F3F3"/>
            </w:tcBorders>
            <w:vMerge w:val="continue"/>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9380" w:type="dxa"/>
            <w:vAlign w:val="bottom"/>
            <w:tcBorders>
              <w:right w:val="single" w:sz="8" w:color="F2F3F3"/>
            </w:tcBorders>
          </w:tcPr>
          <w:p>
            <w:pPr>
              <w:ind w:left="40"/>
              <w:spacing w:after="0"/>
              <w:rPr>
                <w:sz w:val="20"/>
                <w:szCs w:val="20"/>
                <w:color w:val="auto"/>
              </w:rPr>
            </w:pPr>
            <w:r>
              <w:rPr>
                <w:rFonts w:ascii="Arial" w:cs="Arial" w:eastAsia="Arial" w:hAnsi="Arial"/>
                <w:sz w:val="20"/>
                <w:szCs w:val="20"/>
                <w:color w:val="auto"/>
              </w:rPr>
              <w:t>preparation of a report about the Company’s efforts to prevent abuse, harassment, and discrimination</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9380" w:type="dxa"/>
            <w:vAlign w:val="bottom"/>
            <w:tcBorders>
              <w:right w:val="single" w:sz="8" w:color="125288"/>
            </w:tcBorders>
            <w:shd w:val="clear" w:color="auto" w:fill="125288"/>
          </w:tcPr>
          <w:p>
            <w:pPr>
              <w:spacing w:after="0"/>
              <w:rPr>
                <w:sz w:val="2"/>
                <w:szCs w:val="2"/>
                <w:color w:val="auto"/>
              </w:rPr>
            </w:pPr>
          </w:p>
        </w:tc>
        <w:tc>
          <w:tcPr>
            <w:tcW w:w="1880" w:type="dxa"/>
            <w:vAlign w:val="bottom"/>
            <w:shd w:val="clear" w:color="auto" w:fill="12528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40" w:right="120"/>
        <w:spacing w:after="0" w:line="254" w:lineRule="auto"/>
        <w:rPr>
          <w:sz w:val="20"/>
          <w:szCs w:val="20"/>
          <w:color w:val="auto"/>
        </w:rPr>
      </w:pPr>
      <w:r>
        <w:rPr>
          <w:rFonts w:ascii="Arial" w:cs="Arial" w:eastAsia="Arial" w:hAnsi="Arial"/>
          <w:sz w:val="20"/>
          <w:szCs w:val="20"/>
          <w:color w:val="auto"/>
        </w:rPr>
        <w:t>Your vote is important. Even if you plan to attend the virtual meeting, I urge you to promptly submit a proxy to vote your shares by following the instructions on page 147 of the enclosed proxy statement. If you attend the meeting and wish to vote in person, you may withdraw your proxy at that time.</w:t>
      </w:r>
    </w:p>
    <w:p>
      <w:pPr>
        <w:spacing w:after="0" w:line="292" w:lineRule="exact"/>
        <w:rPr>
          <w:sz w:val="20"/>
          <w:szCs w:val="20"/>
          <w:color w:val="auto"/>
        </w:rPr>
      </w:pPr>
    </w:p>
    <w:p>
      <w:pPr>
        <w:ind w:left="8200"/>
        <w:spacing w:after="0"/>
        <w:rPr>
          <w:sz w:val="20"/>
          <w:szCs w:val="20"/>
          <w:color w:val="auto"/>
        </w:rPr>
      </w:pPr>
      <w:r>
        <w:rPr>
          <w:rFonts w:ascii="Arial" w:cs="Arial" w:eastAsia="Arial" w:hAnsi="Arial"/>
          <w:sz w:val="20"/>
          <w:szCs w:val="20"/>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5545455</wp:posOffset>
            </wp:positionH>
            <wp:positionV relativeFrom="paragraph">
              <wp:posOffset>67945</wp:posOffset>
            </wp:positionV>
            <wp:extent cx="1600200" cy="3625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00200" cy="362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ind w:right="60"/>
        <w:spacing w:after="0"/>
        <w:rPr>
          <w:sz w:val="20"/>
          <w:szCs w:val="20"/>
          <w:color w:val="auto"/>
        </w:rPr>
      </w:pPr>
      <w:r>
        <w:rPr>
          <w:rFonts w:ascii="Arial" w:cs="Arial" w:eastAsia="Arial" w:hAnsi="Arial"/>
          <w:sz w:val="19"/>
          <w:szCs w:val="19"/>
          <w:b w:val="1"/>
          <w:bCs w:val="1"/>
          <w:color w:val="auto"/>
        </w:rPr>
        <w:t>Frances Fragos Townsend</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9"/>
          <w:szCs w:val="19"/>
          <w:i w:val="1"/>
          <w:iCs w:val="1"/>
          <w:color w:val="auto"/>
        </w:rPr>
        <w:t>Corporate Secretary</w:t>
      </w:r>
    </w:p>
    <w:p>
      <w:pPr>
        <w:jc w:val="right"/>
        <w:spacing w:after="0"/>
        <w:rPr>
          <w:sz w:val="20"/>
          <w:szCs w:val="20"/>
          <w:color w:val="auto"/>
        </w:rPr>
      </w:pPr>
      <w:r>
        <w:rPr>
          <w:rFonts w:ascii="Arial" w:cs="Arial" w:eastAsia="Arial" w:hAnsi="Arial"/>
          <w:sz w:val="19"/>
          <w:szCs w:val="19"/>
          <w:color w:val="auto"/>
        </w:rPr>
        <w:t>April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53910" cy="5791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910" cy="579120"/>
                    </a:xfrm>
                    <a:prstGeom prst="rect">
                      <a:avLst/>
                    </a:prstGeom>
                    <a:noFill/>
                  </pic:spPr>
                </pic:pic>
              </a:graphicData>
            </a:graphic>
          </wp:anchor>
        </w:drawing>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Important Notice Regarding the Availability of Proxy Materials for the Shareholder Meeting to be Held on Tuesday,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June 21, 2022.</w:t>
      </w:r>
    </w:p>
    <w:p>
      <w:pPr>
        <w:jc w:val="center"/>
        <w:spacing w:after="0" w:line="233" w:lineRule="auto"/>
        <w:rPr>
          <w:sz w:val="20"/>
          <w:szCs w:val="20"/>
          <w:color w:val="auto"/>
        </w:rPr>
      </w:pPr>
      <w:r>
        <w:rPr>
          <w:rFonts w:ascii="Arial" w:cs="Arial" w:eastAsia="Arial" w:hAnsi="Arial"/>
          <w:sz w:val="17"/>
          <w:szCs w:val="17"/>
          <w:b w:val="1"/>
          <w:bCs w:val="1"/>
          <w:color w:val="auto"/>
        </w:rPr>
        <w:t>The proxy statement and our 2021 annual report to shareholders are both available at:</w:t>
      </w:r>
    </w:p>
    <w:p>
      <w:pPr>
        <w:jc w:val="center"/>
        <w:spacing w:after="0"/>
        <w:rPr>
          <w:sz w:val="20"/>
          <w:szCs w:val="20"/>
          <w:color w:val="auto"/>
        </w:rPr>
      </w:pPr>
      <w:r>
        <w:rPr>
          <w:rFonts w:ascii="Arial" w:cs="Arial" w:eastAsia="Arial" w:hAnsi="Arial"/>
          <w:sz w:val="17"/>
          <w:szCs w:val="17"/>
          <w:color w:val="125288"/>
        </w:rPr>
        <w:t>https://materials.proxyvote.com/00507V</w:t>
      </w:r>
    </w:p>
    <w:p>
      <w:pPr>
        <w:spacing w:after="0" w:line="284" w:lineRule="exact"/>
        <w:rPr>
          <w:sz w:val="20"/>
          <w:szCs w:val="20"/>
          <w:color w:val="auto"/>
        </w:rPr>
      </w:pPr>
    </w:p>
    <w:p>
      <w:pPr>
        <w:spacing w:after="0"/>
        <w:tabs>
          <w:tab w:leader="none" w:pos="7360" w:val="left"/>
          <w:tab w:leader="none" w:pos="9380" w:val="left"/>
          <w:tab w:leader="none" w:pos="1116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240030</wp:posOffset>
            </wp:positionV>
            <wp:extent cx="714883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490" w:right="319" w:bottom="1440" w:gutter="0" w:footer="0" w:header="0"/>
        </w:sectPr>
      </w:pPr>
    </w:p>
    <w:bookmarkStart w:id="6" w:name="page7"/>
    <w:bookmarkEnd w:id="6"/>
    <w:p>
      <w:pPr>
        <w:spacing w:after="0"/>
        <w:rPr>
          <w:sz w:val="20"/>
          <w:szCs w:val="20"/>
          <w:color w:val="auto"/>
        </w:rPr>
      </w:pPr>
      <w:r>
        <w:rPr>
          <w:sz w:val="1"/>
          <w:szCs w:val="1"/>
          <w:color w:val="auto"/>
        </w:rPr>
        <w:drawing>
          <wp:inline distT="0" distB="0" distL="0" distR="0">
            <wp:extent cx="445135" cy="15113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45135" cy="151130"/>
                    </a:xfrm>
                    <a:prstGeom prst="rect">
                      <a:avLst/>
                    </a:prstGeom>
                    <a:noFill/>
                    <a:ln>
                      <a:noFill/>
                    </a:ln>
                  </pic:spPr>
                </pic:pic>
              </a:graphicData>
            </a:graphic>
          </wp:inline>
        </w:drawing>
      </w:r>
      <w:r>
        <w:rPr>
          <w:rFonts w:ascii="Arial" w:cs="Arial" w:eastAsia="Arial" w:hAnsi="Arial"/>
          <w:sz w:val="31"/>
          <w:szCs w:val="31"/>
          <w:b w:val="1"/>
          <w:bCs w:val="1"/>
          <w:color w:val="125288"/>
        </w:rPr>
        <w:t xml:space="preserve"> TABLE OF CONTENTS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5380" w:type="dxa"/>
            <w:vAlign w:val="bottom"/>
          </w:tcPr>
          <w:p>
            <w:pPr>
              <w:spacing w:after="0"/>
              <w:rPr>
                <w:rFonts w:ascii="Arial" w:cs="Arial" w:eastAsia="Arial" w:hAnsi="Arial"/>
                <w:sz w:val="21"/>
                <w:szCs w:val="21"/>
                <w:color w:val="auto"/>
              </w:rPr>
            </w:pPr>
            <w:hyperlink w:anchor="page9">
              <w:r>
                <w:rPr>
                  <w:rFonts w:ascii="Arial" w:cs="Arial" w:eastAsia="Arial" w:hAnsi="Arial"/>
                  <w:sz w:val="21"/>
                  <w:szCs w:val="21"/>
                  <w:color w:val="auto"/>
                </w:rPr>
                <w:t>Proxy Summary</w:t>
              </w:r>
            </w:hyperlink>
          </w:p>
        </w:tc>
        <w:tc>
          <w:tcPr>
            <w:tcW w:w="5880" w:type="dxa"/>
            <w:vAlign w:val="bottom"/>
          </w:tcPr>
          <w:p>
            <w:pPr>
              <w:jc w:val="right"/>
              <w:ind w:right="5315"/>
              <w:spacing w:after="0"/>
              <w:rPr>
                <w:rFonts w:ascii="Arial" w:cs="Arial" w:eastAsia="Arial" w:hAnsi="Arial"/>
                <w:sz w:val="21"/>
                <w:szCs w:val="21"/>
                <w:b w:val="1"/>
                <w:bCs w:val="1"/>
                <w:color w:val="125288"/>
              </w:rPr>
            </w:pPr>
            <w:hyperlink w:anchor="page9">
              <w:r>
                <w:rPr>
                  <w:rFonts w:ascii="Arial" w:cs="Arial" w:eastAsia="Arial" w:hAnsi="Arial"/>
                  <w:sz w:val="21"/>
                  <w:szCs w:val="21"/>
                  <w:b w:val="1"/>
                  <w:bCs w:val="1"/>
                  <w:color w:val="125288"/>
                </w:rPr>
                <w:t>7</w:t>
              </w:r>
            </w:hyperlink>
          </w:p>
        </w:tc>
        <w:tc>
          <w:tcPr>
            <w:tcW w:w="0" w:type="dxa"/>
            <w:vAlign w:val="bottom"/>
          </w:tcPr>
          <w:p>
            <w:pPr>
              <w:spacing w:after="0"/>
              <w:rPr>
                <w:sz w:val="1"/>
                <w:szCs w:val="1"/>
                <w:color w:val="auto"/>
              </w:rPr>
            </w:pPr>
          </w:p>
        </w:tc>
      </w:tr>
      <w:tr>
        <w:trPr>
          <w:trHeight w:val="333"/>
        </w:trPr>
        <w:tc>
          <w:tcPr>
            <w:tcW w:w="5380" w:type="dxa"/>
            <w:vAlign w:val="bottom"/>
          </w:tcPr>
          <w:p>
            <w:pPr>
              <w:spacing w:after="0"/>
              <w:rPr>
                <w:rFonts w:ascii="Arial" w:cs="Arial" w:eastAsia="Arial" w:hAnsi="Arial"/>
                <w:sz w:val="21"/>
                <w:szCs w:val="21"/>
                <w:b w:val="1"/>
                <w:bCs w:val="1"/>
                <w:color w:val="auto"/>
              </w:rPr>
            </w:pPr>
            <w:hyperlink w:anchor="page21">
              <w:r>
                <w:rPr>
                  <w:rFonts w:ascii="Arial" w:cs="Arial" w:eastAsia="Arial" w:hAnsi="Arial"/>
                  <w:sz w:val="21"/>
                  <w:szCs w:val="21"/>
                  <w:b w:val="1"/>
                  <w:bCs w:val="1"/>
                  <w:color w:val="auto"/>
                </w:rPr>
                <w:t xml:space="preserve">Proposal 1 </w:t>
              </w:r>
              <w:r>
                <w:rPr>
                  <w:rFonts w:ascii="Arial" w:cs="Arial" w:eastAsia="Arial" w:hAnsi="Arial"/>
                  <w:sz w:val="21"/>
                  <w:szCs w:val="21"/>
                  <w:color w:val="auto"/>
                </w:rPr>
                <w:t>Election of Directors</w:t>
              </w:r>
            </w:hyperlink>
          </w:p>
        </w:tc>
        <w:tc>
          <w:tcPr>
            <w:tcW w:w="5880" w:type="dxa"/>
            <w:vAlign w:val="bottom"/>
          </w:tcPr>
          <w:p>
            <w:pPr>
              <w:jc w:val="right"/>
              <w:ind w:right="5315"/>
              <w:spacing w:after="0"/>
              <w:rPr>
                <w:rFonts w:ascii="Arial" w:cs="Arial" w:eastAsia="Arial" w:hAnsi="Arial"/>
                <w:sz w:val="21"/>
                <w:szCs w:val="21"/>
                <w:b w:val="1"/>
                <w:bCs w:val="1"/>
                <w:color w:val="125288"/>
              </w:rPr>
            </w:pPr>
            <w:hyperlink w:anchor="page21">
              <w:r>
                <w:rPr>
                  <w:rFonts w:ascii="Arial" w:cs="Arial" w:eastAsia="Arial" w:hAnsi="Arial"/>
                  <w:sz w:val="21"/>
                  <w:szCs w:val="21"/>
                  <w:b w:val="1"/>
                  <w:bCs w:val="1"/>
                  <w:color w:val="125288"/>
                </w:rPr>
                <w:t>18</w:t>
              </w:r>
            </w:hyperlink>
          </w:p>
        </w:tc>
        <w:tc>
          <w:tcPr>
            <w:tcW w:w="0" w:type="dxa"/>
            <w:vAlign w:val="bottom"/>
          </w:tcPr>
          <w:p>
            <w:pPr>
              <w:spacing w:after="0"/>
              <w:rPr>
                <w:sz w:val="1"/>
                <w:szCs w:val="1"/>
                <w:color w:val="auto"/>
              </w:rPr>
            </w:pPr>
          </w:p>
        </w:tc>
      </w:tr>
      <w:tr>
        <w:trPr>
          <w:trHeight w:val="345"/>
        </w:trPr>
        <w:tc>
          <w:tcPr>
            <w:tcW w:w="5380" w:type="dxa"/>
            <w:vAlign w:val="bottom"/>
          </w:tcPr>
          <w:p>
            <w:pPr>
              <w:spacing w:after="0"/>
              <w:rPr>
                <w:rFonts w:ascii="Arial" w:cs="Arial" w:eastAsia="Arial" w:hAnsi="Arial"/>
                <w:sz w:val="21"/>
                <w:szCs w:val="21"/>
                <w:color w:val="auto"/>
              </w:rPr>
            </w:pPr>
            <w:hyperlink w:anchor="page29">
              <w:r>
                <w:rPr>
                  <w:rFonts w:ascii="Arial" w:cs="Arial" w:eastAsia="Arial" w:hAnsi="Arial"/>
                  <w:sz w:val="21"/>
                  <w:szCs w:val="21"/>
                  <w:color w:val="auto"/>
                </w:rPr>
                <w:t>Corporate Governance Matters</w:t>
              </w:r>
            </w:hyperlink>
          </w:p>
        </w:tc>
        <w:tc>
          <w:tcPr>
            <w:tcW w:w="5880" w:type="dxa"/>
            <w:vAlign w:val="bottom"/>
          </w:tcPr>
          <w:p>
            <w:pPr>
              <w:jc w:val="right"/>
              <w:ind w:right="5315"/>
              <w:spacing w:after="0"/>
              <w:rPr>
                <w:rFonts w:ascii="Arial" w:cs="Arial" w:eastAsia="Arial" w:hAnsi="Arial"/>
                <w:sz w:val="21"/>
                <w:szCs w:val="21"/>
                <w:b w:val="1"/>
                <w:bCs w:val="1"/>
                <w:color w:val="125288"/>
              </w:rPr>
            </w:pPr>
            <w:hyperlink w:anchor="page29">
              <w:r>
                <w:rPr>
                  <w:rFonts w:ascii="Arial" w:cs="Arial" w:eastAsia="Arial" w:hAnsi="Arial"/>
                  <w:sz w:val="21"/>
                  <w:szCs w:val="21"/>
                  <w:b w:val="1"/>
                  <w:bCs w:val="1"/>
                  <w:color w:val="125288"/>
                </w:rPr>
                <w:t>26</w:t>
              </w:r>
            </w:hyperlink>
          </w:p>
        </w:tc>
        <w:tc>
          <w:tcPr>
            <w:tcW w:w="0" w:type="dxa"/>
            <w:vAlign w:val="bottom"/>
          </w:tcPr>
          <w:p>
            <w:pPr>
              <w:spacing w:after="0"/>
              <w:rPr>
                <w:sz w:val="1"/>
                <w:szCs w:val="1"/>
                <w:color w:val="auto"/>
              </w:rPr>
            </w:pPr>
          </w:p>
        </w:tc>
      </w:tr>
      <w:tr>
        <w:trPr>
          <w:trHeight w:val="345"/>
        </w:trPr>
        <w:tc>
          <w:tcPr>
            <w:tcW w:w="5380" w:type="dxa"/>
            <w:vAlign w:val="bottom"/>
          </w:tcPr>
          <w:p>
            <w:pPr>
              <w:spacing w:after="0"/>
              <w:rPr>
                <w:rFonts w:ascii="Arial" w:cs="Arial" w:eastAsia="Arial" w:hAnsi="Arial"/>
                <w:sz w:val="21"/>
                <w:szCs w:val="21"/>
                <w:color w:val="auto"/>
              </w:rPr>
            </w:pPr>
            <w:hyperlink w:anchor="page51">
              <w:r>
                <w:rPr>
                  <w:rFonts w:ascii="Arial" w:cs="Arial" w:eastAsia="Arial" w:hAnsi="Arial"/>
                  <w:sz w:val="21"/>
                  <w:szCs w:val="21"/>
                  <w:color w:val="auto"/>
                </w:rPr>
                <w:t>Director Compensation</w:t>
              </w:r>
            </w:hyperlink>
          </w:p>
        </w:tc>
        <w:tc>
          <w:tcPr>
            <w:tcW w:w="5880" w:type="dxa"/>
            <w:vAlign w:val="bottom"/>
          </w:tcPr>
          <w:p>
            <w:pPr>
              <w:jc w:val="right"/>
              <w:ind w:right="5315"/>
              <w:spacing w:after="0"/>
              <w:rPr>
                <w:rFonts w:ascii="Arial" w:cs="Arial" w:eastAsia="Arial" w:hAnsi="Arial"/>
                <w:sz w:val="21"/>
                <w:szCs w:val="21"/>
                <w:b w:val="1"/>
                <w:bCs w:val="1"/>
                <w:color w:val="125288"/>
              </w:rPr>
            </w:pPr>
            <w:hyperlink w:anchor="page51">
              <w:r>
                <w:rPr>
                  <w:rFonts w:ascii="Arial" w:cs="Arial" w:eastAsia="Arial" w:hAnsi="Arial"/>
                  <w:sz w:val="21"/>
                  <w:szCs w:val="21"/>
                  <w:b w:val="1"/>
                  <w:bCs w:val="1"/>
                  <w:color w:val="125288"/>
                </w:rPr>
                <w:t>48</w:t>
              </w:r>
            </w:hyperlink>
          </w:p>
        </w:tc>
        <w:tc>
          <w:tcPr>
            <w:tcW w:w="0" w:type="dxa"/>
            <w:vAlign w:val="bottom"/>
          </w:tcPr>
          <w:p>
            <w:pPr>
              <w:spacing w:after="0"/>
              <w:rPr>
                <w:sz w:val="1"/>
                <w:szCs w:val="1"/>
                <w:color w:val="auto"/>
              </w:rPr>
            </w:pPr>
          </w:p>
        </w:tc>
      </w:tr>
      <w:tr>
        <w:trPr>
          <w:trHeight w:val="337"/>
        </w:trPr>
        <w:tc>
          <w:tcPr>
            <w:tcW w:w="5380" w:type="dxa"/>
            <w:vAlign w:val="bottom"/>
          </w:tcPr>
          <w:p>
            <w:pPr>
              <w:spacing w:after="0"/>
              <w:rPr>
                <w:rFonts w:ascii="Arial" w:cs="Arial" w:eastAsia="Arial" w:hAnsi="Arial"/>
                <w:sz w:val="21"/>
                <w:szCs w:val="21"/>
                <w:b w:val="1"/>
                <w:bCs w:val="1"/>
                <w:color w:val="auto"/>
              </w:rPr>
            </w:pPr>
            <w:hyperlink w:anchor="page55">
              <w:r>
                <w:rPr>
                  <w:rFonts w:ascii="Arial" w:cs="Arial" w:eastAsia="Arial" w:hAnsi="Arial"/>
                  <w:sz w:val="21"/>
                  <w:szCs w:val="21"/>
                  <w:b w:val="1"/>
                  <w:bCs w:val="1"/>
                  <w:color w:val="auto"/>
                </w:rPr>
                <w:t xml:space="preserve">Proposal 2 </w:t>
              </w:r>
              <w:r>
                <w:rPr>
                  <w:rFonts w:ascii="Arial" w:cs="Arial" w:eastAsia="Arial" w:hAnsi="Arial"/>
                  <w:sz w:val="21"/>
                  <w:szCs w:val="21"/>
                  <w:color w:val="auto"/>
                </w:rPr>
                <w:t>Advisory Vote to Approve the Company’s</w:t>
              </w:r>
            </w:hyperlink>
          </w:p>
        </w:tc>
        <w:tc>
          <w:tcPr>
            <w:tcW w:w="5880" w:type="dxa"/>
            <w:vAlign w:val="bottom"/>
            <w:vMerge w:val="restart"/>
          </w:tcPr>
          <w:p>
            <w:pPr>
              <w:jc w:val="right"/>
              <w:ind w:right="5315"/>
              <w:spacing w:after="0"/>
              <w:rPr>
                <w:rFonts w:ascii="Arial" w:cs="Arial" w:eastAsia="Arial" w:hAnsi="Arial"/>
                <w:sz w:val="21"/>
                <w:szCs w:val="21"/>
                <w:b w:val="1"/>
                <w:bCs w:val="1"/>
                <w:color w:val="125288"/>
              </w:rPr>
            </w:pPr>
            <w:hyperlink w:anchor="page55">
              <w:r>
                <w:rPr>
                  <w:rFonts w:ascii="Arial" w:cs="Arial" w:eastAsia="Arial" w:hAnsi="Arial"/>
                  <w:sz w:val="21"/>
                  <w:szCs w:val="21"/>
                  <w:b w:val="1"/>
                  <w:bCs w:val="1"/>
                  <w:color w:val="125288"/>
                </w:rPr>
                <w:t>52</w:t>
              </w:r>
            </w:hyperlink>
          </w:p>
        </w:tc>
        <w:tc>
          <w:tcPr>
            <w:tcW w:w="0" w:type="dxa"/>
            <w:vAlign w:val="bottom"/>
          </w:tcPr>
          <w:p>
            <w:pPr>
              <w:spacing w:after="0"/>
              <w:rPr>
                <w:sz w:val="1"/>
                <w:szCs w:val="1"/>
                <w:color w:val="auto"/>
              </w:rPr>
            </w:pPr>
          </w:p>
        </w:tc>
      </w:tr>
      <w:tr>
        <w:trPr>
          <w:trHeight w:val="258"/>
        </w:trPr>
        <w:tc>
          <w:tcPr>
            <w:tcW w:w="5380" w:type="dxa"/>
            <w:vAlign w:val="bottom"/>
          </w:tcPr>
          <w:p>
            <w:pPr>
              <w:spacing w:after="0"/>
              <w:rPr>
                <w:rFonts w:ascii="Arial" w:cs="Arial" w:eastAsia="Arial" w:hAnsi="Arial"/>
                <w:sz w:val="21"/>
                <w:szCs w:val="21"/>
                <w:color w:val="auto"/>
              </w:rPr>
            </w:pPr>
            <w:hyperlink w:anchor="page55">
              <w:r>
                <w:rPr>
                  <w:rFonts w:ascii="Arial" w:cs="Arial" w:eastAsia="Arial" w:hAnsi="Arial"/>
                  <w:sz w:val="21"/>
                  <w:szCs w:val="21"/>
                  <w:color w:val="auto"/>
                </w:rPr>
                <w:t>Executive Compensation</w:t>
              </w:r>
            </w:hyperlink>
          </w:p>
        </w:tc>
        <w:tc>
          <w:tcPr>
            <w:tcW w:w="5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45"/>
        </w:trPr>
        <w:tc>
          <w:tcPr>
            <w:tcW w:w="5380" w:type="dxa"/>
            <w:vAlign w:val="bottom"/>
          </w:tcPr>
          <w:p>
            <w:pPr>
              <w:spacing w:after="0"/>
              <w:rPr>
                <w:rFonts w:ascii="Arial" w:cs="Arial" w:eastAsia="Arial" w:hAnsi="Arial"/>
                <w:sz w:val="21"/>
                <w:szCs w:val="21"/>
                <w:color w:val="auto"/>
              </w:rPr>
            </w:pPr>
            <w:hyperlink w:anchor="page56">
              <w:r>
                <w:rPr>
                  <w:rFonts w:ascii="Arial" w:cs="Arial" w:eastAsia="Arial" w:hAnsi="Arial"/>
                  <w:sz w:val="21"/>
                  <w:szCs w:val="21"/>
                  <w:color w:val="auto"/>
                </w:rPr>
                <w:t>Compensation Committee Letter</w:t>
              </w:r>
            </w:hyperlink>
          </w:p>
        </w:tc>
        <w:tc>
          <w:tcPr>
            <w:tcW w:w="5880" w:type="dxa"/>
            <w:vAlign w:val="bottom"/>
          </w:tcPr>
          <w:p>
            <w:pPr>
              <w:jc w:val="right"/>
              <w:ind w:right="5315"/>
              <w:spacing w:after="0"/>
              <w:rPr>
                <w:rFonts w:ascii="Arial" w:cs="Arial" w:eastAsia="Arial" w:hAnsi="Arial"/>
                <w:sz w:val="21"/>
                <w:szCs w:val="21"/>
                <w:b w:val="1"/>
                <w:bCs w:val="1"/>
                <w:color w:val="125288"/>
              </w:rPr>
            </w:pPr>
            <w:hyperlink w:anchor="page56">
              <w:r>
                <w:rPr>
                  <w:rFonts w:ascii="Arial" w:cs="Arial" w:eastAsia="Arial" w:hAnsi="Arial"/>
                  <w:sz w:val="21"/>
                  <w:szCs w:val="21"/>
                  <w:b w:val="1"/>
                  <w:bCs w:val="1"/>
                  <w:color w:val="125288"/>
                </w:rPr>
                <w:t>53</w:t>
              </w:r>
            </w:hyperlink>
          </w:p>
        </w:tc>
        <w:tc>
          <w:tcPr>
            <w:tcW w:w="0" w:type="dxa"/>
            <w:vAlign w:val="bottom"/>
          </w:tcPr>
          <w:p>
            <w:pPr>
              <w:spacing w:after="0"/>
              <w:rPr>
                <w:sz w:val="1"/>
                <w:szCs w:val="1"/>
                <w:color w:val="auto"/>
              </w:rPr>
            </w:pPr>
          </w:p>
        </w:tc>
      </w:tr>
      <w:tr>
        <w:trPr>
          <w:trHeight w:val="333"/>
        </w:trPr>
        <w:tc>
          <w:tcPr>
            <w:tcW w:w="5380" w:type="dxa"/>
            <w:vAlign w:val="bottom"/>
          </w:tcPr>
          <w:p>
            <w:pPr>
              <w:spacing w:after="0"/>
              <w:rPr>
                <w:rFonts w:ascii="Arial" w:cs="Arial" w:eastAsia="Arial" w:hAnsi="Arial"/>
                <w:sz w:val="21"/>
                <w:szCs w:val="21"/>
                <w:color w:val="auto"/>
              </w:rPr>
            </w:pPr>
            <w:hyperlink w:anchor="page58">
              <w:r>
                <w:rPr>
                  <w:rFonts w:ascii="Arial" w:cs="Arial" w:eastAsia="Arial" w:hAnsi="Arial"/>
                  <w:sz w:val="21"/>
                  <w:szCs w:val="21"/>
                  <w:color w:val="auto"/>
                </w:rPr>
                <w:t>Compensation Discussion and Analysis</w:t>
              </w:r>
            </w:hyperlink>
          </w:p>
        </w:tc>
        <w:tc>
          <w:tcPr>
            <w:tcW w:w="5880" w:type="dxa"/>
            <w:vAlign w:val="bottom"/>
          </w:tcPr>
          <w:p>
            <w:pPr>
              <w:jc w:val="right"/>
              <w:ind w:right="5315"/>
              <w:spacing w:after="0"/>
              <w:rPr>
                <w:rFonts w:ascii="Arial" w:cs="Arial" w:eastAsia="Arial" w:hAnsi="Arial"/>
                <w:sz w:val="21"/>
                <w:szCs w:val="21"/>
                <w:b w:val="1"/>
                <w:bCs w:val="1"/>
                <w:color w:val="125288"/>
              </w:rPr>
            </w:pPr>
            <w:hyperlink w:anchor="page58">
              <w:r>
                <w:rPr>
                  <w:rFonts w:ascii="Arial" w:cs="Arial" w:eastAsia="Arial" w:hAnsi="Arial"/>
                  <w:sz w:val="21"/>
                  <w:szCs w:val="21"/>
                  <w:b w:val="1"/>
                  <w:bCs w:val="1"/>
                  <w:color w:val="125288"/>
                </w:rPr>
                <w:t>55</w:t>
              </w:r>
            </w:hyperlink>
          </w:p>
        </w:tc>
        <w:tc>
          <w:tcPr>
            <w:tcW w:w="0" w:type="dxa"/>
            <w:vAlign w:val="bottom"/>
          </w:tcPr>
          <w:p>
            <w:pPr>
              <w:spacing w:after="0"/>
              <w:rPr>
                <w:sz w:val="1"/>
                <w:szCs w:val="1"/>
                <w:color w:val="auto"/>
              </w:rPr>
            </w:pPr>
          </w:p>
        </w:tc>
      </w:tr>
      <w:tr>
        <w:trPr>
          <w:trHeight w:val="345"/>
        </w:trPr>
        <w:tc>
          <w:tcPr>
            <w:tcW w:w="5380" w:type="dxa"/>
            <w:vAlign w:val="bottom"/>
          </w:tcPr>
          <w:p>
            <w:pPr>
              <w:spacing w:after="0"/>
              <w:rPr>
                <w:rFonts w:ascii="Arial" w:cs="Arial" w:eastAsia="Arial" w:hAnsi="Arial"/>
                <w:sz w:val="21"/>
                <w:szCs w:val="21"/>
                <w:color w:val="auto"/>
              </w:rPr>
            </w:pPr>
            <w:hyperlink w:anchor="page89">
              <w:r>
                <w:rPr>
                  <w:rFonts w:ascii="Arial" w:cs="Arial" w:eastAsia="Arial" w:hAnsi="Arial"/>
                  <w:sz w:val="21"/>
                  <w:szCs w:val="21"/>
                  <w:color w:val="auto"/>
                </w:rPr>
                <w:t>Compensation Committee Report</w:t>
              </w:r>
            </w:hyperlink>
          </w:p>
        </w:tc>
        <w:tc>
          <w:tcPr>
            <w:tcW w:w="5880" w:type="dxa"/>
            <w:vAlign w:val="bottom"/>
          </w:tcPr>
          <w:p>
            <w:pPr>
              <w:jc w:val="right"/>
              <w:ind w:right="5315"/>
              <w:spacing w:after="0"/>
              <w:rPr>
                <w:rFonts w:ascii="Arial" w:cs="Arial" w:eastAsia="Arial" w:hAnsi="Arial"/>
                <w:sz w:val="21"/>
                <w:szCs w:val="21"/>
                <w:b w:val="1"/>
                <w:bCs w:val="1"/>
                <w:color w:val="125288"/>
              </w:rPr>
            </w:pPr>
            <w:hyperlink w:anchor="page89">
              <w:r>
                <w:rPr>
                  <w:rFonts w:ascii="Arial" w:cs="Arial" w:eastAsia="Arial" w:hAnsi="Arial"/>
                  <w:sz w:val="21"/>
                  <w:szCs w:val="21"/>
                  <w:b w:val="1"/>
                  <w:bCs w:val="1"/>
                  <w:color w:val="125288"/>
                </w:rPr>
                <w:t>86</w:t>
              </w:r>
            </w:hyperlink>
          </w:p>
        </w:tc>
        <w:tc>
          <w:tcPr>
            <w:tcW w:w="0" w:type="dxa"/>
            <w:vAlign w:val="bottom"/>
          </w:tcPr>
          <w:p>
            <w:pPr>
              <w:spacing w:after="0"/>
              <w:rPr>
                <w:sz w:val="1"/>
                <w:szCs w:val="1"/>
                <w:color w:val="auto"/>
              </w:rPr>
            </w:pPr>
          </w:p>
        </w:tc>
      </w:tr>
      <w:tr>
        <w:trPr>
          <w:trHeight w:val="345"/>
        </w:trPr>
        <w:tc>
          <w:tcPr>
            <w:tcW w:w="5380" w:type="dxa"/>
            <w:vAlign w:val="bottom"/>
          </w:tcPr>
          <w:p>
            <w:pPr>
              <w:spacing w:after="0"/>
              <w:rPr>
                <w:rFonts w:ascii="Arial" w:cs="Arial" w:eastAsia="Arial" w:hAnsi="Arial"/>
                <w:sz w:val="21"/>
                <w:szCs w:val="21"/>
                <w:color w:val="auto"/>
              </w:rPr>
            </w:pPr>
            <w:hyperlink w:anchor="page90">
              <w:r>
                <w:rPr>
                  <w:rFonts w:ascii="Arial" w:cs="Arial" w:eastAsia="Arial" w:hAnsi="Arial"/>
                  <w:sz w:val="21"/>
                  <w:szCs w:val="21"/>
                  <w:color w:val="auto"/>
                </w:rPr>
                <w:t>Executive Compensation Tables</w:t>
              </w:r>
            </w:hyperlink>
          </w:p>
        </w:tc>
        <w:tc>
          <w:tcPr>
            <w:tcW w:w="5880" w:type="dxa"/>
            <w:vAlign w:val="bottom"/>
          </w:tcPr>
          <w:p>
            <w:pPr>
              <w:jc w:val="right"/>
              <w:ind w:right="5315"/>
              <w:spacing w:after="0"/>
              <w:rPr>
                <w:rFonts w:ascii="Arial" w:cs="Arial" w:eastAsia="Arial" w:hAnsi="Arial"/>
                <w:sz w:val="21"/>
                <w:szCs w:val="21"/>
                <w:b w:val="1"/>
                <w:bCs w:val="1"/>
                <w:color w:val="125288"/>
              </w:rPr>
            </w:pPr>
            <w:hyperlink w:anchor="page90">
              <w:r>
                <w:rPr>
                  <w:rFonts w:ascii="Arial" w:cs="Arial" w:eastAsia="Arial" w:hAnsi="Arial"/>
                  <w:sz w:val="21"/>
                  <w:szCs w:val="21"/>
                  <w:b w:val="1"/>
                  <w:bCs w:val="1"/>
                  <w:color w:val="125288"/>
                </w:rPr>
                <w:t>87</w:t>
              </w:r>
            </w:hyperlink>
          </w:p>
        </w:tc>
        <w:tc>
          <w:tcPr>
            <w:tcW w:w="0" w:type="dxa"/>
            <w:vAlign w:val="bottom"/>
          </w:tcPr>
          <w:p>
            <w:pPr>
              <w:spacing w:after="0"/>
              <w:rPr>
                <w:sz w:val="1"/>
                <w:szCs w:val="1"/>
                <w:color w:val="auto"/>
              </w:rPr>
            </w:pPr>
          </w:p>
        </w:tc>
      </w:tr>
      <w:tr>
        <w:trPr>
          <w:trHeight w:val="345"/>
        </w:trPr>
        <w:tc>
          <w:tcPr>
            <w:tcW w:w="5380" w:type="dxa"/>
            <w:vAlign w:val="bottom"/>
          </w:tcPr>
          <w:p>
            <w:pPr>
              <w:spacing w:after="0"/>
              <w:rPr>
                <w:rFonts w:ascii="Arial" w:cs="Arial" w:eastAsia="Arial" w:hAnsi="Arial"/>
                <w:sz w:val="21"/>
                <w:szCs w:val="21"/>
                <w:color w:val="auto"/>
              </w:rPr>
            </w:pPr>
            <w:hyperlink w:anchor="page131">
              <w:r>
                <w:rPr>
                  <w:rFonts w:ascii="Arial" w:cs="Arial" w:eastAsia="Arial" w:hAnsi="Arial"/>
                  <w:sz w:val="21"/>
                  <w:szCs w:val="21"/>
                  <w:color w:val="auto"/>
                </w:rPr>
                <w:t>Certain Relationships and Related Person Transactions</w:t>
              </w:r>
            </w:hyperlink>
          </w:p>
        </w:tc>
        <w:tc>
          <w:tcPr>
            <w:tcW w:w="5880" w:type="dxa"/>
            <w:vAlign w:val="bottom"/>
          </w:tcPr>
          <w:p>
            <w:pPr>
              <w:jc w:val="right"/>
              <w:ind w:right="5315"/>
              <w:spacing w:after="0"/>
              <w:rPr>
                <w:rFonts w:ascii="Arial" w:cs="Arial" w:eastAsia="Arial" w:hAnsi="Arial"/>
                <w:sz w:val="21"/>
                <w:szCs w:val="21"/>
                <w:b w:val="1"/>
                <w:bCs w:val="1"/>
                <w:color w:val="125288"/>
              </w:rPr>
            </w:pPr>
            <w:hyperlink w:anchor="page131">
              <w:r>
                <w:rPr>
                  <w:rFonts w:ascii="Arial" w:cs="Arial" w:eastAsia="Arial" w:hAnsi="Arial"/>
                  <w:sz w:val="21"/>
                  <w:szCs w:val="21"/>
                  <w:b w:val="1"/>
                  <w:bCs w:val="1"/>
                  <w:color w:val="125288"/>
                </w:rPr>
                <w:t>128</w:t>
              </w:r>
            </w:hyperlink>
          </w:p>
        </w:tc>
        <w:tc>
          <w:tcPr>
            <w:tcW w:w="0" w:type="dxa"/>
            <w:vAlign w:val="bottom"/>
          </w:tcPr>
          <w:p>
            <w:pPr>
              <w:spacing w:after="0"/>
              <w:rPr>
                <w:sz w:val="1"/>
                <w:szCs w:val="1"/>
                <w:color w:val="auto"/>
              </w:rPr>
            </w:pPr>
          </w:p>
        </w:tc>
      </w:tr>
      <w:tr>
        <w:trPr>
          <w:trHeight w:val="345"/>
        </w:trPr>
        <w:tc>
          <w:tcPr>
            <w:tcW w:w="5380" w:type="dxa"/>
            <w:vAlign w:val="bottom"/>
          </w:tcPr>
          <w:p>
            <w:pPr>
              <w:spacing w:after="0"/>
              <w:rPr>
                <w:rFonts w:ascii="Arial" w:cs="Arial" w:eastAsia="Arial" w:hAnsi="Arial"/>
                <w:sz w:val="21"/>
                <w:szCs w:val="21"/>
                <w:color w:val="auto"/>
              </w:rPr>
            </w:pPr>
            <w:hyperlink w:anchor="page133">
              <w:r>
                <w:rPr>
                  <w:rFonts w:ascii="Arial" w:cs="Arial" w:eastAsia="Arial" w:hAnsi="Arial"/>
                  <w:sz w:val="21"/>
                  <w:szCs w:val="21"/>
                  <w:color w:val="auto"/>
                </w:rPr>
                <w:t>Audit-Related Matters</w:t>
              </w:r>
            </w:hyperlink>
          </w:p>
        </w:tc>
        <w:tc>
          <w:tcPr>
            <w:tcW w:w="5880" w:type="dxa"/>
            <w:vAlign w:val="bottom"/>
          </w:tcPr>
          <w:p>
            <w:pPr>
              <w:jc w:val="right"/>
              <w:ind w:right="5315"/>
              <w:spacing w:after="0"/>
              <w:rPr>
                <w:rFonts w:ascii="Arial" w:cs="Arial" w:eastAsia="Arial" w:hAnsi="Arial"/>
                <w:sz w:val="21"/>
                <w:szCs w:val="21"/>
                <w:b w:val="1"/>
                <w:bCs w:val="1"/>
                <w:color w:val="125288"/>
              </w:rPr>
            </w:pPr>
            <w:hyperlink w:anchor="page133">
              <w:r>
                <w:rPr>
                  <w:rFonts w:ascii="Arial" w:cs="Arial" w:eastAsia="Arial" w:hAnsi="Arial"/>
                  <w:sz w:val="21"/>
                  <w:szCs w:val="21"/>
                  <w:b w:val="1"/>
                  <w:bCs w:val="1"/>
                  <w:color w:val="125288"/>
                </w:rPr>
                <w:t>130</w:t>
              </w:r>
            </w:hyperlink>
          </w:p>
        </w:tc>
        <w:tc>
          <w:tcPr>
            <w:tcW w:w="0" w:type="dxa"/>
            <w:vAlign w:val="bottom"/>
          </w:tcPr>
          <w:p>
            <w:pPr>
              <w:spacing w:after="0"/>
              <w:rPr>
                <w:sz w:val="1"/>
                <w:szCs w:val="1"/>
                <w:color w:val="auto"/>
              </w:rPr>
            </w:pPr>
          </w:p>
        </w:tc>
      </w:tr>
      <w:tr>
        <w:trPr>
          <w:trHeight w:val="325"/>
        </w:trPr>
        <w:tc>
          <w:tcPr>
            <w:tcW w:w="5380" w:type="dxa"/>
            <w:vAlign w:val="bottom"/>
          </w:tcPr>
          <w:p>
            <w:pPr>
              <w:spacing w:after="0"/>
              <w:rPr>
                <w:rFonts w:ascii="Arial" w:cs="Arial" w:eastAsia="Arial" w:hAnsi="Arial"/>
                <w:sz w:val="21"/>
                <w:szCs w:val="21"/>
                <w:b w:val="1"/>
                <w:bCs w:val="1"/>
                <w:color w:val="auto"/>
              </w:rPr>
            </w:pPr>
            <w:hyperlink w:anchor="page135">
              <w:r>
                <w:rPr>
                  <w:rFonts w:ascii="Arial" w:cs="Arial" w:eastAsia="Arial" w:hAnsi="Arial"/>
                  <w:sz w:val="21"/>
                  <w:szCs w:val="21"/>
                  <w:b w:val="1"/>
                  <w:bCs w:val="1"/>
                  <w:color w:val="auto"/>
                </w:rPr>
                <w:t xml:space="preserve">Proposal 3 </w:t>
              </w:r>
              <w:r>
                <w:rPr>
                  <w:rFonts w:ascii="Arial" w:cs="Arial" w:eastAsia="Arial" w:hAnsi="Arial"/>
                  <w:sz w:val="21"/>
                  <w:szCs w:val="21"/>
                  <w:color w:val="auto"/>
                </w:rPr>
                <w:t>Ratification of Appointment of Independent</w:t>
              </w:r>
            </w:hyperlink>
          </w:p>
        </w:tc>
        <w:tc>
          <w:tcPr>
            <w:tcW w:w="5880" w:type="dxa"/>
            <w:vAlign w:val="bottom"/>
            <w:vMerge w:val="restart"/>
          </w:tcPr>
          <w:p>
            <w:pPr>
              <w:jc w:val="right"/>
              <w:ind w:right="5315"/>
              <w:spacing w:after="0"/>
              <w:rPr>
                <w:rFonts w:ascii="Arial" w:cs="Arial" w:eastAsia="Arial" w:hAnsi="Arial"/>
                <w:sz w:val="21"/>
                <w:szCs w:val="21"/>
                <w:b w:val="1"/>
                <w:bCs w:val="1"/>
                <w:color w:val="125288"/>
              </w:rPr>
            </w:pPr>
            <w:hyperlink w:anchor="page135">
              <w:r>
                <w:rPr>
                  <w:rFonts w:ascii="Arial" w:cs="Arial" w:eastAsia="Arial" w:hAnsi="Arial"/>
                  <w:sz w:val="21"/>
                  <w:szCs w:val="21"/>
                  <w:b w:val="1"/>
                  <w:bCs w:val="1"/>
                  <w:color w:val="125288"/>
                </w:rPr>
                <w:t>132</w:t>
              </w:r>
            </w:hyperlink>
          </w:p>
        </w:tc>
        <w:tc>
          <w:tcPr>
            <w:tcW w:w="0" w:type="dxa"/>
            <w:vAlign w:val="bottom"/>
          </w:tcPr>
          <w:p>
            <w:pPr>
              <w:spacing w:after="0"/>
              <w:rPr>
                <w:sz w:val="1"/>
                <w:szCs w:val="1"/>
                <w:color w:val="auto"/>
              </w:rPr>
            </w:pPr>
          </w:p>
        </w:tc>
      </w:tr>
      <w:tr>
        <w:trPr>
          <w:trHeight w:val="258"/>
        </w:trPr>
        <w:tc>
          <w:tcPr>
            <w:tcW w:w="5380" w:type="dxa"/>
            <w:vAlign w:val="bottom"/>
          </w:tcPr>
          <w:p>
            <w:pPr>
              <w:spacing w:after="0"/>
              <w:rPr>
                <w:rFonts w:ascii="Arial" w:cs="Arial" w:eastAsia="Arial" w:hAnsi="Arial"/>
                <w:sz w:val="21"/>
                <w:szCs w:val="21"/>
                <w:color w:val="auto"/>
              </w:rPr>
            </w:pPr>
            <w:hyperlink w:anchor="page135">
              <w:r>
                <w:rPr>
                  <w:rFonts w:ascii="Arial" w:cs="Arial" w:eastAsia="Arial" w:hAnsi="Arial"/>
                  <w:sz w:val="21"/>
                  <w:szCs w:val="21"/>
                  <w:color w:val="auto"/>
                </w:rPr>
                <w:t>Registered Public Accounting Firm</w:t>
              </w:r>
            </w:hyperlink>
          </w:p>
        </w:tc>
        <w:tc>
          <w:tcPr>
            <w:tcW w:w="5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37"/>
        </w:trPr>
        <w:tc>
          <w:tcPr>
            <w:tcW w:w="5380" w:type="dxa"/>
            <w:vAlign w:val="bottom"/>
          </w:tcPr>
          <w:p>
            <w:pPr>
              <w:spacing w:after="0"/>
              <w:rPr>
                <w:rFonts w:ascii="Arial" w:cs="Arial" w:eastAsia="Arial" w:hAnsi="Arial"/>
                <w:sz w:val="21"/>
                <w:szCs w:val="21"/>
                <w:b w:val="1"/>
                <w:bCs w:val="1"/>
                <w:color w:val="auto"/>
              </w:rPr>
            </w:pPr>
            <w:hyperlink w:anchor="page137">
              <w:r>
                <w:rPr>
                  <w:rFonts w:ascii="Arial" w:cs="Arial" w:eastAsia="Arial" w:hAnsi="Arial"/>
                  <w:sz w:val="21"/>
                  <w:szCs w:val="21"/>
                  <w:b w:val="1"/>
                  <w:bCs w:val="1"/>
                  <w:color w:val="auto"/>
                </w:rPr>
                <w:t xml:space="preserve">Proposal 4 </w:t>
              </w:r>
              <w:r>
                <w:rPr>
                  <w:rFonts w:ascii="Arial" w:cs="Arial" w:eastAsia="Arial" w:hAnsi="Arial"/>
                  <w:sz w:val="21"/>
                  <w:szCs w:val="21"/>
                  <w:color w:val="auto"/>
                </w:rPr>
                <w:t>Shareholder Proposal Regarding</w:t>
              </w:r>
            </w:hyperlink>
          </w:p>
        </w:tc>
        <w:tc>
          <w:tcPr>
            <w:tcW w:w="5880" w:type="dxa"/>
            <w:vAlign w:val="bottom"/>
            <w:vMerge w:val="restart"/>
          </w:tcPr>
          <w:p>
            <w:pPr>
              <w:jc w:val="right"/>
              <w:ind w:right="5315"/>
              <w:spacing w:after="0"/>
              <w:rPr>
                <w:rFonts w:ascii="Arial" w:cs="Arial" w:eastAsia="Arial" w:hAnsi="Arial"/>
                <w:sz w:val="21"/>
                <w:szCs w:val="21"/>
                <w:b w:val="1"/>
                <w:bCs w:val="1"/>
                <w:color w:val="125288"/>
              </w:rPr>
            </w:pPr>
            <w:hyperlink w:anchor="page137">
              <w:r>
                <w:rPr>
                  <w:rFonts w:ascii="Arial" w:cs="Arial" w:eastAsia="Arial" w:hAnsi="Arial"/>
                  <w:sz w:val="21"/>
                  <w:szCs w:val="21"/>
                  <w:b w:val="1"/>
                  <w:bCs w:val="1"/>
                  <w:color w:val="125288"/>
                </w:rPr>
                <w:t>134</w:t>
              </w:r>
            </w:hyperlink>
          </w:p>
        </w:tc>
        <w:tc>
          <w:tcPr>
            <w:tcW w:w="0" w:type="dxa"/>
            <w:vAlign w:val="bottom"/>
          </w:tcPr>
          <w:p>
            <w:pPr>
              <w:spacing w:after="0"/>
              <w:rPr>
                <w:sz w:val="1"/>
                <w:szCs w:val="1"/>
                <w:color w:val="auto"/>
              </w:rPr>
            </w:pPr>
          </w:p>
        </w:tc>
      </w:tr>
      <w:tr>
        <w:trPr>
          <w:trHeight w:val="258"/>
        </w:trPr>
        <w:tc>
          <w:tcPr>
            <w:tcW w:w="5380" w:type="dxa"/>
            <w:vAlign w:val="bottom"/>
          </w:tcPr>
          <w:p>
            <w:pPr>
              <w:spacing w:after="0"/>
              <w:rPr>
                <w:rFonts w:ascii="Arial" w:cs="Arial" w:eastAsia="Arial" w:hAnsi="Arial"/>
                <w:sz w:val="21"/>
                <w:szCs w:val="21"/>
                <w:color w:val="auto"/>
              </w:rPr>
            </w:pPr>
            <w:hyperlink w:anchor="page137">
              <w:r>
                <w:rPr>
                  <w:rFonts w:ascii="Arial" w:cs="Arial" w:eastAsia="Arial" w:hAnsi="Arial"/>
                  <w:sz w:val="21"/>
                  <w:szCs w:val="21"/>
                  <w:color w:val="auto"/>
                </w:rPr>
                <w:t>the Nomination of an Employee Representative Director</w:t>
              </w:r>
            </w:hyperlink>
          </w:p>
        </w:tc>
        <w:tc>
          <w:tcPr>
            <w:tcW w:w="5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37"/>
        </w:trPr>
        <w:tc>
          <w:tcPr>
            <w:tcW w:w="5380" w:type="dxa"/>
            <w:vAlign w:val="bottom"/>
          </w:tcPr>
          <w:p>
            <w:pPr>
              <w:spacing w:after="0"/>
              <w:rPr>
                <w:rFonts w:ascii="Arial" w:cs="Arial" w:eastAsia="Arial" w:hAnsi="Arial"/>
                <w:sz w:val="21"/>
                <w:szCs w:val="21"/>
                <w:b w:val="1"/>
                <w:bCs w:val="1"/>
                <w:color w:val="auto"/>
              </w:rPr>
            </w:pPr>
            <w:hyperlink w:anchor="page140">
              <w:r>
                <w:rPr>
                  <w:rFonts w:ascii="Arial" w:cs="Arial" w:eastAsia="Arial" w:hAnsi="Arial"/>
                  <w:sz w:val="21"/>
                  <w:szCs w:val="21"/>
                  <w:b w:val="1"/>
                  <w:bCs w:val="1"/>
                  <w:color w:val="auto"/>
                </w:rPr>
                <w:t xml:space="preserve">Proposal 5 </w:t>
              </w:r>
              <w:r>
                <w:rPr>
                  <w:rFonts w:ascii="Arial" w:cs="Arial" w:eastAsia="Arial" w:hAnsi="Arial"/>
                  <w:sz w:val="21"/>
                  <w:szCs w:val="21"/>
                  <w:color w:val="auto"/>
                </w:rPr>
                <w:t>Shareholder Proposal Regarding the</w:t>
              </w:r>
            </w:hyperlink>
          </w:p>
        </w:tc>
        <w:tc>
          <w:tcPr>
            <w:tcW w:w="5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80" w:type="dxa"/>
            <w:vAlign w:val="bottom"/>
          </w:tcPr>
          <w:p>
            <w:pPr>
              <w:spacing w:after="0"/>
              <w:rPr>
                <w:rFonts w:ascii="Arial" w:cs="Arial" w:eastAsia="Arial" w:hAnsi="Arial"/>
                <w:sz w:val="21"/>
                <w:szCs w:val="21"/>
                <w:color w:val="auto"/>
              </w:rPr>
            </w:pPr>
            <w:hyperlink w:anchor="page140">
              <w:r>
                <w:rPr>
                  <w:rFonts w:ascii="Arial" w:cs="Arial" w:eastAsia="Arial" w:hAnsi="Arial"/>
                  <w:sz w:val="21"/>
                  <w:szCs w:val="21"/>
                  <w:color w:val="auto"/>
                </w:rPr>
                <w:t>Preparation of a Report about the company’s Efforts to</w:t>
              </w:r>
            </w:hyperlink>
          </w:p>
        </w:tc>
        <w:tc>
          <w:tcPr>
            <w:tcW w:w="5880" w:type="dxa"/>
            <w:vAlign w:val="bottom"/>
            <w:vMerge w:val="restart"/>
          </w:tcPr>
          <w:p>
            <w:pPr>
              <w:jc w:val="right"/>
              <w:ind w:right="5315"/>
              <w:spacing w:after="0"/>
              <w:rPr>
                <w:rFonts w:ascii="Arial" w:cs="Arial" w:eastAsia="Arial" w:hAnsi="Arial"/>
                <w:sz w:val="21"/>
                <w:szCs w:val="21"/>
                <w:b w:val="1"/>
                <w:bCs w:val="1"/>
                <w:color w:val="125288"/>
              </w:rPr>
            </w:pPr>
            <w:hyperlink w:anchor="page140">
              <w:r>
                <w:rPr>
                  <w:rFonts w:ascii="Arial" w:cs="Arial" w:eastAsia="Arial" w:hAnsi="Arial"/>
                  <w:sz w:val="21"/>
                  <w:szCs w:val="21"/>
                  <w:b w:val="1"/>
                  <w:bCs w:val="1"/>
                  <w:color w:val="125288"/>
                </w:rPr>
                <w:t>137</w:t>
              </w:r>
            </w:hyperlink>
          </w:p>
        </w:tc>
        <w:tc>
          <w:tcPr>
            <w:tcW w:w="0" w:type="dxa"/>
            <w:vAlign w:val="bottom"/>
          </w:tcPr>
          <w:p>
            <w:pPr>
              <w:spacing w:after="0"/>
              <w:rPr>
                <w:sz w:val="1"/>
                <w:szCs w:val="1"/>
                <w:color w:val="auto"/>
              </w:rPr>
            </w:pPr>
          </w:p>
        </w:tc>
      </w:tr>
      <w:tr>
        <w:trPr>
          <w:trHeight w:val="258"/>
        </w:trPr>
        <w:tc>
          <w:tcPr>
            <w:tcW w:w="5380" w:type="dxa"/>
            <w:vAlign w:val="bottom"/>
          </w:tcPr>
          <w:p>
            <w:pPr>
              <w:spacing w:after="0"/>
              <w:rPr>
                <w:rFonts w:ascii="Arial" w:cs="Arial" w:eastAsia="Arial" w:hAnsi="Arial"/>
                <w:sz w:val="21"/>
                <w:szCs w:val="21"/>
                <w:color w:val="auto"/>
              </w:rPr>
            </w:pPr>
            <w:hyperlink w:anchor="page140">
              <w:r>
                <w:rPr>
                  <w:rFonts w:ascii="Arial" w:cs="Arial" w:eastAsia="Arial" w:hAnsi="Arial"/>
                  <w:sz w:val="21"/>
                  <w:szCs w:val="21"/>
                  <w:color w:val="auto"/>
                </w:rPr>
                <w:t>Prevent Abuse, Harassment, and Discrimination</w:t>
              </w:r>
            </w:hyperlink>
          </w:p>
        </w:tc>
        <w:tc>
          <w:tcPr>
            <w:tcW w:w="5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45"/>
        </w:trPr>
        <w:tc>
          <w:tcPr>
            <w:tcW w:w="5380" w:type="dxa"/>
            <w:vAlign w:val="bottom"/>
          </w:tcPr>
          <w:p>
            <w:pPr>
              <w:spacing w:after="0"/>
              <w:rPr>
                <w:rFonts w:ascii="Arial" w:cs="Arial" w:eastAsia="Arial" w:hAnsi="Arial"/>
                <w:sz w:val="21"/>
                <w:szCs w:val="21"/>
                <w:color w:val="auto"/>
              </w:rPr>
            </w:pPr>
            <w:hyperlink w:anchor="page144">
              <w:r>
                <w:rPr>
                  <w:rFonts w:ascii="Arial" w:cs="Arial" w:eastAsia="Arial" w:hAnsi="Arial"/>
                  <w:sz w:val="21"/>
                  <w:szCs w:val="21"/>
                  <w:color w:val="auto"/>
                </w:rPr>
                <w:t>Beneficial Ownership Matters</w:t>
              </w:r>
            </w:hyperlink>
          </w:p>
        </w:tc>
        <w:tc>
          <w:tcPr>
            <w:tcW w:w="5880" w:type="dxa"/>
            <w:vAlign w:val="bottom"/>
          </w:tcPr>
          <w:p>
            <w:pPr>
              <w:jc w:val="right"/>
              <w:ind w:right="5315"/>
              <w:spacing w:after="0"/>
              <w:rPr>
                <w:rFonts w:ascii="Arial" w:cs="Arial" w:eastAsia="Arial" w:hAnsi="Arial"/>
                <w:sz w:val="21"/>
                <w:szCs w:val="21"/>
                <w:b w:val="1"/>
                <w:bCs w:val="1"/>
                <w:color w:val="125288"/>
              </w:rPr>
            </w:pPr>
            <w:hyperlink w:anchor="page144">
              <w:r>
                <w:rPr>
                  <w:rFonts w:ascii="Arial" w:cs="Arial" w:eastAsia="Arial" w:hAnsi="Arial"/>
                  <w:sz w:val="21"/>
                  <w:szCs w:val="21"/>
                  <w:b w:val="1"/>
                  <w:bCs w:val="1"/>
                  <w:color w:val="125288"/>
                </w:rPr>
                <w:t>141</w:t>
              </w:r>
            </w:hyperlink>
          </w:p>
        </w:tc>
        <w:tc>
          <w:tcPr>
            <w:tcW w:w="0" w:type="dxa"/>
            <w:vAlign w:val="bottom"/>
          </w:tcPr>
          <w:p>
            <w:pPr>
              <w:spacing w:after="0"/>
              <w:rPr>
                <w:sz w:val="1"/>
                <w:szCs w:val="1"/>
                <w:color w:val="auto"/>
              </w:rPr>
            </w:pPr>
          </w:p>
        </w:tc>
      </w:tr>
      <w:tr>
        <w:trPr>
          <w:trHeight w:val="345"/>
        </w:trPr>
        <w:tc>
          <w:tcPr>
            <w:tcW w:w="5380" w:type="dxa"/>
            <w:vAlign w:val="bottom"/>
          </w:tcPr>
          <w:p>
            <w:pPr>
              <w:spacing w:after="0"/>
              <w:rPr>
                <w:rFonts w:ascii="Arial" w:cs="Arial" w:eastAsia="Arial" w:hAnsi="Arial"/>
                <w:sz w:val="21"/>
                <w:szCs w:val="21"/>
                <w:color w:val="auto"/>
              </w:rPr>
            </w:pPr>
            <w:hyperlink w:anchor="page147">
              <w:r>
                <w:rPr>
                  <w:rFonts w:ascii="Arial" w:cs="Arial" w:eastAsia="Arial" w:hAnsi="Arial"/>
                  <w:sz w:val="21"/>
                  <w:szCs w:val="21"/>
                  <w:color w:val="auto"/>
                </w:rPr>
                <w:t>Equity Compensation Plan Information</w:t>
              </w:r>
            </w:hyperlink>
          </w:p>
        </w:tc>
        <w:tc>
          <w:tcPr>
            <w:tcW w:w="5880" w:type="dxa"/>
            <w:vAlign w:val="bottom"/>
          </w:tcPr>
          <w:p>
            <w:pPr>
              <w:jc w:val="right"/>
              <w:ind w:right="5315"/>
              <w:spacing w:after="0"/>
              <w:rPr>
                <w:rFonts w:ascii="Arial" w:cs="Arial" w:eastAsia="Arial" w:hAnsi="Arial"/>
                <w:sz w:val="21"/>
                <w:szCs w:val="21"/>
                <w:b w:val="1"/>
                <w:bCs w:val="1"/>
                <w:color w:val="125288"/>
              </w:rPr>
            </w:pPr>
            <w:hyperlink w:anchor="page147">
              <w:r>
                <w:rPr>
                  <w:rFonts w:ascii="Arial" w:cs="Arial" w:eastAsia="Arial" w:hAnsi="Arial"/>
                  <w:sz w:val="21"/>
                  <w:szCs w:val="21"/>
                  <w:b w:val="1"/>
                  <w:bCs w:val="1"/>
                  <w:color w:val="125288"/>
                </w:rPr>
                <w:t>144</w:t>
              </w:r>
            </w:hyperlink>
          </w:p>
        </w:tc>
        <w:tc>
          <w:tcPr>
            <w:tcW w:w="0" w:type="dxa"/>
            <w:vAlign w:val="bottom"/>
          </w:tcPr>
          <w:p>
            <w:pPr>
              <w:spacing w:after="0"/>
              <w:rPr>
                <w:sz w:val="1"/>
                <w:szCs w:val="1"/>
                <w:color w:val="auto"/>
              </w:rPr>
            </w:pPr>
          </w:p>
        </w:tc>
      </w:tr>
      <w:tr>
        <w:trPr>
          <w:trHeight w:val="333"/>
        </w:trPr>
        <w:tc>
          <w:tcPr>
            <w:tcW w:w="5380" w:type="dxa"/>
            <w:vAlign w:val="bottom"/>
          </w:tcPr>
          <w:p>
            <w:pPr>
              <w:spacing w:after="0"/>
              <w:rPr>
                <w:rFonts w:ascii="Arial" w:cs="Arial" w:eastAsia="Arial" w:hAnsi="Arial"/>
                <w:sz w:val="21"/>
                <w:szCs w:val="21"/>
                <w:color w:val="auto"/>
              </w:rPr>
            </w:pPr>
            <w:hyperlink w:anchor="page148">
              <w:r>
                <w:rPr>
                  <w:rFonts w:ascii="Arial" w:cs="Arial" w:eastAsia="Arial" w:hAnsi="Arial"/>
                  <w:sz w:val="21"/>
                  <w:szCs w:val="21"/>
                  <w:color w:val="auto"/>
                </w:rPr>
                <w:t>Information About the 2022 Annual Meeting</w:t>
              </w:r>
            </w:hyperlink>
          </w:p>
        </w:tc>
        <w:tc>
          <w:tcPr>
            <w:tcW w:w="5880" w:type="dxa"/>
            <w:vAlign w:val="bottom"/>
          </w:tcPr>
          <w:p>
            <w:pPr>
              <w:jc w:val="right"/>
              <w:ind w:right="5315"/>
              <w:spacing w:after="0"/>
              <w:rPr>
                <w:rFonts w:ascii="Arial" w:cs="Arial" w:eastAsia="Arial" w:hAnsi="Arial"/>
                <w:sz w:val="21"/>
                <w:szCs w:val="21"/>
                <w:b w:val="1"/>
                <w:bCs w:val="1"/>
                <w:color w:val="125288"/>
              </w:rPr>
            </w:pPr>
            <w:hyperlink w:anchor="page148">
              <w:r>
                <w:rPr>
                  <w:rFonts w:ascii="Arial" w:cs="Arial" w:eastAsia="Arial" w:hAnsi="Arial"/>
                  <w:sz w:val="21"/>
                  <w:szCs w:val="21"/>
                  <w:b w:val="1"/>
                  <w:bCs w:val="1"/>
                  <w:color w:val="125288"/>
                </w:rPr>
                <w:t>145</w:t>
              </w:r>
            </w:hyperlink>
          </w:p>
        </w:tc>
        <w:tc>
          <w:tcPr>
            <w:tcW w:w="0" w:type="dxa"/>
            <w:vAlign w:val="bottom"/>
          </w:tcPr>
          <w:p>
            <w:pPr>
              <w:spacing w:after="0"/>
              <w:rPr>
                <w:sz w:val="1"/>
                <w:szCs w:val="1"/>
                <w:color w:val="auto"/>
              </w:rPr>
            </w:pPr>
          </w:p>
        </w:tc>
      </w:tr>
      <w:tr>
        <w:trPr>
          <w:trHeight w:val="337"/>
        </w:trPr>
        <w:tc>
          <w:tcPr>
            <w:tcW w:w="5380" w:type="dxa"/>
            <w:vAlign w:val="bottom"/>
          </w:tcPr>
          <w:p>
            <w:pPr>
              <w:spacing w:after="0"/>
              <w:rPr>
                <w:rFonts w:ascii="Arial" w:cs="Arial" w:eastAsia="Arial" w:hAnsi="Arial"/>
                <w:sz w:val="21"/>
                <w:szCs w:val="21"/>
                <w:color w:val="auto"/>
              </w:rPr>
            </w:pPr>
            <w:hyperlink w:anchor="page152">
              <w:r>
                <w:rPr>
                  <w:rFonts w:ascii="Arial" w:cs="Arial" w:eastAsia="Arial" w:hAnsi="Arial"/>
                  <w:sz w:val="21"/>
                  <w:szCs w:val="21"/>
                  <w:color w:val="auto"/>
                </w:rPr>
                <w:t>Director Nominations and Other Shareholder Proposals</w:t>
              </w:r>
            </w:hyperlink>
          </w:p>
        </w:tc>
        <w:tc>
          <w:tcPr>
            <w:tcW w:w="5880" w:type="dxa"/>
            <w:vAlign w:val="bottom"/>
            <w:vMerge w:val="restart"/>
          </w:tcPr>
          <w:p>
            <w:pPr>
              <w:jc w:val="right"/>
              <w:ind w:right="5315"/>
              <w:spacing w:after="0"/>
              <w:rPr>
                <w:rFonts w:ascii="Arial" w:cs="Arial" w:eastAsia="Arial" w:hAnsi="Arial"/>
                <w:sz w:val="21"/>
                <w:szCs w:val="21"/>
                <w:b w:val="1"/>
                <w:bCs w:val="1"/>
                <w:color w:val="125288"/>
              </w:rPr>
            </w:pPr>
            <w:hyperlink w:anchor="page152">
              <w:r>
                <w:rPr>
                  <w:rFonts w:ascii="Arial" w:cs="Arial" w:eastAsia="Arial" w:hAnsi="Arial"/>
                  <w:sz w:val="21"/>
                  <w:szCs w:val="21"/>
                  <w:b w:val="1"/>
                  <w:bCs w:val="1"/>
                  <w:color w:val="125288"/>
                </w:rPr>
                <w:t>149</w:t>
              </w:r>
            </w:hyperlink>
          </w:p>
        </w:tc>
        <w:tc>
          <w:tcPr>
            <w:tcW w:w="0" w:type="dxa"/>
            <w:vAlign w:val="bottom"/>
          </w:tcPr>
          <w:p>
            <w:pPr>
              <w:spacing w:after="0"/>
              <w:rPr>
                <w:sz w:val="1"/>
                <w:szCs w:val="1"/>
                <w:color w:val="auto"/>
              </w:rPr>
            </w:pPr>
          </w:p>
        </w:tc>
      </w:tr>
      <w:tr>
        <w:trPr>
          <w:trHeight w:val="258"/>
        </w:trPr>
        <w:tc>
          <w:tcPr>
            <w:tcW w:w="5380" w:type="dxa"/>
            <w:vAlign w:val="bottom"/>
          </w:tcPr>
          <w:p>
            <w:pPr>
              <w:spacing w:after="0"/>
              <w:rPr>
                <w:rFonts w:ascii="Arial" w:cs="Arial" w:eastAsia="Arial" w:hAnsi="Arial"/>
                <w:sz w:val="21"/>
                <w:szCs w:val="21"/>
                <w:color w:val="auto"/>
              </w:rPr>
            </w:pPr>
            <w:hyperlink w:anchor="page152">
              <w:r>
                <w:rPr>
                  <w:rFonts w:ascii="Arial" w:cs="Arial" w:eastAsia="Arial" w:hAnsi="Arial"/>
                  <w:sz w:val="21"/>
                  <w:szCs w:val="21"/>
                  <w:color w:val="auto"/>
                </w:rPr>
                <w:t>for our 2023 Annual Meeting</w:t>
              </w:r>
            </w:hyperlink>
          </w:p>
        </w:tc>
        <w:tc>
          <w:tcPr>
            <w:tcW w:w="5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37"/>
        </w:trPr>
        <w:tc>
          <w:tcPr>
            <w:tcW w:w="5380" w:type="dxa"/>
            <w:vAlign w:val="bottom"/>
          </w:tcPr>
          <w:p>
            <w:pPr>
              <w:spacing w:after="0"/>
              <w:rPr>
                <w:rFonts w:ascii="Arial" w:cs="Arial" w:eastAsia="Arial" w:hAnsi="Arial"/>
                <w:sz w:val="21"/>
                <w:szCs w:val="21"/>
                <w:color w:val="auto"/>
              </w:rPr>
            </w:pPr>
            <w:hyperlink w:anchor="page154">
              <w:r>
                <w:rPr>
                  <w:rFonts w:ascii="Arial" w:cs="Arial" w:eastAsia="Arial" w:hAnsi="Arial"/>
                  <w:sz w:val="21"/>
                  <w:szCs w:val="21"/>
                  <w:color w:val="auto"/>
                </w:rPr>
                <w:t>Availability of Proxy Materials on the Internet; Delivery</w:t>
              </w:r>
            </w:hyperlink>
          </w:p>
        </w:tc>
        <w:tc>
          <w:tcPr>
            <w:tcW w:w="5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80" w:type="dxa"/>
            <w:vAlign w:val="bottom"/>
          </w:tcPr>
          <w:p>
            <w:pPr>
              <w:spacing w:after="0"/>
              <w:rPr>
                <w:rFonts w:ascii="Arial" w:cs="Arial" w:eastAsia="Arial" w:hAnsi="Arial"/>
                <w:sz w:val="21"/>
                <w:szCs w:val="21"/>
                <w:color w:val="auto"/>
              </w:rPr>
            </w:pPr>
            <w:hyperlink w:anchor="page154">
              <w:r>
                <w:rPr>
                  <w:rFonts w:ascii="Arial" w:cs="Arial" w:eastAsia="Arial" w:hAnsi="Arial"/>
                  <w:sz w:val="21"/>
                  <w:szCs w:val="21"/>
                  <w:color w:val="auto"/>
                </w:rPr>
                <w:t>of Documents to Security Holders Sharing an Address;</w:t>
              </w:r>
            </w:hyperlink>
          </w:p>
        </w:tc>
        <w:tc>
          <w:tcPr>
            <w:tcW w:w="5880" w:type="dxa"/>
            <w:vAlign w:val="bottom"/>
            <w:vMerge w:val="restart"/>
          </w:tcPr>
          <w:p>
            <w:pPr>
              <w:jc w:val="right"/>
              <w:ind w:right="5315"/>
              <w:spacing w:after="0"/>
              <w:rPr>
                <w:rFonts w:ascii="Arial" w:cs="Arial" w:eastAsia="Arial" w:hAnsi="Arial"/>
                <w:sz w:val="21"/>
                <w:szCs w:val="21"/>
                <w:b w:val="1"/>
                <w:bCs w:val="1"/>
                <w:color w:val="125288"/>
              </w:rPr>
            </w:pPr>
            <w:hyperlink w:anchor="page154">
              <w:r>
                <w:rPr>
                  <w:rFonts w:ascii="Arial" w:cs="Arial" w:eastAsia="Arial" w:hAnsi="Arial"/>
                  <w:sz w:val="21"/>
                  <w:szCs w:val="21"/>
                  <w:b w:val="1"/>
                  <w:bCs w:val="1"/>
                  <w:color w:val="125288"/>
                </w:rPr>
                <w:t>151</w:t>
              </w:r>
            </w:hyperlink>
          </w:p>
        </w:tc>
        <w:tc>
          <w:tcPr>
            <w:tcW w:w="0" w:type="dxa"/>
            <w:vAlign w:val="bottom"/>
          </w:tcPr>
          <w:p>
            <w:pPr>
              <w:spacing w:after="0"/>
              <w:rPr>
                <w:sz w:val="1"/>
                <w:szCs w:val="1"/>
                <w:color w:val="auto"/>
              </w:rPr>
            </w:pPr>
          </w:p>
        </w:tc>
      </w:tr>
      <w:tr>
        <w:trPr>
          <w:trHeight w:val="258"/>
        </w:trPr>
        <w:tc>
          <w:tcPr>
            <w:tcW w:w="5380" w:type="dxa"/>
            <w:vAlign w:val="bottom"/>
          </w:tcPr>
          <w:p>
            <w:pPr>
              <w:spacing w:after="0"/>
              <w:rPr>
                <w:rFonts w:ascii="Arial" w:cs="Arial" w:eastAsia="Arial" w:hAnsi="Arial"/>
                <w:sz w:val="21"/>
                <w:szCs w:val="21"/>
                <w:color w:val="auto"/>
              </w:rPr>
            </w:pPr>
            <w:hyperlink w:anchor="page154">
              <w:r>
                <w:rPr>
                  <w:rFonts w:ascii="Arial" w:cs="Arial" w:eastAsia="Arial" w:hAnsi="Arial"/>
                  <w:sz w:val="21"/>
                  <w:szCs w:val="21"/>
                  <w:color w:val="auto"/>
                </w:rPr>
                <w:t>Financial and Other Information</w:t>
              </w:r>
            </w:hyperlink>
          </w:p>
        </w:tc>
        <w:tc>
          <w:tcPr>
            <w:tcW w:w="5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45"/>
        </w:trPr>
        <w:tc>
          <w:tcPr>
            <w:tcW w:w="5380" w:type="dxa"/>
            <w:vAlign w:val="bottom"/>
          </w:tcPr>
          <w:p>
            <w:pPr>
              <w:spacing w:after="0"/>
              <w:rPr>
                <w:rFonts w:ascii="Arial" w:cs="Arial" w:eastAsia="Arial" w:hAnsi="Arial"/>
                <w:sz w:val="21"/>
                <w:szCs w:val="21"/>
                <w:color w:val="auto"/>
              </w:rPr>
            </w:pPr>
            <w:hyperlink w:anchor="page155">
              <w:r>
                <w:rPr>
                  <w:rFonts w:ascii="Arial" w:cs="Arial" w:eastAsia="Arial" w:hAnsi="Arial"/>
                  <w:sz w:val="21"/>
                  <w:szCs w:val="21"/>
                  <w:color w:val="auto"/>
                </w:rPr>
                <w:t>Other Matters</w:t>
              </w:r>
            </w:hyperlink>
          </w:p>
        </w:tc>
        <w:tc>
          <w:tcPr>
            <w:tcW w:w="5880" w:type="dxa"/>
            <w:vAlign w:val="bottom"/>
          </w:tcPr>
          <w:p>
            <w:pPr>
              <w:jc w:val="right"/>
              <w:ind w:right="5315"/>
              <w:spacing w:after="0"/>
              <w:rPr>
                <w:rFonts w:ascii="Arial" w:cs="Arial" w:eastAsia="Arial" w:hAnsi="Arial"/>
                <w:sz w:val="21"/>
                <w:szCs w:val="21"/>
                <w:b w:val="1"/>
                <w:bCs w:val="1"/>
                <w:color w:val="125288"/>
              </w:rPr>
            </w:pPr>
            <w:hyperlink w:anchor="page155">
              <w:r>
                <w:rPr>
                  <w:rFonts w:ascii="Arial" w:cs="Arial" w:eastAsia="Arial" w:hAnsi="Arial"/>
                  <w:sz w:val="21"/>
                  <w:szCs w:val="21"/>
                  <w:b w:val="1"/>
                  <w:bCs w:val="1"/>
                  <w:color w:val="125288"/>
                </w:rPr>
                <w:t>152</w:t>
              </w:r>
            </w:hyperlink>
          </w:p>
        </w:tc>
        <w:tc>
          <w:tcPr>
            <w:tcW w:w="0" w:type="dxa"/>
            <w:vAlign w:val="bottom"/>
          </w:tcPr>
          <w:p>
            <w:pPr>
              <w:spacing w:after="0"/>
              <w:rPr>
                <w:sz w:val="1"/>
                <w:szCs w:val="1"/>
                <w:color w:val="auto"/>
              </w:rPr>
            </w:pPr>
          </w:p>
        </w:tc>
      </w:tr>
      <w:tr>
        <w:trPr>
          <w:trHeight w:val="345"/>
        </w:trPr>
        <w:tc>
          <w:tcPr>
            <w:tcW w:w="5380" w:type="dxa"/>
            <w:vAlign w:val="bottom"/>
          </w:tcPr>
          <w:p>
            <w:pPr>
              <w:spacing w:after="0"/>
              <w:rPr>
                <w:rFonts w:ascii="Arial" w:cs="Arial" w:eastAsia="Arial" w:hAnsi="Arial"/>
                <w:sz w:val="21"/>
                <w:szCs w:val="21"/>
                <w:color w:val="auto"/>
              </w:rPr>
            </w:pPr>
            <w:hyperlink w:anchor="page156">
              <w:r>
                <w:rPr>
                  <w:rFonts w:ascii="Arial" w:cs="Arial" w:eastAsia="Arial" w:hAnsi="Arial"/>
                  <w:sz w:val="21"/>
                  <w:szCs w:val="21"/>
                  <w:color w:val="auto"/>
                </w:rPr>
                <w:t>Helpful Resources</w:t>
              </w:r>
            </w:hyperlink>
          </w:p>
        </w:tc>
        <w:tc>
          <w:tcPr>
            <w:tcW w:w="5880" w:type="dxa"/>
            <w:vAlign w:val="bottom"/>
          </w:tcPr>
          <w:p>
            <w:pPr>
              <w:jc w:val="right"/>
              <w:ind w:right="5315"/>
              <w:spacing w:after="0"/>
              <w:rPr>
                <w:rFonts w:ascii="Arial" w:cs="Arial" w:eastAsia="Arial" w:hAnsi="Arial"/>
                <w:sz w:val="21"/>
                <w:szCs w:val="21"/>
                <w:b w:val="1"/>
                <w:bCs w:val="1"/>
                <w:color w:val="125288"/>
              </w:rPr>
            </w:pPr>
            <w:hyperlink w:anchor="page156">
              <w:r>
                <w:rPr>
                  <w:rFonts w:ascii="Arial" w:cs="Arial" w:eastAsia="Arial" w:hAnsi="Arial"/>
                  <w:sz w:val="21"/>
                  <w:szCs w:val="21"/>
                  <w:b w:val="1"/>
                  <w:bCs w:val="1"/>
                  <w:color w:val="125288"/>
                </w:rPr>
                <w:t>153</w:t>
              </w:r>
            </w:hyperlink>
          </w:p>
        </w:tc>
        <w:tc>
          <w:tcPr>
            <w:tcW w:w="0" w:type="dxa"/>
            <w:vAlign w:val="bottom"/>
          </w:tcPr>
          <w:p>
            <w:pPr>
              <w:spacing w:after="0"/>
              <w:rPr>
                <w:sz w:val="1"/>
                <w:szCs w:val="1"/>
                <w:color w:val="auto"/>
              </w:rPr>
            </w:pPr>
          </w:p>
        </w:tc>
      </w:tr>
      <w:tr>
        <w:trPr>
          <w:trHeight w:val="406"/>
        </w:trPr>
        <w:tc>
          <w:tcPr>
            <w:tcW w:w="5380" w:type="dxa"/>
            <w:vAlign w:val="bottom"/>
          </w:tcPr>
          <w:p>
            <w:pPr>
              <w:spacing w:after="0"/>
              <w:rPr>
                <w:sz w:val="20"/>
                <w:szCs w:val="20"/>
                <w:color w:val="auto"/>
              </w:rPr>
            </w:pPr>
            <w:r>
              <w:rPr>
                <w:rFonts w:ascii="Arial" w:cs="Arial" w:eastAsia="Arial" w:hAnsi="Arial"/>
                <w:sz w:val="14"/>
                <w:szCs w:val="14"/>
                <w:color w:val="706F6F"/>
              </w:rPr>
              <w:t>www.activisionblizzard.com</w:t>
            </w:r>
          </w:p>
        </w:tc>
        <w:tc>
          <w:tcPr>
            <w:tcW w:w="5880" w:type="dxa"/>
            <w:vAlign w:val="bottom"/>
          </w:tcPr>
          <w:p>
            <w:pPr>
              <w:jc w:val="right"/>
              <w:spacing w:after="0"/>
              <w:rPr>
                <w:sz w:val="20"/>
                <w:szCs w:val="20"/>
                <w:color w:val="auto"/>
              </w:rPr>
            </w:pPr>
            <w:r>
              <w:rPr>
                <w:rFonts w:ascii="Arial" w:cs="Arial" w:eastAsia="Arial" w:hAnsi="Arial"/>
                <w:sz w:val="14"/>
                <w:szCs w:val="14"/>
                <w:color w:val="706F6F"/>
              </w:rPr>
              <w:t>ACTIVISION BLIZZARD, INC.  2022 Proxy Statement</w:t>
            </w:r>
          </w:p>
        </w:tc>
        <w:tc>
          <w:tcPr>
            <w:tcW w:w="0" w:type="dxa"/>
            <w:vAlign w:val="bottom"/>
          </w:tcPr>
          <w:p>
            <w:pPr>
              <w:spacing w:after="0"/>
              <w:rPr>
                <w:sz w:val="1"/>
                <w:szCs w:val="1"/>
                <w:color w:val="auto"/>
              </w:rPr>
            </w:pPr>
          </w:p>
        </w:tc>
      </w:tr>
      <w:tr>
        <w:trPr>
          <w:trHeight w:val="93"/>
        </w:trPr>
        <w:tc>
          <w:tcPr>
            <w:tcW w:w="5380" w:type="dxa"/>
            <w:vAlign w:val="bottom"/>
            <w:tcBorders>
              <w:bottom w:val="single" w:sz="8" w:color="808080"/>
            </w:tcBorders>
          </w:tcPr>
          <w:p>
            <w:pPr>
              <w:spacing w:after="0"/>
              <w:rPr>
                <w:sz w:val="8"/>
                <w:szCs w:val="8"/>
                <w:color w:val="auto"/>
              </w:rPr>
            </w:pPr>
          </w:p>
        </w:tc>
        <w:tc>
          <w:tcPr>
            <w:tcW w:w="58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19" w:right="319" w:bottom="1440" w:gutter="0" w:footer="0" w:header="0"/>
        </w:sectPr>
      </w:pPr>
    </w:p>
    <w:bookmarkStart w:id="7" w:name="page8"/>
    <w:bookmarkEnd w:id="7"/>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35" w:lineRule="exact"/>
        <w:rPr>
          <w:sz w:val="20"/>
          <w:szCs w:val="20"/>
          <w:color w:val="auto"/>
        </w:rPr>
      </w:pPr>
    </w:p>
    <w:p>
      <w:pPr>
        <w:jc w:val="right"/>
        <w:ind w:right="3159"/>
        <w:spacing w:after="0"/>
        <w:rPr>
          <w:sz w:val="20"/>
          <w:szCs w:val="20"/>
          <w:color w:val="auto"/>
        </w:rPr>
      </w:pPr>
      <w:r>
        <w:rPr>
          <w:rFonts w:ascii="Arial" w:cs="Arial" w:eastAsia="Arial" w:hAnsi="Arial"/>
          <w:sz w:val="19"/>
          <w:szCs w:val="19"/>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174625</wp:posOffset>
            </wp:positionV>
            <wp:extent cx="714883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0139"/>
          </w:cols>
          <w:pgMar w:left="320" w:top="144" w:right="1440" w:bottom="1440" w:gutter="0" w:footer="0" w:header="0"/>
        </w:sectPr>
      </w:pPr>
    </w:p>
    <w:bookmarkStart w:id="8" w:name="page9"/>
    <w:bookmarkEnd w:id="8"/>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sz w:val="1"/>
          <w:szCs w:val="1"/>
          <w:color w:val="auto"/>
        </w:rPr>
        <w:drawing>
          <wp:inline distT="0" distB="0" distL="0" distR="0">
            <wp:extent cx="445135" cy="15113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45135" cy="151130"/>
                    </a:xfrm>
                    <a:prstGeom prst="rect">
                      <a:avLst/>
                    </a:prstGeom>
                    <a:noFill/>
                    <a:ln>
                      <a:noFill/>
                    </a:ln>
                  </pic:spPr>
                </pic:pic>
              </a:graphicData>
            </a:graphic>
          </wp:inline>
        </w:drawing>
      </w:r>
      <w:r>
        <w:rPr>
          <w:rFonts w:ascii="Arial" w:cs="Arial" w:eastAsia="Arial" w:hAnsi="Arial"/>
          <w:sz w:val="31"/>
          <w:szCs w:val="31"/>
          <w:b w:val="1"/>
          <w:bCs w:val="1"/>
          <w:color w:val="125288"/>
        </w:rPr>
        <w:t xml:space="preserve"> PROXY SUMMARY</w:t>
      </w:r>
    </w:p>
    <w:p>
      <w:pPr>
        <w:spacing w:after="0" w:line="173" w:lineRule="exact"/>
        <w:rPr>
          <w:sz w:val="20"/>
          <w:szCs w:val="20"/>
          <w:color w:val="auto"/>
        </w:rPr>
      </w:pPr>
    </w:p>
    <w:p>
      <w:pPr>
        <w:jc w:val="both"/>
        <w:ind w:right="20"/>
        <w:spacing w:after="0" w:line="243" w:lineRule="auto"/>
        <w:rPr>
          <w:sz w:val="20"/>
          <w:szCs w:val="20"/>
          <w:color w:val="auto"/>
        </w:rPr>
      </w:pPr>
      <w:r>
        <w:rPr>
          <w:rFonts w:ascii="Arial" w:cs="Arial" w:eastAsia="Arial" w:hAnsi="Arial"/>
          <w:sz w:val="19"/>
          <w:szCs w:val="19"/>
          <w:i w:val="1"/>
          <w:iCs w:val="1"/>
          <w:color w:val="auto"/>
        </w:rPr>
        <w:t>This summary highlights information contained elsewhere in this proxy statement for the 2022 annual meeting of the shareholders of Activision Blizzard, Inc., a Delaware corporation (the “Company”). This summary does not contain all the information that you should consider, and you should read the entire proxy statement before voting. For more complete information regarding the Company’s 2021 performance, please review our 2021 annual report, which is being provided to our shareholders at the same time as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1687830</wp:posOffset>
            </wp:positionH>
            <wp:positionV relativeFrom="paragraph">
              <wp:posOffset>83820</wp:posOffset>
            </wp:positionV>
            <wp:extent cx="3774440" cy="28987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774440" cy="289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HOW OUR 2021 FINANCIAL PERFORMANCE BUILT ON A BREAKOUT 2020</w:t>
      </w:r>
    </w:p>
    <w:p>
      <w:pPr>
        <w:spacing w:after="0" w:line="30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Activision Blizzard delivered record full-year GAAP results in 2021, growing net revenues 9% year-over-year, operating profit 19% year-over-year, EPS 22% year-over-year, and operating cash flow 7% year-over-year, building upon very strong results in 2020. Net bookings, which is an operating metric, was broadly consistent at 1% lower year-over-year, following the Company's historic and unprecedented performance in 2020.</w:t>
      </w:r>
    </w:p>
    <w:p>
      <w:pPr>
        <w:spacing w:after="0" w:line="132" w:lineRule="exact"/>
        <w:rPr>
          <w:sz w:val="20"/>
          <w:szCs w:val="20"/>
          <w:color w:val="auto"/>
        </w:rPr>
      </w:pPr>
    </w:p>
    <w:p>
      <w:pPr>
        <w:jc w:val="both"/>
        <w:spacing w:after="0"/>
        <w:rPr>
          <w:sz w:val="20"/>
          <w:szCs w:val="20"/>
          <w:color w:val="auto"/>
        </w:rPr>
      </w:pPr>
      <w:r>
        <w:rPr>
          <w:rFonts w:ascii="Arial" w:cs="Arial" w:eastAsia="Arial" w:hAnsi="Arial"/>
          <w:sz w:val="19"/>
          <w:szCs w:val="19"/>
          <w:color w:val="auto"/>
        </w:rPr>
        <w:t>This performance was driven by increased investment in our biggest franchises and opportunities, and the commitment and focus of our talented employees despite the ongoing challenges of working remotely. Growing our developer base remains one of our strategic priorities, and we increased our developer headcount in 2021, adding hundreds of talented professionals to our teams.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85725</wp:posOffset>
            </wp:positionV>
            <wp:extent cx="6038850" cy="4106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8850" cy="4106545"/>
                    </a:xfrm>
                    <a:prstGeom prst="rect">
                      <a:avLst/>
                    </a:prstGeom>
                    <a:noFill/>
                  </pic:spPr>
                </pic:pic>
              </a:graphicData>
            </a:graphic>
          </wp:anchor>
        </w:drawing>
      </w:r>
    </w:p>
    <w:p>
      <w:pPr>
        <w:sectPr>
          <w:pgSz w:w="11900" w:h="16838" w:orient="portrait"/>
          <w:cols w:equalWidth="0" w:num="1">
            <w:col w:w="11260"/>
          </w:cols>
          <w:pgMar w:left="320" w:top="144"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7360" w:val="left"/>
          <w:tab w:leader="none" w:pos="9380" w:val="left"/>
          <w:tab w:leader="none" w:pos="1116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7</w:t>
      </w:r>
    </w:p>
    <w:p>
      <w:pPr>
        <w:spacing w:after="0" w:line="20" w:lineRule="exact"/>
        <w:rPr>
          <w:sz w:val="20"/>
          <w:szCs w:val="20"/>
          <w:color w:val="auto"/>
        </w:rPr>
      </w:pPr>
    </w:p>
    <w:p>
      <w:pPr>
        <w:sectPr>
          <w:pgSz w:w="11900" w:h="16838" w:orient="portrait"/>
          <w:cols w:equalWidth="0" w:num="1">
            <w:col w:w="11260"/>
          </w:cols>
          <w:pgMar w:left="320" w:top="144" w:right="319" w:bottom="0" w:gutter="0" w:footer="0" w:header="0"/>
          <w:type w:val="continuous"/>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4883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ind w:left="5"/>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10" w:lineRule="exact"/>
        <w:rPr>
          <w:sz w:val="20"/>
          <w:szCs w:val="20"/>
          <w:color w:val="auto"/>
        </w:rPr>
      </w:pPr>
    </w:p>
    <w:p>
      <w:pPr>
        <w:ind w:left="5"/>
        <w:spacing w:after="0"/>
        <w:rPr>
          <w:sz w:val="20"/>
          <w:szCs w:val="20"/>
          <w:color w:val="auto"/>
        </w:rPr>
      </w:pPr>
      <w:r>
        <w:rPr>
          <w:rFonts w:ascii="Arial" w:cs="Arial" w:eastAsia="Arial" w:hAnsi="Arial"/>
          <w:sz w:val="26"/>
          <w:szCs w:val="26"/>
          <w:b w:val="1"/>
          <w:bCs w:val="1"/>
          <w:color w:val="auto"/>
        </w:rPr>
        <w:t>EXECUTIVE COMPENSATION HIGHLIGHTS</w:t>
      </w:r>
    </w:p>
    <w:p>
      <w:pPr>
        <w:spacing w:after="0" w:line="309" w:lineRule="exact"/>
        <w:rPr>
          <w:sz w:val="20"/>
          <w:szCs w:val="20"/>
          <w:color w:val="auto"/>
        </w:rPr>
      </w:pPr>
    </w:p>
    <w:p>
      <w:pPr>
        <w:jc w:val="both"/>
        <w:ind w:left="5" w:right="20"/>
        <w:spacing w:after="0" w:line="245" w:lineRule="auto"/>
        <w:rPr>
          <w:sz w:val="20"/>
          <w:szCs w:val="20"/>
          <w:color w:val="auto"/>
        </w:rPr>
      </w:pPr>
      <w:r>
        <w:rPr>
          <w:rFonts w:ascii="Arial" w:cs="Arial" w:eastAsia="Arial" w:hAnsi="Arial"/>
          <w:sz w:val="19"/>
          <w:szCs w:val="19"/>
          <w:color w:val="auto"/>
        </w:rPr>
        <w:t>Our executive compensation program is designed to motivate and reward exceptional performance, while holding executives accountable for driving future growth.</w:t>
      </w:r>
    </w:p>
    <w:p>
      <w:pPr>
        <w:spacing w:after="0" w:line="255" w:lineRule="exact"/>
        <w:rPr>
          <w:sz w:val="20"/>
          <w:szCs w:val="20"/>
          <w:color w:val="auto"/>
        </w:rPr>
      </w:pPr>
    </w:p>
    <w:p>
      <w:pPr>
        <w:jc w:val="both"/>
        <w:ind w:left="5"/>
        <w:spacing w:after="0" w:line="237" w:lineRule="auto"/>
        <w:rPr>
          <w:sz w:val="20"/>
          <w:szCs w:val="20"/>
          <w:color w:val="auto"/>
        </w:rPr>
      </w:pPr>
      <w:r>
        <w:rPr>
          <w:rFonts w:ascii="Arial" w:cs="Arial" w:eastAsia="Arial" w:hAnsi="Arial"/>
          <w:sz w:val="19"/>
          <w:szCs w:val="19"/>
          <w:color w:val="auto"/>
        </w:rPr>
        <w:t>A majority of the shareholders who voted at our 2021 annual meeting, representing approximately 56% of the total votes cast, voted in support of our say-on-pay proposal. Going forward, our program is better designed to align executive performance and compensation with the interests of our shareholders. We continued our dialogue with shareholders throughout 2021 and heard that many of our investors approved of the changes we implemented in our executive pay practices. Those changes included making substantial adjustments to our CEO’s compensation, increasing the focus on financial performance and adding ESG objectives in our short-term incentive plan, placing more emphasis on performance-based equity incentive awards, and increasing disclosure around executive pay decision-making.</w:t>
      </w:r>
    </w:p>
    <w:p>
      <w:pPr>
        <w:spacing w:after="0" w:line="236" w:lineRule="exact"/>
        <w:rPr>
          <w:sz w:val="20"/>
          <w:szCs w:val="20"/>
          <w:color w:val="auto"/>
        </w:rPr>
      </w:pPr>
    </w:p>
    <w:p>
      <w:pPr>
        <w:ind w:left="5"/>
        <w:spacing w:after="0"/>
        <w:rPr>
          <w:sz w:val="20"/>
          <w:szCs w:val="20"/>
          <w:color w:val="auto"/>
        </w:rPr>
      </w:pPr>
      <w:r>
        <w:rPr>
          <w:rFonts w:ascii="Arial" w:cs="Arial" w:eastAsia="Arial" w:hAnsi="Arial"/>
          <w:sz w:val="24"/>
          <w:szCs w:val="24"/>
          <w:b w:val="1"/>
          <w:bCs w:val="1"/>
          <w:color w:val="auto"/>
        </w:rPr>
        <w:t>Compensation Aligns Pay with Performance</w:t>
      </w:r>
    </w:p>
    <w:p>
      <w:pPr>
        <w:spacing w:after="0" w:line="142" w:lineRule="exact"/>
        <w:rPr>
          <w:sz w:val="20"/>
          <w:szCs w:val="20"/>
          <w:color w:val="auto"/>
        </w:rPr>
      </w:pPr>
    </w:p>
    <w:p>
      <w:pPr>
        <w:jc w:val="both"/>
        <w:ind w:left="5" w:right="20"/>
        <w:spacing w:after="0" w:line="232" w:lineRule="auto"/>
        <w:rPr>
          <w:sz w:val="20"/>
          <w:szCs w:val="20"/>
          <w:color w:val="auto"/>
        </w:rPr>
      </w:pPr>
      <w:r>
        <w:rPr>
          <w:rFonts w:ascii="Arial" w:cs="Arial" w:eastAsia="Arial" w:hAnsi="Arial"/>
          <w:sz w:val="19"/>
          <w:szCs w:val="19"/>
          <w:color w:val="auto"/>
        </w:rPr>
        <w:t>In recent years, the Company has continued to deliver financial success, including through launching free-to-play and mobile offerings in the multi-billion-dollar Call of Duty franchise, creating new experiences for World of Warcraft</w:t>
      </w:r>
      <w:r>
        <w:rPr>
          <w:rFonts w:ascii="Arial" w:cs="Arial" w:eastAsia="Arial" w:hAnsi="Arial"/>
          <w:sz w:val="21"/>
          <w:szCs w:val="21"/>
          <w:color w:val="auto"/>
          <w:vertAlign w:val="superscript"/>
        </w:rPr>
        <w:t>®</w:t>
      </w:r>
      <w:r>
        <w:rPr>
          <w:rFonts w:ascii="Arial" w:cs="Arial" w:eastAsia="Arial" w:hAnsi="Arial"/>
          <w:sz w:val="19"/>
          <w:szCs w:val="19"/>
          <w:color w:val="auto"/>
        </w:rPr>
        <w:t>, and driving growth in in-game spending and advertising for Candy Crush.</w:t>
      </w:r>
    </w:p>
    <w:p>
      <w:pPr>
        <w:spacing w:after="0" w:line="260" w:lineRule="exact"/>
        <w:rPr>
          <w:sz w:val="20"/>
          <w:szCs w:val="20"/>
          <w:color w:val="auto"/>
        </w:rPr>
      </w:pPr>
    </w:p>
    <w:p>
      <w:pPr>
        <w:jc w:val="both"/>
        <w:ind w:left="5"/>
        <w:spacing w:after="0" w:line="238" w:lineRule="auto"/>
        <w:rPr>
          <w:sz w:val="20"/>
          <w:szCs w:val="20"/>
          <w:color w:val="auto"/>
        </w:rPr>
      </w:pPr>
      <w:r>
        <w:rPr>
          <w:rFonts w:ascii="Arial" w:cs="Arial" w:eastAsia="Arial" w:hAnsi="Arial"/>
          <w:sz w:val="19"/>
          <w:szCs w:val="19"/>
          <w:color w:val="auto"/>
        </w:rPr>
        <w:t>While our 2021 results represent strong performance following a very successful 2020, the Company did not reach all the financial targets that management established and our Board approved. As discussed in detail herein, this performance was directly reflected in our executive compensation, including a zero payout for our annual incentive plan, and an average payout of 41% on our performance-based stock awards based in whole or in part on 2021 performance.</w:t>
      </w:r>
    </w:p>
    <w:p>
      <w:pPr>
        <w:spacing w:after="0" w:line="263" w:lineRule="exact"/>
        <w:rPr>
          <w:sz w:val="20"/>
          <w:szCs w:val="20"/>
          <w:color w:val="auto"/>
        </w:rPr>
      </w:pPr>
    </w:p>
    <w:p>
      <w:pPr>
        <w:jc w:val="both"/>
        <w:ind w:left="5" w:right="20"/>
        <w:spacing w:after="0" w:line="245" w:lineRule="auto"/>
        <w:rPr>
          <w:sz w:val="20"/>
          <w:szCs w:val="20"/>
          <w:color w:val="auto"/>
        </w:rPr>
      </w:pPr>
      <w:r>
        <w:rPr>
          <w:rFonts w:ascii="Arial" w:cs="Arial" w:eastAsia="Arial" w:hAnsi="Arial"/>
          <w:sz w:val="19"/>
          <w:szCs w:val="19"/>
          <w:color w:val="auto"/>
        </w:rPr>
        <w:t>For a further discussion of how our 2021 performance impacted executive compensation, please see “Executive Compensation— Compensation Discussion and Analysis,” which begins on page 55 of this proxy statement.</w:t>
      </w:r>
    </w:p>
    <w:p>
      <w:pPr>
        <w:spacing w:after="0" w:line="230" w:lineRule="exact"/>
        <w:rPr>
          <w:sz w:val="20"/>
          <w:szCs w:val="20"/>
          <w:color w:val="auto"/>
        </w:rPr>
      </w:pPr>
    </w:p>
    <w:p>
      <w:pPr>
        <w:ind w:left="5"/>
        <w:spacing w:after="0"/>
        <w:rPr>
          <w:sz w:val="20"/>
          <w:szCs w:val="20"/>
          <w:color w:val="auto"/>
        </w:rPr>
      </w:pPr>
      <w:r>
        <w:rPr>
          <w:rFonts w:ascii="Arial" w:cs="Arial" w:eastAsia="Arial" w:hAnsi="Arial"/>
          <w:sz w:val="24"/>
          <w:szCs w:val="24"/>
          <w:b w:val="1"/>
          <w:bCs w:val="1"/>
          <w:color w:val="auto"/>
        </w:rPr>
        <w:t>Reduction to CEO Compensation</w:t>
      </w:r>
    </w:p>
    <w:p>
      <w:pPr>
        <w:spacing w:after="0" w:line="137" w:lineRule="exact"/>
        <w:rPr>
          <w:sz w:val="20"/>
          <w:szCs w:val="20"/>
          <w:color w:val="auto"/>
        </w:rPr>
      </w:pPr>
    </w:p>
    <w:p>
      <w:pPr>
        <w:ind w:left="5"/>
        <w:spacing w:after="0"/>
        <w:rPr>
          <w:sz w:val="20"/>
          <w:szCs w:val="20"/>
          <w:color w:val="auto"/>
        </w:rPr>
      </w:pPr>
      <w:r>
        <w:rPr>
          <w:rFonts w:ascii="Arial" w:cs="Arial" w:eastAsia="Arial" w:hAnsi="Arial"/>
          <w:sz w:val="19"/>
          <w:szCs w:val="19"/>
          <w:color w:val="auto"/>
        </w:rPr>
        <w:t>Our Compensation Committee took steps in April 2021 to specifically address feedback from our shareholders by both amending our</w:t>
      </w:r>
    </w:p>
    <w:p>
      <w:pPr>
        <w:ind w:left="5"/>
        <w:spacing w:after="0"/>
        <w:rPr>
          <w:sz w:val="20"/>
          <w:szCs w:val="20"/>
          <w:color w:val="auto"/>
        </w:rPr>
      </w:pPr>
      <w:r>
        <w:rPr>
          <w:rFonts w:ascii="Arial" w:cs="Arial" w:eastAsia="Arial" w:hAnsi="Arial"/>
          <w:sz w:val="19"/>
          <w:szCs w:val="19"/>
          <w:color w:val="auto"/>
        </w:rPr>
        <w:t>CEO’s employment agreement and extending it through March 31, 2023, including:</w:t>
      </w:r>
    </w:p>
    <w:p>
      <w:pPr>
        <w:spacing w:after="0" w:line="138" w:lineRule="exact"/>
        <w:rPr>
          <w:sz w:val="20"/>
          <w:szCs w:val="20"/>
          <w:color w:val="auto"/>
        </w:rPr>
      </w:pPr>
    </w:p>
    <w:p>
      <w:pPr>
        <w:ind w:left="145" w:right="40" w:hanging="145"/>
        <w:spacing w:after="0" w:line="230" w:lineRule="auto"/>
        <w:tabs>
          <w:tab w:leader="none" w:pos="145" w:val="left"/>
        </w:tabs>
        <w:numPr>
          <w:ilvl w:val="0"/>
          <w:numId w:val="2"/>
        </w:numPr>
        <w:rPr>
          <w:rFonts w:ascii="Arial" w:cs="Arial" w:eastAsia="Arial" w:hAnsi="Arial"/>
          <w:sz w:val="19"/>
          <w:szCs w:val="19"/>
          <w:color w:val="125288"/>
        </w:rPr>
      </w:pPr>
      <w:r>
        <w:rPr>
          <w:rFonts w:ascii="Arial" w:cs="Arial" w:eastAsia="Arial" w:hAnsi="Arial"/>
          <w:sz w:val="19"/>
          <w:szCs w:val="19"/>
          <w:color w:val="auto"/>
        </w:rPr>
        <w:t>Substantially reducing his target cash compensation, which brought his base salary and target bonus below the 25</w:t>
      </w:r>
      <w:r>
        <w:rPr>
          <w:rFonts w:ascii="Arial" w:cs="Arial" w:eastAsia="Arial" w:hAnsi="Arial"/>
          <w:sz w:val="21"/>
          <w:szCs w:val="21"/>
          <w:color w:val="auto"/>
          <w:vertAlign w:val="superscript"/>
        </w:rPr>
        <w:t>th</w:t>
      </w:r>
      <w:r>
        <w:rPr>
          <w:rFonts w:ascii="Arial" w:cs="Arial" w:eastAsia="Arial" w:hAnsi="Arial"/>
          <w:sz w:val="19"/>
          <w:szCs w:val="19"/>
          <w:color w:val="auto"/>
        </w:rPr>
        <w:t xml:space="preserve"> percentile of the combined base salary and target bonus of our peer group CEOs;</w:t>
      </w:r>
    </w:p>
    <w:p>
      <w:pPr>
        <w:spacing w:after="0" w:line="129" w:lineRule="exact"/>
        <w:rPr>
          <w:rFonts w:ascii="Arial" w:cs="Arial" w:eastAsia="Arial" w:hAnsi="Arial"/>
          <w:sz w:val="19"/>
          <w:szCs w:val="19"/>
          <w:color w:val="125288"/>
        </w:rPr>
      </w:pPr>
    </w:p>
    <w:p>
      <w:pPr>
        <w:jc w:val="both"/>
        <w:ind w:left="145" w:right="40" w:hanging="145"/>
        <w:spacing w:after="0" w:line="232" w:lineRule="auto"/>
        <w:tabs>
          <w:tab w:leader="none" w:pos="145" w:val="left"/>
        </w:tabs>
        <w:numPr>
          <w:ilvl w:val="0"/>
          <w:numId w:val="2"/>
        </w:numPr>
        <w:rPr>
          <w:rFonts w:ascii="Arial" w:cs="Arial" w:eastAsia="Arial" w:hAnsi="Arial"/>
          <w:sz w:val="19"/>
          <w:szCs w:val="19"/>
          <w:color w:val="125288"/>
        </w:rPr>
      </w:pPr>
      <w:r>
        <w:rPr>
          <w:rFonts w:ascii="Arial" w:cs="Arial" w:eastAsia="Arial" w:hAnsi="Arial"/>
          <w:sz w:val="19"/>
          <w:szCs w:val="19"/>
          <w:color w:val="auto"/>
        </w:rPr>
        <w:t>Limiting the target grant date value of his annual long-term incentive awards for 2021 and 2022 to no greater than the 50</w:t>
      </w:r>
      <w:r>
        <w:rPr>
          <w:rFonts w:ascii="Arial" w:cs="Arial" w:eastAsia="Arial" w:hAnsi="Arial"/>
          <w:sz w:val="21"/>
          <w:szCs w:val="21"/>
          <w:color w:val="auto"/>
          <w:vertAlign w:val="superscript"/>
        </w:rPr>
        <w:t>th</w:t>
      </w:r>
      <w:r>
        <w:rPr>
          <w:rFonts w:ascii="Arial" w:cs="Arial" w:eastAsia="Arial" w:hAnsi="Arial"/>
          <w:sz w:val="19"/>
          <w:szCs w:val="19"/>
          <w:color w:val="auto"/>
        </w:rPr>
        <w:t xml:space="preserve"> percentile of the peer CEO LTI grant values and ensuring these awards are denominated in performance-vesting restricted share units; and</w:t>
      </w:r>
    </w:p>
    <w:p>
      <w:pPr>
        <w:spacing w:after="0" w:line="128" w:lineRule="exact"/>
        <w:rPr>
          <w:rFonts w:ascii="Arial" w:cs="Arial" w:eastAsia="Arial" w:hAnsi="Arial"/>
          <w:sz w:val="19"/>
          <w:szCs w:val="19"/>
          <w:color w:val="125288"/>
        </w:rPr>
      </w:pPr>
    </w:p>
    <w:p>
      <w:pPr>
        <w:ind w:left="145" w:hanging="145"/>
        <w:spacing w:after="0"/>
        <w:tabs>
          <w:tab w:leader="none" w:pos="145" w:val="left"/>
        </w:tabs>
        <w:numPr>
          <w:ilvl w:val="0"/>
          <w:numId w:val="2"/>
        </w:numPr>
        <w:rPr>
          <w:rFonts w:ascii="Arial" w:cs="Arial" w:eastAsia="Arial" w:hAnsi="Arial"/>
          <w:sz w:val="19"/>
          <w:szCs w:val="19"/>
          <w:color w:val="125288"/>
        </w:rPr>
      </w:pPr>
      <w:r>
        <w:rPr>
          <w:rFonts w:ascii="Arial" w:cs="Arial" w:eastAsia="Arial" w:hAnsi="Arial"/>
          <w:sz w:val="19"/>
          <w:szCs w:val="19"/>
          <w:color w:val="auto"/>
        </w:rPr>
        <w:t>Eliminating applicability of certain provisions, including:</w:t>
      </w:r>
    </w:p>
    <w:p>
      <w:pPr>
        <w:spacing w:after="0" w:line="138" w:lineRule="exact"/>
        <w:rPr>
          <w:rFonts w:ascii="Arial" w:cs="Arial" w:eastAsia="Arial" w:hAnsi="Arial"/>
          <w:sz w:val="19"/>
          <w:szCs w:val="19"/>
          <w:color w:val="125288"/>
        </w:rPr>
      </w:pPr>
    </w:p>
    <w:p>
      <w:pPr>
        <w:ind w:left="345" w:right="40" w:hanging="131"/>
        <w:spacing w:after="0"/>
        <w:rPr>
          <w:rFonts w:ascii="Arial" w:cs="Arial" w:eastAsia="Arial" w:hAnsi="Arial"/>
          <w:sz w:val="19"/>
          <w:szCs w:val="19"/>
          <w:color w:val="125288"/>
        </w:rPr>
      </w:pPr>
      <w:r>
        <w:rPr>
          <w:rFonts w:ascii="Arial" w:cs="Arial" w:eastAsia="Arial" w:hAnsi="Arial"/>
          <w:sz w:val="12"/>
          <w:szCs w:val="12"/>
          <w:color w:val="auto"/>
        </w:rPr>
        <w:t xml:space="preserve">– </w:t>
      </w:r>
      <w:r>
        <w:rPr>
          <w:rFonts w:ascii="Arial" w:cs="Arial" w:eastAsia="Arial" w:hAnsi="Arial"/>
          <w:sz w:val="19"/>
          <w:szCs w:val="19"/>
          <w:color w:val="auto"/>
        </w:rPr>
        <w:t>the “shareholder value creation incentive” that created the potential for increased levels of vesting on certain performance-based</w:t>
      </w:r>
      <w:r>
        <w:rPr>
          <w:rFonts w:ascii="Arial" w:cs="Arial" w:eastAsia="Arial" w:hAnsi="Arial"/>
          <w:sz w:val="12"/>
          <w:szCs w:val="12"/>
          <w:color w:val="auto"/>
        </w:rPr>
        <w:t xml:space="preserve"> </w:t>
      </w:r>
      <w:r>
        <w:rPr>
          <w:rFonts w:ascii="Arial" w:cs="Arial" w:eastAsia="Arial" w:hAnsi="Arial"/>
          <w:sz w:val="19"/>
          <w:szCs w:val="19"/>
          <w:color w:val="auto"/>
        </w:rPr>
        <w:t>awards if the Company achieved significant stock price appreciation (see “Executive Compensation—Employment Agreements— Robert Kotick—Shareholder Value Creation Incentive” below); and</w:t>
      </w:r>
    </w:p>
    <w:p>
      <w:pPr>
        <w:spacing w:after="0" w:line="129" w:lineRule="exact"/>
        <w:rPr>
          <w:rFonts w:ascii="Arial" w:cs="Arial" w:eastAsia="Arial" w:hAnsi="Arial"/>
          <w:sz w:val="19"/>
          <w:szCs w:val="19"/>
          <w:color w:val="125288"/>
        </w:rPr>
      </w:pPr>
    </w:p>
    <w:p>
      <w:pPr>
        <w:ind w:left="345" w:right="40" w:hanging="131"/>
        <w:spacing w:after="0"/>
        <w:rPr>
          <w:rFonts w:ascii="Arial" w:cs="Arial" w:eastAsia="Arial" w:hAnsi="Arial"/>
          <w:sz w:val="19"/>
          <w:szCs w:val="19"/>
          <w:color w:val="125288"/>
        </w:rPr>
      </w:pPr>
      <w:r>
        <w:rPr>
          <w:rFonts w:ascii="Arial" w:cs="Arial" w:eastAsia="Arial" w:hAnsi="Arial"/>
          <w:sz w:val="12"/>
          <w:szCs w:val="12"/>
          <w:color w:val="auto"/>
        </w:rPr>
        <w:t xml:space="preserve">– </w:t>
      </w:r>
      <w:r>
        <w:rPr>
          <w:rFonts w:ascii="Arial" w:cs="Arial" w:eastAsia="Arial" w:hAnsi="Arial"/>
          <w:sz w:val="19"/>
          <w:szCs w:val="19"/>
          <w:color w:val="auto"/>
        </w:rPr>
        <w:t>the “transformative transaction award” that created the potential for an additional payment in the event of a transformative</w:t>
      </w:r>
      <w:r>
        <w:rPr>
          <w:rFonts w:ascii="Arial" w:cs="Arial" w:eastAsia="Arial" w:hAnsi="Arial"/>
          <w:sz w:val="12"/>
          <w:szCs w:val="12"/>
          <w:color w:val="auto"/>
        </w:rPr>
        <w:t xml:space="preserve"> </w:t>
      </w:r>
      <w:r>
        <w:rPr>
          <w:rFonts w:ascii="Arial" w:cs="Arial" w:eastAsia="Arial" w:hAnsi="Arial"/>
          <w:sz w:val="19"/>
          <w:szCs w:val="19"/>
          <w:color w:val="auto"/>
        </w:rPr>
        <w:t>transaction (see “Executive Compensation—Employment Agreements—Robert Kotick—Transformative Transaction Award” below).</w:t>
      </w:r>
    </w:p>
    <w:p>
      <w:pPr>
        <w:spacing w:after="0" w:line="129" w:lineRule="exact"/>
        <w:rPr>
          <w:sz w:val="20"/>
          <w:szCs w:val="20"/>
          <w:color w:val="auto"/>
        </w:rPr>
      </w:pPr>
    </w:p>
    <w:p>
      <w:pPr>
        <w:jc w:val="both"/>
        <w:ind w:left="5" w:right="20"/>
        <w:spacing w:after="0" w:line="238" w:lineRule="auto"/>
        <w:rPr>
          <w:sz w:val="20"/>
          <w:szCs w:val="20"/>
          <w:color w:val="auto"/>
        </w:rPr>
      </w:pPr>
      <w:r>
        <w:rPr>
          <w:rFonts w:ascii="Arial" w:cs="Arial" w:eastAsia="Arial" w:hAnsi="Arial"/>
          <w:sz w:val="19"/>
          <w:szCs w:val="19"/>
          <w:color w:val="auto"/>
        </w:rPr>
        <w:t>Further, in October 2021, Mr. Kotick asked that his total compensation be reduced to the lowest amount permitted to be paid to exempt employees under California law until the Company has made appropriate progress toward the achievement of the Transformational Goals (as defined below under “Corporate Governance Matters—Workplace and Culture”). Mr. Kotick’s annual base salary was reduced to $62,500, effective as of October 28, 2021, and he did not receive an equity award or a bonus award for 2021. The base salaries for each of our other NEOs have not changed since they became executive officers.</w:t>
      </w:r>
    </w:p>
    <w:p>
      <w:pPr>
        <w:spacing w:after="0" w:line="154" w:lineRule="exact"/>
        <w:rPr>
          <w:sz w:val="20"/>
          <w:szCs w:val="20"/>
          <w:color w:val="auto"/>
        </w:rPr>
      </w:pPr>
    </w:p>
    <w:p>
      <w:pPr>
        <w:ind w:left="5"/>
        <w:spacing w:after="0"/>
        <w:tabs>
          <w:tab w:leader="none" w:pos="7364" w:val="left"/>
          <w:tab w:leader="none" w:pos="9384" w:val="left"/>
          <w:tab w:leader="none" w:pos="1116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bookmarkStart w:id="11" w:name="page12"/>
    <w:bookmarkEnd w:id="11"/>
    <w:p>
      <w:pPr>
        <w:ind w:left="5"/>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35" w:lineRule="exact"/>
        <w:rPr>
          <w:sz w:val="20"/>
          <w:szCs w:val="20"/>
          <w:color w:val="auto"/>
        </w:rPr>
      </w:pPr>
    </w:p>
    <w:p>
      <w:pPr>
        <w:jc w:val="both"/>
        <w:ind w:left="5"/>
        <w:spacing w:after="0" w:line="245" w:lineRule="auto"/>
        <w:rPr>
          <w:sz w:val="20"/>
          <w:szCs w:val="20"/>
          <w:color w:val="auto"/>
        </w:rPr>
      </w:pPr>
      <w:r>
        <w:rPr>
          <w:rFonts w:ascii="Arial" w:cs="Arial" w:eastAsia="Arial" w:hAnsi="Arial"/>
          <w:sz w:val="19"/>
          <w:szCs w:val="19"/>
          <w:color w:val="auto"/>
        </w:rPr>
        <w:t>For a further discussion about Mr. Kotick’s compensation, please see “Executive Compensation—Compensation Discussion and Analysis,” which begins on page 55 of this proxy statement.</w:t>
      </w:r>
    </w:p>
    <w:p>
      <w:pPr>
        <w:spacing w:after="0" w:line="135" w:lineRule="exact"/>
        <w:rPr>
          <w:sz w:val="20"/>
          <w:szCs w:val="20"/>
          <w:color w:val="auto"/>
        </w:rPr>
      </w:pPr>
    </w:p>
    <w:p>
      <w:pPr>
        <w:ind w:left="5"/>
        <w:spacing w:after="0"/>
        <w:rPr>
          <w:sz w:val="20"/>
          <w:szCs w:val="20"/>
          <w:color w:val="auto"/>
        </w:rPr>
      </w:pPr>
      <w:r>
        <w:rPr>
          <w:rFonts w:ascii="Arial" w:cs="Arial" w:eastAsia="Arial" w:hAnsi="Arial"/>
          <w:sz w:val="26"/>
          <w:szCs w:val="26"/>
          <w:b w:val="1"/>
          <w:bCs w:val="1"/>
          <w:color w:val="auto"/>
        </w:rPr>
        <w:t>HOW WE ENSURE A SAFE AND DIVERSE WORKING ENVIRONMENT</w:t>
      </w:r>
    </w:p>
    <w:p>
      <w:pPr>
        <w:spacing w:after="0" w:line="309" w:lineRule="exact"/>
        <w:rPr>
          <w:sz w:val="20"/>
          <w:szCs w:val="20"/>
          <w:color w:val="auto"/>
        </w:rPr>
      </w:pPr>
    </w:p>
    <w:p>
      <w:pPr>
        <w:jc w:val="both"/>
        <w:ind w:left="5" w:right="20"/>
        <w:spacing w:after="0" w:line="245" w:lineRule="auto"/>
        <w:rPr>
          <w:sz w:val="20"/>
          <w:szCs w:val="20"/>
          <w:color w:val="auto"/>
        </w:rPr>
      </w:pPr>
      <w:r>
        <w:rPr>
          <w:rFonts w:ascii="Arial" w:cs="Arial" w:eastAsia="Arial" w:hAnsi="Arial"/>
          <w:sz w:val="19"/>
          <w:szCs w:val="19"/>
          <w:color w:val="auto"/>
        </w:rPr>
        <w:t>We are committed to becoming the most welcoming, inclusive company in our industry. Our continued success and growth are directly related to our ability to attract, recruit, enable, retain, and develop diverse and innovative talent.</w:t>
      </w:r>
    </w:p>
    <w:p>
      <w:pPr>
        <w:spacing w:after="0" w:line="125" w:lineRule="exact"/>
        <w:rPr>
          <w:sz w:val="20"/>
          <w:szCs w:val="20"/>
          <w:color w:val="auto"/>
        </w:rPr>
      </w:pPr>
    </w:p>
    <w:p>
      <w:pPr>
        <w:jc w:val="both"/>
        <w:ind w:left="5"/>
        <w:spacing w:after="0"/>
        <w:rPr>
          <w:sz w:val="20"/>
          <w:szCs w:val="20"/>
          <w:color w:val="auto"/>
        </w:rPr>
      </w:pPr>
      <w:r>
        <w:rPr>
          <w:rFonts w:ascii="Arial" w:cs="Arial" w:eastAsia="Arial" w:hAnsi="Arial"/>
          <w:sz w:val="19"/>
          <w:szCs w:val="19"/>
          <w:color w:val="auto"/>
        </w:rPr>
        <w:t>During 2021, the Company worked to address concerns raised regarding our workplace and related matters. Company leadership has committed to take action to produce meaningful change and provide employees with the resources and support they need to succeed in our collective aspiration to be the model workplace in our industry.</w:t>
      </w:r>
    </w:p>
    <w:p>
      <w:pPr>
        <w:spacing w:after="0" w:line="129" w:lineRule="exact"/>
        <w:rPr>
          <w:sz w:val="20"/>
          <w:szCs w:val="20"/>
          <w:color w:val="auto"/>
        </w:rPr>
      </w:pPr>
    </w:p>
    <w:p>
      <w:pPr>
        <w:ind w:left="5"/>
        <w:spacing w:after="0"/>
        <w:rPr>
          <w:sz w:val="20"/>
          <w:szCs w:val="20"/>
          <w:color w:val="auto"/>
        </w:rPr>
      </w:pPr>
      <w:r>
        <w:rPr>
          <w:rFonts w:ascii="Arial" w:cs="Arial" w:eastAsia="Arial" w:hAnsi="Arial"/>
          <w:sz w:val="19"/>
          <w:szCs w:val="19"/>
          <w:color w:val="auto"/>
        </w:rPr>
        <w:t>Steps we have taken to improve our workplace and address concerns include:</w:t>
      </w:r>
    </w:p>
    <w:p>
      <w:pPr>
        <w:spacing w:after="0" w:line="138" w:lineRule="exact"/>
        <w:rPr>
          <w:sz w:val="20"/>
          <w:szCs w:val="20"/>
          <w:color w:val="auto"/>
        </w:rPr>
      </w:pPr>
    </w:p>
    <w:p>
      <w:pPr>
        <w:jc w:val="both"/>
        <w:ind w:left="145" w:right="40" w:hanging="145"/>
        <w:spacing w:after="0" w:line="238" w:lineRule="auto"/>
        <w:tabs>
          <w:tab w:leader="none" w:pos="145" w:val="left"/>
        </w:tabs>
        <w:numPr>
          <w:ilvl w:val="0"/>
          <w:numId w:val="3"/>
        </w:numPr>
        <w:rPr>
          <w:rFonts w:ascii="Arial" w:cs="Arial" w:eastAsia="Arial" w:hAnsi="Arial"/>
          <w:sz w:val="19"/>
          <w:szCs w:val="19"/>
          <w:color w:val="125288"/>
        </w:rPr>
      </w:pPr>
      <w:r>
        <w:rPr>
          <w:rFonts w:ascii="Arial" w:cs="Arial" w:eastAsia="Arial" w:hAnsi="Arial"/>
          <w:sz w:val="19"/>
          <w:szCs w:val="19"/>
          <w:color w:val="auto"/>
        </w:rPr>
        <w:t>In November 2021, our Board formed a Workplace Responsibility Committee (see “Corporate Governance Matters—Workplace and Culture”), which currently consists of three independent directors, to oversee the Company’s progress in successfully implementing new and updated workplace policies, procedures, and commitments. In consultation with management, the Workplace Responsibility Committee is responsible for developing key performance indicators and/or other means to measure progress and ensure accountability. The committee has begun receiving progress reports from executive management and briefing the full Board.</w:t>
      </w:r>
    </w:p>
    <w:p>
      <w:pPr>
        <w:spacing w:after="0" w:line="129" w:lineRule="exact"/>
        <w:rPr>
          <w:rFonts w:ascii="Arial" w:cs="Arial" w:eastAsia="Arial" w:hAnsi="Arial"/>
          <w:sz w:val="19"/>
          <w:szCs w:val="19"/>
          <w:color w:val="125288"/>
        </w:rPr>
      </w:pPr>
    </w:p>
    <w:p>
      <w:pPr>
        <w:jc w:val="both"/>
        <w:ind w:left="145" w:right="40" w:hanging="145"/>
        <w:spacing w:after="0" w:line="238" w:lineRule="auto"/>
        <w:tabs>
          <w:tab w:leader="none" w:pos="145" w:val="left"/>
        </w:tabs>
        <w:numPr>
          <w:ilvl w:val="0"/>
          <w:numId w:val="3"/>
        </w:numPr>
        <w:rPr>
          <w:rFonts w:ascii="Arial" w:cs="Arial" w:eastAsia="Arial" w:hAnsi="Arial"/>
          <w:sz w:val="19"/>
          <w:szCs w:val="19"/>
          <w:color w:val="125288"/>
        </w:rPr>
      </w:pPr>
      <w:r>
        <w:rPr>
          <w:rFonts w:ascii="Arial" w:cs="Arial" w:eastAsia="Arial" w:hAnsi="Arial"/>
          <w:sz w:val="19"/>
          <w:szCs w:val="19"/>
          <w:color w:val="auto"/>
        </w:rPr>
        <w:t>We have investigated—and will continue to investigate—complaints of harassment, discrimination, and retaliation raised through various reporting channels. In October 2021, we combined our investigations groups into one centralized “investigations unit” within the ethics &amp; compliance team. This centralized unit, with expanded resources, increases our ability to conduct prompt investigations and maintain and measure consistency throughout investigations of all types and across the Company.</w:t>
      </w:r>
    </w:p>
    <w:p>
      <w:pPr>
        <w:spacing w:after="0" w:line="131"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3"/>
        </w:numPr>
        <w:rPr>
          <w:rFonts w:ascii="Arial" w:cs="Arial" w:eastAsia="Arial" w:hAnsi="Arial"/>
          <w:sz w:val="19"/>
          <w:szCs w:val="19"/>
          <w:color w:val="125288"/>
        </w:rPr>
      </w:pPr>
      <w:r>
        <w:rPr>
          <w:rFonts w:ascii="Arial" w:cs="Arial" w:eastAsia="Arial" w:hAnsi="Arial"/>
          <w:sz w:val="19"/>
          <w:szCs w:val="19"/>
          <w:color w:val="auto"/>
        </w:rPr>
        <w:t>For any Activision Blizzard employee who chooses not to arbitrate an individual claim of sexual harassment, unlawful discrimination, or related retaliation arising after October 28, 2021, the Company will waive any obligation to do so.</w:t>
      </w:r>
    </w:p>
    <w:p>
      <w:pPr>
        <w:spacing w:after="0" w:line="124" w:lineRule="exact"/>
        <w:rPr>
          <w:rFonts w:ascii="Arial" w:cs="Arial" w:eastAsia="Arial" w:hAnsi="Arial"/>
          <w:sz w:val="19"/>
          <w:szCs w:val="19"/>
          <w:color w:val="125288"/>
        </w:rPr>
      </w:pPr>
    </w:p>
    <w:p>
      <w:pPr>
        <w:ind w:left="145" w:hanging="145"/>
        <w:spacing w:after="0"/>
        <w:tabs>
          <w:tab w:leader="none" w:pos="145" w:val="left"/>
        </w:tabs>
        <w:numPr>
          <w:ilvl w:val="0"/>
          <w:numId w:val="3"/>
        </w:numPr>
        <w:rPr>
          <w:rFonts w:ascii="Arial" w:cs="Arial" w:eastAsia="Arial" w:hAnsi="Arial"/>
          <w:sz w:val="19"/>
          <w:szCs w:val="19"/>
          <w:color w:val="125288"/>
        </w:rPr>
      </w:pPr>
      <w:r>
        <w:rPr>
          <w:rFonts w:ascii="Arial" w:cs="Arial" w:eastAsia="Arial" w:hAnsi="Arial"/>
          <w:sz w:val="19"/>
          <w:szCs w:val="19"/>
          <w:color w:val="auto"/>
        </w:rPr>
        <w:t>We are committed to continuing to grow our investment in anti-harassment and anti-discrimination training resources.</w:t>
      </w:r>
    </w:p>
    <w:p>
      <w:pPr>
        <w:spacing w:after="0" w:line="138" w:lineRule="exact"/>
        <w:rPr>
          <w:rFonts w:ascii="Arial" w:cs="Arial" w:eastAsia="Arial" w:hAnsi="Arial"/>
          <w:sz w:val="19"/>
          <w:szCs w:val="19"/>
          <w:color w:val="125288"/>
        </w:rPr>
      </w:pPr>
    </w:p>
    <w:p>
      <w:pPr>
        <w:jc w:val="both"/>
        <w:ind w:left="145" w:right="40" w:hanging="145"/>
        <w:spacing w:after="0"/>
        <w:tabs>
          <w:tab w:leader="none" w:pos="145" w:val="left"/>
        </w:tabs>
        <w:numPr>
          <w:ilvl w:val="0"/>
          <w:numId w:val="3"/>
        </w:numPr>
        <w:rPr>
          <w:rFonts w:ascii="Arial" w:cs="Arial" w:eastAsia="Arial" w:hAnsi="Arial"/>
          <w:sz w:val="19"/>
          <w:szCs w:val="19"/>
          <w:color w:val="125288"/>
        </w:rPr>
      </w:pPr>
      <w:r>
        <w:rPr>
          <w:rFonts w:ascii="Arial" w:cs="Arial" w:eastAsia="Arial" w:hAnsi="Arial"/>
          <w:sz w:val="19"/>
          <w:szCs w:val="19"/>
          <w:color w:val="auto"/>
        </w:rPr>
        <w:t>Our ”Way2Play Heroes”—volunteers who help our other employees understand their reporting options, champion speaking up, and provide feedback and advice on how to strengthen our overall ethics &amp; compliance program—are receiving additional resources and recognition (including an additional personal day each quarter) through an overall expansion of the program.</w:t>
      </w:r>
    </w:p>
    <w:p>
      <w:pPr>
        <w:spacing w:after="0" w:line="129" w:lineRule="exact"/>
        <w:rPr>
          <w:rFonts w:ascii="Arial" w:cs="Arial" w:eastAsia="Arial" w:hAnsi="Arial"/>
          <w:sz w:val="19"/>
          <w:szCs w:val="19"/>
          <w:color w:val="125288"/>
        </w:rPr>
      </w:pPr>
    </w:p>
    <w:p>
      <w:pPr>
        <w:ind w:left="145" w:hanging="145"/>
        <w:spacing w:after="0"/>
        <w:tabs>
          <w:tab w:leader="none" w:pos="145" w:val="left"/>
        </w:tabs>
        <w:numPr>
          <w:ilvl w:val="0"/>
          <w:numId w:val="3"/>
        </w:numPr>
        <w:rPr>
          <w:rFonts w:ascii="Arial" w:cs="Arial" w:eastAsia="Arial" w:hAnsi="Arial"/>
          <w:sz w:val="19"/>
          <w:szCs w:val="19"/>
          <w:color w:val="125288"/>
        </w:rPr>
      </w:pPr>
      <w:r>
        <w:rPr>
          <w:rFonts w:ascii="Arial" w:cs="Arial" w:eastAsia="Arial" w:hAnsi="Arial"/>
          <w:sz w:val="19"/>
          <w:szCs w:val="19"/>
          <w:color w:val="auto"/>
        </w:rPr>
        <w:t>In October 2021, we announced the launch of a new Company-wide zero-tolerance harassment policy.</w:t>
      </w:r>
    </w:p>
    <w:p>
      <w:pPr>
        <w:spacing w:after="0" w:line="138"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3"/>
        </w:numPr>
        <w:rPr>
          <w:rFonts w:ascii="Arial" w:cs="Arial" w:eastAsia="Arial" w:hAnsi="Arial"/>
          <w:sz w:val="19"/>
          <w:szCs w:val="19"/>
          <w:color w:val="125288"/>
        </w:rPr>
      </w:pPr>
      <w:r>
        <w:rPr>
          <w:rFonts w:ascii="Arial" w:cs="Arial" w:eastAsia="Arial" w:hAnsi="Arial"/>
          <w:sz w:val="19"/>
          <w:szCs w:val="19"/>
          <w:color w:val="auto"/>
        </w:rPr>
        <w:t>In November 2021, we announced a global drug and alcohol policy for Company-sponsored events and zero tolerance for alcohol consumption in the workplace.</w:t>
      </w:r>
    </w:p>
    <w:p>
      <w:pPr>
        <w:spacing w:after="0" w:line="124" w:lineRule="exact"/>
        <w:rPr>
          <w:rFonts w:ascii="Arial" w:cs="Arial" w:eastAsia="Arial" w:hAnsi="Arial"/>
          <w:sz w:val="19"/>
          <w:szCs w:val="19"/>
          <w:color w:val="125288"/>
        </w:rPr>
      </w:pPr>
    </w:p>
    <w:p>
      <w:pPr>
        <w:jc w:val="both"/>
        <w:ind w:left="145" w:right="40" w:hanging="145"/>
        <w:spacing w:after="0"/>
        <w:tabs>
          <w:tab w:leader="none" w:pos="145" w:val="left"/>
        </w:tabs>
        <w:numPr>
          <w:ilvl w:val="0"/>
          <w:numId w:val="3"/>
        </w:numPr>
        <w:rPr>
          <w:rFonts w:ascii="Arial" w:cs="Arial" w:eastAsia="Arial" w:hAnsi="Arial"/>
          <w:sz w:val="19"/>
          <w:szCs w:val="19"/>
          <w:color w:val="125288"/>
        </w:rPr>
      </w:pPr>
      <w:r>
        <w:rPr>
          <w:rFonts w:ascii="Arial" w:cs="Arial" w:eastAsia="Arial" w:hAnsi="Arial"/>
          <w:sz w:val="19"/>
          <w:szCs w:val="19"/>
          <w:color w:val="auto"/>
        </w:rPr>
        <w:t>In December 2021, we launched “Upward Feedback,” an annual process where employees share constructive, actionable feedback with their managers through an anonymous survey. This feedback—about each people manager's inclusive behaviors and commitment to living our values—will be considered in the annual evaluation of each manager’s performance.</w:t>
      </w:r>
    </w:p>
    <w:p>
      <w:pPr>
        <w:spacing w:after="0" w:line="129" w:lineRule="exact"/>
        <w:rPr>
          <w:rFonts w:ascii="Arial" w:cs="Arial" w:eastAsia="Arial" w:hAnsi="Arial"/>
          <w:sz w:val="19"/>
          <w:szCs w:val="19"/>
          <w:color w:val="125288"/>
        </w:rPr>
      </w:pPr>
    </w:p>
    <w:p>
      <w:pPr>
        <w:ind w:left="145" w:hanging="145"/>
        <w:spacing w:after="0"/>
        <w:tabs>
          <w:tab w:leader="none" w:pos="145" w:val="left"/>
        </w:tabs>
        <w:numPr>
          <w:ilvl w:val="0"/>
          <w:numId w:val="3"/>
        </w:numPr>
        <w:rPr>
          <w:rFonts w:ascii="Arial" w:cs="Arial" w:eastAsia="Arial" w:hAnsi="Arial"/>
          <w:sz w:val="19"/>
          <w:szCs w:val="19"/>
          <w:color w:val="125288"/>
        </w:rPr>
      </w:pPr>
      <w:r>
        <w:rPr>
          <w:rFonts w:ascii="Arial" w:cs="Arial" w:eastAsia="Arial" w:hAnsi="Arial"/>
          <w:sz w:val="19"/>
          <w:szCs w:val="19"/>
          <w:color w:val="auto"/>
        </w:rPr>
        <w:t>We removed content from our games that we believe to be inappropriate.</w:t>
      </w:r>
    </w:p>
    <w:p>
      <w:pPr>
        <w:spacing w:after="0" w:line="138" w:lineRule="exact"/>
        <w:rPr>
          <w:rFonts w:ascii="Arial" w:cs="Arial" w:eastAsia="Arial" w:hAnsi="Arial"/>
          <w:sz w:val="19"/>
          <w:szCs w:val="19"/>
          <w:color w:val="125288"/>
        </w:rPr>
      </w:pPr>
    </w:p>
    <w:p>
      <w:pPr>
        <w:ind w:left="145" w:hanging="145"/>
        <w:spacing w:after="0"/>
        <w:tabs>
          <w:tab w:leader="none" w:pos="145" w:val="left"/>
        </w:tabs>
        <w:numPr>
          <w:ilvl w:val="0"/>
          <w:numId w:val="3"/>
        </w:numPr>
        <w:rPr>
          <w:rFonts w:ascii="Arial" w:cs="Arial" w:eastAsia="Arial" w:hAnsi="Arial"/>
          <w:sz w:val="19"/>
          <w:szCs w:val="19"/>
          <w:color w:val="125288"/>
        </w:rPr>
      </w:pPr>
      <w:r>
        <w:rPr>
          <w:rFonts w:ascii="Arial" w:cs="Arial" w:eastAsia="Arial" w:hAnsi="Arial"/>
          <w:sz w:val="19"/>
          <w:szCs w:val="19"/>
          <w:color w:val="auto"/>
        </w:rPr>
        <w:t>We released our “U.S. Pay Equity Review 2020” in October 2021.</w:t>
      </w:r>
    </w:p>
    <w:p>
      <w:pPr>
        <w:spacing w:after="0" w:line="138" w:lineRule="exact"/>
        <w:rPr>
          <w:rFonts w:ascii="Arial" w:cs="Arial" w:eastAsia="Arial" w:hAnsi="Arial"/>
          <w:sz w:val="19"/>
          <w:szCs w:val="19"/>
          <w:color w:val="125288"/>
        </w:rPr>
      </w:pPr>
    </w:p>
    <w:p>
      <w:pPr>
        <w:ind w:left="145" w:hanging="145"/>
        <w:spacing w:after="0"/>
        <w:tabs>
          <w:tab w:leader="none" w:pos="145" w:val="left"/>
        </w:tabs>
        <w:numPr>
          <w:ilvl w:val="0"/>
          <w:numId w:val="3"/>
        </w:numPr>
        <w:rPr>
          <w:rFonts w:ascii="Arial" w:cs="Arial" w:eastAsia="Arial" w:hAnsi="Arial"/>
          <w:sz w:val="19"/>
          <w:szCs w:val="19"/>
          <w:color w:val="125288"/>
        </w:rPr>
      </w:pPr>
      <w:r>
        <w:rPr>
          <w:rFonts w:ascii="Arial" w:cs="Arial" w:eastAsia="Arial" w:hAnsi="Arial"/>
          <w:sz w:val="19"/>
          <w:szCs w:val="19"/>
          <w:color w:val="auto"/>
        </w:rPr>
        <w:t>We released our "2021 Representation Data" report in December 2021.</w:t>
      </w:r>
    </w:p>
    <w:p>
      <w:pPr>
        <w:spacing w:after="0" w:line="138" w:lineRule="exact"/>
        <w:rPr>
          <w:sz w:val="20"/>
          <w:szCs w:val="20"/>
          <w:color w:val="auto"/>
        </w:rPr>
      </w:pPr>
    </w:p>
    <w:p>
      <w:pPr>
        <w:ind w:left="5" w:right="20"/>
        <w:spacing w:after="0" w:line="245" w:lineRule="auto"/>
        <w:rPr>
          <w:sz w:val="20"/>
          <w:szCs w:val="20"/>
          <w:color w:val="auto"/>
        </w:rPr>
      </w:pPr>
      <w:r>
        <w:rPr>
          <w:rFonts w:ascii="Arial" w:cs="Arial" w:eastAsia="Arial" w:hAnsi="Arial"/>
          <w:sz w:val="19"/>
          <w:szCs w:val="19"/>
          <w:color w:val="auto"/>
        </w:rPr>
        <w:t>For further discussion of steps we have taken to improve our workplace, please see “Corporate Governance—Workplace and Culture,” which begins on page 41 of this proxy statement.</w:t>
      </w:r>
    </w:p>
    <w:p>
      <w:pPr>
        <w:spacing w:after="0" w:line="245" w:lineRule="exact"/>
        <w:rPr>
          <w:sz w:val="20"/>
          <w:szCs w:val="20"/>
          <w:color w:val="auto"/>
        </w:rPr>
      </w:pPr>
    </w:p>
    <w:p>
      <w:pPr>
        <w:ind w:left="5"/>
        <w:spacing w:after="0"/>
        <w:tabs>
          <w:tab w:leader="none" w:pos="7364" w:val="left"/>
          <w:tab w:leader="none" w:pos="9384" w:val="left"/>
          <w:tab w:leader="none" w:pos="1116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bookmarkStart w:id="12" w:name="page13"/>
    <w:bookmarkEnd w:id="12"/>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OUR DIRECTOR NOMINEES</w:t>
      </w:r>
    </w:p>
    <w:p>
      <w:pPr>
        <w:spacing w:after="0" w:line="309"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Set forth below is information about the nominees for election to our Board of Directors, each of whom currently serves on the Board except for Kerry Carr, including the Board committees on which each will serve following the 2022 annual meeting (pending, in each case, their election or re-election by our shareholders):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40" w:type="dxa"/>
            <w:vAlign w:val="bottom"/>
            <w:gridSpan w:val="2"/>
          </w:tcPr>
          <w:p>
            <w:pPr>
              <w:ind w:left="500"/>
              <w:spacing w:after="0"/>
              <w:rPr>
                <w:sz w:val="20"/>
                <w:szCs w:val="20"/>
                <w:color w:val="auto"/>
              </w:rPr>
            </w:pPr>
            <w:r>
              <w:rPr>
                <w:rFonts w:ascii="Arial" w:cs="Arial" w:eastAsia="Arial" w:hAnsi="Arial"/>
                <w:sz w:val="15"/>
                <w:szCs w:val="15"/>
                <w:b w:val="1"/>
                <w:bCs w:val="1"/>
                <w:color w:val="125288"/>
              </w:rPr>
              <w:t>Committee Memberships</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3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60" w:type="dxa"/>
            <w:vAlign w:val="bottom"/>
            <w:tcBorders>
              <w:bottom w:val="single" w:sz="8" w:color="125288"/>
            </w:tcBorders>
          </w:tcPr>
          <w:p>
            <w:pPr>
              <w:spacing w:after="0"/>
              <w:rPr>
                <w:sz w:val="3"/>
                <w:szCs w:val="3"/>
                <w:color w:val="auto"/>
              </w:rPr>
            </w:pPr>
          </w:p>
        </w:tc>
        <w:tc>
          <w:tcPr>
            <w:tcW w:w="1340" w:type="dxa"/>
            <w:vAlign w:val="bottom"/>
            <w:tcBorders>
              <w:bottom w:val="single" w:sz="8" w:color="125288"/>
            </w:tcBorders>
          </w:tcPr>
          <w:p>
            <w:pPr>
              <w:spacing w:after="0"/>
              <w:rPr>
                <w:sz w:val="3"/>
                <w:szCs w:val="3"/>
                <w:color w:val="auto"/>
              </w:rPr>
            </w:pPr>
          </w:p>
        </w:tc>
        <w:tc>
          <w:tcPr>
            <w:tcW w:w="1300" w:type="dxa"/>
            <w:vAlign w:val="bottom"/>
            <w:tcBorders>
              <w:bottom w:val="single" w:sz="8" w:color="125288"/>
            </w:tcBorders>
          </w:tcPr>
          <w:p>
            <w:pPr>
              <w:spacing w:after="0"/>
              <w:rPr>
                <w:sz w:val="3"/>
                <w:szCs w:val="3"/>
                <w:color w:val="auto"/>
              </w:rPr>
            </w:pPr>
          </w:p>
        </w:tc>
        <w:tc>
          <w:tcPr>
            <w:tcW w:w="1360" w:type="dxa"/>
            <w:vAlign w:val="bottom"/>
            <w:tcBorders>
              <w:bottom w:val="single" w:sz="8" w:color="125288"/>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3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5"/>
                <w:szCs w:val="15"/>
                <w:b w:val="1"/>
                <w:bCs w:val="1"/>
                <w:color w:val="125288"/>
              </w:rPr>
              <w:t>Nominating</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5"/>
                <w:szCs w:val="15"/>
                <w:b w:val="1"/>
                <w:bCs w:val="1"/>
                <w:color w:val="125288"/>
              </w:rPr>
              <w:t>and Corporate</w:t>
            </w:r>
          </w:p>
        </w:tc>
        <w:tc>
          <w:tcPr>
            <w:tcW w:w="1360" w:type="dxa"/>
            <w:vAlign w:val="bottom"/>
          </w:tcPr>
          <w:p>
            <w:pPr>
              <w:jc w:val="center"/>
              <w:spacing w:after="0"/>
              <w:rPr>
                <w:sz w:val="20"/>
                <w:szCs w:val="20"/>
                <w:color w:val="auto"/>
              </w:rPr>
            </w:pPr>
            <w:r>
              <w:rPr>
                <w:rFonts w:ascii="Arial" w:cs="Arial" w:eastAsia="Arial" w:hAnsi="Arial"/>
                <w:sz w:val="15"/>
                <w:szCs w:val="15"/>
                <w:b w:val="1"/>
                <w:bCs w:val="1"/>
                <w:color w:val="125288"/>
              </w:rPr>
              <w:t>Workplace</w:t>
            </w:r>
          </w:p>
        </w:tc>
        <w:tc>
          <w:tcPr>
            <w:tcW w:w="0" w:type="dxa"/>
            <w:vAlign w:val="bottom"/>
          </w:tcPr>
          <w:p>
            <w:pPr>
              <w:spacing w:after="0"/>
              <w:rPr>
                <w:sz w:val="1"/>
                <w:szCs w:val="1"/>
                <w:color w:val="auto"/>
              </w:rPr>
            </w:pPr>
          </w:p>
        </w:tc>
      </w:tr>
      <w:tr>
        <w:trPr>
          <w:trHeight w:val="214"/>
        </w:trPr>
        <w:tc>
          <w:tcPr>
            <w:tcW w:w="3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20" w:type="dxa"/>
            <w:vAlign w:val="bottom"/>
          </w:tcPr>
          <w:p>
            <w:pPr>
              <w:ind w:left="160"/>
              <w:spacing w:after="0"/>
              <w:rPr>
                <w:sz w:val="20"/>
                <w:szCs w:val="20"/>
                <w:color w:val="auto"/>
              </w:rPr>
            </w:pPr>
            <w:r>
              <w:rPr>
                <w:rFonts w:ascii="Arial" w:cs="Arial" w:eastAsia="Arial" w:hAnsi="Arial"/>
                <w:sz w:val="15"/>
                <w:szCs w:val="15"/>
                <w:b w:val="1"/>
                <w:bCs w:val="1"/>
                <w:color w:val="125288"/>
              </w:rPr>
              <w:t>Director</w:t>
            </w:r>
          </w:p>
        </w:tc>
        <w:tc>
          <w:tcPr>
            <w:tcW w:w="1160" w:type="dxa"/>
            <w:vAlign w:val="bottom"/>
          </w:tcPr>
          <w:p>
            <w:pPr>
              <w:jc w:val="center"/>
              <w:spacing w:after="0"/>
              <w:rPr>
                <w:sz w:val="20"/>
                <w:szCs w:val="20"/>
                <w:color w:val="auto"/>
              </w:rPr>
            </w:pPr>
            <w:r>
              <w:rPr>
                <w:rFonts w:ascii="Arial" w:cs="Arial" w:eastAsia="Arial" w:hAnsi="Arial"/>
                <w:sz w:val="15"/>
                <w:szCs w:val="15"/>
                <w:b w:val="1"/>
                <w:bCs w:val="1"/>
                <w:color w:val="125288"/>
                <w:w w:val="99"/>
              </w:rPr>
              <w:t>Audit</w:t>
            </w:r>
          </w:p>
        </w:tc>
        <w:tc>
          <w:tcPr>
            <w:tcW w:w="1340" w:type="dxa"/>
            <w:vAlign w:val="bottom"/>
          </w:tcPr>
          <w:p>
            <w:pPr>
              <w:jc w:val="center"/>
              <w:spacing w:after="0"/>
              <w:rPr>
                <w:sz w:val="20"/>
                <w:szCs w:val="20"/>
                <w:color w:val="auto"/>
              </w:rPr>
            </w:pPr>
            <w:r>
              <w:rPr>
                <w:rFonts w:ascii="Arial" w:cs="Arial" w:eastAsia="Arial" w:hAnsi="Arial"/>
                <w:sz w:val="15"/>
                <w:szCs w:val="15"/>
                <w:b w:val="1"/>
                <w:bCs w:val="1"/>
                <w:color w:val="125288"/>
              </w:rPr>
              <w:t>Compensation</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125288"/>
              </w:rPr>
              <w:t>Governance</w:t>
            </w:r>
          </w:p>
        </w:tc>
        <w:tc>
          <w:tcPr>
            <w:tcW w:w="1360" w:type="dxa"/>
            <w:vAlign w:val="bottom"/>
          </w:tcPr>
          <w:p>
            <w:pPr>
              <w:jc w:val="center"/>
              <w:spacing w:after="0"/>
              <w:rPr>
                <w:sz w:val="20"/>
                <w:szCs w:val="20"/>
                <w:color w:val="auto"/>
              </w:rPr>
            </w:pPr>
            <w:r>
              <w:rPr>
                <w:rFonts w:ascii="Arial" w:cs="Arial" w:eastAsia="Arial" w:hAnsi="Arial"/>
                <w:sz w:val="15"/>
                <w:szCs w:val="15"/>
                <w:b w:val="1"/>
                <w:bCs w:val="1"/>
                <w:color w:val="125288"/>
              </w:rPr>
              <w:t>Responsibility</w:t>
            </w:r>
          </w:p>
        </w:tc>
        <w:tc>
          <w:tcPr>
            <w:tcW w:w="0" w:type="dxa"/>
            <w:vAlign w:val="bottom"/>
          </w:tcPr>
          <w:p>
            <w:pPr>
              <w:spacing w:after="0"/>
              <w:rPr>
                <w:sz w:val="1"/>
                <w:szCs w:val="1"/>
                <w:color w:val="auto"/>
              </w:rPr>
            </w:pPr>
          </w:p>
        </w:tc>
      </w:tr>
      <w:tr>
        <w:trPr>
          <w:trHeight w:val="214"/>
        </w:trPr>
        <w:tc>
          <w:tcPr>
            <w:tcW w:w="3680" w:type="dxa"/>
            <w:vAlign w:val="bottom"/>
          </w:tcPr>
          <w:p>
            <w:pPr>
              <w:ind w:left="40"/>
              <w:spacing w:after="0"/>
              <w:rPr>
                <w:sz w:val="20"/>
                <w:szCs w:val="20"/>
                <w:color w:val="auto"/>
              </w:rPr>
            </w:pPr>
            <w:r>
              <w:rPr>
                <w:rFonts w:ascii="Arial" w:cs="Arial" w:eastAsia="Arial" w:hAnsi="Arial"/>
                <w:sz w:val="15"/>
                <w:szCs w:val="15"/>
                <w:b w:val="1"/>
                <w:bCs w:val="1"/>
                <w:color w:val="125288"/>
              </w:rPr>
              <w:t>Name/ Principal Occupation</w:t>
            </w:r>
          </w:p>
        </w:tc>
        <w:tc>
          <w:tcPr>
            <w:tcW w:w="600" w:type="dxa"/>
            <w:vAlign w:val="bottom"/>
          </w:tcPr>
          <w:p>
            <w:pPr>
              <w:jc w:val="center"/>
              <w:spacing w:after="0"/>
              <w:rPr>
                <w:sz w:val="20"/>
                <w:szCs w:val="20"/>
                <w:color w:val="auto"/>
              </w:rPr>
            </w:pPr>
            <w:r>
              <w:rPr>
                <w:rFonts w:ascii="Arial" w:cs="Arial" w:eastAsia="Arial" w:hAnsi="Arial"/>
                <w:sz w:val="15"/>
                <w:szCs w:val="15"/>
                <w:b w:val="1"/>
                <w:bCs w:val="1"/>
                <w:color w:val="125288"/>
              </w:rPr>
              <w:t>Age</w:t>
            </w:r>
          </w:p>
        </w:tc>
        <w:tc>
          <w:tcPr>
            <w:tcW w:w="1820" w:type="dxa"/>
            <w:vAlign w:val="bottom"/>
          </w:tcPr>
          <w:p>
            <w:pPr>
              <w:ind w:left="240"/>
              <w:spacing w:after="0"/>
              <w:rPr>
                <w:sz w:val="20"/>
                <w:szCs w:val="20"/>
                <w:color w:val="auto"/>
              </w:rPr>
            </w:pPr>
            <w:r>
              <w:rPr>
                <w:rFonts w:ascii="Arial" w:cs="Arial" w:eastAsia="Arial" w:hAnsi="Arial"/>
                <w:sz w:val="15"/>
                <w:szCs w:val="15"/>
                <w:b w:val="1"/>
                <w:bCs w:val="1"/>
                <w:color w:val="125288"/>
              </w:rPr>
              <w:t>Since  Independent</w:t>
            </w:r>
          </w:p>
        </w:tc>
        <w:tc>
          <w:tcPr>
            <w:tcW w:w="1160" w:type="dxa"/>
            <w:vAlign w:val="bottom"/>
          </w:tcPr>
          <w:p>
            <w:pPr>
              <w:jc w:val="center"/>
              <w:ind w:left="3"/>
              <w:spacing w:after="0"/>
              <w:rPr>
                <w:sz w:val="20"/>
                <w:szCs w:val="20"/>
                <w:color w:val="auto"/>
              </w:rPr>
            </w:pPr>
            <w:r>
              <w:rPr>
                <w:rFonts w:ascii="Arial" w:cs="Arial" w:eastAsia="Arial" w:hAnsi="Arial"/>
                <w:sz w:val="15"/>
                <w:szCs w:val="15"/>
                <w:b w:val="1"/>
                <w:bCs w:val="1"/>
                <w:color w:val="125288"/>
              </w:rPr>
              <w:t>Committee</w:t>
            </w:r>
          </w:p>
        </w:tc>
        <w:tc>
          <w:tcPr>
            <w:tcW w:w="1340" w:type="dxa"/>
            <w:vAlign w:val="bottom"/>
          </w:tcPr>
          <w:p>
            <w:pPr>
              <w:jc w:val="center"/>
              <w:spacing w:after="0"/>
              <w:rPr>
                <w:sz w:val="20"/>
                <w:szCs w:val="20"/>
                <w:color w:val="auto"/>
              </w:rPr>
            </w:pPr>
            <w:r>
              <w:rPr>
                <w:rFonts w:ascii="Arial" w:cs="Arial" w:eastAsia="Arial" w:hAnsi="Arial"/>
                <w:sz w:val="15"/>
                <w:szCs w:val="15"/>
                <w:b w:val="1"/>
                <w:bCs w:val="1"/>
                <w:color w:val="125288"/>
              </w:rPr>
              <w:t>Committee</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125288"/>
              </w:rPr>
              <w:t>Committee</w:t>
            </w:r>
          </w:p>
        </w:tc>
        <w:tc>
          <w:tcPr>
            <w:tcW w:w="1360" w:type="dxa"/>
            <w:vAlign w:val="bottom"/>
          </w:tcPr>
          <w:p>
            <w:pPr>
              <w:jc w:val="center"/>
              <w:spacing w:after="0"/>
              <w:rPr>
                <w:sz w:val="20"/>
                <w:szCs w:val="20"/>
                <w:color w:val="auto"/>
              </w:rPr>
            </w:pPr>
            <w:r>
              <w:rPr>
                <w:rFonts w:ascii="Arial" w:cs="Arial" w:eastAsia="Arial" w:hAnsi="Arial"/>
                <w:sz w:val="15"/>
                <w:szCs w:val="15"/>
                <w:b w:val="1"/>
                <w:bCs w:val="1"/>
                <w:color w:val="125288"/>
              </w:rPr>
              <w:t>Committee</w:t>
            </w:r>
          </w:p>
        </w:tc>
        <w:tc>
          <w:tcPr>
            <w:tcW w:w="0" w:type="dxa"/>
            <w:vAlign w:val="bottom"/>
          </w:tcPr>
          <w:p>
            <w:pPr>
              <w:spacing w:after="0"/>
              <w:rPr>
                <w:sz w:val="1"/>
                <w:szCs w:val="1"/>
                <w:color w:val="auto"/>
              </w:rPr>
            </w:pPr>
          </w:p>
        </w:tc>
      </w:tr>
      <w:tr>
        <w:trPr>
          <w:trHeight w:val="41"/>
        </w:trPr>
        <w:tc>
          <w:tcPr>
            <w:tcW w:w="3680" w:type="dxa"/>
            <w:vAlign w:val="bottom"/>
            <w:tcBorders>
              <w:bottom w:val="single" w:sz="8" w:color="125288"/>
            </w:tcBorders>
          </w:tcPr>
          <w:p>
            <w:pPr>
              <w:spacing w:after="0"/>
              <w:rPr>
                <w:sz w:val="3"/>
                <w:szCs w:val="3"/>
                <w:color w:val="auto"/>
              </w:rPr>
            </w:pPr>
          </w:p>
        </w:tc>
        <w:tc>
          <w:tcPr>
            <w:tcW w:w="600" w:type="dxa"/>
            <w:vAlign w:val="bottom"/>
            <w:tcBorders>
              <w:bottom w:val="single" w:sz="8" w:color="125288"/>
            </w:tcBorders>
          </w:tcPr>
          <w:p>
            <w:pPr>
              <w:spacing w:after="0"/>
              <w:rPr>
                <w:sz w:val="3"/>
                <w:szCs w:val="3"/>
                <w:color w:val="auto"/>
              </w:rPr>
            </w:pPr>
          </w:p>
        </w:tc>
        <w:tc>
          <w:tcPr>
            <w:tcW w:w="1820" w:type="dxa"/>
            <w:vAlign w:val="bottom"/>
            <w:tcBorders>
              <w:bottom w:val="single" w:sz="8" w:color="125288"/>
            </w:tcBorders>
          </w:tcPr>
          <w:p>
            <w:pPr>
              <w:spacing w:after="0"/>
              <w:rPr>
                <w:sz w:val="3"/>
                <w:szCs w:val="3"/>
                <w:color w:val="auto"/>
              </w:rPr>
            </w:pPr>
          </w:p>
        </w:tc>
        <w:tc>
          <w:tcPr>
            <w:tcW w:w="1160" w:type="dxa"/>
            <w:vAlign w:val="bottom"/>
            <w:tcBorders>
              <w:bottom w:val="single" w:sz="8" w:color="125288"/>
            </w:tcBorders>
          </w:tcPr>
          <w:p>
            <w:pPr>
              <w:spacing w:after="0"/>
              <w:rPr>
                <w:sz w:val="3"/>
                <w:szCs w:val="3"/>
                <w:color w:val="auto"/>
              </w:rPr>
            </w:pPr>
          </w:p>
        </w:tc>
        <w:tc>
          <w:tcPr>
            <w:tcW w:w="1340" w:type="dxa"/>
            <w:vAlign w:val="bottom"/>
            <w:tcBorders>
              <w:bottom w:val="single" w:sz="8" w:color="125288"/>
            </w:tcBorders>
          </w:tcPr>
          <w:p>
            <w:pPr>
              <w:spacing w:after="0"/>
              <w:rPr>
                <w:sz w:val="3"/>
                <w:szCs w:val="3"/>
                <w:color w:val="auto"/>
              </w:rPr>
            </w:pPr>
          </w:p>
        </w:tc>
        <w:tc>
          <w:tcPr>
            <w:tcW w:w="1300" w:type="dxa"/>
            <w:vAlign w:val="bottom"/>
            <w:tcBorders>
              <w:bottom w:val="single" w:sz="8" w:color="125288"/>
            </w:tcBorders>
          </w:tcPr>
          <w:p>
            <w:pPr>
              <w:spacing w:after="0"/>
              <w:rPr>
                <w:sz w:val="3"/>
                <w:szCs w:val="3"/>
                <w:color w:val="auto"/>
              </w:rPr>
            </w:pPr>
          </w:p>
        </w:tc>
        <w:tc>
          <w:tcPr>
            <w:tcW w:w="1360" w:type="dxa"/>
            <w:vAlign w:val="bottom"/>
            <w:tcBorders>
              <w:bottom w:val="single" w:sz="8" w:color="125288"/>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3680" w:type="dxa"/>
            <w:vAlign w:val="bottom"/>
          </w:tcPr>
          <w:p>
            <w:pPr>
              <w:ind w:left="720"/>
              <w:spacing w:after="0"/>
              <w:rPr>
                <w:sz w:val="20"/>
                <w:szCs w:val="20"/>
                <w:color w:val="auto"/>
              </w:rPr>
            </w:pPr>
            <w:r>
              <w:rPr>
                <w:rFonts w:ascii="Arial" w:cs="Arial" w:eastAsia="Arial" w:hAnsi="Arial"/>
                <w:sz w:val="17"/>
                <w:szCs w:val="17"/>
                <w:b w:val="1"/>
                <w:bCs w:val="1"/>
                <w:color w:val="auto"/>
              </w:rPr>
              <w:t>Reveta Bowers</w:t>
            </w:r>
          </w:p>
        </w:tc>
        <w:tc>
          <w:tcPr>
            <w:tcW w:w="600" w:type="dxa"/>
            <w:vAlign w:val="bottom"/>
          </w:tcPr>
          <w:p>
            <w:pPr>
              <w:jc w:val="center"/>
              <w:spacing w:after="0"/>
              <w:rPr>
                <w:sz w:val="20"/>
                <w:szCs w:val="20"/>
                <w:color w:val="auto"/>
              </w:rPr>
            </w:pPr>
            <w:r>
              <w:rPr>
                <w:rFonts w:ascii="Arial" w:cs="Arial" w:eastAsia="Arial" w:hAnsi="Arial"/>
                <w:sz w:val="17"/>
                <w:szCs w:val="17"/>
                <w:color w:val="auto"/>
                <w:w w:val="94"/>
              </w:rPr>
              <w:t>73</w:t>
            </w:r>
          </w:p>
        </w:tc>
        <w:tc>
          <w:tcPr>
            <w:tcW w:w="1820" w:type="dxa"/>
            <w:vAlign w:val="bottom"/>
          </w:tcPr>
          <w:p>
            <w:pPr>
              <w:jc w:val="center"/>
              <w:ind w:right="838"/>
              <w:spacing w:after="0"/>
              <w:rPr>
                <w:sz w:val="20"/>
                <w:szCs w:val="20"/>
                <w:color w:val="auto"/>
              </w:rPr>
            </w:pPr>
            <w:r>
              <w:rPr>
                <w:rFonts w:ascii="Arial" w:cs="Arial" w:eastAsia="Arial" w:hAnsi="Arial"/>
                <w:sz w:val="17"/>
                <w:szCs w:val="17"/>
                <w:color w:val="auto"/>
              </w:rPr>
              <w:t>2018</w:t>
            </w:r>
          </w:p>
        </w:tc>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3680" w:type="dxa"/>
            <w:vAlign w:val="bottom"/>
          </w:tcPr>
          <w:p>
            <w:pPr>
              <w:ind w:left="720"/>
              <w:spacing w:after="0"/>
              <w:rPr>
                <w:sz w:val="20"/>
                <w:szCs w:val="20"/>
                <w:color w:val="auto"/>
              </w:rPr>
            </w:pPr>
            <w:r>
              <w:rPr>
                <w:rFonts w:ascii="Arial" w:cs="Arial" w:eastAsia="Arial" w:hAnsi="Arial"/>
                <w:sz w:val="17"/>
                <w:szCs w:val="17"/>
                <w:color w:val="auto"/>
              </w:rPr>
              <w:t>Interim Head of School of the Center</w:t>
            </w:r>
          </w:p>
        </w:tc>
        <w:tc>
          <w:tcPr>
            <w:tcW w:w="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680" w:type="dxa"/>
            <w:vAlign w:val="bottom"/>
          </w:tcPr>
          <w:p>
            <w:pPr>
              <w:ind w:left="720"/>
              <w:spacing w:after="0"/>
              <w:rPr>
                <w:sz w:val="20"/>
                <w:szCs w:val="20"/>
                <w:color w:val="auto"/>
              </w:rPr>
            </w:pPr>
            <w:r>
              <w:rPr>
                <w:rFonts w:ascii="Arial" w:cs="Arial" w:eastAsia="Arial" w:hAnsi="Arial"/>
                <w:sz w:val="17"/>
                <w:szCs w:val="17"/>
                <w:color w:val="auto"/>
              </w:rPr>
              <w:t>for Early Education</w:t>
            </w:r>
          </w:p>
        </w:tc>
        <w:tc>
          <w:tcPr>
            <w:tcW w:w="6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
        </w:trPr>
        <w:tc>
          <w:tcPr>
            <w:tcW w:w="3680" w:type="dxa"/>
            <w:vAlign w:val="bottom"/>
            <w:tcBorders>
              <w:bottom w:val="single" w:sz="8" w:color="125288"/>
            </w:tcBorders>
          </w:tcPr>
          <w:p>
            <w:pPr>
              <w:spacing w:after="0"/>
              <w:rPr>
                <w:sz w:val="7"/>
                <w:szCs w:val="7"/>
                <w:color w:val="auto"/>
              </w:rPr>
            </w:pPr>
          </w:p>
        </w:tc>
        <w:tc>
          <w:tcPr>
            <w:tcW w:w="600" w:type="dxa"/>
            <w:vAlign w:val="bottom"/>
            <w:tcBorders>
              <w:bottom w:val="single" w:sz="8" w:color="125288"/>
            </w:tcBorders>
          </w:tcPr>
          <w:p>
            <w:pPr>
              <w:spacing w:after="0"/>
              <w:rPr>
                <w:sz w:val="7"/>
                <w:szCs w:val="7"/>
                <w:color w:val="auto"/>
              </w:rPr>
            </w:pPr>
          </w:p>
        </w:tc>
        <w:tc>
          <w:tcPr>
            <w:tcW w:w="1820" w:type="dxa"/>
            <w:vAlign w:val="bottom"/>
            <w:tcBorders>
              <w:bottom w:val="single" w:sz="8" w:color="125288"/>
            </w:tcBorders>
          </w:tcPr>
          <w:p>
            <w:pPr>
              <w:spacing w:after="0"/>
              <w:rPr>
                <w:sz w:val="7"/>
                <w:szCs w:val="7"/>
                <w:color w:val="auto"/>
              </w:rPr>
            </w:pPr>
          </w:p>
        </w:tc>
        <w:tc>
          <w:tcPr>
            <w:tcW w:w="1160" w:type="dxa"/>
            <w:vAlign w:val="bottom"/>
            <w:tcBorders>
              <w:bottom w:val="single" w:sz="8" w:color="125288"/>
            </w:tcBorders>
          </w:tcPr>
          <w:p>
            <w:pPr>
              <w:spacing w:after="0"/>
              <w:rPr>
                <w:sz w:val="7"/>
                <w:szCs w:val="7"/>
                <w:color w:val="auto"/>
              </w:rPr>
            </w:pPr>
          </w:p>
        </w:tc>
        <w:tc>
          <w:tcPr>
            <w:tcW w:w="1340" w:type="dxa"/>
            <w:vAlign w:val="bottom"/>
            <w:tcBorders>
              <w:bottom w:val="single" w:sz="8" w:color="125288"/>
            </w:tcBorders>
          </w:tcPr>
          <w:p>
            <w:pPr>
              <w:spacing w:after="0"/>
              <w:rPr>
                <w:sz w:val="7"/>
                <w:szCs w:val="7"/>
                <w:color w:val="auto"/>
              </w:rPr>
            </w:pPr>
          </w:p>
        </w:tc>
        <w:tc>
          <w:tcPr>
            <w:tcW w:w="1300" w:type="dxa"/>
            <w:vAlign w:val="bottom"/>
            <w:tcBorders>
              <w:bottom w:val="single" w:sz="8" w:color="125288"/>
            </w:tcBorders>
          </w:tcPr>
          <w:p>
            <w:pPr>
              <w:spacing w:after="0"/>
              <w:rPr>
                <w:sz w:val="7"/>
                <w:szCs w:val="7"/>
                <w:color w:val="auto"/>
              </w:rPr>
            </w:pPr>
          </w:p>
        </w:tc>
        <w:tc>
          <w:tcPr>
            <w:tcW w:w="1360" w:type="dxa"/>
            <w:vAlign w:val="bottom"/>
            <w:tcBorders>
              <w:bottom w:val="single" w:sz="8" w:color="125288"/>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680" w:type="dxa"/>
            <w:vAlign w:val="bottom"/>
          </w:tcPr>
          <w:p>
            <w:pPr>
              <w:ind w:left="720"/>
              <w:spacing w:after="0"/>
              <w:rPr>
                <w:sz w:val="20"/>
                <w:szCs w:val="20"/>
                <w:color w:val="auto"/>
              </w:rPr>
            </w:pPr>
            <w:r>
              <w:rPr>
                <w:rFonts w:ascii="Arial" w:cs="Arial" w:eastAsia="Arial" w:hAnsi="Arial"/>
                <w:sz w:val="17"/>
                <w:szCs w:val="17"/>
                <w:b w:val="1"/>
                <w:bCs w:val="1"/>
                <w:color w:val="auto"/>
              </w:rPr>
              <w:t>Kerry Carr</w:t>
            </w:r>
          </w:p>
        </w:tc>
        <w:tc>
          <w:tcPr>
            <w:tcW w:w="600" w:type="dxa"/>
            <w:vAlign w:val="bottom"/>
          </w:tcPr>
          <w:p>
            <w:pPr>
              <w:jc w:val="center"/>
              <w:spacing w:after="0"/>
              <w:rPr>
                <w:sz w:val="20"/>
                <w:szCs w:val="20"/>
                <w:color w:val="auto"/>
              </w:rPr>
            </w:pPr>
            <w:r>
              <w:rPr>
                <w:rFonts w:ascii="Arial" w:cs="Arial" w:eastAsia="Arial" w:hAnsi="Arial"/>
                <w:sz w:val="17"/>
                <w:szCs w:val="17"/>
                <w:color w:val="auto"/>
                <w:w w:val="94"/>
              </w:rPr>
              <w:t>59</w:t>
            </w:r>
          </w:p>
        </w:tc>
        <w:tc>
          <w:tcPr>
            <w:tcW w:w="1820" w:type="dxa"/>
            <w:vAlign w:val="bottom"/>
          </w:tcPr>
          <w:p>
            <w:pPr>
              <w:jc w:val="center"/>
              <w:ind w:right="858"/>
              <w:spacing w:after="0"/>
              <w:rPr>
                <w:sz w:val="20"/>
                <w:szCs w:val="20"/>
                <w:color w:val="auto"/>
              </w:rPr>
            </w:pPr>
            <w:r>
              <w:rPr>
                <w:rFonts w:ascii="Arial" w:cs="Arial" w:eastAsia="Arial" w:hAnsi="Arial"/>
                <w:sz w:val="17"/>
                <w:szCs w:val="17"/>
                <w:color w:val="auto"/>
                <w:w w:val="93"/>
              </w:rPr>
              <w:t>—</w:t>
            </w:r>
          </w:p>
        </w:tc>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3680" w:type="dxa"/>
            <w:vAlign w:val="bottom"/>
          </w:tcPr>
          <w:p>
            <w:pPr>
              <w:ind w:left="720"/>
              <w:spacing w:after="0"/>
              <w:rPr>
                <w:sz w:val="20"/>
                <w:szCs w:val="20"/>
                <w:color w:val="auto"/>
              </w:rPr>
            </w:pPr>
            <w:r>
              <w:rPr>
                <w:rFonts w:ascii="Arial" w:cs="Arial" w:eastAsia="Arial" w:hAnsi="Arial"/>
                <w:sz w:val="17"/>
                <w:szCs w:val="17"/>
                <w:color w:val="auto"/>
              </w:rPr>
              <w:t>Senior Vice President Global</w:t>
            </w:r>
          </w:p>
        </w:tc>
        <w:tc>
          <w:tcPr>
            <w:tcW w:w="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720"/>
              <w:spacing w:after="0" w:line="190" w:lineRule="exact"/>
              <w:rPr>
                <w:sz w:val="20"/>
                <w:szCs w:val="20"/>
                <w:color w:val="auto"/>
              </w:rPr>
            </w:pPr>
            <w:r>
              <w:rPr>
                <w:rFonts w:ascii="Arial" w:cs="Arial" w:eastAsia="Arial" w:hAnsi="Arial"/>
                <w:sz w:val="17"/>
                <w:szCs w:val="17"/>
                <w:color w:val="auto"/>
              </w:rPr>
              <w:t>Performance Management, Revenue</w:t>
            </w:r>
          </w:p>
        </w:tc>
        <w:tc>
          <w:tcPr>
            <w:tcW w:w="6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720"/>
              <w:spacing w:after="0" w:line="190" w:lineRule="exact"/>
              <w:rPr>
                <w:sz w:val="20"/>
                <w:szCs w:val="20"/>
                <w:color w:val="auto"/>
              </w:rPr>
            </w:pPr>
            <w:r>
              <w:rPr>
                <w:rFonts w:ascii="Arial" w:cs="Arial" w:eastAsia="Arial" w:hAnsi="Arial"/>
                <w:sz w:val="17"/>
                <w:szCs w:val="17"/>
                <w:color w:val="auto"/>
              </w:rPr>
              <w:t>Growth Management and Shared</w:t>
            </w:r>
          </w:p>
        </w:tc>
        <w:tc>
          <w:tcPr>
            <w:tcW w:w="6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680" w:type="dxa"/>
            <w:vAlign w:val="bottom"/>
          </w:tcPr>
          <w:p>
            <w:pPr>
              <w:ind w:left="720"/>
              <w:spacing w:after="0"/>
              <w:rPr>
                <w:sz w:val="20"/>
                <w:szCs w:val="20"/>
                <w:color w:val="auto"/>
              </w:rPr>
            </w:pPr>
            <w:r>
              <w:rPr>
                <w:rFonts w:ascii="Arial" w:cs="Arial" w:eastAsia="Arial" w:hAnsi="Arial"/>
                <w:sz w:val="17"/>
                <w:szCs w:val="17"/>
                <w:color w:val="auto"/>
              </w:rPr>
              <w:t>Services of Bacardi</w:t>
            </w:r>
          </w:p>
        </w:tc>
        <w:tc>
          <w:tcPr>
            <w:tcW w:w="6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
        </w:trPr>
        <w:tc>
          <w:tcPr>
            <w:tcW w:w="3680" w:type="dxa"/>
            <w:vAlign w:val="bottom"/>
            <w:tcBorders>
              <w:bottom w:val="single" w:sz="8" w:color="125288"/>
            </w:tcBorders>
          </w:tcPr>
          <w:p>
            <w:pPr>
              <w:spacing w:after="0"/>
              <w:rPr>
                <w:sz w:val="7"/>
                <w:szCs w:val="7"/>
                <w:color w:val="auto"/>
              </w:rPr>
            </w:pPr>
          </w:p>
        </w:tc>
        <w:tc>
          <w:tcPr>
            <w:tcW w:w="600" w:type="dxa"/>
            <w:vAlign w:val="bottom"/>
            <w:tcBorders>
              <w:bottom w:val="single" w:sz="8" w:color="125288"/>
            </w:tcBorders>
          </w:tcPr>
          <w:p>
            <w:pPr>
              <w:spacing w:after="0"/>
              <w:rPr>
                <w:sz w:val="7"/>
                <w:szCs w:val="7"/>
                <w:color w:val="auto"/>
              </w:rPr>
            </w:pPr>
          </w:p>
        </w:tc>
        <w:tc>
          <w:tcPr>
            <w:tcW w:w="1820" w:type="dxa"/>
            <w:vAlign w:val="bottom"/>
            <w:tcBorders>
              <w:bottom w:val="single" w:sz="8" w:color="125288"/>
            </w:tcBorders>
          </w:tcPr>
          <w:p>
            <w:pPr>
              <w:spacing w:after="0"/>
              <w:rPr>
                <w:sz w:val="7"/>
                <w:szCs w:val="7"/>
                <w:color w:val="auto"/>
              </w:rPr>
            </w:pPr>
          </w:p>
        </w:tc>
        <w:tc>
          <w:tcPr>
            <w:tcW w:w="1160" w:type="dxa"/>
            <w:vAlign w:val="bottom"/>
            <w:tcBorders>
              <w:bottom w:val="single" w:sz="8" w:color="125288"/>
            </w:tcBorders>
          </w:tcPr>
          <w:p>
            <w:pPr>
              <w:spacing w:after="0"/>
              <w:rPr>
                <w:sz w:val="7"/>
                <w:szCs w:val="7"/>
                <w:color w:val="auto"/>
              </w:rPr>
            </w:pPr>
          </w:p>
        </w:tc>
        <w:tc>
          <w:tcPr>
            <w:tcW w:w="1340" w:type="dxa"/>
            <w:vAlign w:val="bottom"/>
            <w:tcBorders>
              <w:bottom w:val="single" w:sz="8" w:color="125288"/>
            </w:tcBorders>
          </w:tcPr>
          <w:p>
            <w:pPr>
              <w:spacing w:after="0"/>
              <w:rPr>
                <w:sz w:val="7"/>
                <w:szCs w:val="7"/>
                <w:color w:val="auto"/>
              </w:rPr>
            </w:pPr>
          </w:p>
        </w:tc>
        <w:tc>
          <w:tcPr>
            <w:tcW w:w="1300" w:type="dxa"/>
            <w:vAlign w:val="bottom"/>
            <w:tcBorders>
              <w:bottom w:val="single" w:sz="8" w:color="125288"/>
            </w:tcBorders>
          </w:tcPr>
          <w:p>
            <w:pPr>
              <w:spacing w:after="0"/>
              <w:rPr>
                <w:sz w:val="7"/>
                <w:szCs w:val="7"/>
                <w:color w:val="auto"/>
              </w:rPr>
            </w:pPr>
          </w:p>
        </w:tc>
        <w:tc>
          <w:tcPr>
            <w:tcW w:w="1360" w:type="dxa"/>
            <w:vAlign w:val="bottom"/>
            <w:tcBorders>
              <w:bottom w:val="single" w:sz="8" w:color="125288"/>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680" w:type="dxa"/>
            <w:vAlign w:val="bottom"/>
          </w:tcPr>
          <w:p>
            <w:pPr>
              <w:ind w:left="720"/>
              <w:spacing w:after="0"/>
              <w:rPr>
                <w:sz w:val="20"/>
                <w:szCs w:val="20"/>
                <w:color w:val="auto"/>
              </w:rPr>
            </w:pPr>
            <w:r>
              <w:rPr>
                <w:rFonts w:ascii="Arial" w:cs="Arial" w:eastAsia="Arial" w:hAnsi="Arial"/>
                <w:sz w:val="17"/>
                <w:szCs w:val="17"/>
                <w:b w:val="1"/>
                <w:bCs w:val="1"/>
                <w:color w:val="auto"/>
              </w:rPr>
              <w:t>Robert Corti</w:t>
            </w:r>
          </w:p>
        </w:tc>
        <w:tc>
          <w:tcPr>
            <w:tcW w:w="600" w:type="dxa"/>
            <w:vAlign w:val="bottom"/>
          </w:tcPr>
          <w:p>
            <w:pPr>
              <w:jc w:val="center"/>
              <w:spacing w:after="0"/>
              <w:rPr>
                <w:sz w:val="20"/>
                <w:szCs w:val="20"/>
                <w:color w:val="auto"/>
              </w:rPr>
            </w:pPr>
            <w:r>
              <w:rPr>
                <w:rFonts w:ascii="Arial" w:cs="Arial" w:eastAsia="Arial" w:hAnsi="Arial"/>
                <w:sz w:val="17"/>
                <w:szCs w:val="17"/>
                <w:color w:val="auto"/>
                <w:w w:val="94"/>
              </w:rPr>
              <w:t>72</w:t>
            </w:r>
          </w:p>
        </w:tc>
        <w:tc>
          <w:tcPr>
            <w:tcW w:w="1820" w:type="dxa"/>
            <w:vAlign w:val="bottom"/>
          </w:tcPr>
          <w:p>
            <w:pPr>
              <w:jc w:val="center"/>
              <w:ind w:right="838"/>
              <w:spacing w:after="0"/>
              <w:rPr>
                <w:sz w:val="20"/>
                <w:szCs w:val="20"/>
                <w:color w:val="auto"/>
              </w:rPr>
            </w:pPr>
            <w:r>
              <w:rPr>
                <w:rFonts w:ascii="Arial" w:cs="Arial" w:eastAsia="Arial" w:hAnsi="Arial"/>
                <w:sz w:val="17"/>
                <w:szCs w:val="17"/>
                <w:color w:val="auto"/>
              </w:rPr>
              <w:t>2003</w:t>
            </w:r>
          </w:p>
        </w:tc>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3680" w:type="dxa"/>
            <w:vAlign w:val="bottom"/>
          </w:tcPr>
          <w:p>
            <w:pPr>
              <w:ind w:left="720"/>
              <w:spacing w:after="0"/>
              <w:rPr>
                <w:sz w:val="20"/>
                <w:szCs w:val="20"/>
                <w:color w:val="auto"/>
              </w:rPr>
            </w:pPr>
            <w:r>
              <w:rPr>
                <w:rFonts w:ascii="Arial" w:cs="Arial" w:eastAsia="Arial" w:hAnsi="Arial"/>
                <w:sz w:val="17"/>
                <w:szCs w:val="17"/>
                <w:color w:val="auto"/>
              </w:rPr>
              <w:t>Retired CFO of Avon Products</w:t>
            </w:r>
          </w:p>
        </w:tc>
        <w:tc>
          <w:tcPr>
            <w:tcW w:w="6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3680" w:type="dxa"/>
            <w:vAlign w:val="bottom"/>
            <w:tcBorders>
              <w:bottom w:val="single" w:sz="8" w:color="125288"/>
            </w:tcBorders>
          </w:tcPr>
          <w:p>
            <w:pPr>
              <w:spacing w:after="0"/>
              <w:rPr>
                <w:sz w:val="12"/>
                <w:szCs w:val="12"/>
                <w:color w:val="auto"/>
              </w:rPr>
            </w:pPr>
          </w:p>
        </w:tc>
        <w:tc>
          <w:tcPr>
            <w:tcW w:w="600" w:type="dxa"/>
            <w:vAlign w:val="bottom"/>
            <w:tcBorders>
              <w:bottom w:val="single" w:sz="8" w:color="125288"/>
            </w:tcBorders>
          </w:tcPr>
          <w:p>
            <w:pPr>
              <w:spacing w:after="0"/>
              <w:rPr>
                <w:sz w:val="12"/>
                <w:szCs w:val="12"/>
                <w:color w:val="auto"/>
              </w:rPr>
            </w:pPr>
          </w:p>
        </w:tc>
        <w:tc>
          <w:tcPr>
            <w:tcW w:w="1820" w:type="dxa"/>
            <w:vAlign w:val="bottom"/>
            <w:tcBorders>
              <w:bottom w:val="single" w:sz="8" w:color="125288"/>
            </w:tcBorders>
          </w:tcPr>
          <w:p>
            <w:pPr>
              <w:spacing w:after="0"/>
              <w:rPr>
                <w:sz w:val="12"/>
                <w:szCs w:val="12"/>
                <w:color w:val="auto"/>
              </w:rPr>
            </w:pPr>
          </w:p>
        </w:tc>
        <w:tc>
          <w:tcPr>
            <w:tcW w:w="1160" w:type="dxa"/>
            <w:vAlign w:val="bottom"/>
            <w:tcBorders>
              <w:bottom w:val="single" w:sz="8" w:color="125288"/>
            </w:tcBorders>
          </w:tcPr>
          <w:p>
            <w:pPr>
              <w:spacing w:after="0"/>
              <w:rPr>
                <w:sz w:val="12"/>
                <w:szCs w:val="12"/>
                <w:color w:val="auto"/>
              </w:rPr>
            </w:pPr>
          </w:p>
        </w:tc>
        <w:tc>
          <w:tcPr>
            <w:tcW w:w="1340" w:type="dxa"/>
            <w:vAlign w:val="bottom"/>
            <w:tcBorders>
              <w:bottom w:val="single" w:sz="8" w:color="125288"/>
            </w:tcBorders>
          </w:tcPr>
          <w:p>
            <w:pPr>
              <w:spacing w:after="0"/>
              <w:rPr>
                <w:sz w:val="12"/>
                <w:szCs w:val="12"/>
                <w:color w:val="auto"/>
              </w:rPr>
            </w:pPr>
          </w:p>
        </w:tc>
        <w:tc>
          <w:tcPr>
            <w:tcW w:w="1300" w:type="dxa"/>
            <w:vAlign w:val="bottom"/>
            <w:tcBorders>
              <w:bottom w:val="single" w:sz="8" w:color="125288"/>
            </w:tcBorders>
          </w:tcPr>
          <w:p>
            <w:pPr>
              <w:spacing w:after="0"/>
              <w:rPr>
                <w:sz w:val="12"/>
                <w:szCs w:val="12"/>
                <w:color w:val="auto"/>
              </w:rPr>
            </w:pPr>
          </w:p>
        </w:tc>
        <w:tc>
          <w:tcPr>
            <w:tcW w:w="1360" w:type="dxa"/>
            <w:vAlign w:val="bottom"/>
            <w:tcBorders>
              <w:bottom w:val="single" w:sz="8" w:color="125288"/>
            </w:tcBorders>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3680" w:type="dxa"/>
            <w:vAlign w:val="bottom"/>
          </w:tcPr>
          <w:p>
            <w:pPr>
              <w:ind w:left="720"/>
              <w:spacing w:after="0"/>
              <w:rPr>
                <w:sz w:val="20"/>
                <w:szCs w:val="20"/>
                <w:color w:val="auto"/>
              </w:rPr>
            </w:pPr>
            <w:r>
              <w:rPr>
                <w:rFonts w:ascii="Arial" w:cs="Arial" w:eastAsia="Arial" w:hAnsi="Arial"/>
                <w:sz w:val="17"/>
                <w:szCs w:val="17"/>
                <w:b w:val="1"/>
                <w:bCs w:val="1"/>
                <w:color w:val="auto"/>
              </w:rPr>
              <w:t xml:space="preserve">Brian Kelly </w:t>
            </w:r>
            <w:r>
              <w:rPr>
                <w:rFonts w:ascii="Arial" w:cs="Arial" w:eastAsia="Arial" w:hAnsi="Arial"/>
                <w:sz w:val="17"/>
                <w:szCs w:val="17"/>
                <w:i w:val="1"/>
                <w:iCs w:val="1"/>
                <w:color w:val="auto"/>
              </w:rPr>
              <w:t>(Chairman)</w:t>
            </w:r>
          </w:p>
        </w:tc>
        <w:tc>
          <w:tcPr>
            <w:tcW w:w="600" w:type="dxa"/>
            <w:vAlign w:val="bottom"/>
          </w:tcPr>
          <w:p>
            <w:pPr>
              <w:jc w:val="center"/>
              <w:spacing w:after="0"/>
              <w:rPr>
                <w:sz w:val="20"/>
                <w:szCs w:val="20"/>
                <w:color w:val="auto"/>
              </w:rPr>
            </w:pPr>
            <w:r>
              <w:rPr>
                <w:rFonts w:ascii="Arial" w:cs="Arial" w:eastAsia="Arial" w:hAnsi="Arial"/>
                <w:sz w:val="17"/>
                <w:szCs w:val="17"/>
                <w:color w:val="auto"/>
                <w:w w:val="94"/>
              </w:rPr>
              <w:t>59</w:t>
            </w:r>
          </w:p>
        </w:tc>
        <w:tc>
          <w:tcPr>
            <w:tcW w:w="1820" w:type="dxa"/>
            <w:vAlign w:val="bottom"/>
          </w:tcPr>
          <w:p>
            <w:pPr>
              <w:jc w:val="center"/>
              <w:ind w:right="838"/>
              <w:spacing w:after="0"/>
              <w:rPr>
                <w:sz w:val="20"/>
                <w:szCs w:val="20"/>
                <w:color w:val="auto"/>
              </w:rPr>
            </w:pPr>
            <w:r>
              <w:rPr>
                <w:rFonts w:ascii="Arial" w:cs="Arial" w:eastAsia="Arial" w:hAnsi="Arial"/>
                <w:sz w:val="17"/>
                <w:szCs w:val="17"/>
                <w:color w:val="auto"/>
              </w:rPr>
              <w:t>1995</w:t>
            </w:r>
          </w:p>
        </w:tc>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3680" w:type="dxa"/>
            <w:vAlign w:val="bottom"/>
          </w:tcPr>
          <w:p>
            <w:pPr>
              <w:ind w:left="720"/>
              <w:spacing w:after="0"/>
              <w:rPr>
                <w:sz w:val="20"/>
                <w:szCs w:val="20"/>
                <w:color w:val="auto"/>
              </w:rPr>
            </w:pPr>
            <w:r>
              <w:rPr>
                <w:rFonts w:ascii="Arial" w:cs="Arial" w:eastAsia="Arial" w:hAnsi="Arial"/>
                <w:sz w:val="17"/>
                <w:szCs w:val="17"/>
                <w:color w:val="auto"/>
              </w:rPr>
              <w:t>Chairman of the Board of Activision</w:t>
            </w:r>
          </w:p>
        </w:tc>
        <w:tc>
          <w:tcPr>
            <w:tcW w:w="600" w:type="dxa"/>
            <w:vAlign w:val="bottom"/>
          </w:tcPr>
          <w:p>
            <w:pPr>
              <w:spacing w:after="0"/>
              <w:rPr>
                <w:sz w:val="18"/>
                <w:szCs w:val="18"/>
                <w:color w:val="auto"/>
              </w:rPr>
            </w:pPr>
          </w:p>
        </w:tc>
        <w:tc>
          <w:tcPr>
            <w:tcW w:w="1820" w:type="dxa"/>
            <w:vAlign w:val="bottom"/>
          </w:tcPr>
          <w:p>
            <w:pPr>
              <w:ind w:left="122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680" w:type="dxa"/>
            <w:vAlign w:val="bottom"/>
          </w:tcPr>
          <w:p>
            <w:pPr>
              <w:ind w:left="720"/>
              <w:spacing w:after="0"/>
              <w:rPr>
                <w:sz w:val="20"/>
                <w:szCs w:val="20"/>
                <w:color w:val="auto"/>
              </w:rPr>
            </w:pPr>
            <w:r>
              <w:rPr>
                <w:rFonts w:ascii="Arial" w:cs="Arial" w:eastAsia="Arial" w:hAnsi="Arial"/>
                <w:sz w:val="17"/>
                <w:szCs w:val="17"/>
                <w:color w:val="auto"/>
              </w:rPr>
              <w:t>Blizzard</w:t>
            </w:r>
          </w:p>
        </w:tc>
        <w:tc>
          <w:tcPr>
            <w:tcW w:w="6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
        </w:trPr>
        <w:tc>
          <w:tcPr>
            <w:tcW w:w="3680" w:type="dxa"/>
            <w:vAlign w:val="bottom"/>
            <w:tcBorders>
              <w:bottom w:val="single" w:sz="8" w:color="125288"/>
            </w:tcBorders>
          </w:tcPr>
          <w:p>
            <w:pPr>
              <w:spacing w:after="0"/>
              <w:rPr>
                <w:sz w:val="7"/>
                <w:szCs w:val="7"/>
                <w:color w:val="auto"/>
              </w:rPr>
            </w:pPr>
          </w:p>
        </w:tc>
        <w:tc>
          <w:tcPr>
            <w:tcW w:w="600" w:type="dxa"/>
            <w:vAlign w:val="bottom"/>
            <w:tcBorders>
              <w:bottom w:val="single" w:sz="8" w:color="125288"/>
            </w:tcBorders>
          </w:tcPr>
          <w:p>
            <w:pPr>
              <w:spacing w:after="0"/>
              <w:rPr>
                <w:sz w:val="7"/>
                <w:szCs w:val="7"/>
                <w:color w:val="auto"/>
              </w:rPr>
            </w:pPr>
          </w:p>
        </w:tc>
        <w:tc>
          <w:tcPr>
            <w:tcW w:w="1820" w:type="dxa"/>
            <w:vAlign w:val="bottom"/>
            <w:tcBorders>
              <w:bottom w:val="single" w:sz="8" w:color="125288"/>
            </w:tcBorders>
          </w:tcPr>
          <w:p>
            <w:pPr>
              <w:spacing w:after="0"/>
              <w:rPr>
                <w:sz w:val="7"/>
                <w:szCs w:val="7"/>
                <w:color w:val="auto"/>
              </w:rPr>
            </w:pPr>
          </w:p>
        </w:tc>
        <w:tc>
          <w:tcPr>
            <w:tcW w:w="1160" w:type="dxa"/>
            <w:vAlign w:val="bottom"/>
            <w:tcBorders>
              <w:bottom w:val="single" w:sz="8" w:color="125288"/>
            </w:tcBorders>
          </w:tcPr>
          <w:p>
            <w:pPr>
              <w:spacing w:after="0"/>
              <w:rPr>
                <w:sz w:val="7"/>
                <w:szCs w:val="7"/>
                <w:color w:val="auto"/>
              </w:rPr>
            </w:pPr>
          </w:p>
        </w:tc>
        <w:tc>
          <w:tcPr>
            <w:tcW w:w="1340" w:type="dxa"/>
            <w:vAlign w:val="bottom"/>
            <w:tcBorders>
              <w:bottom w:val="single" w:sz="8" w:color="125288"/>
            </w:tcBorders>
          </w:tcPr>
          <w:p>
            <w:pPr>
              <w:spacing w:after="0"/>
              <w:rPr>
                <w:sz w:val="7"/>
                <w:szCs w:val="7"/>
                <w:color w:val="auto"/>
              </w:rPr>
            </w:pPr>
          </w:p>
        </w:tc>
        <w:tc>
          <w:tcPr>
            <w:tcW w:w="1300" w:type="dxa"/>
            <w:vAlign w:val="bottom"/>
            <w:tcBorders>
              <w:bottom w:val="single" w:sz="8" w:color="125288"/>
            </w:tcBorders>
          </w:tcPr>
          <w:p>
            <w:pPr>
              <w:spacing w:after="0"/>
              <w:rPr>
                <w:sz w:val="7"/>
                <w:szCs w:val="7"/>
                <w:color w:val="auto"/>
              </w:rPr>
            </w:pPr>
          </w:p>
        </w:tc>
        <w:tc>
          <w:tcPr>
            <w:tcW w:w="1360" w:type="dxa"/>
            <w:vAlign w:val="bottom"/>
            <w:tcBorders>
              <w:bottom w:val="single" w:sz="8" w:color="125288"/>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3680" w:type="dxa"/>
            <w:vAlign w:val="bottom"/>
          </w:tcPr>
          <w:p>
            <w:pPr>
              <w:ind w:left="720"/>
              <w:spacing w:after="0"/>
              <w:rPr>
                <w:sz w:val="20"/>
                <w:szCs w:val="20"/>
                <w:color w:val="auto"/>
              </w:rPr>
            </w:pPr>
            <w:r>
              <w:rPr>
                <w:rFonts w:ascii="Arial" w:cs="Arial" w:eastAsia="Arial" w:hAnsi="Arial"/>
                <w:sz w:val="17"/>
                <w:szCs w:val="17"/>
                <w:b w:val="1"/>
                <w:bCs w:val="1"/>
                <w:color w:val="auto"/>
              </w:rPr>
              <w:t>Robert Kotick</w:t>
            </w:r>
          </w:p>
        </w:tc>
        <w:tc>
          <w:tcPr>
            <w:tcW w:w="600" w:type="dxa"/>
            <w:vAlign w:val="bottom"/>
          </w:tcPr>
          <w:p>
            <w:pPr>
              <w:jc w:val="center"/>
              <w:spacing w:after="0"/>
              <w:rPr>
                <w:sz w:val="20"/>
                <w:szCs w:val="20"/>
                <w:color w:val="auto"/>
              </w:rPr>
            </w:pPr>
            <w:r>
              <w:rPr>
                <w:rFonts w:ascii="Arial" w:cs="Arial" w:eastAsia="Arial" w:hAnsi="Arial"/>
                <w:sz w:val="17"/>
                <w:szCs w:val="17"/>
                <w:color w:val="auto"/>
                <w:w w:val="94"/>
              </w:rPr>
              <w:t>59</w:t>
            </w:r>
          </w:p>
        </w:tc>
        <w:tc>
          <w:tcPr>
            <w:tcW w:w="1820" w:type="dxa"/>
            <w:vAlign w:val="bottom"/>
          </w:tcPr>
          <w:p>
            <w:pPr>
              <w:jc w:val="center"/>
              <w:ind w:right="838"/>
              <w:spacing w:after="0"/>
              <w:rPr>
                <w:sz w:val="20"/>
                <w:szCs w:val="20"/>
                <w:color w:val="auto"/>
              </w:rPr>
            </w:pPr>
            <w:r>
              <w:rPr>
                <w:rFonts w:ascii="Arial" w:cs="Arial" w:eastAsia="Arial" w:hAnsi="Arial"/>
                <w:sz w:val="17"/>
                <w:szCs w:val="17"/>
                <w:color w:val="auto"/>
              </w:rPr>
              <w:t>1991</w:t>
            </w:r>
          </w:p>
        </w:tc>
        <w:tc>
          <w:tcPr>
            <w:tcW w:w="1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680" w:type="dxa"/>
            <w:vAlign w:val="bottom"/>
            <w:vMerge w:val="restart"/>
          </w:tcPr>
          <w:p>
            <w:pPr>
              <w:ind w:left="720"/>
              <w:spacing w:after="0"/>
              <w:rPr>
                <w:sz w:val="20"/>
                <w:szCs w:val="20"/>
                <w:color w:val="auto"/>
              </w:rPr>
            </w:pPr>
            <w:r>
              <w:rPr>
                <w:rFonts w:ascii="Arial" w:cs="Arial" w:eastAsia="Arial" w:hAnsi="Arial"/>
                <w:sz w:val="17"/>
                <w:szCs w:val="17"/>
                <w:color w:val="auto"/>
              </w:rPr>
              <w:t>CEO of Activision Blizzard</w:t>
            </w:r>
          </w:p>
        </w:tc>
        <w:tc>
          <w:tcPr>
            <w:tcW w:w="600" w:type="dxa"/>
            <w:vAlign w:val="bottom"/>
          </w:tcPr>
          <w:p>
            <w:pPr>
              <w:spacing w:after="0"/>
              <w:rPr>
                <w:sz w:val="17"/>
                <w:szCs w:val="17"/>
                <w:color w:val="auto"/>
              </w:rPr>
            </w:pPr>
          </w:p>
        </w:tc>
        <w:tc>
          <w:tcPr>
            <w:tcW w:w="1820" w:type="dxa"/>
            <w:vAlign w:val="bottom"/>
          </w:tcPr>
          <w:p>
            <w:pPr>
              <w:ind w:left="122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36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3680" w:type="dxa"/>
            <w:vAlign w:val="bottom"/>
            <w:tcBorders>
              <w:bottom w:val="single" w:sz="8" w:color="125288"/>
            </w:tcBorders>
          </w:tcPr>
          <w:p>
            <w:pPr>
              <w:spacing w:after="0"/>
              <w:rPr>
                <w:sz w:val="12"/>
                <w:szCs w:val="12"/>
                <w:color w:val="auto"/>
              </w:rPr>
            </w:pPr>
          </w:p>
        </w:tc>
        <w:tc>
          <w:tcPr>
            <w:tcW w:w="600" w:type="dxa"/>
            <w:vAlign w:val="bottom"/>
            <w:tcBorders>
              <w:bottom w:val="single" w:sz="8" w:color="125288"/>
            </w:tcBorders>
          </w:tcPr>
          <w:p>
            <w:pPr>
              <w:spacing w:after="0"/>
              <w:rPr>
                <w:sz w:val="12"/>
                <w:szCs w:val="12"/>
                <w:color w:val="auto"/>
              </w:rPr>
            </w:pPr>
          </w:p>
        </w:tc>
        <w:tc>
          <w:tcPr>
            <w:tcW w:w="1820" w:type="dxa"/>
            <w:vAlign w:val="bottom"/>
            <w:tcBorders>
              <w:bottom w:val="single" w:sz="8" w:color="125288"/>
            </w:tcBorders>
          </w:tcPr>
          <w:p>
            <w:pPr>
              <w:spacing w:after="0"/>
              <w:rPr>
                <w:sz w:val="12"/>
                <w:szCs w:val="12"/>
                <w:color w:val="auto"/>
              </w:rPr>
            </w:pPr>
          </w:p>
        </w:tc>
        <w:tc>
          <w:tcPr>
            <w:tcW w:w="1160" w:type="dxa"/>
            <w:vAlign w:val="bottom"/>
            <w:tcBorders>
              <w:bottom w:val="single" w:sz="8" w:color="125288"/>
            </w:tcBorders>
          </w:tcPr>
          <w:p>
            <w:pPr>
              <w:spacing w:after="0"/>
              <w:rPr>
                <w:sz w:val="12"/>
                <w:szCs w:val="12"/>
                <w:color w:val="auto"/>
              </w:rPr>
            </w:pPr>
          </w:p>
        </w:tc>
        <w:tc>
          <w:tcPr>
            <w:tcW w:w="1340" w:type="dxa"/>
            <w:vAlign w:val="bottom"/>
            <w:tcBorders>
              <w:bottom w:val="single" w:sz="8" w:color="125288"/>
            </w:tcBorders>
          </w:tcPr>
          <w:p>
            <w:pPr>
              <w:spacing w:after="0"/>
              <w:rPr>
                <w:sz w:val="12"/>
                <w:szCs w:val="12"/>
                <w:color w:val="auto"/>
              </w:rPr>
            </w:pPr>
          </w:p>
        </w:tc>
        <w:tc>
          <w:tcPr>
            <w:tcW w:w="1300" w:type="dxa"/>
            <w:vAlign w:val="bottom"/>
            <w:tcBorders>
              <w:bottom w:val="single" w:sz="8" w:color="125288"/>
            </w:tcBorders>
          </w:tcPr>
          <w:p>
            <w:pPr>
              <w:spacing w:after="0"/>
              <w:rPr>
                <w:sz w:val="12"/>
                <w:szCs w:val="12"/>
                <w:color w:val="auto"/>
              </w:rPr>
            </w:pPr>
          </w:p>
        </w:tc>
        <w:tc>
          <w:tcPr>
            <w:tcW w:w="1360" w:type="dxa"/>
            <w:vAlign w:val="bottom"/>
            <w:tcBorders>
              <w:bottom w:val="single" w:sz="8" w:color="125288"/>
            </w:tcBorders>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3680" w:type="dxa"/>
            <w:vAlign w:val="bottom"/>
          </w:tcPr>
          <w:p>
            <w:pPr>
              <w:ind w:left="720"/>
              <w:spacing w:after="0"/>
              <w:rPr>
                <w:sz w:val="20"/>
                <w:szCs w:val="20"/>
                <w:color w:val="auto"/>
              </w:rPr>
            </w:pPr>
            <w:r>
              <w:rPr>
                <w:rFonts w:ascii="Arial" w:cs="Arial" w:eastAsia="Arial" w:hAnsi="Arial"/>
                <w:sz w:val="17"/>
                <w:szCs w:val="17"/>
                <w:b w:val="1"/>
                <w:bCs w:val="1"/>
                <w:color w:val="auto"/>
              </w:rPr>
              <w:t>Lulu Meservey</w:t>
            </w:r>
          </w:p>
        </w:tc>
        <w:tc>
          <w:tcPr>
            <w:tcW w:w="600" w:type="dxa"/>
            <w:vAlign w:val="bottom"/>
          </w:tcPr>
          <w:p>
            <w:pPr>
              <w:jc w:val="center"/>
              <w:spacing w:after="0"/>
              <w:rPr>
                <w:sz w:val="20"/>
                <w:szCs w:val="20"/>
                <w:color w:val="auto"/>
              </w:rPr>
            </w:pPr>
            <w:r>
              <w:rPr>
                <w:rFonts w:ascii="Arial" w:cs="Arial" w:eastAsia="Arial" w:hAnsi="Arial"/>
                <w:sz w:val="17"/>
                <w:szCs w:val="17"/>
                <w:color w:val="auto"/>
                <w:w w:val="94"/>
              </w:rPr>
              <w:t>35</w:t>
            </w:r>
          </w:p>
        </w:tc>
        <w:tc>
          <w:tcPr>
            <w:tcW w:w="1820" w:type="dxa"/>
            <w:vAlign w:val="bottom"/>
          </w:tcPr>
          <w:p>
            <w:pPr>
              <w:jc w:val="center"/>
              <w:ind w:right="838"/>
              <w:spacing w:after="0"/>
              <w:rPr>
                <w:sz w:val="20"/>
                <w:szCs w:val="20"/>
                <w:color w:val="auto"/>
              </w:rPr>
            </w:pPr>
            <w:r>
              <w:rPr>
                <w:rFonts w:ascii="Arial" w:cs="Arial" w:eastAsia="Arial" w:hAnsi="Arial"/>
                <w:sz w:val="17"/>
                <w:szCs w:val="17"/>
                <w:color w:val="auto"/>
              </w:rPr>
              <w:t>2022</w:t>
            </w:r>
          </w:p>
        </w:tc>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3680" w:type="dxa"/>
            <w:vAlign w:val="bottom"/>
          </w:tcPr>
          <w:p>
            <w:pPr>
              <w:ind w:left="720"/>
              <w:spacing w:after="0"/>
              <w:rPr>
                <w:sz w:val="20"/>
                <w:szCs w:val="20"/>
                <w:color w:val="auto"/>
              </w:rPr>
            </w:pPr>
            <w:r>
              <w:rPr>
                <w:rFonts w:ascii="Arial" w:cs="Arial" w:eastAsia="Arial" w:hAnsi="Arial"/>
                <w:sz w:val="17"/>
                <w:szCs w:val="17"/>
                <w:color w:val="auto"/>
              </w:rPr>
              <w:t>Vice President of Communications at</w:t>
            </w:r>
          </w:p>
        </w:tc>
        <w:tc>
          <w:tcPr>
            <w:tcW w:w="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680" w:type="dxa"/>
            <w:vAlign w:val="bottom"/>
          </w:tcPr>
          <w:p>
            <w:pPr>
              <w:ind w:left="720"/>
              <w:spacing w:after="0"/>
              <w:rPr>
                <w:sz w:val="20"/>
                <w:szCs w:val="20"/>
                <w:color w:val="auto"/>
              </w:rPr>
            </w:pPr>
            <w:r>
              <w:rPr>
                <w:rFonts w:ascii="Arial" w:cs="Arial" w:eastAsia="Arial" w:hAnsi="Arial"/>
                <w:sz w:val="17"/>
                <w:szCs w:val="17"/>
                <w:color w:val="auto"/>
              </w:rPr>
              <w:t>Substack</w:t>
            </w:r>
          </w:p>
        </w:tc>
        <w:tc>
          <w:tcPr>
            <w:tcW w:w="6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
        </w:trPr>
        <w:tc>
          <w:tcPr>
            <w:tcW w:w="3680" w:type="dxa"/>
            <w:vAlign w:val="bottom"/>
            <w:tcBorders>
              <w:bottom w:val="single" w:sz="8" w:color="125288"/>
            </w:tcBorders>
          </w:tcPr>
          <w:p>
            <w:pPr>
              <w:spacing w:after="0"/>
              <w:rPr>
                <w:sz w:val="7"/>
                <w:szCs w:val="7"/>
                <w:color w:val="auto"/>
              </w:rPr>
            </w:pPr>
          </w:p>
        </w:tc>
        <w:tc>
          <w:tcPr>
            <w:tcW w:w="600" w:type="dxa"/>
            <w:vAlign w:val="bottom"/>
            <w:tcBorders>
              <w:bottom w:val="single" w:sz="8" w:color="125288"/>
            </w:tcBorders>
          </w:tcPr>
          <w:p>
            <w:pPr>
              <w:spacing w:after="0"/>
              <w:rPr>
                <w:sz w:val="7"/>
                <w:szCs w:val="7"/>
                <w:color w:val="auto"/>
              </w:rPr>
            </w:pPr>
          </w:p>
        </w:tc>
        <w:tc>
          <w:tcPr>
            <w:tcW w:w="1820" w:type="dxa"/>
            <w:vAlign w:val="bottom"/>
            <w:tcBorders>
              <w:bottom w:val="single" w:sz="8" w:color="125288"/>
            </w:tcBorders>
          </w:tcPr>
          <w:p>
            <w:pPr>
              <w:spacing w:after="0"/>
              <w:rPr>
                <w:sz w:val="7"/>
                <w:szCs w:val="7"/>
                <w:color w:val="auto"/>
              </w:rPr>
            </w:pPr>
          </w:p>
        </w:tc>
        <w:tc>
          <w:tcPr>
            <w:tcW w:w="1160" w:type="dxa"/>
            <w:vAlign w:val="bottom"/>
            <w:tcBorders>
              <w:bottom w:val="single" w:sz="8" w:color="125288"/>
            </w:tcBorders>
          </w:tcPr>
          <w:p>
            <w:pPr>
              <w:spacing w:after="0"/>
              <w:rPr>
                <w:sz w:val="7"/>
                <w:szCs w:val="7"/>
                <w:color w:val="auto"/>
              </w:rPr>
            </w:pPr>
          </w:p>
        </w:tc>
        <w:tc>
          <w:tcPr>
            <w:tcW w:w="1340" w:type="dxa"/>
            <w:vAlign w:val="bottom"/>
            <w:tcBorders>
              <w:bottom w:val="single" w:sz="8" w:color="125288"/>
            </w:tcBorders>
          </w:tcPr>
          <w:p>
            <w:pPr>
              <w:spacing w:after="0"/>
              <w:rPr>
                <w:sz w:val="7"/>
                <w:szCs w:val="7"/>
                <w:color w:val="auto"/>
              </w:rPr>
            </w:pPr>
          </w:p>
        </w:tc>
        <w:tc>
          <w:tcPr>
            <w:tcW w:w="1300" w:type="dxa"/>
            <w:vAlign w:val="bottom"/>
            <w:tcBorders>
              <w:bottom w:val="single" w:sz="8" w:color="125288"/>
            </w:tcBorders>
          </w:tcPr>
          <w:p>
            <w:pPr>
              <w:spacing w:after="0"/>
              <w:rPr>
                <w:sz w:val="7"/>
                <w:szCs w:val="7"/>
                <w:color w:val="auto"/>
              </w:rPr>
            </w:pPr>
          </w:p>
        </w:tc>
        <w:tc>
          <w:tcPr>
            <w:tcW w:w="1360" w:type="dxa"/>
            <w:vAlign w:val="bottom"/>
            <w:tcBorders>
              <w:bottom w:val="single" w:sz="8" w:color="125288"/>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680" w:type="dxa"/>
            <w:vAlign w:val="bottom"/>
          </w:tcPr>
          <w:p>
            <w:pPr>
              <w:ind w:left="720"/>
              <w:spacing w:after="0"/>
              <w:rPr>
                <w:sz w:val="20"/>
                <w:szCs w:val="20"/>
                <w:color w:val="auto"/>
              </w:rPr>
            </w:pPr>
            <w:r>
              <w:rPr>
                <w:rFonts w:ascii="Arial" w:cs="Arial" w:eastAsia="Arial" w:hAnsi="Arial"/>
                <w:sz w:val="17"/>
                <w:szCs w:val="17"/>
                <w:b w:val="1"/>
                <w:bCs w:val="1"/>
                <w:color w:val="auto"/>
              </w:rPr>
              <w:t>Barry Meyer</w:t>
            </w:r>
          </w:p>
        </w:tc>
        <w:tc>
          <w:tcPr>
            <w:tcW w:w="600" w:type="dxa"/>
            <w:vAlign w:val="bottom"/>
          </w:tcPr>
          <w:p>
            <w:pPr>
              <w:jc w:val="center"/>
              <w:spacing w:after="0"/>
              <w:rPr>
                <w:sz w:val="20"/>
                <w:szCs w:val="20"/>
                <w:color w:val="auto"/>
              </w:rPr>
            </w:pPr>
            <w:r>
              <w:rPr>
                <w:rFonts w:ascii="Arial" w:cs="Arial" w:eastAsia="Arial" w:hAnsi="Arial"/>
                <w:sz w:val="17"/>
                <w:szCs w:val="17"/>
                <w:color w:val="auto"/>
                <w:w w:val="94"/>
              </w:rPr>
              <w:t>78</w:t>
            </w:r>
          </w:p>
        </w:tc>
        <w:tc>
          <w:tcPr>
            <w:tcW w:w="1820" w:type="dxa"/>
            <w:vAlign w:val="bottom"/>
          </w:tcPr>
          <w:p>
            <w:pPr>
              <w:jc w:val="center"/>
              <w:ind w:right="838"/>
              <w:spacing w:after="0"/>
              <w:rPr>
                <w:sz w:val="20"/>
                <w:szCs w:val="20"/>
                <w:color w:val="auto"/>
              </w:rPr>
            </w:pPr>
            <w:r>
              <w:rPr>
                <w:rFonts w:ascii="Arial" w:cs="Arial" w:eastAsia="Arial" w:hAnsi="Arial"/>
                <w:sz w:val="17"/>
                <w:szCs w:val="17"/>
                <w:color w:val="auto"/>
              </w:rPr>
              <w:t>2014</w:t>
            </w:r>
          </w:p>
        </w:tc>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3680" w:type="dxa"/>
            <w:vAlign w:val="bottom"/>
          </w:tcPr>
          <w:p>
            <w:pPr>
              <w:ind w:left="720"/>
              <w:spacing w:after="0"/>
              <w:rPr>
                <w:sz w:val="20"/>
                <w:szCs w:val="20"/>
                <w:color w:val="auto"/>
              </w:rPr>
            </w:pPr>
            <w:r>
              <w:rPr>
                <w:rFonts w:ascii="Arial" w:cs="Arial" w:eastAsia="Arial" w:hAnsi="Arial"/>
                <w:sz w:val="17"/>
                <w:szCs w:val="17"/>
                <w:color w:val="auto"/>
              </w:rPr>
              <w:t>Retired Chairman and CEO of Warner</w:t>
            </w:r>
          </w:p>
        </w:tc>
        <w:tc>
          <w:tcPr>
            <w:tcW w:w="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680" w:type="dxa"/>
            <w:vAlign w:val="bottom"/>
          </w:tcPr>
          <w:p>
            <w:pPr>
              <w:ind w:left="720"/>
              <w:spacing w:after="0"/>
              <w:rPr>
                <w:sz w:val="20"/>
                <w:szCs w:val="20"/>
                <w:color w:val="auto"/>
              </w:rPr>
            </w:pPr>
            <w:r>
              <w:rPr>
                <w:rFonts w:ascii="Arial" w:cs="Arial" w:eastAsia="Arial" w:hAnsi="Arial"/>
                <w:sz w:val="17"/>
                <w:szCs w:val="17"/>
                <w:color w:val="auto"/>
              </w:rPr>
              <w:t>Bros. Entertainment</w:t>
            </w:r>
          </w:p>
        </w:tc>
        <w:tc>
          <w:tcPr>
            <w:tcW w:w="6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
        </w:trPr>
        <w:tc>
          <w:tcPr>
            <w:tcW w:w="3680" w:type="dxa"/>
            <w:vAlign w:val="bottom"/>
            <w:tcBorders>
              <w:bottom w:val="single" w:sz="8" w:color="125288"/>
            </w:tcBorders>
          </w:tcPr>
          <w:p>
            <w:pPr>
              <w:spacing w:after="0"/>
              <w:rPr>
                <w:sz w:val="7"/>
                <w:szCs w:val="7"/>
                <w:color w:val="auto"/>
              </w:rPr>
            </w:pPr>
          </w:p>
        </w:tc>
        <w:tc>
          <w:tcPr>
            <w:tcW w:w="600" w:type="dxa"/>
            <w:vAlign w:val="bottom"/>
            <w:tcBorders>
              <w:bottom w:val="single" w:sz="8" w:color="125288"/>
            </w:tcBorders>
          </w:tcPr>
          <w:p>
            <w:pPr>
              <w:spacing w:after="0"/>
              <w:rPr>
                <w:sz w:val="7"/>
                <w:szCs w:val="7"/>
                <w:color w:val="auto"/>
              </w:rPr>
            </w:pPr>
          </w:p>
        </w:tc>
        <w:tc>
          <w:tcPr>
            <w:tcW w:w="1820" w:type="dxa"/>
            <w:vAlign w:val="bottom"/>
            <w:tcBorders>
              <w:bottom w:val="single" w:sz="8" w:color="125288"/>
            </w:tcBorders>
          </w:tcPr>
          <w:p>
            <w:pPr>
              <w:spacing w:after="0"/>
              <w:rPr>
                <w:sz w:val="7"/>
                <w:szCs w:val="7"/>
                <w:color w:val="auto"/>
              </w:rPr>
            </w:pPr>
          </w:p>
        </w:tc>
        <w:tc>
          <w:tcPr>
            <w:tcW w:w="1160" w:type="dxa"/>
            <w:vAlign w:val="bottom"/>
            <w:tcBorders>
              <w:bottom w:val="single" w:sz="8" w:color="125288"/>
            </w:tcBorders>
          </w:tcPr>
          <w:p>
            <w:pPr>
              <w:spacing w:after="0"/>
              <w:rPr>
                <w:sz w:val="7"/>
                <w:szCs w:val="7"/>
                <w:color w:val="auto"/>
              </w:rPr>
            </w:pPr>
          </w:p>
        </w:tc>
        <w:tc>
          <w:tcPr>
            <w:tcW w:w="1340" w:type="dxa"/>
            <w:vAlign w:val="bottom"/>
            <w:tcBorders>
              <w:bottom w:val="single" w:sz="8" w:color="125288"/>
            </w:tcBorders>
          </w:tcPr>
          <w:p>
            <w:pPr>
              <w:spacing w:after="0"/>
              <w:rPr>
                <w:sz w:val="7"/>
                <w:szCs w:val="7"/>
                <w:color w:val="auto"/>
              </w:rPr>
            </w:pPr>
          </w:p>
        </w:tc>
        <w:tc>
          <w:tcPr>
            <w:tcW w:w="1300" w:type="dxa"/>
            <w:vAlign w:val="bottom"/>
            <w:tcBorders>
              <w:bottom w:val="single" w:sz="8" w:color="125288"/>
            </w:tcBorders>
          </w:tcPr>
          <w:p>
            <w:pPr>
              <w:spacing w:after="0"/>
              <w:rPr>
                <w:sz w:val="7"/>
                <w:szCs w:val="7"/>
                <w:color w:val="auto"/>
              </w:rPr>
            </w:pPr>
          </w:p>
        </w:tc>
        <w:tc>
          <w:tcPr>
            <w:tcW w:w="1360" w:type="dxa"/>
            <w:vAlign w:val="bottom"/>
            <w:tcBorders>
              <w:bottom w:val="single" w:sz="8" w:color="125288"/>
            </w:tcBorders>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3680" w:type="dxa"/>
            <w:vAlign w:val="bottom"/>
          </w:tcPr>
          <w:p>
            <w:pPr>
              <w:ind w:left="720"/>
              <w:spacing w:after="0"/>
              <w:rPr>
                <w:sz w:val="20"/>
                <w:szCs w:val="20"/>
                <w:color w:val="auto"/>
              </w:rPr>
            </w:pPr>
            <w:r>
              <w:rPr>
                <w:rFonts w:ascii="Arial" w:cs="Arial" w:eastAsia="Arial" w:hAnsi="Arial"/>
                <w:sz w:val="17"/>
                <w:szCs w:val="17"/>
                <w:b w:val="1"/>
                <w:bCs w:val="1"/>
                <w:color w:val="auto"/>
              </w:rPr>
              <w:t>Robert Morgado</w:t>
            </w:r>
          </w:p>
        </w:tc>
        <w:tc>
          <w:tcPr>
            <w:tcW w:w="600" w:type="dxa"/>
            <w:vAlign w:val="bottom"/>
          </w:tcPr>
          <w:p>
            <w:pPr>
              <w:jc w:val="center"/>
              <w:spacing w:after="0"/>
              <w:rPr>
                <w:sz w:val="20"/>
                <w:szCs w:val="20"/>
                <w:color w:val="auto"/>
              </w:rPr>
            </w:pPr>
            <w:r>
              <w:rPr>
                <w:rFonts w:ascii="Arial" w:cs="Arial" w:eastAsia="Arial" w:hAnsi="Arial"/>
                <w:sz w:val="17"/>
                <w:szCs w:val="17"/>
                <w:color w:val="auto"/>
                <w:w w:val="94"/>
              </w:rPr>
              <w:t>79</w:t>
            </w:r>
          </w:p>
        </w:tc>
        <w:tc>
          <w:tcPr>
            <w:tcW w:w="1820" w:type="dxa"/>
            <w:vAlign w:val="bottom"/>
          </w:tcPr>
          <w:p>
            <w:pPr>
              <w:jc w:val="center"/>
              <w:ind w:right="838"/>
              <w:spacing w:after="0"/>
              <w:rPr>
                <w:sz w:val="20"/>
                <w:szCs w:val="20"/>
                <w:color w:val="auto"/>
              </w:rPr>
            </w:pPr>
            <w:r>
              <w:rPr>
                <w:rFonts w:ascii="Arial" w:cs="Arial" w:eastAsia="Arial" w:hAnsi="Arial"/>
                <w:sz w:val="17"/>
                <w:szCs w:val="17"/>
                <w:color w:val="auto"/>
              </w:rPr>
              <w:t>1997</w:t>
            </w:r>
          </w:p>
        </w:tc>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3680" w:type="dxa"/>
            <w:vAlign w:val="bottom"/>
          </w:tcPr>
          <w:p>
            <w:pPr>
              <w:ind w:left="720"/>
              <w:spacing w:after="0"/>
              <w:rPr>
                <w:sz w:val="20"/>
                <w:szCs w:val="20"/>
                <w:color w:val="auto"/>
              </w:rPr>
            </w:pPr>
            <w:r>
              <w:rPr>
                <w:rFonts w:ascii="Arial" w:cs="Arial" w:eastAsia="Arial" w:hAnsi="Arial"/>
                <w:sz w:val="17"/>
                <w:szCs w:val="17"/>
                <w:i w:val="1"/>
                <w:iCs w:val="1"/>
                <w:color w:val="auto"/>
              </w:rPr>
              <w:t>(Lead Independent Director)</w:t>
            </w:r>
          </w:p>
        </w:tc>
        <w:tc>
          <w:tcPr>
            <w:tcW w:w="6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680" w:type="dxa"/>
            <w:vAlign w:val="bottom"/>
          </w:tcPr>
          <w:p>
            <w:pPr>
              <w:ind w:left="720"/>
              <w:spacing w:after="0"/>
              <w:rPr>
                <w:sz w:val="20"/>
                <w:szCs w:val="20"/>
                <w:color w:val="auto"/>
              </w:rPr>
            </w:pPr>
            <w:r>
              <w:rPr>
                <w:rFonts w:ascii="Arial" w:cs="Arial" w:eastAsia="Arial" w:hAnsi="Arial"/>
                <w:sz w:val="17"/>
                <w:szCs w:val="17"/>
                <w:color w:val="auto"/>
              </w:rPr>
              <w:t>Retired Chairman and CEO of Warner</w:t>
            </w:r>
          </w:p>
        </w:tc>
        <w:tc>
          <w:tcPr>
            <w:tcW w:w="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680" w:type="dxa"/>
            <w:vAlign w:val="bottom"/>
          </w:tcPr>
          <w:p>
            <w:pPr>
              <w:ind w:left="720"/>
              <w:spacing w:after="0"/>
              <w:rPr>
                <w:sz w:val="20"/>
                <w:szCs w:val="20"/>
                <w:color w:val="auto"/>
              </w:rPr>
            </w:pPr>
            <w:r>
              <w:rPr>
                <w:rFonts w:ascii="Arial" w:cs="Arial" w:eastAsia="Arial" w:hAnsi="Arial"/>
                <w:sz w:val="17"/>
                <w:szCs w:val="17"/>
                <w:color w:val="auto"/>
              </w:rPr>
              <w:t>Music Group</w:t>
            </w:r>
          </w:p>
        </w:tc>
        <w:tc>
          <w:tcPr>
            <w:tcW w:w="6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
        </w:trPr>
        <w:tc>
          <w:tcPr>
            <w:tcW w:w="3680" w:type="dxa"/>
            <w:vAlign w:val="bottom"/>
            <w:tcBorders>
              <w:bottom w:val="single" w:sz="8" w:color="125288"/>
            </w:tcBorders>
          </w:tcPr>
          <w:p>
            <w:pPr>
              <w:spacing w:after="0"/>
              <w:rPr>
                <w:sz w:val="7"/>
                <w:szCs w:val="7"/>
                <w:color w:val="auto"/>
              </w:rPr>
            </w:pPr>
          </w:p>
        </w:tc>
        <w:tc>
          <w:tcPr>
            <w:tcW w:w="600" w:type="dxa"/>
            <w:vAlign w:val="bottom"/>
            <w:tcBorders>
              <w:bottom w:val="single" w:sz="8" w:color="125288"/>
            </w:tcBorders>
          </w:tcPr>
          <w:p>
            <w:pPr>
              <w:spacing w:after="0"/>
              <w:rPr>
                <w:sz w:val="7"/>
                <w:szCs w:val="7"/>
                <w:color w:val="auto"/>
              </w:rPr>
            </w:pPr>
          </w:p>
        </w:tc>
        <w:tc>
          <w:tcPr>
            <w:tcW w:w="1820" w:type="dxa"/>
            <w:vAlign w:val="bottom"/>
            <w:tcBorders>
              <w:bottom w:val="single" w:sz="8" w:color="125288"/>
            </w:tcBorders>
          </w:tcPr>
          <w:p>
            <w:pPr>
              <w:spacing w:after="0"/>
              <w:rPr>
                <w:sz w:val="7"/>
                <w:szCs w:val="7"/>
                <w:color w:val="auto"/>
              </w:rPr>
            </w:pPr>
          </w:p>
        </w:tc>
        <w:tc>
          <w:tcPr>
            <w:tcW w:w="1160" w:type="dxa"/>
            <w:vAlign w:val="bottom"/>
            <w:tcBorders>
              <w:bottom w:val="single" w:sz="8" w:color="125288"/>
            </w:tcBorders>
          </w:tcPr>
          <w:p>
            <w:pPr>
              <w:spacing w:after="0"/>
              <w:rPr>
                <w:sz w:val="7"/>
                <w:szCs w:val="7"/>
                <w:color w:val="auto"/>
              </w:rPr>
            </w:pPr>
          </w:p>
        </w:tc>
        <w:tc>
          <w:tcPr>
            <w:tcW w:w="1340" w:type="dxa"/>
            <w:vAlign w:val="bottom"/>
            <w:tcBorders>
              <w:bottom w:val="single" w:sz="8" w:color="125288"/>
            </w:tcBorders>
          </w:tcPr>
          <w:p>
            <w:pPr>
              <w:spacing w:after="0"/>
              <w:rPr>
                <w:sz w:val="7"/>
                <w:szCs w:val="7"/>
                <w:color w:val="auto"/>
              </w:rPr>
            </w:pPr>
          </w:p>
        </w:tc>
        <w:tc>
          <w:tcPr>
            <w:tcW w:w="1300" w:type="dxa"/>
            <w:vAlign w:val="bottom"/>
            <w:tcBorders>
              <w:bottom w:val="single" w:sz="8" w:color="125288"/>
            </w:tcBorders>
          </w:tcPr>
          <w:p>
            <w:pPr>
              <w:spacing w:after="0"/>
              <w:rPr>
                <w:sz w:val="7"/>
                <w:szCs w:val="7"/>
                <w:color w:val="auto"/>
              </w:rPr>
            </w:pPr>
          </w:p>
        </w:tc>
        <w:tc>
          <w:tcPr>
            <w:tcW w:w="1360" w:type="dxa"/>
            <w:vAlign w:val="bottom"/>
            <w:tcBorders>
              <w:bottom w:val="single" w:sz="8" w:color="125288"/>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680" w:type="dxa"/>
            <w:vAlign w:val="bottom"/>
          </w:tcPr>
          <w:p>
            <w:pPr>
              <w:ind w:left="720"/>
              <w:spacing w:after="0"/>
              <w:rPr>
                <w:sz w:val="20"/>
                <w:szCs w:val="20"/>
                <w:color w:val="auto"/>
              </w:rPr>
            </w:pPr>
            <w:r>
              <w:rPr>
                <w:rFonts w:ascii="Arial" w:cs="Arial" w:eastAsia="Arial" w:hAnsi="Arial"/>
                <w:sz w:val="17"/>
                <w:szCs w:val="17"/>
                <w:b w:val="1"/>
                <w:bCs w:val="1"/>
                <w:color w:val="auto"/>
              </w:rPr>
              <w:t>Peter Nolan</w:t>
            </w:r>
          </w:p>
        </w:tc>
        <w:tc>
          <w:tcPr>
            <w:tcW w:w="600" w:type="dxa"/>
            <w:vAlign w:val="bottom"/>
          </w:tcPr>
          <w:p>
            <w:pPr>
              <w:jc w:val="center"/>
              <w:spacing w:after="0"/>
              <w:rPr>
                <w:sz w:val="20"/>
                <w:szCs w:val="20"/>
                <w:color w:val="auto"/>
              </w:rPr>
            </w:pPr>
            <w:r>
              <w:rPr>
                <w:rFonts w:ascii="Arial" w:cs="Arial" w:eastAsia="Arial" w:hAnsi="Arial"/>
                <w:sz w:val="17"/>
                <w:szCs w:val="17"/>
                <w:color w:val="auto"/>
                <w:w w:val="94"/>
              </w:rPr>
              <w:t>63</w:t>
            </w:r>
          </w:p>
        </w:tc>
        <w:tc>
          <w:tcPr>
            <w:tcW w:w="1820" w:type="dxa"/>
            <w:vAlign w:val="bottom"/>
          </w:tcPr>
          <w:p>
            <w:pPr>
              <w:jc w:val="center"/>
              <w:ind w:right="838"/>
              <w:spacing w:after="0"/>
              <w:rPr>
                <w:sz w:val="20"/>
                <w:szCs w:val="20"/>
                <w:color w:val="auto"/>
              </w:rPr>
            </w:pPr>
            <w:r>
              <w:rPr>
                <w:rFonts w:ascii="Arial" w:cs="Arial" w:eastAsia="Arial" w:hAnsi="Arial"/>
                <w:sz w:val="17"/>
                <w:szCs w:val="17"/>
                <w:color w:val="auto"/>
              </w:rPr>
              <w:t>2013</w:t>
            </w:r>
          </w:p>
        </w:tc>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3680" w:type="dxa"/>
            <w:vAlign w:val="bottom"/>
          </w:tcPr>
          <w:p>
            <w:pPr>
              <w:ind w:left="720"/>
              <w:spacing w:after="0"/>
              <w:rPr>
                <w:sz w:val="20"/>
                <w:szCs w:val="20"/>
                <w:color w:val="auto"/>
              </w:rPr>
            </w:pPr>
            <w:r>
              <w:rPr>
                <w:rFonts w:ascii="Arial" w:cs="Arial" w:eastAsia="Arial" w:hAnsi="Arial"/>
                <w:sz w:val="17"/>
                <w:szCs w:val="17"/>
                <w:color w:val="auto"/>
              </w:rPr>
              <w:t>Senior Advisor to</w:t>
            </w:r>
          </w:p>
        </w:tc>
        <w:tc>
          <w:tcPr>
            <w:tcW w:w="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680" w:type="dxa"/>
            <w:vAlign w:val="bottom"/>
          </w:tcPr>
          <w:p>
            <w:pPr>
              <w:ind w:left="720"/>
              <w:spacing w:after="0"/>
              <w:rPr>
                <w:sz w:val="20"/>
                <w:szCs w:val="20"/>
                <w:color w:val="auto"/>
              </w:rPr>
            </w:pPr>
            <w:r>
              <w:rPr>
                <w:rFonts w:ascii="Arial" w:cs="Arial" w:eastAsia="Arial" w:hAnsi="Arial"/>
                <w:sz w:val="17"/>
                <w:szCs w:val="17"/>
                <w:color w:val="auto"/>
              </w:rPr>
              <w:t>Leonard Green &amp; Partners</w:t>
            </w:r>
          </w:p>
        </w:tc>
        <w:tc>
          <w:tcPr>
            <w:tcW w:w="6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
        </w:trPr>
        <w:tc>
          <w:tcPr>
            <w:tcW w:w="3680" w:type="dxa"/>
            <w:vAlign w:val="bottom"/>
            <w:tcBorders>
              <w:bottom w:val="single" w:sz="8" w:color="125288"/>
            </w:tcBorders>
          </w:tcPr>
          <w:p>
            <w:pPr>
              <w:spacing w:after="0"/>
              <w:rPr>
                <w:sz w:val="7"/>
                <w:szCs w:val="7"/>
                <w:color w:val="auto"/>
              </w:rPr>
            </w:pPr>
          </w:p>
        </w:tc>
        <w:tc>
          <w:tcPr>
            <w:tcW w:w="600" w:type="dxa"/>
            <w:vAlign w:val="bottom"/>
            <w:tcBorders>
              <w:bottom w:val="single" w:sz="8" w:color="125288"/>
            </w:tcBorders>
          </w:tcPr>
          <w:p>
            <w:pPr>
              <w:spacing w:after="0"/>
              <w:rPr>
                <w:sz w:val="7"/>
                <w:szCs w:val="7"/>
                <w:color w:val="auto"/>
              </w:rPr>
            </w:pPr>
          </w:p>
        </w:tc>
        <w:tc>
          <w:tcPr>
            <w:tcW w:w="1820" w:type="dxa"/>
            <w:vAlign w:val="bottom"/>
            <w:tcBorders>
              <w:bottom w:val="single" w:sz="8" w:color="125288"/>
            </w:tcBorders>
          </w:tcPr>
          <w:p>
            <w:pPr>
              <w:spacing w:after="0"/>
              <w:rPr>
                <w:sz w:val="7"/>
                <w:szCs w:val="7"/>
                <w:color w:val="auto"/>
              </w:rPr>
            </w:pPr>
          </w:p>
        </w:tc>
        <w:tc>
          <w:tcPr>
            <w:tcW w:w="1160" w:type="dxa"/>
            <w:vAlign w:val="bottom"/>
            <w:tcBorders>
              <w:bottom w:val="single" w:sz="8" w:color="125288"/>
            </w:tcBorders>
          </w:tcPr>
          <w:p>
            <w:pPr>
              <w:spacing w:after="0"/>
              <w:rPr>
                <w:sz w:val="7"/>
                <w:szCs w:val="7"/>
                <w:color w:val="auto"/>
              </w:rPr>
            </w:pPr>
          </w:p>
        </w:tc>
        <w:tc>
          <w:tcPr>
            <w:tcW w:w="1340" w:type="dxa"/>
            <w:vAlign w:val="bottom"/>
            <w:tcBorders>
              <w:bottom w:val="single" w:sz="8" w:color="125288"/>
            </w:tcBorders>
          </w:tcPr>
          <w:p>
            <w:pPr>
              <w:spacing w:after="0"/>
              <w:rPr>
                <w:sz w:val="7"/>
                <w:szCs w:val="7"/>
                <w:color w:val="auto"/>
              </w:rPr>
            </w:pPr>
          </w:p>
        </w:tc>
        <w:tc>
          <w:tcPr>
            <w:tcW w:w="1300" w:type="dxa"/>
            <w:vAlign w:val="bottom"/>
            <w:tcBorders>
              <w:bottom w:val="single" w:sz="8" w:color="125288"/>
            </w:tcBorders>
          </w:tcPr>
          <w:p>
            <w:pPr>
              <w:spacing w:after="0"/>
              <w:rPr>
                <w:sz w:val="7"/>
                <w:szCs w:val="7"/>
                <w:color w:val="auto"/>
              </w:rPr>
            </w:pPr>
          </w:p>
        </w:tc>
        <w:tc>
          <w:tcPr>
            <w:tcW w:w="1360" w:type="dxa"/>
            <w:vAlign w:val="bottom"/>
            <w:tcBorders>
              <w:bottom w:val="single" w:sz="8" w:color="125288"/>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680" w:type="dxa"/>
            <w:vAlign w:val="bottom"/>
          </w:tcPr>
          <w:p>
            <w:pPr>
              <w:ind w:left="720"/>
              <w:spacing w:after="0"/>
              <w:rPr>
                <w:sz w:val="20"/>
                <w:szCs w:val="20"/>
                <w:color w:val="auto"/>
              </w:rPr>
            </w:pPr>
            <w:r>
              <w:rPr>
                <w:rFonts w:ascii="Arial" w:cs="Arial" w:eastAsia="Arial" w:hAnsi="Arial"/>
                <w:sz w:val="17"/>
                <w:szCs w:val="17"/>
                <w:b w:val="1"/>
                <w:bCs w:val="1"/>
                <w:color w:val="auto"/>
              </w:rPr>
              <w:t>Dawn Ostroff</w:t>
            </w:r>
          </w:p>
        </w:tc>
        <w:tc>
          <w:tcPr>
            <w:tcW w:w="600" w:type="dxa"/>
            <w:vAlign w:val="bottom"/>
          </w:tcPr>
          <w:p>
            <w:pPr>
              <w:jc w:val="center"/>
              <w:spacing w:after="0"/>
              <w:rPr>
                <w:sz w:val="20"/>
                <w:szCs w:val="20"/>
                <w:color w:val="auto"/>
              </w:rPr>
            </w:pPr>
            <w:r>
              <w:rPr>
                <w:rFonts w:ascii="Arial" w:cs="Arial" w:eastAsia="Arial" w:hAnsi="Arial"/>
                <w:sz w:val="17"/>
                <w:szCs w:val="17"/>
                <w:color w:val="auto"/>
                <w:w w:val="94"/>
              </w:rPr>
              <w:t>62</w:t>
            </w:r>
          </w:p>
        </w:tc>
        <w:tc>
          <w:tcPr>
            <w:tcW w:w="1820" w:type="dxa"/>
            <w:vAlign w:val="bottom"/>
          </w:tcPr>
          <w:p>
            <w:pPr>
              <w:jc w:val="center"/>
              <w:ind w:right="838"/>
              <w:spacing w:after="0"/>
              <w:rPr>
                <w:sz w:val="20"/>
                <w:szCs w:val="20"/>
                <w:color w:val="auto"/>
              </w:rPr>
            </w:pPr>
            <w:r>
              <w:rPr>
                <w:rFonts w:ascii="Arial" w:cs="Arial" w:eastAsia="Arial" w:hAnsi="Arial"/>
                <w:sz w:val="17"/>
                <w:szCs w:val="17"/>
                <w:color w:val="auto"/>
              </w:rPr>
              <w:t>2020</w:t>
            </w:r>
          </w:p>
        </w:tc>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3680" w:type="dxa"/>
            <w:vAlign w:val="bottom"/>
          </w:tcPr>
          <w:p>
            <w:pPr>
              <w:ind w:left="720"/>
              <w:spacing w:after="0"/>
              <w:rPr>
                <w:sz w:val="20"/>
                <w:szCs w:val="20"/>
                <w:color w:val="auto"/>
              </w:rPr>
            </w:pPr>
            <w:r>
              <w:rPr>
                <w:rFonts w:ascii="Arial" w:cs="Arial" w:eastAsia="Arial" w:hAnsi="Arial"/>
                <w:sz w:val="17"/>
                <w:szCs w:val="17"/>
                <w:color w:val="auto"/>
              </w:rPr>
              <w:t>Chief Content and Advertising</w:t>
            </w:r>
          </w:p>
        </w:tc>
        <w:tc>
          <w:tcPr>
            <w:tcW w:w="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680" w:type="dxa"/>
            <w:vAlign w:val="bottom"/>
          </w:tcPr>
          <w:p>
            <w:pPr>
              <w:ind w:left="720"/>
              <w:spacing w:after="0"/>
              <w:rPr>
                <w:sz w:val="20"/>
                <w:szCs w:val="20"/>
                <w:color w:val="auto"/>
              </w:rPr>
            </w:pPr>
            <w:r>
              <w:rPr>
                <w:rFonts w:ascii="Arial" w:cs="Arial" w:eastAsia="Arial" w:hAnsi="Arial"/>
                <w:sz w:val="17"/>
                <w:szCs w:val="17"/>
                <w:color w:val="auto"/>
              </w:rPr>
              <w:t>Business Officer of Spotify</w:t>
            </w:r>
          </w:p>
        </w:tc>
        <w:tc>
          <w:tcPr>
            <w:tcW w:w="6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
        </w:trPr>
        <w:tc>
          <w:tcPr>
            <w:tcW w:w="3680" w:type="dxa"/>
            <w:vAlign w:val="bottom"/>
            <w:tcBorders>
              <w:bottom w:val="single" w:sz="8" w:color="125288"/>
            </w:tcBorders>
          </w:tcPr>
          <w:p>
            <w:pPr>
              <w:spacing w:after="0"/>
              <w:rPr>
                <w:sz w:val="7"/>
                <w:szCs w:val="7"/>
                <w:color w:val="auto"/>
              </w:rPr>
            </w:pPr>
          </w:p>
        </w:tc>
        <w:tc>
          <w:tcPr>
            <w:tcW w:w="600" w:type="dxa"/>
            <w:vAlign w:val="bottom"/>
            <w:tcBorders>
              <w:bottom w:val="single" w:sz="8" w:color="125288"/>
            </w:tcBorders>
          </w:tcPr>
          <w:p>
            <w:pPr>
              <w:spacing w:after="0"/>
              <w:rPr>
                <w:sz w:val="7"/>
                <w:szCs w:val="7"/>
                <w:color w:val="auto"/>
              </w:rPr>
            </w:pPr>
          </w:p>
        </w:tc>
        <w:tc>
          <w:tcPr>
            <w:tcW w:w="1820" w:type="dxa"/>
            <w:vAlign w:val="bottom"/>
            <w:tcBorders>
              <w:bottom w:val="single" w:sz="8" w:color="125288"/>
            </w:tcBorders>
          </w:tcPr>
          <w:p>
            <w:pPr>
              <w:spacing w:after="0"/>
              <w:rPr>
                <w:sz w:val="7"/>
                <w:szCs w:val="7"/>
                <w:color w:val="auto"/>
              </w:rPr>
            </w:pPr>
          </w:p>
        </w:tc>
        <w:tc>
          <w:tcPr>
            <w:tcW w:w="1160" w:type="dxa"/>
            <w:vAlign w:val="bottom"/>
            <w:tcBorders>
              <w:bottom w:val="single" w:sz="8" w:color="125288"/>
            </w:tcBorders>
          </w:tcPr>
          <w:p>
            <w:pPr>
              <w:spacing w:after="0"/>
              <w:rPr>
                <w:sz w:val="7"/>
                <w:szCs w:val="7"/>
                <w:color w:val="auto"/>
              </w:rPr>
            </w:pPr>
          </w:p>
        </w:tc>
        <w:tc>
          <w:tcPr>
            <w:tcW w:w="1340" w:type="dxa"/>
            <w:vAlign w:val="bottom"/>
            <w:tcBorders>
              <w:bottom w:val="single" w:sz="8" w:color="125288"/>
            </w:tcBorders>
          </w:tcPr>
          <w:p>
            <w:pPr>
              <w:spacing w:after="0"/>
              <w:rPr>
                <w:sz w:val="7"/>
                <w:szCs w:val="7"/>
                <w:color w:val="auto"/>
              </w:rPr>
            </w:pPr>
          </w:p>
        </w:tc>
        <w:tc>
          <w:tcPr>
            <w:tcW w:w="1300" w:type="dxa"/>
            <w:vAlign w:val="bottom"/>
            <w:tcBorders>
              <w:bottom w:val="single" w:sz="8" w:color="125288"/>
            </w:tcBorders>
          </w:tcPr>
          <w:p>
            <w:pPr>
              <w:spacing w:after="0"/>
              <w:rPr>
                <w:sz w:val="7"/>
                <w:szCs w:val="7"/>
                <w:color w:val="auto"/>
              </w:rPr>
            </w:pPr>
          </w:p>
        </w:tc>
        <w:tc>
          <w:tcPr>
            <w:tcW w:w="1360" w:type="dxa"/>
            <w:vAlign w:val="bottom"/>
            <w:tcBorders>
              <w:bottom w:val="single" w:sz="8" w:color="125288"/>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-5208270</wp:posOffset>
            </wp:positionV>
            <wp:extent cx="316865" cy="316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6865" cy="31686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-5057140</wp:posOffset>
            </wp:positionV>
            <wp:extent cx="98425" cy="984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-5080000</wp:posOffset>
            </wp:positionV>
            <wp:extent cx="158750" cy="151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8750" cy="151130"/>
                    </a:xfrm>
                    <a:prstGeom prst="rect">
                      <a:avLst/>
                    </a:prstGeom>
                    <a:noFill/>
                  </pic:spPr>
                </pic:pic>
              </a:graphicData>
            </a:graphic>
          </wp:anchor>
        </w:drawing>
        <w:drawing>
          <wp:anchor simplePos="0" relativeHeight="251657728" behindDoc="1" locked="0" layoutInCell="0" allowOverlap="1">
            <wp:simplePos x="0" y="0"/>
            <wp:positionH relativeFrom="column">
              <wp:posOffset>6639560</wp:posOffset>
            </wp:positionH>
            <wp:positionV relativeFrom="paragraph">
              <wp:posOffset>-5080000</wp:posOffset>
            </wp:positionV>
            <wp:extent cx="158750" cy="151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8750" cy="15113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-4702175</wp:posOffset>
            </wp:positionV>
            <wp:extent cx="316865" cy="3168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6865" cy="31686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-4430395</wp:posOffset>
            </wp:positionV>
            <wp:extent cx="98425" cy="984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4133850</wp:posOffset>
            </wp:positionH>
            <wp:positionV relativeFrom="paragraph">
              <wp:posOffset>-4460875</wp:posOffset>
            </wp:positionV>
            <wp:extent cx="264160" cy="1587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4160" cy="1587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-3954780</wp:posOffset>
            </wp:positionV>
            <wp:extent cx="316865" cy="316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6865" cy="31686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-3841750</wp:posOffset>
            </wp:positionV>
            <wp:extent cx="98425" cy="984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4133850</wp:posOffset>
            </wp:positionH>
            <wp:positionV relativeFrom="paragraph">
              <wp:posOffset>-3864610</wp:posOffset>
            </wp:positionV>
            <wp:extent cx="264160" cy="135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4160" cy="13589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-3871595</wp:posOffset>
            </wp:positionV>
            <wp:extent cx="158750" cy="151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8750" cy="15113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-3532505</wp:posOffset>
            </wp:positionV>
            <wp:extent cx="316865" cy="316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6865" cy="3168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-3026410</wp:posOffset>
            </wp:positionV>
            <wp:extent cx="316865" cy="3168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6865" cy="3168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-2603500</wp:posOffset>
            </wp:positionV>
            <wp:extent cx="316865" cy="3168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6865" cy="31686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-2453005</wp:posOffset>
            </wp:positionV>
            <wp:extent cx="98425" cy="984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6639560</wp:posOffset>
            </wp:positionH>
            <wp:positionV relativeFrom="paragraph">
              <wp:posOffset>-2475230</wp:posOffset>
            </wp:positionV>
            <wp:extent cx="158750" cy="1511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8750" cy="15113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-2098040</wp:posOffset>
            </wp:positionV>
            <wp:extent cx="316865" cy="3168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6865" cy="31686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-1946910</wp:posOffset>
            </wp:positionV>
            <wp:extent cx="98425" cy="984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-1969770</wp:posOffset>
            </wp:positionV>
            <wp:extent cx="158750" cy="1511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8750" cy="15113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-1591945</wp:posOffset>
            </wp:positionV>
            <wp:extent cx="316865" cy="3168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6865" cy="31686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-1380490</wp:posOffset>
            </wp:positionV>
            <wp:extent cx="98425" cy="984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-1403350</wp:posOffset>
            </wp:positionV>
            <wp:extent cx="143510" cy="1511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3510" cy="151130"/>
                    </a:xfrm>
                    <a:prstGeom prst="rect">
                      <a:avLst/>
                    </a:prstGeom>
                    <a:noFill/>
                  </pic:spPr>
                </pic:pic>
              </a:graphicData>
            </a:graphic>
          </wp:anchor>
        </w:drawing>
        <w:drawing>
          <wp:anchor simplePos="0" relativeHeight="251657728" behindDoc="1" locked="0" layoutInCell="0" allowOverlap="1">
            <wp:simplePos x="0" y="0"/>
            <wp:positionH relativeFrom="column">
              <wp:posOffset>5794375</wp:posOffset>
            </wp:positionH>
            <wp:positionV relativeFrom="paragraph">
              <wp:posOffset>-1403350</wp:posOffset>
            </wp:positionV>
            <wp:extent cx="143510" cy="1511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3510" cy="15113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-965835</wp:posOffset>
            </wp:positionV>
            <wp:extent cx="316865" cy="316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6865" cy="31686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-814705</wp:posOffset>
            </wp:positionV>
            <wp:extent cx="98425" cy="984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4133850</wp:posOffset>
            </wp:positionH>
            <wp:positionV relativeFrom="paragraph">
              <wp:posOffset>-844550</wp:posOffset>
            </wp:positionV>
            <wp:extent cx="264160" cy="1587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4160" cy="1587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-459740</wp:posOffset>
            </wp:positionV>
            <wp:extent cx="316865" cy="316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6865" cy="31686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-308610</wp:posOffset>
            </wp:positionV>
            <wp:extent cx="98425" cy="984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-331470</wp:posOffset>
            </wp:positionV>
            <wp:extent cx="158750" cy="1511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8750" cy="151130"/>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-331470</wp:posOffset>
            </wp:positionV>
            <wp:extent cx="143510" cy="1511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3510" cy="15113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37465</wp:posOffset>
            </wp:positionV>
            <wp:extent cx="158750" cy="1511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8750" cy="151130"/>
                    </a:xfrm>
                    <a:prstGeom prst="rect">
                      <a:avLst/>
                    </a:prstGeom>
                    <a:noFill/>
                  </pic:spPr>
                </pic:pic>
              </a:graphicData>
            </a:graphic>
          </wp:anchor>
        </w:drawing>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54610</wp:posOffset>
            </wp:positionV>
            <wp:extent cx="143510" cy="1511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3510" cy="151130"/>
                    </a:xfrm>
                    <a:prstGeom prst="rect">
                      <a:avLst/>
                    </a:prstGeom>
                    <a:noFill/>
                  </pic:spPr>
                </pic:pic>
              </a:graphicData>
            </a:graphic>
          </wp:anchor>
        </w:drawing>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Chairperson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54610</wp:posOffset>
            </wp:positionV>
            <wp:extent cx="113030" cy="143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3030" cy="143510"/>
                    </a:xfrm>
                    <a:prstGeom prst="rect">
                      <a:avLst/>
                    </a:prstGeom>
                    <a:noFill/>
                  </pic:spPr>
                </pic:pic>
              </a:graphicData>
            </a:graphic>
          </wp:anchor>
        </w:drawing>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Financial Expert</w:t>
      </w:r>
    </w:p>
    <w:p>
      <w:pPr>
        <w:spacing w:after="0" w:line="248"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3" w:name="page14"/>
    <w:bookmarkEnd w:id="13"/>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280035</wp:posOffset>
            </wp:positionV>
            <wp:extent cx="5382260" cy="1804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82260" cy="1804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Summary of Director Nominee Experience and Qualifications</w:t>
      </w:r>
    </w:p>
    <w:p>
      <w:pPr>
        <w:spacing w:after="0" w:line="142"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Below is a summary of some of the skills, experience, and expertise our Board believes are most relevant in light of the Company’s business and strategy. While these were among the attributes considered by the Board in connection with this year’s director nomination process, the following matrix does not encompass all experience, qualifications, attributes, or skills of our director nominees.</w:t>
      </w:r>
    </w:p>
    <w:p>
      <w:pPr>
        <w:spacing w:after="0" w:line="277" w:lineRule="exact"/>
        <w:rPr>
          <w:sz w:val="20"/>
          <w:szCs w:val="20"/>
          <w:color w:val="auto"/>
        </w:rPr>
      </w:pPr>
    </w:p>
    <w:tbl>
      <w:tblPr>
        <w:tblLayout w:type="fixed"/>
        <w:tblInd w:w="3220" w:type="dxa"/>
        <w:tblCellMar>
          <w:top w:w="0" w:type="dxa"/>
          <w:left w:w="0" w:type="dxa"/>
          <w:bottom w:w="0" w:type="dxa"/>
          <w:right w:w="0" w:type="dxa"/>
        </w:tblCellMar>
      </w:tblPr>
      <w:tr>
        <w:trPr>
          <w:trHeight w:val="172"/>
        </w:trPr>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jc w:val="right"/>
              <w:ind w:right="35"/>
              <w:spacing w:after="0"/>
              <w:rPr>
                <w:sz w:val="20"/>
                <w:szCs w:val="20"/>
                <w:color w:val="auto"/>
              </w:rPr>
            </w:pPr>
            <w:r>
              <w:rPr>
                <w:rFonts w:ascii="Arial" w:cs="Arial" w:eastAsia="Arial" w:hAnsi="Arial"/>
                <w:sz w:val="13"/>
                <w:szCs w:val="13"/>
                <w:b w:val="1"/>
                <w:bCs w:val="1"/>
                <w:color w:val="125288"/>
              </w:rPr>
              <w:t>Financial/</w:t>
            </w:r>
          </w:p>
        </w:tc>
        <w:tc>
          <w:tcPr>
            <w:tcW w:w="800" w:type="dxa"/>
            <w:vAlign w:val="bottom"/>
          </w:tcPr>
          <w:p>
            <w:pPr>
              <w:jc w:val="right"/>
              <w:ind w:right="15"/>
              <w:spacing w:after="0"/>
              <w:rPr>
                <w:sz w:val="20"/>
                <w:szCs w:val="20"/>
                <w:color w:val="auto"/>
              </w:rPr>
            </w:pPr>
            <w:r>
              <w:rPr>
                <w:rFonts w:ascii="Arial" w:cs="Arial" w:eastAsia="Arial" w:hAnsi="Arial"/>
                <w:sz w:val="13"/>
                <w:szCs w:val="13"/>
                <w:b w:val="1"/>
                <w:bCs w:val="1"/>
                <w:color w:val="125288"/>
              </w:rPr>
              <w:t>Public</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8"/>
        </w:trPr>
        <w:tc>
          <w:tcPr>
            <w:tcW w:w="600" w:type="dxa"/>
            <w:vAlign w:val="bottom"/>
          </w:tcPr>
          <w:p>
            <w:pPr>
              <w:jc w:val="right"/>
              <w:ind w:right="35"/>
              <w:spacing w:after="0"/>
              <w:rPr>
                <w:sz w:val="20"/>
                <w:szCs w:val="20"/>
                <w:color w:val="auto"/>
              </w:rPr>
            </w:pPr>
            <w:r>
              <w:rPr>
                <w:rFonts w:ascii="Arial" w:cs="Arial" w:eastAsia="Arial" w:hAnsi="Arial"/>
                <w:sz w:val="13"/>
                <w:szCs w:val="13"/>
                <w:b w:val="1"/>
                <w:bCs w:val="1"/>
                <w:color w:val="125288"/>
                <w:w w:val="99"/>
              </w:rPr>
              <w:t>Gaming</w:t>
            </w:r>
          </w:p>
        </w:tc>
        <w:tc>
          <w:tcPr>
            <w:tcW w:w="1080" w:type="dxa"/>
            <w:vAlign w:val="bottom"/>
          </w:tcPr>
          <w:p>
            <w:pPr>
              <w:jc w:val="right"/>
              <w:ind w:right="35"/>
              <w:spacing w:after="0"/>
              <w:rPr>
                <w:sz w:val="20"/>
                <w:szCs w:val="20"/>
                <w:color w:val="auto"/>
              </w:rPr>
            </w:pPr>
            <w:r>
              <w:rPr>
                <w:rFonts w:ascii="Arial" w:cs="Arial" w:eastAsia="Arial" w:hAnsi="Arial"/>
                <w:sz w:val="13"/>
                <w:szCs w:val="13"/>
                <w:b w:val="1"/>
                <w:bCs w:val="1"/>
                <w:color w:val="125288"/>
              </w:rPr>
              <w:t>Entertainment</w:t>
            </w:r>
          </w:p>
        </w:tc>
        <w:tc>
          <w:tcPr>
            <w:tcW w:w="940" w:type="dxa"/>
            <w:vAlign w:val="bottom"/>
          </w:tcPr>
          <w:p>
            <w:pPr>
              <w:jc w:val="right"/>
              <w:ind w:right="35"/>
              <w:spacing w:after="0"/>
              <w:rPr>
                <w:sz w:val="20"/>
                <w:szCs w:val="20"/>
                <w:color w:val="auto"/>
              </w:rPr>
            </w:pPr>
            <w:r>
              <w:rPr>
                <w:rFonts w:ascii="Arial" w:cs="Arial" w:eastAsia="Arial" w:hAnsi="Arial"/>
                <w:sz w:val="13"/>
                <w:szCs w:val="13"/>
                <w:b w:val="1"/>
                <w:bCs w:val="1"/>
                <w:color w:val="125288"/>
              </w:rPr>
              <w:t>Technology/</w:t>
            </w:r>
          </w:p>
        </w:tc>
        <w:tc>
          <w:tcPr>
            <w:tcW w:w="920" w:type="dxa"/>
            <w:vAlign w:val="bottom"/>
          </w:tcPr>
          <w:p>
            <w:pPr>
              <w:jc w:val="right"/>
              <w:ind w:right="35"/>
              <w:spacing w:after="0"/>
              <w:rPr>
                <w:sz w:val="20"/>
                <w:szCs w:val="20"/>
                <w:color w:val="auto"/>
              </w:rPr>
            </w:pPr>
            <w:r>
              <w:rPr>
                <w:rFonts w:ascii="Arial" w:cs="Arial" w:eastAsia="Arial" w:hAnsi="Arial"/>
                <w:sz w:val="13"/>
                <w:szCs w:val="13"/>
                <w:b w:val="1"/>
                <w:bCs w:val="1"/>
                <w:color w:val="125288"/>
              </w:rPr>
              <w:t>Audit/</w:t>
            </w:r>
          </w:p>
        </w:tc>
        <w:tc>
          <w:tcPr>
            <w:tcW w:w="820" w:type="dxa"/>
            <w:vAlign w:val="bottom"/>
          </w:tcPr>
          <w:p>
            <w:pPr>
              <w:jc w:val="right"/>
              <w:ind w:right="35"/>
              <w:spacing w:after="0"/>
              <w:rPr>
                <w:sz w:val="20"/>
                <w:szCs w:val="20"/>
                <w:color w:val="auto"/>
              </w:rPr>
            </w:pPr>
            <w:r>
              <w:rPr>
                <w:rFonts w:ascii="Arial" w:cs="Arial" w:eastAsia="Arial" w:hAnsi="Arial"/>
                <w:sz w:val="13"/>
                <w:szCs w:val="13"/>
                <w:b w:val="1"/>
                <w:bCs w:val="1"/>
                <w:color w:val="125288"/>
              </w:rPr>
              <w:t>Capital</w:t>
            </w:r>
          </w:p>
        </w:tc>
        <w:tc>
          <w:tcPr>
            <w:tcW w:w="800" w:type="dxa"/>
            <w:vAlign w:val="bottom"/>
          </w:tcPr>
          <w:p>
            <w:pPr>
              <w:jc w:val="right"/>
              <w:ind w:right="15"/>
              <w:spacing w:after="0"/>
              <w:rPr>
                <w:sz w:val="20"/>
                <w:szCs w:val="20"/>
                <w:color w:val="auto"/>
              </w:rPr>
            </w:pPr>
            <w:r>
              <w:rPr>
                <w:rFonts w:ascii="Arial" w:cs="Arial" w:eastAsia="Arial" w:hAnsi="Arial"/>
                <w:sz w:val="13"/>
                <w:szCs w:val="13"/>
                <w:b w:val="1"/>
                <w:bCs w:val="1"/>
                <w:color w:val="125288"/>
              </w:rPr>
              <w:t>Company</w:t>
            </w:r>
          </w:p>
        </w:tc>
        <w:tc>
          <w:tcPr>
            <w:tcW w:w="1000" w:type="dxa"/>
            <w:vAlign w:val="bottom"/>
          </w:tcPr>
          <w:p>
            <w:pPr>
              <w:jc w:val="right"/>
              <w:ind w:right="15"/>
              <w:spacing w:after="0"/>
              <w:rPr>
                <w:sz w:val="20"/>
                <w:szCs w:val="20"/>
                <w:color w:val="auto"/>
              </w:rPr>
            </w:pPr>
            <w:r>
              <w:rPr>
                <w:rFonts w:ascii="Arial" w:cs="Arial" w:eastAsia="Arial" w:hAnsi="Arial"/>
                <w:sz w:val="13"/>
                <w:szCs w:val="13"/>
                <w:b w:val="1"/>
                <w:bCs w:val="1"/>
                <w:color w:val="125288"/>
              </w:rPr>
              <w:t>Public Board</w:t>
            </w:r>
          </w:p>
        </w:tc>
        <w:tc>
          <w:tcPr>
            <w:tcW w:w="980" w:type="dxa"/>
            <w:vAlign w:val="bottom"/>
          </w:tcPr>
          <w:p>
            <w:pPr>
              <w:jc w:val="right"/>
              <w:ind w:right="35"/>
              <w:spacing w:after="0"/>
              <w:rPr>
                <w:sz w:val="20"/>
                <w:szCs w:val="20"/>
                <w:color w:val="auto"/>
              </w:rPr>
            </w:pPr>
            <w:r>
              <w:rPr>
                <w:rFonts w:ascii="Arial" w:cs="Arial" w:eastAsia="Arial" w:hAnsi="Arial"/>
                <w:sz w:val="13"/>
                <w:szCs w:val="13"/>
                <w:b w:val="1"/>
                <w:bCs w:val="1"/>
                <w:color w:val="125288"/>
              </w:rPr>
              <w:t>International</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125288"/>
              </w:rPr>
              <w:t>Educational</w:t>
            </w:r>
          </w:p>
        </w:tc>
      </w:tr>
      <w:tr>
        <w:trPr>
          <w:trHeight w:val="178"/>
        </w:trPr>
        <w:tc>
          <w:tcPr>
            <w:tcW w:w="600" w:type="dxa"/>
            <w:vAlign w:val="bottom"/>
          </w:tcPr>
          <w:p>
            <w:pPr>
              <w:jc w:val="right"/>
              <w:ind w:right="35"/>
              <w:spacing w:after="0"/>
              <w:rPr>
                <w:sz w:val="20"/>
                <w:szCs w:val="20"/>
                <w:color w:val="auto"/>
              </w:rPr>
            </w:pPr>
            <w:r>
              <w:rPr>
                <w:rFonts w:ascii="Arial" w:cs="Arial" w:eastAsia="Arial" w:hAnsi="Arial"/>
                <w:sz w:val="13"/>
                <w:szCs w:val="13"/>
                <w:b w:val="1"/>
                <w:bCs w:val="1"/>
                <w:color w:val="125288"/>
                <w:w w:val="93"/>
              </w:rPr>
              <w:t>Industry</w:t>
            </w:r>
          </w:p>
        </w:tc>
        <w:tc>
          <w:tcPr>
            <w:tcW w:w="1080" w:type="dxa"/>
            <w:vAlign w:val="bottom"/>
          </w:tcPr>
          <w:p>
            <w:pPr>
              <w:jc w:val="right"/>
              <w:ind w:right="35"/>
              <w:spacing w:after="0"/>
              <w:rPr>
                <w:sz w:val="20"/>
                <w:szCs w:val="20"/>
                <w:color w:val="auto"/>
              </w:rPr>
            </w:pPr>
            <w:r>
              <w:rPr>
                <w:rFonts w:ascii="Arial" w:cs="Arial" w:eastAsia="Arial" w:hAnsi="Arial"/>
                <w:sz w:val="13"/>
                <w:szCs w:val="13"/>
                <w:b w:val="1"/>
                <w:bCs w:val="1"/>
                <w:color w:val="125288"/>
              </w:rPr>
              <w:t>Industry</w:t>
            </w:r>
          </w:p>
        </w:tc>
        <w:tc>
          <w:tcPr>
            <w:tcW w:w="940" w:type="dxa"/>
            <w:vAlign w:val="bottom"/>
          </w:tcPr>
          <w:p>
            <w:pPr>
              <w:jc w:val="right"/>
              <w:ind w:right="35"/>
              <w:spacing w:after="0"/>
              <w:rPr>
                <w:sz w:val="20"/>
                <w:szCs w:val="20"/>
                <w:color w:val="auto"/>
              </w:rPr>
            </w:pPr>
            <w:r>
              <w:rPr>
                <w:rFonts w:ascii="Arial" w:cs="Arial" w:eastAsia="Arial" w:hAnsi="Arial"/>
                <w:sz w:val="13"/>
                <w:szCs w:val="13"/>
                <w:b w:val="1"/>
                <w:bCs w:val="1"/>
                <w:color w:val="125288"/>
              </w:rPr>
              <w:t>Digital</w:t>
            </w:r>
          </w:p>
        </w:tc>
        <w:tc>
          <w:tcPr>
            <w:tcW w:w="920" w:type="dxa"/>
            <w:vAlign w:val="bottom"/>
          </w:tcPr>
          <w:p>
            <w:pPr>
              <w:jc w:val="right"/>
              <w:ind w:right="35"/>
              <w:spacing w:after="0"/>
              <w:rPr>
                <w:sz w:val="20"/>
                <w:szCs w:val="20"/>
                <w:color w:val="auto"/>
              </w:rPr>
            </w:pPr>
            <w:r>
              <w:rPr>
                <w:rFonts w:ascii="Arial" w:cs="Arial" w:eastAsia="Arial" w:hAnsi="Arial"/>
                <w:sz w:val="13"/>
                <w:szCs w:val="13"/>
                <w:b w:val="1"/>
                <w:bCs w:val="1"/>
                <w:color w:val="125288"/>
              </w:rPr>
              <w:t>Accounting</w:t>
            </w:r>
          </w:p>
        </w:tc>
        <w:tc>
          <w:tcPr>
            <w:tcW w:w="820" w:type="dxa"/>
            <w:vAlign w:val="bottom"/>
          </w:tcPr>
          <w:p>
            <w:pPr>
              <w:jc w:val="right"/>
              <w:ind w:right="35"/>
              <w:spacing w:after="0"/>
              <w:rPr>
                <w:sz w:val="20"/>
                <w:szCs w:val="20"/>
                <w:color w:val="auto"/>
              </w:rPr>
            </w:pPr>
            <w:r>
              <w:rPr>
                <w:rFonts w:ascii="Arial" w:cs="Arial" w:eastAsia="Arial" w:hAnsi="Arial"/>
                <w:sz w:val="13"/>
                <w:szCs w:val="13"/>
                <w:b w:val="1"/>
                <w:bCs w:val="1"/>
                <w:color w:val="125288"/>
              </w:rPr>
              <w:t>Allocation</w:t>
            </w:r>
          </w:p>
        </w:tc>
        <w:tc>
          <w:tcPr>
            <w:tcW w:w="800" w:type="dxa"/>
            <w:vAlign w:val="bottom"/>
          </w:tcPr>
          <w:p>
            <w:pPr>
              <w:jc w:val="right"/>
              <w:ind w:right="15"/>
              <w:spacing w:after="0"/>
              <w:rPr>
                <w:sz w:val="20"/>
                <w:szCs w:val="20"/>
                <w:color w:val="auto"/>
              </w:rPr>
            </w:pPr>
            <w:r>
              <w:rPr>
                <w:rFonts w:ascii="Arial" w:cs="Arial" w:eastAsia="Arial" w:hAnsi="Arial"/>
                <w:sz w:val="13"/>
                <w:szCs w:val="13"/>
                <w:b w:val="1"/>
                <w:bCs w:val="1"/>
                <w:color w:val="125288"/>
              </w:rPr>
              <w:t>Executive</w:t>
            </w:r>
          </w:p>
        </w:tc>
        <w:tc>
          <w:tcPr>
            <w:tcW w:w="1000" w:type="dxa"/>
            <w:vAlign w:val="bottom"/>
          </w:tcPr>
          <w:p>
            <w:pPr>
              <w:jc w:val="right"/>
              <w:ind w:right="15"/>
              <w:spacing w:after="0"/>
              <w:rPr>
                <w:sz w:val="20"/>
                <w:szCs w:val="20"/>
                <w:color w:val="auto"/>
              </w:rPr>
            </w:pPr>
            <w:r>
              <w:rPr>
                <w:rFonts w:ascii="Arial" w:cs="Arial" w:eastAsia="Arial" w:hAnsi="Arial"/>
                <w:sz w:val="13"/>
                <w:szCs w:val="13"/>
                <w:b w:val="1"/>
                <w:bCs w:val="1"/>
                <w:color w:val="125288"/>
              </w:rPr>
              <w:t>Experience</w:t>
            </w:r>
          </w:p>
        </w:tc>
        <w:tc>
          <w:tcPr>
            <w:tcW w:w="980" w:type="dxa"/>
            <w:vAlign w:val="bottom"/>
          </w:tcPr>
          <w:p>
            <w:pPr>
              <w:jc w:val="right"/>
              <w:ind w:right="35"/>
              <w:spacing w:after="0"/>
              <w:rPr>
                <w:sz w:val="20"/>
                <w:szCs w:val="20"/>
                <w:color w:val="auto"/>
              </w:rPr>
            </w:pPr>
            <w:r>
              <w:rPr>
                <w:rFonts w:ascii="Arial" w:cs="Arial" w:eastAsia="Arial" w:hAnsi="Arial"/>
                <w:sz w:val="13"/>
                <w:szCs w:val="13"/>
                <w:b w:val="1"/>
                <w:bCs w:val="1"/>
                <w:color w:val="125288"/>
              </w:rPr>
              <w:t>Expertise</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125288"/>
              </w:rPr>
              <w:t>Experience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7148830"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63" w:lineRule="exact"/>
        <w:rPr>
          <w:sz w:val="20"/>
          <w:szCs w:val="20"/>
          <w:color w:val="auto"/>
        </w:rPr>
      </w:pPr>
    </w:p>
    <w:p>
      <w:pPr>
        <w:ind w:left="60"/>
        <w:spacing w:after="0"/>
        <w:rPr>
          <w:sz w:val="20"/>
          <w:szCs w:val="20"/>
          <w:color w:val="auto"/>
        </w:rPr>
      </w:pPr>
      <w:r>
        <w:rPr>
          <w:rFonts w:ascii="Arial" w:cs="Arial" w:eastAsia="Arial" w:hAnsi="Arial"/>
          <w:sz w:val="14"/>
          <w:szCs w:val="14"/>
          <w:color w:val="auto"/>
        </w:rPr>
        <w:t>Reveta Bowers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-87630</wp:posOffset>
            </wp:positionV>
            <wp:extent cx="7156450" cy="2870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6450" cy="287020"/>
                    </a:xfrm>
                    <a:prstGeom prst="rect">
                      <a:avLst/>
                    </a:prstGeom>
                    <a:noFill/>
                  </pic:spPr>
                </pic:pic>
              </a:graphicData>
            </a:graphic>
          </wp:anchor>
        </w:drawing>
      </w:r>
    </w:p>
    <w:p>
      <w:pPr>
        <w:spacing w:after="0" w:line="69" w:lineRule="exact"/>
        <w:rPr>
          <w:sz w:val="20"/>
          <w:szCs w:val="20"/>
          <w:color w:val="auto"/>
        </w:rPr>
      </w:pPr>
    </w:p>
    <w:p>
      <w:pPr>
        <w:ind w:left="60"/>
        <w:spacing w:after="0"/>
        <w:rPr>
          <w:sz w:val="20"/>
          <w:szCs w:val="20"/>
          <w:color w:val="auto"/>
        </w:rPr>
      </w:pPr>
      <w:r>
        <w:rPr>
          <w:rFonts w:ascii="Arial" w:cs="Arial" w:eastAsia="Arial" w:hAnsi="Arial"/>
          <w:sz w:val="14"/>
          <w:szCs w:val="14"/>
          <w:color w:val="auto"/>
        </w:rPr>
        <w:t>Kerry Carr</w:t>
      </w:r>
    </w:p>
    <w:p>
      <w:pPr>
        <w:spacing w:after="0" w:line="89" w:lineRule="exact"/>
        <w:rPr>
          <w:sz w:val="20"/>
          <w:szCs w:val="20"/>
          <w:color w:val="auto"/>
        </w:rPr>
      </w:pPr>
    </w:p>
    <w:p>
      <w:pPr>
        <w:ind w:left="60"/>
        <w:spacing w:after="0"/>
        <w:rPr>
          <w:sz w:val="20"/>
          <w:szCs w:val="20"/>
          <w:color w:val="auto"/>
        </w:rPr>
      </w:pPr>
      <w:r>
        <w:rPr>
          <w:rFonts w:ascii="Arial" w:cs="Arial" w:eastAsia="Arial" w:hAnsi="Arial"/>
          <w:sz w:val="14"/>
          <w:szCs w:val="14"/>
          <w:color w:val="auto"/>
        </w:rPr>
        <w:t>Robert Corti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-87630</wp:posOffset>
            </wp:positionV>
            <wp:extent cx="7156450" cy="2870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6450" cy="287020"/>
                    </a:xfrm>
                    <a:prstGeom prst="rect">
                      <a:avLst/>
                    </a:prstGeom>
                    <a:noFill/>
                  </pic:spPr>
                </pic:pic>
              </a:graphicData>
            </a:graphic>
          </wp:anchor>
        </w:drawing>
      </w:r>
    </w:p>
    <w:p>
      <w:pPr>
        <w:spacing w:after="0" w:line="69" w:lineRule="exact"/>
        <w:rPr>
          <w:sz w:val="20"/>
          <w:szCs w:val="20"/>
          <w:color w:val="auto"/>
        </w:rPr>
      </w:pPr>
    </w:p>
    <w:p>
      <w:pPr>
        <w:ind w:left="60"/>
        <w:spacing w:after="0"/>
        <w:rPr>
          <w:sz w:val="20"/>
          <w:szCs w:val="20"/>
          <w:color w:val="auto"/>
        </w:rPr>
      </w:pPr>
      <w:r>
        <w:rPr>
          <w:rFonts w:ascii="Arial" w:cs="Arial" w:eastAsia="Arial" w:hAnsi="Arial"/>
          <w:sz w:val="14"/>
          <w:szCs w:val="14"/>
          <w:color w:val="auto"/>
        </w:rPr>
        <w:t>Brian Kelly</w:t>
      </w:r>
    </w:p>
    <w:p>
      <w:pPr>
        <w:spacing w:after="0" w:line="89" w:lineRule="exact"/>
        <w:rPr>
          <w:sz w:val="20"/>
          <w:szCs w:val="20"/>
          <w:color w:val="auto"/>
        </w:rPr>
      </w:pPr>
    </w:p>
    <w:p>
      <w:pPr>
        <w:ind w:left="60"/>
        <w:spacing w:after="0"/>
        <w:rPr>
          <w:sz w:val="20"/>
          <w:szCs w:val="20"/>
          <w:color w:val="auto"/>
        </w:rPr>
      </w:pPr>
      <w:r>
        <w:rPr>
          <w:rFonts w:ascii="Arial" w:cs="Arial" w:eastAsia="Arial" w:hAnsi="Arial"/>
          <w:sz w:val="14"/>
          <w:szCs w:val="14"/>
          <w:color w:val="auto"/>
        </w:rPr>
        <w:t>Robert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-87630</wp:posOffset>
            </wp:positionV>
            <wp:extent cx="7148830" cy="2717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8830" cy="271780"/>
                    </a:xfrm>
                    <a:prstGeom prst="rect">
                      <a:avLst/>
                    </a:prstGeom>
                    <a:noFill/>
                  </pic:spPr>
                </pic:pic>
              </a:graphicData>
            </a:graphic>
          </wp:anchor>
        </w:drawing>
      </w:r>
    </w:p>
    <w:p>
      <w:pPr>
        <w:spacing w:after="0" w:line="57" w:lineRule="exact"/>
        <w:rPr>
          <w:sz w:val="20"/>
          <w:szCs w:val="20"/>
          <w:color w:val="auto"/>
        </w:rPr>
      </w:pPr>
    </w:p>
    <w:p>
      <w:pPr>
        <w:ind w:left="60"/>
        <w:spacing w:after="0"/>
        <w:rPr>
          <w:sz w:val="20"/>
          <w:szCs w:val="20"/>
          <w:color w:val="auto"/>
        </w:rPr>
      </w:pPr>
      <w:r>
        <w:rPr>
          <w:rFonts w:ascii="Arial" w:cs="Arial" w:eastAsia="Arial" w:hAnsi="Arial"/>
          <w:sz w:val="14"/>
          <w:szCs w:val="14"/>
          <w:color w:val="auto"/>
        </w:rPr>
        <w:t>Lulu Meservey</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4"/>
          <w:szCs w:val="14"/>
          <w:color w:val="auto"/>
        </w:rPr>
        <w:t>Barry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-87630</wp:posOffset>
            </wp:positionV>
            <wp:extent cx="7156450" cy="2870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6450" cy="287020"/>
                    </a:xfrm>
                    <a:prstGeom prst="rect">
                      <a:avLst/>
                    </a:prstGeom>
                    <a:noFill/>
                  </pic:spPr>
                </pic:pic>
              </a:graphicData>
            </a:graphic>
          </wp:anchor>
        </w:drawing>
      </w:r>
    </w:p>
    <w:p>
      <w:pPr>
        <w:spacing w:after="0" w:line="69" w:lineRule="exact"/>
        <w:rPr>
          <w:sz w:val="20"/>
          <w:szCs w:val="20"/>
          <w:color w:val="auto"/>
        </w:rPr>
      </w:pPr>
    </w:p>
    <w:p>
      <w:pPr>
        <w:ind w:left="60"/>
        <w:spacing w:after="0"/>
        <w:rPr>
          <w:sz w:val="20"/>
          <w:szCs w:val="20"/>
          <w:color w:val="auto"/>
        </w:rPr>
      </w:pPr>
      <w:r>
        <w:rPr>
          <w:rFonts w:ascii="Arial" w:cs="Arial" w:eastAsia="Arial" w:hAnsi="Arial"/>
          <w:sz w:val="14"/>
          <w:szCs w:val="14"/>
          <w:color w:val="auto"/>
        </w:rPr>
        <w:t>Robert Morgado</w:t>
      </w:r>
    </w:p>
    <w:p>
      <w:pPr>
        <w:spacing w:after="0" w:line="89" w:lineRule="exact"/>
        <w:rPr>
          <w:sz w:val="20"/>
          <w:szCs w:val="20"/>
          <w:color w:val="auto"/>
        </w:rPr>
      </w:pPr>
    </w:p>
    <w:p>
      <w:pPr>
        <w:ind w:left="60"/>
        <w:spacing w:after="0"/>
        <w:rPr>
          <w:sz w:val="20"/>
          <w:szCs w:val="20"/>
          <w:color w:val="auto"/>
        </w:rPr>
      </w:pPr>
      <w:r>
        <w:rPr>
          <w:rFonts w:ascii="Arial" w:cs="Arial" w:eastAsia="Arial" w:hAnsi="Arial"/>
          <w:sz w:val="14"/>
          <w:szCs w:val="14"/>
          <w:color w:val="auto"/>
        </w:rPr>
        <w:t>Peter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-87630</wp:posOffset>
            </wp:positionV>
            <wp:extent cx="7156450" cy="2870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6450" cy="287020"/>
                    </a:xfrm>
                    <a:prstGeom prst="rect">
                      <a:avLst/>
                    </a:prstGeom>
                    <a:noFill/>
                  </pic:spPr>
                </pic:pic>
              </a:graphicData>
            </a:graphic>
          </wp:anchor>
        </w:drawing>
      </w:r>
    </w:p>
    <w:p>
      <w:pPr>
        <w:spacing w:after="0" w:line="69" w:lineRule="exact"/>
        <w:rPr>
          <w:sz w:val="20"/>
          <w:szCs w:val="20"/>
          <w:color w:val="auto"/>
        </w:rPr>
      </w:pPr>
    </w:p>
    <w:p>
      <w:pPr>
        <w:ind w:left="60"/>
        <w:spacing w:after="0"/>
        <w:rPr>
          <w:sz w:val="20"/>
          <w:szCs w:val="20"/>
          <w:color w:val="auto"/>
        </w:rPr>
      </w:pPr>
      <w:r>
        <w:rPr>
          <w:rFonts w:ascii="Arial" w:cs="Arial" w:eastAsia="Arial" w:hAnsi="Arial"/>
          <w:sz w:val="14"/>
          <w:szCs w:val="14"/>
          <w:color w:val="auto"/>
        </w:rPr>
        <w:t>Dawn Ostroff</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00" w:type="dxa"/>
            <w:vAlign w:val="bottom"/>
          </w:tcPr>
          <w:p>
            <w:pPr>
              <w:ind w:left="60"/>
              <w:spacing w:after="0"/>
              <w:rPr>
                <w:sz w:val="20"/>
                <w:szCs w:val="20"/>
                <w:color w:val="auto"/>
              </w:rPr>
            </w:pPr>
            <w:r>
              <w:rPr>
                <w:rFonts w:ascii="Arial" w:cs="Arial" w:eastAsia="Arial" w:hAnsi="Arial"/>
                <w:sz w:val="14"/>
                <w:szCs w:val="14"/>
                <w:b w:val="1"/>
                <w:bCs w:val="1"/>
                <w:color w:val="125288"/>
              </w:rPr>
              <w:t>Total</w:t>
            </w:r>
          </w:p>
        </w:tc>
        <w:tc>
          <w:tcPr>
            <w:tcW w:w="2020" w:type="dxa"/>
            <w:vAlign w:val="bottom"/>
          </w:tcPr>
          <w:p>
            <w:pPr>
              <w:jc w:val="right"/>
              <w:ind w:right="349"/>
              <w:spacing w:after="0"/>
              <w:rPr>
                <w:sz w:val="20"/>
                <w:szCs w:val="20"/>
                <w:color w:val="auto"/>
              </w:rPr>
            </w:pPr>
            <w:r>
              <w:rPr>
                <w:rFonts w:ascii="Arial" w:cs="Arial" w:eastAsia="Arial" w:hAnsi="Arial"/>
                <w:sz w:val="14"/>
                <w:szCs w:val="14"/>
                <w:color w:val="auto"/>
              </w:rPr>
              <w:t>3</w:t>
            </w:r>
          </w:p>
        </w:tc>
        <w:tc>
          <w:tcPr>
            <w:tcW w:w="940" w:type="dxa"/>
            <w:vAlign w:val="bottom"/>
          </w:tcPr>
          <w:p>
            <w:pPr>
              <w:jc w:val="right"/>
              <w:ind w:right="389"/>
              <w:spacing w:after="0"/>
              <w:rPr>
                <w:sz w:val="20"/>
                <w:szCs w:val="20"/>
                <w:color w:val="auto"/>
              </w:rPr>
            </w:pPr>
            <w:r>
              <w:rPr>
                <w:rFonts w:ascii="Arial" w:cs="Arial" w:eastAsia="Arial" w:hAnsi="Arial"/>
                <w:sz w:val="14"/>
                <w:szCs w:val="14"/>
                <w:color w:val="auto"/>
              </w:rPr>
              <w:t>7</w:t>
            </w:r>
          </w:p>
        </w:tc>
        <w:tc>
          <w:tcPr>
            <w:tcW w:w="980" w:type="dxa"/>
            <w:vAlign w:val="bottom"/>
          </w:tcPr>
          <w:p>
            <w:pPr>
              <w:jc w:val="right"/>
              <w:ind w:right="369"/>
              <w:spacing w:after="0"/>
              <w:rPr>
                <w:sz w:val="20"/>
                <w:szCs w:val="20"/>
                <w:color w:val="auto"/>
              </w:rPr>
            </w:pPr>
            <w:r>
              <w:rPr>
                <w:rFonts w:ascii="Arial" w:cs="Arial" w:eastAsia="Arial" w:hAnsi="Arial"/>
                <w:sz w:val="14"/>
                <w:szCs w:val="14"/>
                <w:color w:val="auto"/>
              </w:rPr>
              <w:t>7</w:t>
            </w:r>
          </w:p>
        </w:tc>
        <w:tc>
          <w:tcPr>
            <w:tcW w:w="900" w:type="dxa"/>
            <w:vAlign w:val="bottom"/>
          </w:tcPr>
          <w:p>
            <w:pPr>
              <w:jc w:val="right"/>
              <w:ind w:right="329"/>
              <w:spacing w:after="0"/>
              <w:rPr>
                <w:sz w:val="20"/>
                <w:szCs w:val="20"/>
                <w:color w:val="auto"/>
              </w:rPr>
            </w:pPr>
            <w:r>
              <w:rPr>
                <w:rFonts w:ascii="Arial" w:cs="Arial" w:eastAsia="Arial" w:hAnsi="Arial"/>
                <w:sz w:val="14"/>
                <w:szCs w:val="14"/>
                <w:color w:val="auto"/>
              </w:rPr>
              <w:t>3</w:t>
            </w:r>
          </w:p>
        </w:tc>
        <w:tc>
          <w:tcPr>
            <w:tcW w:w="840" w:type="dxa"/>
            <w:vAlign w:val="bottom"/>
          </w:tcPr>
          <w:p>
            <w:pPr>
              <w:jc w:val="right"/>
              <w:ind w:right="309"/>
              <w:spacing w:after="0"/>
              <w:rPr>
                <w:sz w:val="20"/>
                <w:szCs w:val="20"/>
                <w:color w:val="auto"/>
              </w:rPr>
            </w:pPr>
            <w:r>
              <w:rPr>
                <w:rFonts w:ascii="Arial" w:cs="Arial" w:eastAsia="Arial" w:hAnsi="Arial"/>
                <w:sz w:val="14"/>
                <w:szCs w:val="14"/>
                <w:color w:val="auto"/>
              </w:rPr>
              <w:t>7</w:t>
            </w:r>
          </w:p>
        </w:tc>
        <w:tc>
          <w:tcPr>
            <w:tcW w:w="860" w:type="dxa"/>
            <w:vAlign w:val="bottom"/>
          </w:tcPr>
          <w:p>
            <w:pPr>
              <w:jc w:val="right"/>
              <w:ind w:right="349"/>
              <w:spacing w:after="0"/>
              <w:rPr>
                <w:sz w:val="20"/>
                <w:szCs w:val="20"/>
                <w:color w:val="auto"/>
              </w:rPr>
            </w:pPr>
            <w:r>
              <w:rPr>
                <w:rFonts w:ascii="Arial" w:cs="Arial" w:eastAsia="Arial" w:hAnsi="Arial"/>
                <w:sz w:val="14"/>
                <w:szCs w:val="14"/>
                <w:color w:val="auto"/>
              </w:rPr>
              <w:t>7</w:t>
            </w:r>
          </w:p>
        </w:tc>
        <w:tc>
          <w:tcPr>
            <w:tcW w:w="940" w:type="dxa"/>
            <w:vAlign w:val="bottom"/>
          </w:tcPr>
          <w:p>
            <w:pPr>
              <w:jc w:val="right"/>
              <w:ind w:right="389"/>
              <w:spacing w:after="0"/>
              <w:rPr>
                <w:sz w:val="20"/>
                <w:szCs w:val="20"/>
                <w:color w:val="auto"/>
              </w:rPr>
            </w:pPr>
            <w:r>
              <w:rPr>
                <w:rFonts w:ascii="Arial" w:cs="Arial" w:eastAsia="Arial" w:hAnsi="Arial"/>
                <w:sz w:val="14"/>
                <w:szCs w:val="14"/>
                <w:color w:val="auto"/>
              </w:rPr>
              <w:t>7</w:t>
            </w:r>
          </w:p>
        </w:tc>
        <w:tc>
          <w:tcPr>
            <w:tcW w:w="960" w:type="dxa"/>
            <w:vAlign w:val="bottom"/>
          </w:tcPr>
          <w:p>
            <w:pPr>
              <w:jc w:val="right"/>
              <w:ind w:right="349"/>
              <w:spacing w:after="0"/>
              <w:rPr>
                <w:sz w:val="20"/>
                <w:szCs w:val="20"/>
                <w:color w:val="auto"/>
              </w:rPr>
            </w:pPr>
            <w:r>
              <w:rPr>
                <w:rFonts w:ascii="Arial" w:cs="Arial" w:eastAsia="Arial" w:hAnsi="Arial"/>
                <w:sz w:val="14"/>
                <w:szCs w:val="14"/>
                <w:color w:val="auto"/>
              </w:rPr>
              <w:t>8</w:t>
            </w:r>
          </w:p>
        </w:tc>
        <w:tc>
          <w:tcPr>
            <w:tcW w:w="920" w:type="dxa"/>
            <w:vAlign w:val="bottom"/>
          </w:tcPr>
          <w:p>
            <w:pPr>
              <w:jc w:val="right"/>
              <w:ind w:right="329"/>
              <w:spacing w:after="0"/>
              <w:rPr>
                <w:sz w:val="20"/>
                <w:szCs w:val="20"/>
                <w:color w:val="auto"/>
              </w:rPr>
            </w:pPr>
            <w:r>
              <w:rPr>
                <w:rFonts w:ascii="Arial" w:cs="Arial" w:eastAsia="Arial" w:hAnsi="Arial"/>
                <w:sz w:val="14"/>
                <w:szCs w:val="14"/>
                <w:color w:val="auto"/>
              </w:rPr>
              <w:t>5</w:t>
            </w:r>
          </w:p>
        </w:tc>
      </w:tr>
      <w:tr>
        <w:trPr>
          <w:trHeight w:val="45"/>
        </w:trPr>
        <w:tc>
          <w:tcPr>
            <w:tcW w:w="1900" w:type="dxa"/>
            <w:vAlign w:val="bottom"/>
            <w:tcBorders>
              <w:bottom w:val="single" w:sz="8" w:color="125288"/>
            </w:tcBorders>
          </w:tcPr>
          <w:p>
            <w:pPr>
              <w:spacing w:after="0"/>
              <w:rPr>
                <w:sz w:val="3"/>
                <w:szCs w:val="3"/>
                <w:color w:val="auto"/>
              </w:rPr>
            </w:pPr>
          </w:p>
        </w:tc>
        <w:tc>
          <w:tcPr>
            <w:tcW w:w="2020" w:type="dxa"/>
            <w:vAlign w:val="bottom"/>
            <w:tcBorders>
              <w:bottom w:val="single" w:sz="8" w:color="125288"/>
            </w:tcBorders>
          </w:tcPr>
          <w:p>
            <w:pPr>
              <w:spacing w:after="0"/>
              <w:rPr>
                <w:sz w:val="3"/>
                <w:szCs w:val="3"/>
                <w:color w:val="auto"/>
              </w:rPr>
            </w:pPr>
          </w:p>
        </w:tc>
        <w:tc>
          <w:tcPr>
            <w:tcW w:w="940" w:type="dxa"/>
            <w:vAlign w:val="bottom"/>
            <w:tcBorders>
              <w:bottom w:val="single" w:sz="8" w:color="125288"/>
            </w:tcBorders>
          </w:tcPr>
          <w:p>
            <w:pPr>
              <w:spacing w:after="0"/>
              <w:rPr>
                <w:sz w:val="3"/>
                <w:szCs w:val="3"/>
                <w:color w:val="auto"/>
              </w:rPr>
            </w:pPr>
          </w:p>
        </w:tc>
        <w:tc>
          <w:tcPr>
            <w:tcW w:w="980" w:type="dxa"/>
            <w:vAlign w:val="bottom"/>
            <w:tcBorders>
              <w:bottom w:val="single" w:sz="8" w:color="125288"/>
            </w:tcBorders>
          </w:tcPr>
          <w:p>
            <w:pPr>
              <w:spacing w:after="0"/>
              <w:rPr>
                <w:sz w:val="3"/>
                <w:szCs w:val="3"/>
                <w:color w:val="auto"/>
              </w:rPr>
            </w:pPr>
          </w:p>
        </w:tc>
        <w:tc>
          <w:tcPr>
            <w:tcW w:w="900" w:type="dxa"/>
            <w:vAlign w:val="bottom"/>
            <w:tcBorders>
              <w:bottom w:val="single" w:sz="8" w:color="125288"/>
            </w:tcBorders>
          </w:tcPr>
          <w:p>
            <w:pPr>
              <w:spacing w:after="0"/>
              <w:rPr>
                <w:sz w:val="3"/>
                <w:szCs w:val="3"/>
                <w:color w:val="auto"/>
              </w:rPr>
            </w:pPr>
          </w:p>
        </w:tc>
        <w:tc>
          <w:tcPr>
            <w:tcW w:w="840" w:type="dxa"/>
            <w:vAlign w:val="bottom"/>
            <w:tcBorders>
              <w:bottom w:val="single" w:sz="8" w:color="125288"/>
            </w:tcBorders>
          </w:tcPr>
          <w:p>
            <w:pPr>
              <w:spacing w:after="0"/>
              <w:rPr>
                <w:sz w:val="3"/>
                <w:szCs w:val="3"/>
                <w:color w:val="auto"/>
              </w:rPr>
            </w:pPr>
          </w:p>
        </w:tc>
        <w:tc>
          <w:tcPr>
            <w:tcW w:w="860" w:type="dxa"/>
            <w:vAlign w:val="bottom"/>
            <w:tcBorders>
              <w:bottom w:val="single" w:sz="8" w:color="125288"/>
            </w:tcBorders>
          </w:tcPr>
          <w:p>
            <w:pPr>
              <w:spacing w:after="0"/>
              <w:rPr>
                <w:sz w:val="3"/>
                <w:szCs w:val="3"/>
                <w:color w:val="auto"/>
              </w:rPr>
            </w:pPr>
          </w:p>
        </w:tc>
        <w:tc>
          <w:tcPr>
            <w:tcW w:w="940" w:type="dxa"/>
            <w:vAlign w:val="bottom"/>
            <w:tcBorders>
              <w:bottom w:val="single" w:sz="8" w:color="125288"/>
            </w:tcBorders>
          </w:tcPr>
          <w:p>
            <w:pPr>
              <w:spacing w:after="0"/>
              <w:rPr>
                <w:sz w:val="3"/>
                <w:szCs w:val="3"/>
                <w:color w:val="auto"/>
              </w:rPr>
            </w:pPr>
          </w:p>
        </w:tc>
        <w:tc>
          <w:tcPr>
            <w:tcW w:w="960" w:type="dxa"/>
            <w:vAlign w:val="bottom"/>
            <w:tcBorders>
              <w:bottom w:val="single" w:sz="8" w:color="125288"/>
            </w:tcBorders>
          </w:tcPr>
          <w:p>
            <w:pPr>
              <w:spacing w:after="0"/>
              <w:rPr>
                <w:sz w:val="3"/>
                <w:szCs w:val="3"/>
                <w:color w:val="auto"/>
              </w:rPr>
            </w:pPr>
          </w:p>
        </w:tc>
        <w:tc>
          <w:tcPr>
            <w:tcW w:w="920" w:type="dxa"/>
            <w:vAlign w:val="bottom"/>
            <w:tcBorders>
              <w:bottom w:val="single" w:sz="8" w:color="125288"/>
            </w:tcBorders>
          </w:tcPr>
          <w:p>
            <w:pPr>
              <w:spacing w:after="0"/>
              <w:rPr>
                <w:sz w:val="3"/>
                <w:szCs w:val="3"/>
                <w:color w:val="auto"/>
              </w:rPr>
            </w:pPr>
          </w:p>
        </w:tc>
      </w:tr>
    </w:tbl>
    <w:p>
      <w:pPr>
        <w:spacing w:after="0" w:line="280"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For a further discussion about our director nominees, please see “Proposal 1—Election of Directors—Information About Our Director Nominees,” which begins on page 18 of this proxy statement.</w:t>
      </w:r>
    </w:p>
    <w:p>
      <w:pPr>
        <w:spacing w:after="0" w:line="114"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4" w:name="page15"/>
    <w:bookmarkEnd w:id="14"/>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CORPORATE GOVERNANCE HIGHLIGHTS</w:t>
      </w:r>
    </w:p>
    <w:p>
      <w:pPr>
        <w:spacing w:after="0" w:line="309" w:lineRule="exact"/>
        <w:rPr>
          <w:sz w:val="20"/>
          <w:szCs w:val="20"/>
          <w:color w:val="auto"/>
        </w:rPr>
      </w:pPr>
    </w:p>
    <w:p>
      <w:pPr>
        <w:ind w:right="20"/>
        <w:spacing w:after="0" w:line="245" w:lineRule="auto"/>
        <w:rPr>
          <w:sz w:val="20"/>
          <w:szCs w:val="20"/>
          <w:color w:val="auto"/>
        </w:rPr>
      </w:pPr>
      <w:r>
        <w:rPr>
          <w:rFonts w:ascii="Arial" w:cs="Arial" w:eastAsia="Arial" w:hAnsi="Arial"/>
          <w:sz w:val="19"/>
          <w:szCs w:val="19"/>
          <w:color w:val="auto"/>
        </w:rPr>
        <w:t>We follow best practices in corporate governance—not just among our peer group, but in the market generally. Highlights of our corporate governance program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148830"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60" w:type="dxa"/>
            <w:vAlign w:val="bottom"/>
          </w:tcPr>
          <w:p>
            <w:pPr>
              <w:ind w:left="40"/>
              <w:spacing w:after="0"/>
              <w:rPr>
                <w:sz w:val="20"/>
                <w:szCs w:val="20"/>
                <w:color w:val="auto"/>
              </w:rPr>
            </w:pPr>
            <w:r>
              <w:rPr>
                <w:rFonts w:ascii="Arial" w:cs="Arial" w:eastAsia="Arial" w:hAnsi="Arial"/>
                <w:sz w:val="17"/>
                <w:szCs w:val="17"/>
                <w:b w:val="1"/>
                <w:bCs w:val="1"/>
                <w:color w:val="auto"/>
              </w:rPr>
              <w:t>Accountability to</w:t>
            </w:r>
          </w:p>
        </w:tc>
        <w:tc>
          <w:tcPr>
            <w:tcW w:w="460" w:type="dxa"/>
            <w:vAlign w:val="bottom"/>
          </w:tcPr>
          <w:p>
            <w:pPr>
              <w:ind w:left="340"/>
              <w:spacing w:after="0"/>
              <w:rPr>
                <w:sz w:val="20"/>
                <w:szCs w:val="20"/>
                <w:color w:val="auto"/>
              </w:rPr>
            </w:pPr>
            <w:r>
              <w:rPr>
                <w:rFonts w:ascii="Arial" w:cs="Arial" w:eastAsia="Arial" w:hAnsi="Arial"/>
                <w:sz w:val="17"/>
                <w:szCs w:val="17"/>
                <w:color w:val="125288"/>
              </w:rPr>
              <w:t>•</w:t>
            </w:r>
          </w:p>
        </w:tc>
        <w:tc>
          <w:tcPr>
            <w:tcW w:w="8740" w:type="dxa"/>
            <w:vAlign w:val="bottom"/>
          </w:tcPr>
          <w:p>
            <w:pPr>
              <w:ind w:left="40"/>
              <w:spacing w:after="0"/>
              <w:rPr>
                <w:sz w:val="20"/>
                <w:szCs w:val="20"/>
                <w:color w:val="auto"/>
              </w:rPr>
            </w:pPr>
            <w:r>
              <w:rPr>
                <w:rFonts w:ascii="Arial" w:cs="Arial" w:eastAsia="Arial" w:hAnsi="Arial"/>
                <w:sz w:val="17"/>
                <w:szCs w:val="17"/>
                <w:color w:val="auto"/>
              </w:rPr>
              <w:t>Our common stock is our only outstanding class of stock, with one vote per share.</w:t>
            </w:r>
          </w:p>
        </w:tc>
        <w:tc>
          <w:tcPr>
            <w:tcW w:w="0" w:type="dxa"/>
            <w:vAlign w:val="bottom"/>
          </w:tcPr>
          <w:p>
            <w:pPr>
              <w:spacing w:after="0"/>
              <w:rPr>
                <w:sz w:val="1"/>
                <w:szCs w:val="1"/>
                <w:color w:val="auto"/>
              </w:rPr>
            </w:pPr>
          </w:p>
        </w:tc>
      </w:tr>
      <w:tr>
        <w:trPr>
          <w:trHeight w:val="221"/>
        </w:trPr>
        <w:tc>
          <w:tcPr>
            <w:tcW w:w="2060" w:type="dxa"/>
            <w:vAlign w:val="bottom"/>
          </w:tcPr>
          <w:p>
            <w:pPr>
              <w:ind w:left="40"/>
              <w:spacing w:after="0"/>
              <w:rPr>
                <w:sz w:val="20"/>
                <w:szCs w:val="20"/>
                <w:color w:val="auto"/>
              </w:rPr>
            </w:pPr>
            <w:r>
              <w:rPr>
                <w:rFonts w:ascii="Arial" w:cs="Arial" w:eastAsia="Arial" w:hAnsi="Arial"/>
                <w:sz w:val="17"/>
                <w:szCs w:val="17"/>
                <w:b w:val="1"/>
                <w:bCs w:val="1"/>
                <w:color w:val="auto"/>
              </w:rPr>
              <w:t>Shareholders</w:t>
            </w:r>
          </w:p>
        </w:tc>
        <w:tc>
          <w:tcPr>
            <w:tcW w:w="460" w:type="dxa"/>
            <w:vAlign w:val="bottom"/>
            <w:vMerge w:val="restart"/>
          </w:tcPr>
          <w:p>
            <w:pPr>
              <w:ind w:left="340"/>
              <w:spacing w:after="0"/>
              <w:rPr>
                <w:sz w:val="20"/>
                <w:szCs w:val="20"/>
                <w:color w:val="auto"/>
              </w:rPr>
            </w:pPr>
            <w:r>
              <w:rPr>
                <w:rFonts w:ascii="Arial" w:cs="Arial" w:eastAsia="Arial" w:hAnsi="Arial"/>
                <w:sz w:val="17"/>
                <w:szCs w:val="17"/>
                <w:color w:val="125288"/>
              </w:rPr>
              <w:t>•</w:t>
            </w:r>
          </w:p>
        </w:tc>
        <w:tc>
          <w:tcPr>
            <w:tcW w:w="8740" w:type="dxa"/>
            <w:vAlign w:val="bottom"/>
            <w:vMerge w:val="restart"/>
          </w:tcPr>
          <w:p>
            <w:pPr>
              <w:ind w:left="40"/>
              <w:spacing w:after="0"/>
              <w:rPr>
                <w:sz w:val="20"/>
                <w:szCs w:val="20"/>
                <w:color w:val="auto"/>
              </w:rPr>
            </w:pPr>
            <w:r>
              <w:rPr>
                <w:rFonts w:ascii="Arial" w:cs="Arial" w:eastAsia="Arial" w:hAnsi="Arial"/>
                <w:sz w:val="17"/>
                <w:szCs w:val="17"/>
                <w:color w:val="auto"/>
                <w:w w:val="99"/>
              </w:rPr>
              <w:t>Shareholders elect directors every year, for one-year terms, with a majority vote standard for uncontested elections.</w:t>
            </w:r>
          </w:p>
        </w:tc>
        <w:tc>
          <w:tcPr>
            <w:tcW w:w="0" w:type="dxa"/>
            <w:vAlign w:val="bottom"/>
          </w:tcPr>
          <w:p>
            <w:pPr>
              <w:spacing w:after="0"/>
              <w:rPr>
                <w:sz w:val="1"/>
                <w:szCs w:val="1"/>
                <w:color w:val="auto"/>
              </w:rPr>
            </w:pPr>
          </w:p>
        </w:tc>
      </w:tr>
      <w:tr>
        <w:trPr>
          <w:trHeight w:val="55"/>
        </w:trPr>
        <w:tc>
          <w:tcPr>
            <w:tcW w:w="20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8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2060" w:type="dxa"/>
            <w:vAlign w:val="bottom"/>
          </w:tcPr>
          <w:p>
            <w:pPr>
              <w:spacing w:after="0"/>
              <w:rPr>
                <w:sz w:val="19"/>
                <w:szCs w:val="19"/>
                <w:color w:val="auto"/>
              </w:rPr>
            </w:pPr>
          </w:p>
        </w:tc>
        <w:tc>
          <w:tcPr>
            <w:tcW w:w="460" w:type="dxa"/>
            <w:vAlign w:val="bottom"/>
          </w:tcPr>
          <w:p>
            <w:pPr>
              <w:ind w:left="340"/>
              <w:spacing w:after="0"/>
              <w:rPr>
                <w:sz w:val="20"/>
                <w:szCs w:val="20"/>
                <w:color w:val="auto"/>
              </w:rPr>
            </w:pPr>
            <w:r>
              <w:rPr>
                <w:rFonts w:ascii="Arial" w:cs="Arial" w:eastAsia="Arial" w:hAnsi="Arial"/>
                <w:sz w:val="17"/>
                <w:szCs w:val="17"/>
                <w:color w:val="125288"/>
              </w:rPr>
              <w:t>•</w:t>
            </w:r>
          </w:p>
        </w:tc>
        <w:tc>
          <w:tcPr>
            <w:tcW w:w="8740" w:type="dxa"/>
            <w:vAlign w:val="bottom"/>
          </w:tcPr>
          <w:p>
            <w:pPr>
              <w:ind w:left="40"/>
              <w:spacing w:after="0"/>
              <w:rPr>
                <w:sz w:val="20"/>
                <w:szCs w:val="20"/>
                <w:color w:val="auto"/>
              </w:rPr>
            </w:pPr>
            <w:r>
              <w:rPr>
                <w:rFonts w:ascii="Arial" w:cs="Arial" w:eastAsia="Arial" w:hAnsi="Arial"/>
                <w:sz w:val="17"/>
                <w:szCs w:val="17"/>
                <w:color w:val="auto"/>
              </w:rPr>
              <w:t>All shareholder voting matters are decided by a simple majority vote.</w:t>
            </w:r>
          </w:p>
        </w:tc>
        <w:tc>
          <w:tcPr>
            <w:tcW w:w="0" w:type="dxa"/>
            <w:vAlign w:val="bottom"/>
          </w:tcPr>
          <w:p>
            <w:pPr>
              <w:spacing w:after="0"/>
              <w:rPr>
                <w:sz w:val="1"/>
                <w:szCs w:val="1"/>
                <w:color w:val="auto"/>
              </w:rPr>
            </w:pPr>
          </w:p>
        </w:tc>
      </w:tr>
      <w:tr>
        <w:trPr>
          <w:trHeight w:val="215"/>
        </w:trPr>
        <w:tc>
          <w:tcPr>
            <w:tcW w:w="2060" w:type="dxa"/>
            <w:vAlign w:val="bottom"/>
          </w:tcPr>
          <w:p>
            <w:pPr>
              <w:spacing w:after="0"/>
              <w:rPr>
                <w:sz w:val="18"/>
                <w:szCs w:val="18"/>
                <w:color w:val="auto"/>
              </w:rPr>
            </w:pPr>
          </w:p>
        </w:tc>
        <w:tc>
          <w:tcPr>
            <w:tcW w:w="460" w:type="dxa"/>
            <w:vAlign w:val="bottom"/>
          </w:tcPr>
          <w:p>
            <w:pPr>
              <w:ind w:left="340"/>
              <w:spacing w:after="0"/>
              <w:rPr>
                <w:sz w:val="20"/>
                <w:szCs w:val="20"/>
                <w:color w:val="auto"/>
              </w:rPr>
            </w:pPr>
            <w:r>
              <w:rPr>
                <w:rFonts w:ascii="Arial" w:cs="Arial" w:eastAsia="Arial" w:hAnsi="Arial"/>
                <w:sz w:val="17"/>
                <w:szCs w:val="17"/>
                <w:color w:val="125288"/>
              </w:rPr>
              <w:t>•</w:t>
            </w:r>
          </w:p>
        </w:tc>
        <w:tc>
          <w:tcPr>
            <w:tcW w:w="8740" w:type="dxa"/>
            <w:vAlign w:val="bottom"/>
          </w:tcPr>
          <w:p>
            <w:pPr>
              <w:ind w:left="40"/>
              <w:spacing w:after="0"/>
              <w:rPr>
                <w:sz w:val="20"/>
                <w:szCs w:val="20"/>
                <w:color w:val="auto"/>
              </w:rPr>
            </w:pPr>
            <w:r>
              <w:rPr>
                <w:rFonts w:ascii="Arial" w:cs="Arial" w:eastAsia="Arial" w:hAnsi="Arial"/>
                <w:sz w:val="17"/>
                <w:szCs w:val="17"/>
                <w:color w:val="auto"/>
              </w:rPr>
              <w:t>The proxy access provision in our Bylaws permits certain shareholders to include director nominees in our proxy</w:t>
            </w:r>
          </w:p>
        </w:tc>
        <w:tc>
          <w:tcPr>
            <w:tcW w:w="0" w:type="dxa"/>
            <w:vAlign w:val="bottom"/>
          </w:tcPr>
          <w:p>
            <w:pPr>
              <w:spacing w:after="0"/>
              <w:rPr>
                <w:sz w:val="1"/>
                <w:szCs w:val="1"/>
                <w:color w:val="auto"/>
              </w:rPr>
            </w:pPr>
          </w:p>
        </w:tc>
      </w:tr>
      <w:tr>
        <w:trPr>
          <w:trHeight w:val="201"/>
        </w:trPr>
        <w:tc>
          <w:tcPr>
            <w:tcW w:w="2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740" w:type="dxa"/>
            <w:vAlign w:val="bottom"/>
          </w:tcPr>
          <w:p>
            <w:pPr>
              <w:ind w:left="40"/>
              <w:spacing w:after="0"/>
              <w:rPr>
                <w:sz w:val="20"/>
                <w:szCs w:val="20"/>
                <w:color w:val="auto"/>
              </w:rPr>
            </w:pPr>
            <w:r>
              <w:rPr>
                <w:rFonts w:ascii="Arial" w:cs="Arial" w:eastAsia="Arial" w:hAnsi="Arial"/>
                <w:sz w:val="17"/>
                <w:szCs w:val="17"/>
                <w:color w:val="auto"/>
              </w:rPr>
              <w:t>statements.</w:t>
            </w:r>
          </w:p>
        </w:tc>
        <w:tc>
          <w:tcPr>
            <w:tcW w:w="0" w:type="dxa"/>
            <w:vAlign w:val="bottom"/>
          </w:tcPr>
          <w:p>
            <w:pPr>
              <w:spacing w:after="0"/>
              <w:rPr>
                <w:sz w:val="1"/>
                <w:szCs w:val="1"/>
                <w:color w:val="auto"/>
              </w:rPr>
            </w:pPr>
          </w:p>
        </w:tc>
      </w:tr>
      <w:tr>
        <w:trPr>
          <w:trHeight w:val="226"/>
        </w:trPr>
        <w:tc>
          <w:tcPr>
            <w:tcW w:w="2060" w:type="dxa"/>
            <w:vAlign w:val="bottom"/>
          </w:tcPr>
          <w:p>
            <w:pPr>
              <w:spacing w:after="0"/>
              <w:rPr>
                <w:sz w:val="19"/>
                <w:szCs w:val="19"/>
                <w:color w:val="auto"/>
              </w:rPr>
            </w:pPr>
          </w:p>
        </w:tc>
        <w:tc>
          <w:tcPr>
            <w:tcW w:w="460" w:type="dxa"/>
            <w:vAlign w:val="bottom"/>
          </w:tcPr>
          <w:p>
            <w:pPr>
              <w:ind w:left="340"/>
              <w:spacing w:after="0"/>
              <w:rPr>
                <w:sz w:val="20"/>
                <w:szCs w:val="20"/>
                <w:color w:val="auto"/>
              </w:rPr>
            </w:pPr>
            <w:r>
              <w:rPr>
                <w:rFonts w:ascii="Arial" w:cs="Arial" w:eastAsia="Arial" w:hAnsi="Arial"/>
                <w:sz w:val="17"/>
                <w:szCs w:val="17"/>
                <w:color w:val="125288"/>
              </w:rPr>
              <w:t>•</w:t>
            </w:r>
          </w:p>
        </w:tc>
        <w:tc>
          <w:tcPr>
            <w:tcW w:w="8740" w:type="dxa"/>
            <w:vAlign w:val="bottom"/>
          </w:tcPr>
          <w:p>
            <w:pPr>
              <w:ind w:left="40"/>
              <w:spacing w:after="0"/>
              <w:rPr>
                <w:sz w:val="20"/>
                <w:szCs w:val="20"/>
                <w:color w:val="auto"/>
              </w:rPr>
            </w:pPr>
            <w:r>
              <w:rPr>
                <w:rFonts w:ascii="Arial" w:cs="Arial" w:eastAsia="Arial" w:hAnsi="Arial"/>
                <w:sz w:val="17"/>
                <w:szCs w:val="17"/>
                <w:color w:val="auto"/>
              </w:rPr>
              <w:t>We have not adopted a “poison pill” or similar anti-takeover provision.</w:t>
            </w:r>
          </w:p>
        </w:tc>
        <w:tc>
          <w:tcPr>
            <w:tcW w:w="0" w:type="dxa"/>
            <w:vAlign w:val="bottom"/>
          </w:tcPr>
          <w:p>
            <w:pPr>
              <w:spacing w:after="0"/>
              <w:rPr>
                <w:sz w:val="1"/>
                <w:szCs w:val="1"/>
                <w:color w:val="auto"/>
              </w:rPr>
            </w:pPr>
          </w:p>
        </w:tc>
      </w:tr>
      <w:tr>
        <w:trPr>
          <w:trHeight w:val="226"/>
        </w:trPr>
        <w:tc>
          <w:tcPr>
            <w:tcW w:w="2060" w:type="dxa"/>
            <w:vAlign w:val="bottom"/>
          </w:tcPr>
          <w:p>
            <w:pPr>
              <w:spacing w:after="0"/>
              <w:rPr>
                <w:sz w:val="19"/>
                <w:szCs w:val="19"/>
                <w:color w:val="auto"/>
              </w:rPr>
            </w:pPr>
          </w:p>
        </w:tc>
        <w:tc>
          <w:tcPr>
            <w:tcW w:w="460" w:type="dxa"/>
            <w:vAlign w:val="bottom"/>
          </w:tcPr>
          <w:p>
            <w:pPr>
              <w:ind w:left="340"/>
              <w:spacing w:after="0"/>
              <w:rPr>
                <w:sz w:val="20"/>
                <w:szCs w:val="20"/>
                <w:color w:val="auto"/>
              </w:rPr>
            </w:pPr>
            <w:r>
              <w:rPr>
                <w:rFonts w:ascii="Arial" w:cs="Arial" w:eastAsia="Arial" w:hAnsi="Arial"/>
                <w:sz w:val="17"/>
                <w:szCs w:val="17"/>
                <w:color w:val="125288"/>
              </w:rPr>
              <w:t>•</w:t>
            </w:r>
          </w:p>
        </w:tc>
        <w:tc>
          <w:tcPr>
            <w:tcW w:w="8740" w:type="dxa"/>
            <w:vAlign w:val="bottom"/>
          </w:tcPr>
          <w:p>
            <w:pPr>
              <w:ind w:left="40"/>
              <w:spacing w:after="0"/>
              <w:rPr>
                <w:sz w:val="20"/>
                <w:szCs w:val="20"/>
                <w:color w:val="auto"/>
              </w:rPr>
            </w:pPr>
            <w:r>
              <w:rPr>
                <w:rFonts w:ascii="Arial" w:cs="Arial" w:eastAsia="Arial" w:hAnsi="Arial"/>
                <w:sz w:val="17"/>
                <w:szCs w:val="17"/>
                <w:color w:val="auto"/>
              </w:rPr>
              <w:t>Our shareholders have the right to act by written consent.</w:t>
            </w:r>
          </w:p>
        </w:tc>
        <w:tc>
          <w:tcPr>
            <w:tcW w:w="0" w:type="dxa"/>
            <w:vAlign w:val="bottom"/>
          </w:tcPr>
          <w:p>
            <w:pPr>
              <w:spacing w:after="0"/>
              <w:rPr>
                <w:sz w:val="1"/>
                <w:szCs w:val="1"/>
                <w:color w:val="auto"/>
              </w:rPr>
            </w:pPr>
          </w:p>
        </w:tc>
      </w:tr>
      <w:tr>
        <w:trPr>
          <w:trHeight w:val="85"/>
        </w:trPr>
        <w:tc>
          <w:tcPr>
            <w:tcW w:w="2060" w:type="dxa"/>
            <w:vAlign w:val="bottom"/>
            <w:tcBorders>
              <w:bottom w:val="single" w:sz="8" w:color="125288"/>
            </w:tcBorders>
          </w:tcPr>
          <w:p>
            <w:pPr>
              <w:spacing w:after="0"/>
              <w:rPr>
                <w:sz w:val="7"/>
                <w:szCs w:val="7"/>
                <w:color w:val="auto"/>
              </w:rPr>
            </w:pPr>
          </w:p>
        </w:tc>
        <w:tc>
          <w:tcPr>
            <w:tcW w:w="460" w:type="dxa"/>
            <w:vAlign w:val="bottom"/>
            <w:tcBorders>
              <w:bottom w:val="single" w:sz="8" w:color="125288"/>
            </w:tcBorders>
          </w:tcPr>
          <w:p>
            <w:pPr>
              <w:spacing w:after="0"/>
              <w:rPr>
                <w:sz w:val="7"/>
                <w:szCs w:val="7"/>
                <w:color w:val="auto"/>
              </w:rPr>
            </w:pPr>
          </w:p>
        </w:tc>
        <w:tc>
          <w:tcPr>
            <w:tcW w:w="8740" w:type="dxa"/>
            <w:vAlign w:val="bottom"/>
            <w:tcBorders>
              <w:bottom w:val="single" w:sz="8" w:color="125288"/>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60" w:type="dxa"/>
            <w:vAlign w:val="bottom"/>
          </w:tcPr>
          <w:p>
            <w:pPr>
              <w:ind w:left="40"/>
              <w:spacing w:after="0"/>
              <w:rPr>
                <w:sz w:val="20"/>
                <w:szCs w:val="20"/>
                <w:color w:val="auto"/>
              </w:rPr>
            </w:pPr>
            <w:r>
              <w:rPr>
                <w:rFonts w:ascii="Arial" w:cs="Arial" w:eastAsia="Arial" w:hAnsi="Arial"/>
                <w:sz w:val="17"/>
                <w:szCs w:val="17"/>
                <w:b w:val="1"/>
                <w:bCs w:val="1"/>
                <w:color w:val="auto"/>
              </w:rPr>
              <w:t>Board Oversight of</w:t>
            </w:r>
          </w:p>
        </w:tc>
        <w:tc>
          <w:tcPr>
            <w:tcW w:w="460" w:type="dxa"/>
            <w:vAlign w:val="bottom"/>
          </w:tcPr>
          <w:p>
            <w:pPr>
              <w:ind w:left="340"/>
              <w:spacing w:after="0"/>
              <w:rPr>
                <w:sz w:val="20"/>
                <w:szCs w:val="20"/>
                <w:color w:val="auto"/>
              </w:rPr>
            </w:pPr>
            <w:r>
              <w:rPr>
                <w:rFonts w:ascii="Arial" w:cs="Arial" w:eastAsia="Arial" w:hAnsi="Arial"/>
                <w:sz w:val="17"/>
                <w:szCs w:val="17"/>
                <w:color w:val="125288"/>
              </w:rPr>
              <w:t>•</w:t>
            </w:r>
          </w:p>
        </w:tc>
        <w:tc>
          <w:tcPr>
            <w:tcW w:w="8740" w:type="dxa"/>
            <w:vAlign w:val="bottom"/>
          </w:tcPr>
          <w:p>
            <w:pPr>
              <w:ind w:left="40"/>
              <w:spacing w:after="0"/>
              <w:rPr>
                <w:sz w:val="20"/>
                <w:szCs w:val="20"/>
                <w:color w:val="auto"/>
              </w:rPr>
            </w:pPr>
            <w:r>
              <w:rPr>
                <w:rFonts w:ascii="Arial" w:cs="Arial" w:eastAsia="Arial" w:hAnsi="Arial"/>
                <w:sz w:val="17"/>
                <w:szCs w:val="17"/>
                <w:color w:val="auto"/>
                <w:w w:val="99"/>
              </w:rPr>
              <w:t>Our Board’s newly-formed Workplace Responsibility Committee oversees our progress in successfully implementing</w:t>
            </w:r>
          </w:p>
        </w:tc>
        <w:tc>
          <w:tcPr>
            <w:tcW w:w="0" w:type="dxa"/>
            <w:vAlign w:val="bottom"/>
          </w:tcPr>
          <w:p>
            <w:pPr>
              <w:spacing w:after="0"/>
              <w:rPr>
                <w:sz w:val="1"/>
                <w:szCs w:val="1"/>
                <w:color w:val="auto"/>
              </w:rPr>
            </w:pPr>
          </w:p>
        </w:tc>
      </w:tr>
      <w:tr>
        <w:trPr>
          <w:trHeight w:val="240"/>
        </w:trPr>
        <w:tc>
          <w:tcPr>
            <w:tcW w:w="2060" w:type="dxa"/>
            <w:vAlign w:val="bottom"/>
          </w:tcPr>
          <w:p>
            <w:pPr>
              <w:ind w:left="40"/>
              <w:spacing w:after="0"/>
              <w:rPr>
                <w:sz w:val="20"/>
                <w:szCs w:val="20"/>
                <w:color w:val="auto"/>
              </w:rPr>
            </w:pPr>
            <w:r>
              <w:rPr>
                <w:rFonts w:ascii="Arial" w:cs="Arial" w:eastAsia="Arial" w:hAnsi="Arial"/>
                <w:sz w:val="17"/>
                <w:szCs w:val="17"/>
                <w:b w:val="1"/>
                <w:bCs w:val="1"/>
                <w:color w:val="auto"/>
              </w:rPr>
              <w:t>Workplace Concerns</w:t>
            </w:r>
          </w:p>
        </w:tc>
        <w:tc>
          <w:tcPr>
            <w:tcW w:w="460" w:type="dxa"/>
            <w:vAlign w:val="bottom"/>
          </w:tcPr>
          <w:p>
            <w:pPr>
              <w:spacing w:after="0"/>
              <w:rPr>
                <w:sz w:val="20"/>
                <w:szCs w:val="20"/>
                <w:color w:val="auto"/>
              </w:rPr>
            </w:pPr>
          </w:p>
        </w:tc>
        <w:tc>
          <w:tcPr>
            <w:tcW w:w="8740" w:type="dxa"/>
            <w:vAlign w:val="bottom"/>
          </w:tcPr>
          <w:p>
            <w:pPr>
              <w:ind w:left="40"/>
              <w:spacing w:after="0"/>
              <w:rPr>
                <w:sz w:val="20"/>
                <w:szCs w:val="20"/>
                <w:color w:val="auto"/>
              </w:rPr>
            </w:pPr>
            <w:r>
              <w:rPr>
                <w:rFonts w:ascii="Arial" w:cs="Arial" w:eastAsia="Arial" w:hAnsi="Arial"/>
                <w:sz w:val="17"/>
                <w:szCs w:val="17"/>
                <w:color w:val="auto"/>
              </w:rPr>
              <w:t>our new and updated workplace policies, procedures, and commitments.</w:t>
            </w:r>
          </w:p>
        </w:tc>
        <w:tc>
          <w:tcPr>
            <w:tcW w:w="0" w:type="dxa"/>
            <w:vAlign w:val="bottom"/>
          </w:tcPr>
          <w:p>
            <w:pPr>
              <w:spacing w:after="0"/>
              <w:rPr>
                <w:sz w:val="1"/>
                <w:szCs w:val="1"/>
                <w:color w:val="auto"/>
              </w:rPr>
            </w:pPr>
          </w:p>
        </w:tc>
      </w:tr>
      <w:tr>
        <w:trPr>
          <w:trHeight w:val="215"/>
        </w:trPr>
        <w:tc>
          <w:tcPr>
            <w:tcW w:w="2060" w:type="dxa"/>
            <w:vAlign w:val="bottom"/>
          </w:tcPr>
          <w:p>
            <w:pPr>
              <w:spacing w:after="0"/>
              <w:rPr>
                <w:sz w:val="18"/>
                <w:szCs w:val="18"/>
                <w:color w:val="auto"/>
              </w:rPr>
            </w:pPr>
          </w:p>
        </w:tc>
        <w:tc>
          <w:tcPr>
            <w:tcW w:w="460" w:type="dxa"/>
            <w:vAlign w:val="bottom"/>
          </w:tcPr>
          <w:p>
            <w:pPr>
              <w:ind w:left="340"/>
              <w:spacing w:after="0"/>
              <w:rPr>
                <w:sz w:val="20"/>
                <w:szCs w:val="20"/>
                <w:color w:val="auto"/>
              </w:rPr>
            </w:pPr>
            <w:r>
              <w:rPr>
                <w:rFonts w:ascii="Arial" w:cs="Arial" w:eastAsia="Arial" w:hAnsi="Arial"/>
                <w:sz w:val="17"/>
                <w:szCs w:val="17"/>
                <w:color w:val="125288"/>
              </w:rPr>
              <w:t>•</w:t>
            </w:r>
          </w:p>
        </w:tc>
        <w:tc>
          <w:tcPr>
            <w:tcW w:w="8740" w:type="dxa"/>
            <w:vAlign w:val="bottom"/>
          </w:tcPr>
          <w:p>
            <w:pPr>
              <w:ind w:left="40"/>
              <w:spacing w:after="0"/>
              <w:rPr>
                <w:sz w:val="20"/>
                <w:szCs w:val="20"/>
                <w:color w:val="auto"/>
              </w:rPr>
            </w:pPr>
            <w:r>
              <w:rPr>
                <w:rFonts w:ascii="Arial" w:cs="Arial" w:eastAsia="Arial" w:hAnsi="Arial"/>
                <w:sz w:val="17"/>
                <w:szCs w:val="17"/>
                <w:color w:val="auto"/>
              </w:rPr>
              <w:t>In consultation with management, the Workplace Responsibility Committee is responsible for developing key</w:t>
            </w:r>
          </w:p>
        </w:tc>
        <w:tc>
          <w:tcPr>
            <w:tcW w:w="0" w:type="dxa"/>
            <w:vAlign w:val="bottom"/>
          </w:tcPr>
          <w:p>
            <w:pPr>
              <w:spacing w:after="0"/>
              <w:rPr>
                <w:sz w:val="1"/>
                <w:szCs w:val="1"/>
                <w:color w:val="auto"/>
              </w:rPr>
            </w:pPr>
          </w:p>
        </w:tc>
      </w:tr>
      <w:tr>
        <w:trPr>
          <w:trHeight w:val="201"/>
        </w:trPr>
        <w:tc>
          <w:tcPr>
            <w:tcW w:w="2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740" w:type="dxa"/>
            <w:vAlign w:val="bottom"/>
          </w:tcPr>
          <w:p>
            <w:pPr>
              <w:ind w:left="40"/>
              <w:spacing w:after="0"/>
              <w:rPr>
                <w:sz w:val="20"/>
                <w:szCs w:val="20"/>
                <w:color w:val="auto"/>
              </w:rPr>
            </w:pPr>
            <w:r>
              <w:rPr>
                <w:rFonts w:ascii="Arial" w:cs="Arial" w:eastAsia="Arial" w:hAnsi="Arial"/>
                <w:sz w:val="17"/>
                <w:szCs w:val="17"/>
                <w:color w:val="auto"/>
              </w:rPr>
              <w:t>performance indicators and/or other means to measure progress and ensure accountability.</w:t>
            </w:r>
          </w:p>
        </w:tc>
        <w:tc>
          <w:tcPr>
            <w:tcW w:w="0" w:type="dxa"/>
            <w:vAlign w:val="bottom"/>
          </w:tcPr>
          <w:p>
            <w:pPr>
              <w:spacing w:after="0"/>
              <w:rPr>
                <w:sz w:val="1"/>
                <w:szCs w:val="1"/>
                <w:color w:val="auto"/>
              </w:rPr>
            </w:pPr>
          </w:p>
        </w:tc>
      </w:tr>
      <w:tr>
        <w:trPr>
          <w:trHeight w:val="215"/>
        </w:trPr>
        <w:tc>
          <w:tcPr>
            <w:tcW w:w="2060" w:type="dxa"/>
            <w:vAlign w:val="bottom"/>
          </w:tcPr>
          <w:p>
            <w:pPr>
              <w:spacing w:after="0"/>
              <w:rPr>
                <w:sz w:val="18"/>
                <w:szCs w:val="18"/>
                <w:color w:val="auto"/>
              </w:rPr>
            </w:pPr>
          </w:p>
        </w:tc>
        <w:tc>
          <w:tcPr>
            <w:tcW w:w="460" w:type="dxa"/>
            <w:vAlign w:val="bottom"/>
          </w:tcPr>
          <w:p>
            <w:pPr>
              <w:ind w:left="340"/>
              <w:spacing w:after="0"/>
              <w:rPr>
                <w:sz w:val="20"/>
                <w:szCs w:val="20"/>
                <w:color w:val="auto"/>
              </w:rPr>
            </w:pPr>
            <w:r>
              <w:rPr>
                <w:rFonts w:ascii="Arial" w:cs="Arial" w:eastAsia="Arial" w:hAnsi="Arial"/>
                <w:sz w:val="17"/>
                <w:szCs w:val="17"/>
                <w:color w:val="125288"/>
              </w:rPr>
              <w:t>•</w:t>
            </w:r>
          </w:p>
        </w:tc>
        <w:tc>
          <w:tcPr>
            <w:tcW w:w="8740" w:type="dxa"/>
            <w:vAlign w:val="bottom"/>
          </w:tcPr>
          <w:p>
            <w:pPr>
              <w:ind w:left="40"/>
              <w:spacing w:after="0"/>
              <w:rPr>
                <w:sz w:val="20"/>
                <w:szCs w:val="20"/>
                <w:color w:val="auto"/>
              </w:rPr>
            </w:pPr>
            <w:r>
              <w:rPr>
                <w:rFonts w:ascii="Arial" w:cs="Arial" w:eastAsia="Arial" w:hAnsi="Arial"/>
                <w:sz w:val="17"/>
                <w:szCs w:val="17"/>
                <w:color w:val="auto"/>
              </w:rPr>
              <w:t>The Workplace Responsibility Committee has begun receiving progress reports from executive management and</w:t>
            </w:r>
          </w:p>
        </w:tc>
        <w:tc>
          <w:tcPr>
            <w:tcW w:w="0" w:type="dxa"/>
            <w:vAlign w:val="bottom"/>
          </w:tcPr>
          <w:p>
            <w:pPr>
              <w:spacing w:after="0"/>
              <w:rPr>
                <w:sz w:val="1"/>
                <w:szCs w:val="1"/>
                <w:color w:val="auto"/>
              </w:rPr>
            </w:pPr>
          </w:p>
        </w:tc>
      </w:tr>
      <w:tr>
        <w:trPr>
          <w:trHeight w:val="201"/>
        </w:trPr>
        <w:tc>
          <w:tcPr>
            <w:tcW w:w="2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740" w:type="dxa"/>
            <w:vAlign w:val="bottom"/>
          </w:tcPr>
          <w:p>
            <w:pPr>
              <w:ind w:left="40"/>
              <w:spacing w:after="0"/>
              <w:rPr>
                <w:sz w:val="20"/>
                <w:szCs w:val="20"/>
                <w:color w:val="auto"/>
              </w:rPr>
            </w:pPr>
            <w:r>
              <w:rPr>
                <w:rFonts w:ascii="Arial" w:cs="Arial" w:eastAsia="Arial" w:hAnsi="Arial"/>
                <w:sz w:val="17"/>
                <w:szCs w:val="17"/>
                <w:color w:val="auto"/>
              </w:rPr>
              <w:t>briefing the full Board.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148830"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140" w:lineRule="exact"/>
        <w:rPr>
          <w:sz w:val="20"/>
          <w:szCs w:val="20"/>
          <w:color w:val="auto"/>
        </w:rPr>
      </w:pPr>
    </w:p>
    <w:p>
      <w:pPr>
        <w:ind w:left="40"/>
        <w:spacing w:after="0"/>
        <w:tabs>
          <w:tab w:leader="none" w:pos="2380" w:val="left"/>
        </w:tabs>
        <w:rPr>
          <w:sz w:val="20"/>
          <w:szCs w:val="20"/>
          <w:color w:val="auto"/>
        </w:rPr>
      </w:pPr>
      <w:r>
        <w:rPr>
          <w:rFonts w:ascii="Arial" w:cs="Arial" w:eastAsia="Arial" w:hAnsi="Arial"/>
          <w:sz w:val="17"/>
          <w:szCs w:val="17"/>
          <w:b w:val="1"/>
          <w:bCs w:val="1"/>
          <w:color w:val="auto"/>
        </w:rPr>
        <w:t>Board Independence</w:t>
      </w:r>
      <w:r>
        <w:rPr>
          <w:sz w:val="20"/>
          <w:szCs w:val="20"/>
          <w:color w:val="auto"/>
        </w:rPr>
        <w:tab/>
      </w:r>
      <w:r>
        <w:rPr>
          <w:rFonts w:ascii="Arial" w:cs="Arial" w:eastAsia="Arial" w:hAnsi="Arial"/>
          <w:sz w:val="16"/>
          <w:szCs w:val="16"/>
          <w:color w:val="125288"/>
        </w:rPr>
        <w:t xml:space="preserve">• </w:t>
      </w:r>
      <w:r>
        <w:rPr>
          <w:rFonts w:ascii="Arial" w:cs="Arial" w:eastAsia="Arial" w:hAnsi="Arial"/>
          <w:sz w:val="16"/>
          <w:szCs w:val="16"/>
          <w:color w:val="000000"/>
        </w:rPr>
        <w:t>Eight of our ten director nominees are independent, including our new director nominee.</w:t>
      </w:r>
    </w:p>
    <w:p>
      <w:pPr>
        <w:spacing w:after="0" w:line="74" w:lineRule="exact"/>
        <w:rPr>
          <w:sz w:val="20"/>
          <w:szCs w:val="20"/>
          <w:color w:val="auto"/>
        </w:rPr>
      </w:pPr>
    </w:p>
    <w:p>
      <w:pPr>
        <w:ind w:left="2560" w:hanging="152"/>
        <w:spacing w:after="0"/>
        <w:tabs>
          <w:tab w:leader="none" w:pos="2560" w:val="left"/>
        </w:tabs>
        <w:numPr>
          <w:ilvl w:val="0"/>
          <w:numId w:val="4"/>
        </w:numPr>
        <w:rPr>
          <w:rFonts w:ascii="Arial" w:cs="Arial" w:eastAsia="Arial" w:hAnsi="Arial"/>
          <w:sz w:val="17"/>
          <w:szCs w:val="17"/>
          <w:color w:val="125288"/>
        </w:rPr>
      </w:pPr>
      <w:r>
        <w:rPr>
          <w:rFonts w:ascii="Arial" w:cs="Arial" w:eastAsia="Arial" w:hAnsi="Arial"/>
          <w:sz w:val="17"/>
          <w:szCs w:val="17"/>
          <w:color w:val="auto"/>
        </w:rPr>
        <w:t>The roles of Chairman, Chief Executive Officer, and Lead Independent Director are held by three different people.</w:t>
      </w:r>
    </w:p>
    <w:p>
      <w:pPr>
        <w:spacing w:after="0" w:line="30" w:lineRule="exact"/>
        <w:rPr>
          <w:rFonts w:ascii="Arial" w:cs="Arial" w:eastAsia="Arial" w:hAnsi="Arial"/>
          <w:sz w:val="17"/>
          <w:szCs w:val="17"/>
          <w:color w:val="125288"/>
        </w:rPr>
      </w:pPr>
    </w:p>
    <w:p>
      <w:pPr>
        <w:ind w:left="2560" w:hanging="152"/>
        <w:spacing w:after="0"/>
        <w:tabs>
          <w:tab w:leader="none" w:pos="2560" w:val="left"/>
        </w:tabs>
        <w:numPr>
          <w:ilvl w:val="0"/>
          <w:numId w:val="4"/>
        </w:numPr>
        <w:rPr>
          <w:rFonts w:ascii="Arial" w:cs="Arial" w:eastAsia="Arial" w:hAnsi="Arial"/>
          <w:sz w:val="17"/>
          <w:szCs w:val="17"/>
          <w:color w:val="125288"/>
        </w:rPr>
      </w:pPr>
      <w:r>
        <w:rPr>
          <w:rFonts w:ascii="Arial" w:cs="Arial" w:eastAsia="Arial" w:hAnsi="Arial"/>
          <w:sz w:val="17"/>
          <w:szCs w:val="17"/>
          <w:color w:val="auto"/>
        </w:rPr>
        <w:t>Our independent directors regularly meet in executive sessions.</w:t>
      </w:r>
    </w:p>
    <w:p>
      <w:pPr>
        <w:spacing w:after="0" w:line="30" w:lineRule="exact"/>
        <w:rPr>
          <w:rFonts w:ascii="Arial" w:cs="Arial" w:eastAsia="Arial" w:hAnsi="Arial"/>
          <w:sz w:val="17"/>
          <w:szCs w:val="17"/>
          <w:color w:val="125288"/>
        </w:rPr>
      </w:pPr>
    </w:p>
    <w:p>
      <w:pPr>
        <w:ind w:left="2560" w:right="840" w:hanging="152"/>
        <w:spacing w:after="0" w:line="239" w:lineRule="auto"/>
        <w:tabs>
          <w:tab w:leader="none" w:pos="2560" w:val="left"/>
        </w:tabs>
        <w:numPr>
          <w:ilvl w:val="0"/>
          <w:numId w:val="4"/>
        </w:numPr>
        <w:rPr>
          <w:rFonts w:ascii="Arial" w:cs="Arial" w:eastAsia="Arial" w:hAnsi="Arial"/>
          <w:sz w:val="17"/>
          <w:szCs w:val="17"/>
          <w:color w:val="125288"/>
        </w:rPr>
      </w:pPr>
      <w:r>
        <w:rPr>
          <w:rFonts w:ascii="Arial" w:cs="Arial" w:eastAsia="Arial" w:hAnsi="Arial"/>
          <w:sz w:val="17"/>
          <w:szCs w:val="17"/>
          <w:color w:val="auto"/>
        </w:rPr>
        <w:t>All members of our Board committees—Audit, Compensation, Nominating and Corporate Governance, and Workplace Responsibility—are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148830"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800" w:type="dxa"/>
            <w:vAlign w:val="bottom"/>
          </w:tcPr>
          <w:p>
            <w:pPr>
              <w:spacing w:after="0"/>
              <w:rPr>
                <w:sz w:val="20"/>
                <w:szCs w:val="20"/>
                <w:color w:val="auto"/>
              </w:rPr>
            </w:pPr>
            <w:r>
              <w:rPr>
                <w:rFonts w:ascii="Arial" w:cs="Arial" w:eastAsia="Arial" w:hAnsi="Arial"/>
                <w:sz w:val="17"/>
                <w:szCs w:val="17"/>
                <w:b w:val="1"/>
                <w:bCs w:val="1"/>
                <w:color w:val="auto"/>
              </w:rPr>
              <w:t>Board Diversity</w:t>
            </w:r>
          </w:p>
        </w:tc>
        <w:tc>
          <w:tcPr>
            <w:tcW w:w="680" w:type="dxa"/>
            <w:vAlign w:val="bottom"/>
          </w:tcPr>
          <w:p>
            <w:pPr>
              <w:ind w:left="560"/>
              <w:spacing w:after="0"/>
              <w:rPr>
                <w:sz w:val="20"/>
                <w:szCs w:val="20"/>
                <w:color w:val="auto"/>
              </w:rPr>
            </w:pPr>
            <w:r>
              <w:rPr>
                <w:rFonts w:ascii="Arial" w:cs="Arial" w:eastAsia="Arial" w:hAnsi="Arial"/>
                <w:sz w:val="17"/>
                <w:szCs w:val="17"/>
                <w:color w:val="125288"/>
              </w:rPr>
              <w:t>•</w:t>
            </w:r>
          </w:p>
        </w:tc>
        <w:tc>
          <w:tcPr>
            <w:tcW w:w="8700" w:type="dxa"/>
            <w:vAlign w:val="bottom"/>
          </w:tcPr>
          <w:p>
            <w:pPr>
              <w:ind w:left="40"/>
              <w:spacing w:after="0"/>
              <w:rPr>
                <w:sz w:val="20"/>
                <w:szCs w:val="20"/>
                <w:color w:val="auto"/>
              </w:rPr>
            </w:pPr>
            <w:r>
              <w:rPr>
                <w:rFonts w:ascii="Arial" w:cs="Arial" w:eastAsia="Arial" w:hAnsi="Arial"/>
                <w:sz w:val="17"/>
                <w:szCs w:val="17"/>
                <w:color w:val="auto"/>
                <w:w w:val="99"/>
              </w:rPr>
              <w:t>We codified our longstanding commitment to including qualified women and racially/ethnically diverse candidates in</w:t>
            </w:r>
          </w:p>
        </w:tc>
      </w:tr>
      <w:tr>
        <w:trPr>
          <w:trHeight w:val="190"/>
        </w:trPr>
        <w:tc>
          <w:tcPr>
            <w:tcW w:w="1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700" w:type="dxa"/>
            <w:vAlign w:val="bottom"/>
          </w:tcPr>
          <w:p>
            <w:pPr>
              <w:ind w:left="40"/>
              <w:spacing w:after="0" w:line="190" w:lineRule="exact"/>
              <w:rPr>
                <w:sz w:val="20"/>
                <w:szCs w:val="20"/>
                <w:color w:val="auto"/>
              </w:rPr>
            </w:pPr>
            <w:r>
              <w:rPr>
                <w:rFonts w:ascii="Arial" w:cs="Arial" w:eastAsia="Arial" w:hAnsi="Arial"/>
                <w:sz w:val="17"/>
                <w:szCs w:val="17"/>
                <w:color w:val="auto"/>
                <w:w w:val="97"/>
              </w:rPr>
              <w:t>the pool from which any new independent director nominee is chosen and publicly committed to apply this practice for</w:t>
            </w:r>
          </w:p>
        </w:tc>
      </w:tr>
      <w:tr>
        <w:trPr>
          <w:trHeight w:val="201"/>
        </w:trPr>
        <w:tc>
          <w:tcPr>
            <w:tcW w:w="1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700" w:type="dxa"/>
            <w:vAlign w:val="bottom"/>
          </w:tcPr>
          <w:p>
            <w:pPr>
              <w:ind w:left="40"/>
              <w:spacing w:after="0"/>
              <w:rPr>
                <w:sz w:val="20"/>
                <w:szCs w:val="20"/>
                <w:color w:val="auto"/>
              </w:rPr>
            </w:pPr>
            <w:r>
              <w:rPr>
                <w:rFonts w:ascii="Arial" w:cs="Arial" w:eastAsia="Arial" w:hAnsi="Arial"/>
                <w:sz w:val="17"/>
                <w:szCs w:val="17"/>
                <w:color w:val="auto"/>
              </w:rPr>
              <w:t>all future Board searches.</w:t>
            </w:r>
          </w:p>
        </w:tc>
      </w:tr>
      <w:tr>
        <w:trPr>
          <w:trHeight w:val="215"/>
        </w:trPr>
        <w:tc>
          <w:tcPr>
            <w:tcW w:w="1800" w:type="dxa"/>
            <w:vAlign w:val="bottom"/>
          </w:tcPr>
          <w:p>
            <w:pPr>
              <w:spacing w:after="0"/>
              <w:rPr>
                <w:sz w:val="18"/>
                <w:szCs w:val="18"/>
                <w:color w:val="auto"/>
              </w:rPr>
            </w:pPr>
          </w:p>
        </w:tc>
        <w:tc>
          <w:tcPr>
            <w:tcW w:w="680" w:type="dxa"/>
            <w:vAlign w:val="bottom"/>
          </w:tcPr>
          <w:p>
            <w:pPr>
              <w:ind w:left="560"/>
              <w:spacing w:after="0"/>
              <w:rPr>
                <w:sz w:val="20"/>
                <w:szCs w:val="20"/>
                <w:color w:val="auto"/>
              </w:rPr>
            </w:pPr>
            <w:r>
              <w:rPr>
                <w:rFonts w:ascii="Arial" w:cs="Arial" w:eastAsia="Arial" w:hAnsi="Arial"/>
                <w:sz w:val="17"/>
                <w:szCs w:val="17"/>
                <w:color w:val="125288"/>
              </w:rPr>
              <w:t>•</w:t>
            </w:r>
          </w:p>
        </w:tc>
        <w:tc>
          <w:tcPr>
            <w:tcW w:w="8700" w:type="dxa"/>
            <w:vAlign w:val="bottom"/>
          </w:tcPr>
          <w:p>
            <w:pPr>
              <w:ind w:left="40"/>
              <w:spacing w:after="0"/>
              <w:rPr>
                <w:sz w:val="20"/>
                <w:szCs w:val="20"/>
                <w:color w:val="auto"/>
              </w:rPr>
            </w:pPr>
            <w:r>
              <w:rPr>
                <w:rFonts w:ascii="Arial" w:cs="Arial" w:eastAsia="Arial" w:hAnsi="Arial"/>
                <w:sz w:val="17"/>
                <w:szCs w:val="17"/>
                <w:color w:val="auto"/>
              </w:rPr>
              <w:t>Four of our ten director nominees are women, and three of our ten director nominees identify as underrepresented</w:t>
            </w:r>
          </w:p>
        </w:tc>
      </w:tr>
      <w:tr>
        <w:trPr>
          <w:trHeight w:val="201"/>
        </w:trPr>
        <w:tc>
          <w:tcPr>
            <w:tcW w:w="1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700" w:type="dxa"/>
            <w:vAlign w:val="bottom"/>
          </w:tcPr>
          <w:p>
            <w:pPr>
              <w:ind w:left="40"/>
              <w:spacing w:after="0"/>
              <w:rPr>
                <w:sz w:val="20"/>
                <w:szCs w:val="20"/>
                <w:color w:val="auto"/>
              </w:rPr>
            </w:pPr>
            <w:r>
              <w:rPr>
                <w:rFonts w:ascii="Arial" w:cs="Arial" w:eastAsia="Arial" w:hAnsi="Arial"/>
                <w:sz w:val="17"/>
                <w:szCs w:val="17"/>
                <w:color w:val="auto"/>
              </w:rPr>
              <w:t>minorities.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148830"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140" w:lineRule="exact"/>
        <w:rPr>
          <w:sz w:val="20"/>
          <w:szCs w:val="20"/>
          <w:color w:val="auto"/>
        </w:rPr>
      </w:pPr>
    </w:p>
    <w:p>
      <w:pPr>
        <w:ind w:left="2560" w:right="160" w:hanging="2519"/>
        <w:spacing w:after="0" w:line="253" w:lineRule="auto"/>
        <w:rPr>
          <w:sz w:val="20"/>
          <w:szCs w:val="20"/>
          <w:color w:val="auto"/>
        </w:rPr>
      </w:pPr>
      <w:r>
        <w:rPr>
          <w:rFonts w:ascii="Arial" w:cs="Arial" w:eastAsia="Arial" w:hAnsi="Arial"/>
          <w:sz w:val="17"/>
          <w:szCs w:val="17"/>
          <w:b w:val="1"/>
          <w:bCs w:val="1"/>
          <w:color w:val="auto"/>
        </w:rPr>
        <w:t xml:space="preserve">Board Policies and Practices </w:t>
      </w:r>
      <w:r>
        <w:rPr>
          <w:rFonts w:ascii="Arial" w:cs="Arial" w:eastAsia="Arial" w:hAnsi="Arial"/>
          <w:sz w:val="17"/>
          <w:szCs w:val="17"/>
          <w:color w:val="125288"/>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Our Board formally reviews its performance, as well as the performance of its committees, on an annual basis,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to ensure the Board has the appropriate mix of skills and experience to align with our corporate strategy. In addition, the Board and its committees maintain a dialogue in executive session throughout the year focused on strengthening our Board’s performance.</w:t>
      </w:r>
    </w:p>
    <w:p>
      <w:pPr>
        <w:spacing w:after="0" w:line="16" w:lineRule="exact"/>
        <w:rPr>
          <w:sz w:val="20"/>
          <w:szCs w:val="20"/>
          <w:color w:val="auto"/>
        </w:rPr>
      </w:pPr>
    </w:p>
    <w:p>
      <w:pPr>
        <w:ind w:left="2560" w:right="60" w:hanging="152"/>
        <w:spacing w:after="0" w:line="239" w:lineRule="auto"/>
        <w:tabs>
          <w:tab w:leader="none" w:pos="2560" w:val="left"/>
        </w:tabs>
        <w:numPr>
          <w:ilvl w:val="0"/>
          <w:numId w:val="5"/>
        </w:numPr>
        <w:rPr>
          <w:rFonts w:ascii="Arial" w:cs="Arial" w:eastAsia="Arial" w:hAnsi="Arial"/>
          <w:sz w:val="17"/>
          <w:szCs w:val="17"/>
          <w:color w:val="125288"/>
        </w:rPr>
      </w:pPr>
      <w:r>
        <w:rPr>
          <w:rFonts w:ascii="Arial" w:cs="Arial" w:eastAsia="Arial" w:hAnsi="Arial"/>
          <w:sz w:val="17"/>
          <w:szCs w:val="17"/>
          <w:color w:val="auto"/>
        </w:rPr>
        <w:t>Our Board actively engages in chief executive officer succession planning, and regularly reviews succession plans for other executives.</w:t>
      </w:r>
    </w:p>
    <w:p>
      <w:pPr>
        <w:spacing w:after="0" w:line="26" w:lineRule="exact"/>
        <w:rPr>
          <w:rFonts w:ascii="Arial" w:cs="Arial" w:eastAsia="Arial" w:hAnsi="Arial"/>
          <w:sz w:val="17"/>
          <w:szCs w:val="17"/>
          <w:color w:val="125288"/>
        </w:rPr>
      </w:pPr>
    </w:p>
    <w:p>
      <w:pPr>
        <w:ind w:left="2560" w:right="420" w:hanging="152"/>
        <w:spacing w:after="0" w:line="239" w:lineRule="auto"/>
        <w:tabs>
          <w:tab w:leader="none" w:pos="2560" w:val="left"/>
        </w:tabs>
        <w:numPr>
          <w:ilvl w:val="0"/>
          <w:numId w:val="5"/>
        </w:numPr>
        <w:rPr>
          <w:rFonts w:ascii="Arial" w:cs="Arial" w:eastAsia="Arial" w:hAnsi="Arial"/>
          <w:sz w:val="17"/>
          <w:szCs w:val="17"/>
          <w:color w:val="125288"/>
        </w:rPr>
      </w:pPr>
      <w:r>
        <w:rPr>
          <w:rFonts w:ascii="Arial" w:cs="Arial" w:eastAsia="Arial" w:hAnsi="Arial"/>
          <w:sz w:val="17"/>
          <w:szCs w:val="17"/>
          <w:color w:val="auto"/>
        </w:rPr>
        <w:t>Our Compensation Committee annually evaluates our Chief Executive Officer’s performance and determines the most appropriate metrics by which to measure that executive's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148830"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60" w:type="dxa"/>
            <w:vAlign w:val="bottom"/>
          </w:tcPr>
          <w:p>
            <w:pPr>
              <w:ind w:left="40"/>
              <w:spacing w:after="0"/>
              <w:rPr>
                <w:sz w:val="20"/>
                <w:szCs w:val="20"/>
                <w:color w:val="auto"/>
              </w:rPr>
            </w:pPr>
            <w:r>
              <w:rPr>
                <w:rFonts w:ascii="Arial" w:cs="Arial" w:eastAsia="Arial" w:hAnsi="Arial"/>
                <w:sz w:val="17"/>
                <w:szCs w:val="17"/>
                <w:b w:val="1"/>
                <w:bCs w:val="1"/>
                <w:color w:val="auto"/>
              </w:rPr>
              <w:t>Active Board Oversight of</w:t>
            </w:r>
          </w:p>
        </w:tc>
        <w:tc>
          <w:tcPr>
            <w:tcW w:w="260" w:type="dxa"/>
            <w:vAlign w:val="bottom"/>
          </w:tcPr>
          <w:p>
            <w:pPr>
              <w:ind w:left="140"/>
              <w:spacing w:after="0"/>
              <w:rPr>
                <w:sz w:val="20"/>
                <w:szCs w:val="20"/>
                <w:color w:val="auto"/>
              </w:rPr>
            </w:pPr>
            <w:r>
              <w:rPr>
                <w:rFonts w:ascii="Arial" w:cs="Arial" w:eastAsia="Arial" w:hAnsi="Arial"/>
                <w:sz w:val="17"/>
                <w:szCs w:val="17"/>
                <w:color w:val="125288"/>
              </w:rPr>
              <w:t>•</w:t>
            </w:r>
          </w:p>
        </w:tc>
        <w:tc>
          <w:tcPr>
            <w:tcW w:w="8740" w:type="dxa"/>
            <w:vAlign w:val="bottom"/>
            <w:gridSpan w:val="2"/>
          </w:tcPr>
          <w:p>
            <w:pPr>
              <w:ind w:left="40"/>
              <w:spacing w:after="0"/>
              <w:rPr>
                <w:sz w:val="20"/>
                <w:szCs w:val="20"/>
                <w:color w:val="auto"/>
              </w:rPr>
            </w:pPr>
            <w:r>
              <w:rPr>
                <w:rFonts w:ascii="Arial" w:cs="Arial" w:eastAsia="Arial" w:hAnsi="Arial"/>
                <w:sz w:val="17"/>
                <w:szCs w:val="17"/>
                <w:color w:val="auto"/>
                <w:w w:val="98"/>
              </w:rPr>
              <w:t>Our Board regularly reviews management’s conclusions and recommendations regarding current and future potential</w:t>
            </w:r>
          </w:p>
        </w:tc>
      </w:tr>
      <w:tr>
        <w:trPr>
          <w:trHeight w:val="240"/>
        </w:trPr>
        <w:tc>
          <w:tcPr>
            <w:tcW w:w="2260" w:type="dxa"/>
            <w:vAlign w:val="bottom"/>
          </w:tcPr>
          <w:p>
            <w:pPr>
              <w:ind w:left="40"/>
              <w:spacing w:after="0"/>
              <w:rPr>
                <w:sz w:val="20"/>
                <w:szCs w:val="20"/>
                <w:color w:val="auto"/>
              </w:rPr>
            </w:pPr>
            <w:r>
              <w:rPr>
                <w:rFonts w:ascii="Arial" w:cs="Arial" w:eastAsia="Arial" w:hAnsi="Arial"/>
                <w:sz w:val="17"/>
                <w:szCs w:val="17"/>
                <w:b w:val="1"/>
                <w:bCs w:val="1"/>
                <w:color w:val="auto"/>
              </w:rPr>
              <w:t>Risk Strategy</w:t>
            </w:r>
          </w:p>
        </w:tc>
        <w:tc>
          <w:tcPr>
            <w:tcW w:w="260" w:type="dxa"/>
            <w:vAlign w:val="bottom"/>
          </w:tcPr>
          <w:p>
            <w:pPr>
              <w:spacing w:after="0"/>
              <w:rPr>
                <w:sz w:val="20"/>
                <w:szCs w:val="20"/>
                <w:color w:val="auto"/>
              </w:rPr>
            </w:pPr>
          </w:p>
        </w:tc>
        <w:tc>
          <w:tcPr>
            <w:tcW w:w="8520" w:type="dxa"/>
            <w:vAlign w:val="bottom"/>
          </w:tcPr>
          <w:p>
            <w:pPr>
              <w:ind w:left="40"/>
              <w:spacing w:after="0"/>
              <w:rPr>
                <w:sz w:val="20"/>
                <w:szCs w:val="20"/>
                <w:color w:val="auto"/>
              </w:rPr>
            </w:pPr>
            <w:r>
              <w:rPr>
                <w:rFonts w:ascii="Arial" w:cs="Arial" w:eastAsia="Arial" w:hAnsi="Arial"/>
                <w:sz w:val="17"/>
                <w:szCs w:val="17"/>
                <w:color w:val="auto"/>
              </w:rPr>
              <w:t>strategic enterprise-level risks, as well as the strategies proposed to mitigate such risks.</w:t>
            </w:r>
          </w:p>
        </w:tc>
        <w:tc>
          <w:tcPr>
            <w:tcW w:w="220" w:type="dxa"/>
            <w:vAlign w:val="bottom"/>
          </w:tcPr>
          <w:p>
            <w:pPr>
              <w:spacing w:after="0"/>
              <w:rPr>
                <w:sz w:val="20"/>
                <w:szCs w:val="20"/>
                <w:color w:val="auto"/>
              </w:rPr>
            </w:pPr>
          </w:p>
        </w:tc>
      </w:tr>
      <w:tr>
        <w:trPr>
          <w:trHeight w:val="215"/>
        </w:trPr>
        <w:tc>
          <w:tcPr>
            <w:tcW w:w="2260" w:type="dxa"/>
            <w:vAlign w:val="bottom"/>
          </w:tcPr>
          <w:p>
            <w:pPr>
              <w:spacing w:after="0"/>
              <w:rPr>
                <w:sz w:val="18"/>
                <w:szCs w:val="18"/>
                <w:color w:val="auto"/>
              </w:rPr>
            </w:pPr>
          </w:p>
        </w:tc>
        <w:tc>
          <w:tcPr>
            <w:tcW w:w="260" w:type="dxa"/>
            <w:vAlign w:val="bottom"/>
          </w:tcPr>
          <w:p>
            <w:pPr>
              <w:ind w:left="140"/>
              <w:spacing w:after="0"/>
              <w:rPr>
                <w:sz w:val="20"/>
                <w:szCs w:val="20"/>
                <w:color w:val="auto"/>
              </w:rPr>
            </w:pPr>
            <w:r>
              <w:rPr>
                <w:rFonts w:ascii="Arial" w:cs="Arial" w:eastAsia="Arial" w:hAnsi="Arial"/>
                <w:sz w:val="17"/>
                <w:szCs w:val="17"/>
                <w:color w:val="125288"/>
              </w:rPr>
              <w:t>•</w:t>
            </w:r>
          </w:p>
        </w:tc>
        <w:tc>
          <w:tcPr>
            <w:tcW w:w="8520" w:type="dxa"/>
            <w:vAlign w:val="bottom"/>
          </w:tcPr>
          <w:p>
            <w:pPr>
              <w:ind w:left="40"/>
              <w:spacing w:after="0"/>
              <w:rPr>
                <w:sz w:val="20"/>
                <w:szCs w:val="20"/>
                <w:color w:val="auto"/>
              </w:rPr>
            </w:pPr>
            <w:r>
              <w:rPr>
                <w:rFonts w:ascii="Arial" w:cs="Arial" w:eastAsia="Arial" w:hAnsi="Arial"/>
                <w:sz w:val="17"/>
                <w:szCs w:val="17"/>
                <w:color w:val="auto"/>
              </w:rPr>
              <w:t>Our Board assumes an active role in overseeing risk management and in providing strategic guidance for the</w:t>
            </w:r>
          </w:p>
        </w:tc>
        <w:tc>
          <w:tcPr>
            <w:tcW w:w="220" w:type="dxa"/>
            <w:vAlign w:val="bottom"/>
          </w:tcPr>
          <w:p>
            <w:pPr>
              <w:spacing w:after="0"/>
              <w:rPr>
                <w:sz w:val="18"/>
                <w:szCs w:val="18"/>
                <w:color w:val="auto"/>
              </w:rPr>
            </w:pPr>
          </w:p>
        </w:tc>
      </w:tr>
      <w:tr>
        <w:trPr>
          <w:trHeight w:val="190"/>
        </w:trPr>
        <w:tc>
          <w:tcPr>
            <w:tcW w:w="2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520" w:type="dxa"/>
            <w:vAlign w:val="bottom"/>
          </w:tcPr>
          <w:p>
            <w:pPr>
              <w:ind w:left="40"/>
              <w:spacing w:after="0" w:line="190" w:lineRule="exact"/>
              <w:rPr>
                <w:sz w:val="20"/>
                <w:szCs w:val="20"/>
                <w:color w:val="auto"/>
              </w:rPr>
            </w:pPr>
            <w:r>
              <w:rPr>
                <w:rFonts w:ascii="Arial" w:cs="Arial" w:eastAsia="Arial" w:hAnsi="Arial"/>
                <w:sz w:val="17"/>
                <w:szCs w:val="17"/>
                <w:color w:val="auto"/>
                <w:w w:val="98"/>
              </w:rPr>
              <w:t>Company, while delegating certain risk management oversight functions to its committees, each of which regularly</w:t>
            </w:r>
          </w:p>
        </w:tc>
        <w:tc>
          <w:tcPr>
            <w:tcW w:w="220" w:type="dxa"/>
            <w:vAlign w:val="bottom"/>
          </w:tcPr>
          <w:p>
            <w:pPr>
              <w:spacing w:after="0"/>
              <w:rPr>
                <w:sz w:val="16"/>
                <w:szCs w:val="16"/>
                <w:color w:val="auto"/>
              </w:rPr>
            </w:pPr>
          </w:p>
        </w:tc>
      </w:tr>
      <w:tr>
        <w:trPr>
          <w:trHeight w:val="201"/>
        </w:trPr>
        <w:tc>
          <w:tcPr>
            <w:tcW w:w="2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520" w:type="dxa"/>
            <w:vAlign w:val="bottom"/>
          </w:tcPr>
          <w:p>
            <w:pPr>
              <w:ind w:left="40"/>
              <w:spacing w:after="0"/>
              <w:rPr>
                <w:sz w:val="20"/>
                <w:szCs w:val="20"/>
                <w:color w:val="auto"/>
              </w:rPr>
            </w:pPr>
            <w:r>
              <w:rPr>
                <w:rFonts w:ascii="Arial" w:cs="Arial" w:eastAsia="Arial" w:hAnsi="Arial"/>
                <w:sz w:val="17"/>
                <w:szCs w:val="17"/>
                <w:color w:val="auto"/>
              </w:rPr>
              <w:t>reports to our Board.</w:t>
            </w:r>
          </w:p>
        </w:tc>
        <w:tc>
          <w:tcPr>
            <w:tcW w:w="220" w:type="dxa"/>
            <w:vAlign w:val="bottom"/>
          </w:tcPr>
          <w:p>
            <w:pPr>
              <w:spacing w:after="0"/>
              <w:rPr>
                <w:sz w:val="17"/>
                <w:szCs w:val="17"/>
                <w:color w:val="auto"/>
              </w:rPr>
            </w:pPr>
          </w:p>
        </w:tc>
      </w:tr>
      <w:tr>
        <w:trPr>
          <w:trHeight w:val="215"/>
        </w:trPr>
        <w:tc>
          <w:tcPr>
            <w:tcW w:w="2260" w:type="dxa"/>
            <w:vAlign w:val="bottom"/>
          </w:tcPr>
          <w:p>
            <w:pPr>
              <w:spacing w:after="0"/>
              <w:rPr>
                <w:sz w:val="18"/>
                <w:szCs w:val="18"/>
                <w:color w:val="auto"/>
              </w:rPr>
            </w:pPr>
          </w:p>
        </w:tc>
        <w:tc>
          <w:tcPr>
            <w:tcW w:w="260" w:type="dxa"/>
            <w:vAlign w:val="bottom"/>
          </w:tcPr>
          <w:p>
            <w:pPr>
              <w:ind w:left="140"/>
              <w:spacing w:after="0"/>
              <w:rPr>
                <w:sz w:val="20"/>
                <w:szCs w:val="20"/>
                <w:color w:val="auto"/>
              </w:rPr>
            </w:pPr>
            <w:r>
              <w:rPr>
                <w:rFonts w:ascii="Arial" w:cs="Arial" w:eastAsia="Arial" w:hAnsi="Arial"/>
                <w:sz w:val="17"/>
                <w:szCs w:val="17"/>
                <w:color w:val="125288"/>
              </w:rPr>
              <w:t>•</w:t>
            </w:r>
          </w:p>
        </w:tc>
        <w:tc>
          <w:tcPr>
            <w:tcW w:w="8520" w:type="dxa"/>
            <w:vAlign w:val="bottom"/>
          </w:tcPr>
          <w:p>
            <w:pPr>
              <w:ind w:left="40"/>
              <w:spacing w:after="0"/>
              <w:rPr>
                <w:sz w:val="20"/>
                <w:szCs w:val="20"/>
                <w:color w:val="auto"/>
              </w:rPr>
            </w:pPr>
            <w:r>
              <w:rPr>
                <w:rFonts w:ascii="Arial" w:cs="Arial" w:eastAsia="Arial" w:hAnsi="Arial"/>
                <w:sz w:val="17"/>
                <w:szCs w:val="17"/>
                <w:color w:val="auto"/>
                <w:w w:val="98"/>
              </w:rPr>
              <w:t>Our Nominating and Corporate Governance Committee actively oversees risks associated with overall governance</w:t>
            </w:r>
          </w:p>
        </w:tc>
        <w:tc>
          <w:tcPr>
            <w:tcW w:w="220" w:type="dxa"/>
            <w:vAlign w:val="bottom"/>
          </w:tcPr>
          <w:p>
            <w:pPr>
              <w:spacing w:after="0"/>
              <w:rPr>
                <w:sz w:val="18"/>
                <w:szCs w:val="18"/>
                <w:color w:val="auto"/>
              </w:rPr>
            </w:pPr>
          </w:p>
        </w:tc>
      </w:tr>
      <w:tr>
        <w:trPr>
          <w:trHeight w:val="201"/>
        </w:trPr>
        <w:tc>
          <w:tcPr>
            <w:tcW w:w="2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520" w:type="dxa"/>
            <w:vAlign w:val="bottom"/>
          </w:tcPr>
          <w:p>
            <w:pPr>
              <w:ind w:left="40"/>
              <w:spacing w:after="0"/>
              <w:rPr>
                <w:sz w:val="20"/>
                <w:szCs w:val="20"/>
                <w:color w:val="auto"/>
              </w:rPr>
            </w:pPr>
            <w:r>
              <w:rPr>
                <w:rFonts w:ascii="Arial" w:cs="Arial" w:eastAsia="Arial" w:hAnsi="Arial"/>
                <w:sz w:val="17"/>
                <w:szCs w:val="17"/>
                <w:color w:val="auto"/>
              </w:rPr>
              <w:t>and Board succession planning, as well as ESG-related matters.</w:t>
            </w:r>
          </w:p>
        </w:tc>
        <w:tc>
          <w:tcPr>
            <w:tcW w:w="220" w:type="dxa"/>
            <w:vAlign w:val="bottom"/>
          </w:tcPr>
          <w:p>
            <w:pPr>
              <w:spacing w:after="0"/>
              <w:rPr>
                <w:sz w:val="17"/>
                <w:szCs w:val="17"/>
                <w:color w:val="auto"/>
              </w:rPr>
            </w:pPr>
          </w:p>
        </w:tc>
      </w:tr>
      <w:tr>
        <w:trPr>
          <w:trHeight w:val="226"/>
        </w:trPr>
        <w:tc>
          <w:tcPr>
            <w:tcW w:w="2260" w:type="dxa"/>
            <w:vAlign w:val="bottom"/>
          </w:tcPr>
          <w:p>
            <w:pPr>
              <w:spacing w:after="0"/>
              <w:rPr>
                <w:sz w:val="19"/>
                <w:szCs w:val="19"/>
                <w:color w:val="auto"/>
              </w:rPr>
            </w:pPr>
          </w:p>
        </w:tc>
        <w:tc>
          <w:tcPr>
            <w:tcW w:w="260" w:type="dxa"/>
            <w:vAlign w:val="bottom"/>
          </w:tcPr>
          <w:p>
            <w:pPr>
              <w:ind w:left="140"/>
              <w:spacing w:after="0"/>
              <w:rPr>
                <w:sz w:val="20"/>
                <w:szCs w:val="20"/>
                <w:color w:val="auto"/>
              </w:rPr>
            </w:pPr>
            <w:r>
              <w:rPr>
                <w:rFonts w:ascii="Arial" w:cs="Arial" w:eastAsia="Arial" w:hAnsi="Arial"/>
                <w:sz w:val="17"/>
                <w:szCs w:val="17"/>
                <w:color w:val="125288"/>
              </w:rPr>
              <w:t>•</w:t>
            </w:r>
          </w:p>
        </w:tc>
        <w:tc>
          <w:tcPr>
            <w:tcW w:w="8520" w:type="dxa"/>
            <w:vAlign w:val="bottom"/>
          </w:tcPr>
          <w:p>
            <w:pPr>
              <w:ind w:left="40"/>
              <w:spacing w:after="0"/>
              <w:rPr>
                <w:sz w:val="20"/>
                <w:szCs w:val="20"/>
                <w:color w:val="auto"/>
              </w:rPr>
            </w:pPr>
            <w:r>
              <w:rPr>
                <w:rFonts w:ascii="Arial" w:cs="Arial" w:eastAsia="Arial" w:hAnsi="Arial"/>
                <w:sz w:val="17"/>
                <w:szCs w:val="17"/>
                <w:color w:val="auto"/>
              </w:rPr>
              <w:t>Our Audit Committee actively oversees cybersecurity risk.</w:t>
            </w:r>
          </w:p>
        </w:tc>
        <w:tc>
          <w:tcPr>
            <w:tcW w:w="220" w:type="dxa"/>
            <w:vAlign w:val="bottom"/>
          </w:tcPr>
          <w:p>
            <w:pPr>
              <w:spacing w:after="0"/>
              <w:rPr>
                <w:sz w:val="19"/>
                <w:szCs w:val="19"/>
                <w:color w:val="auto"/>
              </w:rPr>
            </w:pPr>
          </w:p>
        </w:tc>
      </w:tr>
      <w:tr>
        <w:trPr>
          <w:trHeight w:val="226"/>
        </w:trPr>
        <w:tc>
          <w:tcPr>
            <w:tcW w:w="2260" w:type="dxa"/>
            <w:vAlign w:val="bottom"/>
          </w:tcPr>
          <w:p>
            <w:pPr>
              <w:spacing w:after="0"/>
              <w:rPr>
                <w:sz w:val="19"/>
                <w:szCs w:val="19"/>
                <w:color w:val="auto"/>
              </w:rPr>
            </w:pPr>
          </w:p>
        </w:tc>
        <w:tc>
          <w:tcPr>
            <w:tcW w:w="260" w:type="dxa"/>
            <w:vAlign w:val="bottom"/>
          </w:tcPr>
          <w:p>
            <w:pPr>
              <w:ind w:left="140"/>
              <w:spacing w:after="0"/>
              <w:rPr>
                <w:sz w:val="20"/>
                <w:szCs w:val="20"/>
                <w:color w:val="auto"/>
              </w:rPr>
            </w:pPr>
            <w:r>
              <w:rPr>
                <w:rFonts w:ascii="Arial" w:cs="Arial" w:eastAsia="Arial" w:hAnsi="Arial"/>
                <w:sz w:val="17"/>
                <w:szCs w:val="17"/>
                <w:color w:val="125288"/>
              </w:rPr>
              <w:t>•</w:t>
            </w:r>
          </w:p>
        </w:tc>
        <w:tc>
          <w:tcPr>
            <w:tcW w:w="8520" w:type="dxa"/>
            <w:vAlign w:val="bottom"/>
          </w:tcPr>
          <w:p>
            <w:pPr>
              <w:ind w:left="40"/>
              <w:spacing w:after="0"/>
              <w:rPr>
                <w:sz w:val="20"/>
                <w:szCs w:val="20"/>
                <w:color w:val="auto"/>
              </w:rPr>
            </w:pPr>
            <w:r>
              <w:rPr>
                <w:rFonts w:ascii="Arial" w:cs="Arial" w:eastAsia="Arial" w:hAnsi="Arial"/>
                <w:sz w:val="17"/>
                <w:szCs w:val="17"/>
                <w:color w:val="auto"/>
              </w:rPr>
              <w:t>Our Compensation Committee actively oversees risks relating to human capital management.</w:t>
            </w:r>
          </w:p>
        </w:tc>
        <w:tc>
          <w:tcPr>
            <w:tcW w:w="220" w:type="dxa"/>
            <w:vAlign w:val="bottom"/>
          </w:tcPr>
          <w:p>
            <w:pPr>
              <w:spacing w:after="0"/>
              <w:rPr>
                <w:sz w:val="19"/>
                <w:szCs w:val="19"/>
                <w:color w:val="auto"/>
              </w:rPr>
            </w:pPr>
          </w:p>
        </w:tc>
      </w:tr>
      <w:tr>
        <w:trPr>
          <w:trHeight w:val="215"/>
        </w:trPr>
        <w:tc>
          <w:tcPr>
            <w:tcW w:w="2260" w:type="dxa"/>
            <w:vAlign w:val="bottom"/>
          </w:tcPr>
          <w:p>
            <w:pPr>
              <w:spacing w:after="0"/>
              <w:rPr>
                <w:sz w:val="18"/>
                <w:szCs w:val="18"/>
                <w:color w:val="auto"/>
              </w:rPr>
            </w:pPr>
          </w:p>
        </w:tc>
        <w:tc>
          <w:tcPr>
            <w:tcW w:w="260" w:type="dxa"/>
            <w:vAlign w:val="bottom"/>
          </w:tcPr>
          <w:p>
            <w:pPr>
              <w:ind w:left="140"/>
              <w:spacing w:after="0"/>
              <w:rPr>
                <w:sz w:val="20"/>
                <w:szCs w:val="20"/>
                <w:color w:val="auto"/>
              </w:rPr>
            </w:pPr>
            <w:r>
              <w:rPr>
                <w:rFonts w:ascii="Arial" w:cs="Arial" w:eastAsia="Arial" w:hAnsi="Arial"/>
                <w:sz w:val="17"/>
                <w:szCs w:val="17"/>
                <w:color w:val="125288"/>
              </w:rPr>
              <w:t>•</w:t>
            </w:r>
          </w:p>
        </w:tc>
        <w:tc>
          <w:tcPr>
            <w:tcW w:w="8520" w:type="dxa"/>
            <w:vAlign w:val="bottom"/>
          </w:tcPr>
          <w:p>
            <w:pPr>
              <w:ind w:left="40"/>
              <w:spacing w:after="0"/>
              <w:rPr>
                <w:sz w:val="20"/>
                <w:szCs w:val="20"/>
                <w:color w:val="auto"/>
              </w:rPr>
            </w:pPr>
            <w:r>
              <w:rPr>
                <w:rFonts w:ascii="Arial" w:cs="Arial" w:eastAsia="Arial" w:hAnsi="Arial"/>
                <w:sz w:val="17"/>
                <w:szCs w:val="17"/>
                <w:color w:val="auto"/>
                <w:w w:val="99"/>
              </w:rPr>
              <w:t>Our Workplace Responsibility Committee actively oversees management’s progress in implementing our new and</w:t>
            </w:r>
          </w:p>
        </w:tc>
        <w:tc>
          <w:tcPr>
            <w:tcW w:w="220" w:type="dxa"/>
            <w:vAlign w:val="bottom"/>
          </w:tcPr>
          <w:p>
            <w:pPr>
              <w:spacing w:after="0"/>
              <w:rPr>
                <w:sz w:val="18"/>
                <w:szCs w:val="18"/>
                <w:color w:val="auto"/>
              </w:rPr>
            </w:pPr>
          </w:p>
        </w:tc>
      </w:tr>
      <w:tr>
        <w:trPr>
          <w:trHeight w:val="201"/>
        </w:trPr>
        <w:tc>
          <w:tcPr>
            <w:tcW w:w="2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520" w:type="dxa"/>
            <w:vAlign w:val="bottom"/>
          </w:tcPr>
          <w:p>
            <w:pPr>
              <w:ind w:left="40"/>
              <w:spacing w:after="0"/>
              <w:rPr>
                <w:sz w:val="20"/>
                <w:szCs w:val="20"/>
                <w:color w:val="auto"/>
              </w:rPr>
            </w:pPr>
            <w:r>
              <w:rPr>
                <w:rFonts w:ascii="Arial" w:cs="Arial" w:eastAsia="Arial" w:hAnsi="Arial"/>
                <w:sz w:val="17"/>
                <w:szCs w:val="17"/>
                <w:color w:val="auto"/>
              </w:rPr>
              <w:t>updated workplace policies, procedures, and commitments</w:t>
            </w:r>
          </w:p>
        </w:tc>
        <w:tc>
          <w:tcPr>
            <w:tcW w:w="220" w:type="dxa"/>
            <w:vAlign w:val="bottom"/>
          </w:tcPr>
          <w:p>
            <w:pPr>
              <w:spacing w:after="0"/>
              <w:rPr>
                <w:sz w:val="17"/>
                <w:szCs w:val="17"/>
                <w:color w:val="auto"/>
              </w:rPr>
            </w:pPr>
          </w:p>
        </w:tc>
      </w:tr>
      <w:tr>
        <w:trPr>
          <w:trHeight w:val="85"/>
        </w:trPr>
        <w:tc>
          <w:tcPr>
            <w:tcW w:w="2260" w:type="dxa"/>
            <w:vAlign w:val="bottom"/>
            <w:tcBorders>
              <w:bottom w:val="single" w:sz="8" w:color="125288"/>
            </w:tcBorders>
          </w:tcPr>
          <w:p>
            <w:pPr>
              <w:spacing w:after="0"/>
              <w:rPr>
                <w:sz w:val="7"/>
                <w:szCs w:val="7"/>
                <w:color w:val="auto"/>
              </w:rPr>
            </w:pPr>
          </w:p>
        </w:tc>
        <w:tc>
          <w:tcPr>
            <w:tcW w:w="260" w:type="dxa"/>
            <w:vAlign w:val="bottom"/>
            <w:tcBorders>
              <w:bottom w:val="single" w:sz="8" w:color="125288"/>
            </w:tcBorders>
          </w:tcPr>
          <w:p>
            <w:pPr>
              <w:spacing w:after="0"/>
              <w:rPr>
                <w:sz w:val="7"/>
                <w:szCs w:val="7"/>
                <w:color w:val="auto"/>
              </w:rPr>
            </w:pPr>
          </w:p>
        </w:tc>
        <w:tc>
          <w:tcPr>
            <w:tcW w:w="8520" w:type="dxa"/>
            <w:vAlign w:val="bottom"/>
            <w:tcBorders>
              <w:bottom w:val="single" w:sz="8" w:color="125288"/>
            </w:tcBorders>
          </w:tcPr>
          <w:p>
            <w:pPr>
              <w:spacing w:after="0"/>
              <w:rPr>
                <w:sz w:val="7"/>
                <w:szCs w:val="7"/>
                <w:color w:val="auto"/>
              </w:rPr>
            </w:pPr>
          </w:p>
        </w:tc>
        <w:tc>
          <w:tcPr>
            <w:tcW w:w="220" w:type="dxa"/>
            <w:vAlign w:val="bottom"/>
            <w:tcBorders>
              <w:bottom w:val="single" w:sz="8" w:color="125288"/>
            </w:tcBorders>
          </w:tcPr>
          <w:p>
            <w:pPr>
              <w:spacing w:after="0"/>
              <w:rPr>
                <w:sz w:val="7"/>
                <w:szCs w:val="7"/>
                <w:color w:val="auto"/>
              </w:rPr>
            </w:pPr>
          </w:p>
        </w:tc>
      </w:tr>
      <w:tr>
        <w:trPr>
          <w:trHeight w:val="351"/>
        </w:trPr>
        <w:tc>
          <w:tcPr>
            <w:tcW w:w="2260" w:type="dxa"/>
            <w:vAlign w:val="bottom"/>
          </w:tcPr>
          <w:p>
            <w:pPr>
              <w:spacing w:after="0"/>
              <w:rPr>
                <w:sz w:val="20"/>
                <w:szCs w:val="20"/>
                <w:color w:val="auto"/>
              </w:rPr>
            </w:pPr>
            <w:r>
              <w:rPr>
                <w:rFonts w:ascii="Arial" w:cs="Arial" w:eastAsia="Arial" w:hAnsi="Arial"/>
                <w:sz w:val="14"/>
                <w:szCs w:val="14"/>
                <w:color w:val="706F6F"/>
              </w:rPr>
              <w:t>www.activisionblizzard.com</w:t>
            </w:r>
          </w:p>
        </w:tc>
        <w:tc>
          <w:tcPr>
            <w:tcW w:w="260" w:type="dxa"/>
            <w:vAlign w:val="bottom"/>
          </w:tcPr>
          <w:p>
            <w:pPr>
              <w:spacing w:after="0"/>
              <w:rPr>
                <w:sz w:val="24"/>
                <w:szCs w:val="24"/>
                <w:color w:val="auto"/>
              </w:rPr>
            </w:pPr>
          </w:p>
        </w:tc>
        <w:tc>
          <w:tcPr>
            <w:tcW w:w="8520" w:type="dxa"/>
            <w:vAlign w:val="bottom"/>
          </w:tcPr>
          <w:p>
            <w:pPr>
              <w:ind w:left="4860"/>
              <w:spacing w:after="0"/>
              <w:rPr>
                <w:sz w:val="20"/>
                <w:szCs w:val="20"/>
                <w:color w:val="auto"/>
              </w:rPr>
            </w:pPr>
            <w:r>
              <w:rPr>
                <w:rFonts w:ascii="Arial" w:cs="Arial" w:eastAsia="Arial" w:hAnsi="Arial"/>
                <w:sz w:val="14"/>
                <w:szCs w:val="14"/>
                <w:color w:val="706F6F"/>
              </w:rPr>
              <w:t>ACTIVISION BLIZZARD, INC.  2022 Proxy Statement</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706F6F"/>
              </w:rPr>
              <w:t>12</w:t>
            </w:r>
          </w:p>
        </w:tc>
      </w:tr>
      <w:tr>
        <w:trPr>
          <w:trHeight w:val="93"/>
        </w:trPr>
        <w:tc>
          <w:tcPr>
            <w:tcW w:w="2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5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r>
    </w:tbl>
    <w:p>
      <w:pPr>
        <w:sectPr>
          <w:pgSz w:w="11900" w:h="16838" w:orient="portrait"/>
          <w:cols w:equalWidth="0" w:num="1">
            <w:col w:w="11260"/>
          </w:cols>
          <w:pgMar w:left="320" w:top="144" w:right="319" w:bottom="1440" w:gutter="0" w:footer="0" w:header="0"/>
        </w:sectPr>
      </w:pPr>
    </w:p>
    <w:bookmarkStart w:id="15" w:name="page16"/>
    <w:bookmarkEnd w:id="15"/>
    <w:p>
      <w:pPr>
        <w:spacing w:after="0"/>
        <w:rPr>
          <w:rFonts w:ascii="Arial" w:cs="Arial" w:eastAsia="Arial" w:hAnsi="Arial"/>
          <w:sz w:val="12"/>
          <w:szCs w:val="12"/>
          <w:u w:val="single" w:color="auto"/>
          <w:color w:val="0000FF"/>
        </w:rPr>
      </w:pPr>
      <w:hyperlink w:anchor="page7">
        <w:r>
          <w:rPr>
            <w:rFonts w:ascii="Arial" w:cs="Arial" w:eastAsia="Arial" w:hAnsi="Arial"/>
            <w:sz w:val="12"/>
            <w:szCs w:val="12"/>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445770</wp:posOffset>
            </wp:positionV>
            <wp:extent cx="7148830"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line="295" w:lineRule="auto"/>
        <w:rPr>
          <w:sz w:val="20"/>
          <w:szCs w:val="20"/>
          <w:color w:val="auto"/>
        </w:rPr>
      </w:pPr>
      <w:r>
        <w:rPr>
          <w:rFonts w:ascii="Arial" w:cs="Arial" w:eastAsia="Arial" w:hAnsi="Arial"/>
          <w:sz w:val="16"/>
          <w:szCs w:val="16"/>
          <w:b w:val="1"/>
          <w:bCs w:val="1"/>
          <w:color w:val="auto"/>
        </w:rPr>
        <w:t>Risk Mitigation and Alignment of Interests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52" w:right="40" w:hanging="152"/>
        <w:spacing w:after="0" w:line="235" w:lineRule="auto"/>
        <w:tabs>
          <w:tab w:leader="none" w:pos="152" w:val="left"/>
        </w:tabs>
        <w:numPr>
          <w:ilvl w:val="0"/>
          <w:numId w:val="6"/>
        </w:numPr>
        <w:rPr>
          <w:rFonts w:ascii="Arial" w:cs="Arial" w:eastAsia="Arial" w:hAnsi="Arial"/>
          <w:sz w:val="17"/>
          <w:szCs w:val="17"/>
          <w:color w:val="125288"/>
        </w:rPr>
      </w:pPr>
      <w:r>
        <w:rPr>
          <w:rFonts w:ascii="Arial" w:cs="Arial" w:eastAsia="Arial" w:hAnsi="Arial"/>
          <w:sz w:val="17"/>
          <w:szCs w:val="17"/>
          <w:color w:val="auto"/>
        </w:rPr>
        <w:t>Executive officers and directors are expected to comply with stock ownership guidelines. Our Chief Executive Officer is required to beneficially own shares of our common stock with a value at least equal to 50 times his then-current annual base salary. When our CEO reduced his annual base salary to $875,000, he held shares of our common stock with a value of almost 400 times that salary. He currently holds shares of our common stock with a value of approximately 5,500 times his current annual base salary of $62,500. We do not include restricted stock or restricted stock units in determining compliance with these requirements.</w:t>
      </w:r>
    </w:p>
    <w:p>
      <w:pPr>
        <w:spacing w:after="0" w:line="28" w:lineRule="exact"/>
        <w:rPr>
          <w:rFonts w:ascii="Arial" w:cs="Arial" w:eastAsia="Arial" w:hAnsi="Arial"/>
          <w:sz w:val="17"/>
          <w:szCs w:val="17"/>
          <w:color w:val="125288"/>
        </w:rPr>
      </w:pPr>
    </w:p>
    <w:p>
      <w:pPr>
        <w:ind w:left="152" w:right="100" w:hanging="152"/>
        <w:spacing w:after="0" w:line="239" w:lineRule="auto"/>
        <w:tabs>
          <w:tab w:leader="none" w:pos="152" w:val="left"/>
        </w:tabs>
        <w:numPr>
          <w:ilvl w:val="0"/>
          <w:numId w:val="6"/>
        </w:numPr>
        <w:rPr>
          <w:rFonts w:ascii="Arial" w:cs="Arial" w:eastAsia="Arial" w:hAnsi="Arial"/>
          <w:sz w:val="17"/>
          <w:szCs w:val="17"/>
          <w:color w:val="125288"/>
        </w:rPr>
      </w:pPr>
      <w:r>
        <w:rPr>
          <w:rFonts w:ascii="Arial" w:cs="Arial" w:eastAsia="Arial" w:hAnsi="Arial"/>
          <w:sz w:val="17"/>
          <w:szCs w:val="17"/>
          <w:color w:val="auto"/>
        </w:rPr>
        <w:t>In the event of an earnings restatement due to the misconduct of an officer, we have a policy that enables us to “claw back” certain performance-based compensation (both cash and equity) paid or awarded to such officer.</w:t>
      </w:r>
    </w:p>
    <w:p>
      <w:pPr>
        <w:spacing w:after="0" w:line="26" w:lineRule="exact"/>
        <w:rPr>
          <w:rFonts w:ascii="Arial" w:cs="Arial" w:eastAsia="Arial" w:hAnsi="Arial"/>
          <w:sz w:val="17"/>
          <w:szCs w:val="17"/>
          <w:color w:val="125288"/>
        </w:rPr>
      </w:pPr>
    </w:p>
    <w:p>
      <w:pPr>
        <w:ind w:left="152" w:right="280" w:hanging="152"/>
        <w:spacing w:after="0" w:line="269" w:lineRule="auto"/>
        <w:tabs>
          <w:tab w:leader="none" w:pos="152" w:val="left"/>
        </w:tabs>
        <w:numPr>
          <w:ilvl w:val="0"/>
          <w:numId w:val="6"/>
        </w:numPr>
        <w:rPr>
          <w:rFonts w:ascii="Arial" w:cs="Arial" w:eastAsia="Arial" w:hAnsi="Arial"/>
          <w:sz w:val="16"/>
          <w:szCs w:val="16"/>
          <w:color w:val="125288"/>
        </w:rPr>
      </w:pPr>
      <w:r>
        <w:rPr>
          <w:rFonts w:ascii="Arial" w:cs="Arial" w:eastAsia="Arial" w:hAnsi="Arial"/>
          <w:sz w:val="16"/>
          <w:szCs w:val="16"/>
          <w:color w:val="auto"/>
        </w:rPr>
        <w:t>We prohibit our employees (including executives) and directors from “shorting” Company stock, engaging in “puts,” “calls,” or other hedging transactions involving Company stock, or using margin accounts with Company stock.</w:t>
      </w:r>
    </w:p>
    <w:p>
      <w:pPr>
        <w:spacing w:after="0" w:line="3" w:lineRule="exact"/>
        <w:rPr>
          <w:rFonts w:ascii="Arial" w:cs="Arial" w:eastAsia="Arial" w:hAnsi="Arial"/>
          <w:sz w:val="16"/>
          <w:szCs w:val="16"/>
          <w:color w:val="125288"/>
        </w:rPr>
      </w:pPr>
    </w:p>
    <w:p>
      <w:pPr>
        <w:ind w:left="152" w:right="400" w:hanging="152"/>
        <w:spacing w:after="0" w:line="239" w:lineRule="auto"/>
        <w:tabs>
          <w:tab w:leader="none" w:pos="152" w:val="left"/>
        </w:tabs>
        <w:numPr>
          <w:ilvl w:val="0"/>
          <w:numId w:val="6"/>
        </w:numPr>
        <w:rPr>
          <w:rFonts w:ascii="Arial" w:cs="Arial" w:eastAsia="Arial" w:hAnsi="Arial"/>
          <w:sz w:val="17"/>
          <w:szCs w:val="17"/>
          <w:color w:val="125288"/>
        </w:rPr>
      </w:pPr>
      <w:r>
        <w:rPr>
          <w:rFonts w:ascii="Arial" w:cs="Arial" w:eastAsia="Arial" w:hAnsi="Arial"/>
          <w:sz w:val="17"/>
          <w:szCs w:val="17"/>
          <w:color w:val="auto"/>
        </w:rPr>
        <w:t>We prohibit our directors, NEOs and other Section 16 officers, and the President of each of Activision Publishing, Blizzard, and King from pledging Company securities as collateral for any type of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52070</wp:posOffset>
            </wp:positionV>
            <wp:extent cx="7148830"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608"/>
            <w:col w:w="8852"/>
          </w:cols>
          <w:pgMar w:left="320" w:top="144" w:right="319" w:bottom="1440" w:gutter="0" w:footer="0" w:header="0"/>
          <w:type w:val="continuous"/>
        </w:sectPr>
      </w:pPr>
    </w:p>
    <w:p>
      <w:pPr>
        <w:spacing w:after="0" w:line="199"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type w:val="continuous"/>
        </w:sectPr>
      </w:pPr>
    </w:p>
    <w:bookmarkStart w:id="16" w:name="page17"/>
    <w:bookmarkEnd w:id="16"/>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b w:val="1"/>
          <w:bCs w:val="1"/>
          <w:color w:val="125288"/>
        </w:rPr>
        <w:t>PROXY STATEMENT</w:t>
      </w:r>
    </w:p>
    <w:p>
      <w:pPr>
        <w:spacing w:after="0" w:line="321" w:lineRule="exact"/>
        <w:rPr>
          <w:sz w:val="20"/>
          <w:szCs w:val="20"/>
          <w:color w:val="auto"/>
        </w:rPr>
      </w:pPr>
    </w:p>
    <w:p>
      <w:pPr>
        <w:spacing w:after="0"/>
        <w:rPr>
          <w:sz w:val="20"/>
          <w:szCs w:val="20"/>
          <w:color w:val="auto"/>
        </w:rPr>
      </w:pPr>
      <w:r>
        <w:rPr>
          <w:sz w:val="1"/>
          <w:szCs w:val="1"/>
          <w:color w:val="auto"/>
        </w:rPr>
        <w:drawing>
          <wp:inline distT="0" distB="0" distL="0" distR="0">
            <wp:extent cx="445135" cy="15113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45135" cy="151130"/>
                    </a:xfrm>
                    <a:prstGeom prst="rect">
                      <a:avLst/>
                    </a:prstGeom>
                    <a:noFill/>
                    <a:ln>
                      <a:noFill/>
                    </a:ln>
                  </pic:spPr>
                </pic:pic>
              </a:graphicData>
            </a:graphic>
          </wp:inline>
        </w:drawing>
      </w:r>
      <w:r>
        <w:rPr>
          <w:rFonts w:ascii="Arial" w:cs="Arial" w:eastAsia="Arial" w:hAnsi="Arial"/>
          <w:sz w:val="31"/>
          <w:szCs w:val="31"/>
          <w:b w:val="1"/>
          <w:bCs w:val="1"/>
          <w:color w:val="125288"/>
        </w:rPr>
        <w:t xml:space="preserve"> GENERAL</w:t>
      </w:r>
    </w:p>
    <w:p>
      <w:pPr>
        <w:spacing w:after="0" w:line="156"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PURPOSE OF THIS PROXY STATEMENT</w:t>
      </w:r>
    </w:p>
    <w:p>
      <w:pPr>
        <w:spacing w:after="0" w:line="3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proxy statement is furnished in connection with the solicitation by our Board of Directors (our “Board”) of proxies from holders of issued and outstanding shares of the Company’s common stock (“Common Stock”). The proxies being solicited will be used at the annual meeting of our shareholders to be held on Tuesday, June 21, 2022, via live audio webcast at https://viewproxy.com/ATVI/2022, at 9:00 a.m., Pacific Time, and at any adjournment or postponement of the meeting (the “Annual Meeting”). All references in this proxy statement to “the Company,” “we,” “us,” “our,” and “Activision Blizzard” refer to Activision Blizzard, Inc.</w:t>
      </w:r>
    </w:p>
    <w:p>
      <w:pPr>
        <w:spacing w:after="0" w:line="354"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FINANCIAL MEASURES USED IN THIS PROXY STATEMENT</w:t>
      </w:r>
    </w:p>
    <w:p>
      <w:pPr>
        <w:spacing w:after="0" w:line="15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Use of Non-GAAP Financial Measures</w:t>
      </w:r>
    </w:p>
    <w:p>
      <w:pPr>
        <w:spacing w:after="0" w:line="142"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All financial measures used in this proxy statement are presented in accordance with generally accepted accounting principles (“GAAP”), unless explicitly identified as non-GAAP. Internally, as a supplement to our GAAP financial measures, management uses certain non-GAAP financial measures to assess our operating results, as well as for planning and forecasting. In particular, management believes these measures facilitate a comparison of operating performance between periods and an understanding of Activision Blizzard’s operating results by excluding certain items that may not be indicative of the Company’s core business, operating results, or future outlook. These non-GAAP measures are not intended to be considered in isolation from, as a substitute for, or as more important than financial information prepared and presented in accordance with GAAP. In addition, non-GAAP measures have limitations in that they do not reflect all of the items associated with the Company’s results of operations as determined in accordance with GAAP. In the future, Activision Blizzard may consider whether other significant non-recurring items should also be excluded in calculating the non-GAAP measures used by the Company.</w:t>
      </w:r>
    </w:p>
    <w:p>
      <w:pPr>
        <w:spacing w:after="0" w:line="134"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Our non-GAAP measures are not based on a comprehensive set of accounting rules or principles, and such measures do not have a standardized meaning across companies. Therefore, other companies may use the same or similarly named measures, but exclude different items, which may not give investors an accurate way to compare Activision Blizzard’s performance to the performance of other companies.</w:t>
      </w: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Financial Metrics Used to Measure 2021 Compensation-Related Performance</w:t>
      </w:r>
    </w:p>
    <w:p>
      <w:pPr>
        <w:spacing w:after="0" w:line="142" w:lineRule="exact"/>
        <w:rPr>
          <w:sz w:val="20"/>
          <w:szCs w:val="20"/>
          <w:color w:val="auto"/>
        </w:rPr>
      </w:pPr>
    </w:p>
    <w:p>
      <w:pPr>
        <w:jc w:val="both"/>
        <w:spacing w:after="0"/>
        <w:rPr>
          <w:sz w:val="20"/>
          <w:szCs w:val="20"/>
          <w:color w:val="auto"/>
        </w:rPr>
      </w:pPr>
      <w:r>
        <w:rPr>
          <w:rFonts w:ascii="Arial" w:cs="Arial" w:eastAsia="Arial" w:hAnsi="Arial"/>
          <w:sz w:val="19"/>
          <w:szCs w:val="19"/>
          <w:color w:val="auto"/>
        </w:rPr>
        <w:t>Consistent with past years, the financial objectives used by management and our Compensation Committee to assess our employees’ 2021 performance were based on adjusted non-GAAP measures rather than the non-GAAP measures we use when reporting our financial results. Unlike our non-GAAP measures, adjusted non-GAAP measures exclude the impact of deferrals from our revenue accounting treatment on certain of our online-enabled products. Internally, management uses these adjusted non-GAAP measures in assessing our operating results, and they inform our planning and forecasting. Management believes this is appropriate because these adjusted non-GAAP measures enable management to analyze performance based on the timing of actual transactions with our customers and can provide a more timely indication of trends in our operating results. Since management and our Compensation Committee continue to believe that these adjusted non-GAAP measures are an effective way to internally assess our operating performance, the Company expects to continue using them when defining compensation-related performance objectives in the future.</w:t>
      </w:r>
    </w:p>
    <w:p>
      <w:pPr>
        <w:spacing w:after="0" w:line="316"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The Compensation Committee used the following adjusted non-GAAP measures to assess the 2021 performance of one or more of our named executive officers (our “named executive officers” or “NEOs”).</w:t>
      </w:r>
    </w:p>
    <w:p>
      <w:pPr>
        <w:spacing w:after="0" w:line="150"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7" w:name="page18"/>
    <w:bookmarkEnd w:id="17"/>
    <w:p>
      <w:pPr>
        <w:ind w:left="5"/>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11" w:lineRule="exact"/>
        <w:rPr>
          <w:sz w:val="20"/>
          <w:szCs w:val="20"/>
          <w:color w:val="auto"/>
        </w:rPr>
      </w:pPr>
    </w:p>
    <w:p>
      <w:pPr>
        <w:jc w:val="both"/>
        <w:ind w:left="145" w:right="40" w:hanging="145"/>
        <w:spacing w:after="0" w:line="247" w:lineRule="auto"/>
        <w:tabs>
          <w:tab w:leader="none" w:pos="145" w:val="left"/>
        </w:tabs>
        <w:numPr>
          <w:ilvl w:val="0"/>
          <w:numId w:val="7"/>
        </w:numPr>
        <w:rPr>
          <w:rFonts w:ascii="Arial" w:cs="Arial" w:eastAsia="Arial" w:hAnsi="Arial"/>
          <w:sz w:val="19"/>
          <w:szCs w:val="19"/>
          <w:color w:val="125288"/>
        </w:rPr>
      </w:pPr>
      <w:r>
        <w:rPr>
          <w:rFonts w:ascii="Arial" w:cs="Arial" w:eastAsia="Arial" w:hAnsi="Arial"/>
          <w:sz w:val="19"/>
          <w:szCs w:val="19"/>
          <w:b w:val="1"/>
          <w:bCs w:val="1"/>
          <w:color w:val="auto"/>
        </w:rPr>
        <w:t xml:space="preserve">“AB Adjusted EPS” </w:t>
      </w:r>
      <w:r>
        <w:rPr>
          <w:rFonts w:ascii="Arial" w:cs="Arial" w:eastAsia="Arial" w:hAnsi="Arial"/>
          <w:sz w:val="19"/>
          <w:szCs w:val="19"/>
          <w:color w:val="auto"/>
        </w:rPr>
        <w:t>is calculated by dividing the AB Adjusted Net Income by the weighted average diluted shares outstanding,</w:t>
      </w:r>
      <w:r>
        <w:rPr>
          <w:rFonts w:ascii="Arial" w:cs="Arial" w:eastAsia="Arial" w:hAnsi="Arial"/>
          <w:sz w:val="19"/>
          <w:szCs w:val="19"/>
          <w:b w:val="1"/>
          <w:bCs w:val="1"/>
          <w:color w:val="auto"/>
        </w:rPr>
        <w:t xml:space="preserve"> </w:t>
      </w:r>
      <w:r>
        <w:rPr>
          <w:rFonts w:ascii="Arial" w:cs="Arial" w:eastAsia="Arial" w:hAnsi="Arial"/>
          <w:sz w:val="19"/>
          <w:szCs w:val="19"/>
          <w:color w:val="auto"/>
        </w:rPr>
        <w:t>where “AB Adjusted Net Income” means Activision Blizzard’s GAAP net income, excluding the impacts from the items noted below under “AB Adjusted OI,” along with the associated tax impacts of those items, and losses incurred on extinguishment of debt from redemption activities and the associated tax impact.</w:t>
      </w:r>
    </w:p>
    <w:p>
      <w:pPr>
        <w:spacing w:after="0" w:line="99" w:lineRule="exact"/>
        <w:rPr>
          <w:rFonts w:ascii="Arial" w:cs="Arial" w:eastAsia="Arial" w:hAnsi="Arial"/>
          <w:sz w:val="19"/>
          <w:szCs w:val="19"/>
          <w:color w:val="125288"/>
        </w:rPr>
      </w:pPr>
    </w:p>
    <w:p>
      <w:pPr>
        <w:jc w:val="both"/>
        <w:ind w:left="145" w:right="40" w:hanging="145"/>
        <w:spacing w:after="0" w:line="253" w:lineRule="auto"/>
        <w:tabs>
          <w:tab w:leader="none" w:pos="145" w:val="left"/>
        </w:tabs>
        <w:numPr>
          <w:ilvl w:val="0"/>
          <w:numId w:val="7"/>
        </w:numPr>
        <w:rPr>
          <w:rFonts w:ascii="Arial" w:cs="Arial" w:eastAsia="Arial" w:hAnsi="Arial"/>
          <w:sz w:val="19"/>
          <w:szCs w:val="19"/>
          <w:color w:val="125288"/>
        </w:rPr>
      </w:pPr>
      <w:r>
        <w:rPr>
          <w:rFonts w:ascii="Arial" w:cs="Arial" w:eastAsia="Arial" w:hAnsi="Arial"/>
          <w:sz w:val="19"/>
          <w:szCs w:val="19"/>
          <w:b w:val="1"/>
          <w:bCs w:val="1"/>
          <w:color w:val="auto"/>
        </w:rPr>
        <w:t xml:space="preserve">“AB Adjusted Free Cash Flow” </w:t>
      </w:r>
      <w:r>
        <w:rPr>
          <w:rFonts w:ascii="Arial" w:cs="Arial" w:eastAsia="Arial" w:hAnsi="Arial"/>
          <w:sz w:val="19"/>
          <w:szCs w:val="19"/>
          <w:color w:val="auto"/>
        </w:rPr>
        <w:t>means Activision Blizzard’s GAAP cash flows from operating activities, less capital expenditures,</w:t>
      </w:r>
      <w:r>
        <w:rPr>
          <w:rFonts w:ascii="Arial" w:cs="Arial" w:eastAsia="Arial" w:hAnsi="Arial"/>
          <w:sz w:val="19"/>
          <w:szCs w:val="19"/>
          <w:b w:val="1"/>
          <w:bCs w:val="1"/>
          <w:color w:val="auto"/>
        </w:rPr>
        <w:t xml:space="preserve"> </w:t>
      </w:r>
      <w:r>
        <w:rPr>
          <w:rFonts w:ascii="Arial" w:cs="Arial" w:eastAsia="Arial" w:hAnsi="Arial"/>
          <w:sz w:val="19"/>
          <w:szCs w:val="19"/>
          <w:color w:val="auto"/>
        </w:rPr>
        <w:t>and excluding certain unplanned one-time items or other adjustments related to impacts identified as being excluded from AB Adjusted OI.</w:t>
      </w:r>
    </w:p>
    <w:p>
      <w:pPr>
        <w:spacing w:after="0" w:line="93" w:lineRule="exact"/>
        <w:rPr>
          <w:rFonts w:ascii="Arial" w:cs="Arial" w:eastAsia="Arial" w:hAnsi="Arial"/>
          <w:sz w:val="19"/>
          <w:szCs w:val="19"/>
          <w:color w:val="125288"/>
        </w:rPr>
      </w:pPr>
    </w:p>
    <w:p>
      <w:pPr>
        <w:jc w:val="both"/>
        <w:ind w:left="145" w:right="40" w:hanging="145"/>
        <w:spacing w:after="0" w:line="244" w:lineRule="auto"/>
        <w:tabs>
          <w:tab w:leader="none" w:pos="145" w:val="left"/>
        </w:tabs>
        <w:numPr>
          <w:ilvl w:val="0"/>
          <w:numId w:val="7"/>
        </w:numPr>
        <w:rPr>
          <w:rFonts w:ascii="Arial" w:cs="Arial" w:eastAsia="Arial" w:hAnsi="Arial"/>
          <w:sz w:val="19"/>
          <w:szCs w:val="19"/>
          <w:color w:val="125288"/>
        </w:rPr>
      </w:pPr>
      <w:r>
        <w:rPr>
          <w:rFonts w:ascii="Arial" w:cs="Arial" w:eastAsia="Arial" w:hAnsi="Arial"/>
          <w:sz w:val="19"/>
          <w:szCs w:val="19"/>
          <w:b w:val="1"/>
          <w:bCs w:val="1"/>
          <w:color w:val="auto"/>
        </w:rPr>
        <w:t xml:space="preserve">“AB Adjusted OI” </w:t>
      </w:r>
      <w:r>
        <w:rPr>
          <w:rFonts w:ascii="Arial" w:cs="Arial" w:eastAsia="Arial" w:hAnsi="Arial"/>
          <w:sz w:val="19"/>
          <w:szCs w:val="19"/>
          <w:color w:val="auto"/>
        </w:rPr>
        <w:t>means Activision Blizzard’s GAAP operating income, excluding the impacts from: share-based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(other than $160 million of share-based compensation related to achievement against 2021 performance targets that otherwise would have been included in our reportable segment operating income); amortization of intangibles from purchase price accounting, restructuring and related charges; and the deferral of revenues and recognition of deferred revenues, along with related cost of revenues, on certain of our online enabled products.</w:t>
      </w:r>
    </w:p>
    <w:p>
      <w:pPr>
        <w:spacing w:after="0" w:line="126" w:lineRule="exact"/>
        <w:rPr>
          <w:sz w:val="20"/>
          <w:szCs w:val="20"/>
          <w:color w:val="auto"/>
        </w:rPr>
      </w:pPr>
    </w:p>
    <w:p>
      <w:pPr>
        <w:jc w:val="both"/>
        <w:ind w:left="5" w:right="20"/>
        <w:spacing w:after="0" w:line="238" w:lineRule="auto"/>
        <w:rPr>
          <w:sz w:val="20"/>
          <w:szCs w:val="20"/>
          <w:color w:val="auto"/>
        </w:rPr>
      </w:pPr>
      <w:r>
        <w:rPr>
          <w:rFonts w:ascii="Arial" w:cs="Arial" w:eastAsia="Arial" w:hAnsi="Arial"/>
          <w:sz w:val="19"/>
          <w:szCs w:val="19"/>
          <w:color w:val="auto"/>
        </w:rPr>
        <w:t>Consistent with past years, at the time it established the measures to be used to assess 2021 financial performance for compensation purposes, the Compensation Committee reserved the discretion, when measuring performance, to exclude the impact of any extraordinary transaction (i.e., a non-recurring corporate transaction or legal expense matter that results in expenses exceeding $10 million for the year). For 2021, $26 million in legal and other related expenses were excluded from both AB Adjusted OI and AB Adjusted EPS and $18 million of related cash payments were excluded from AB Adjusted Free Cash Flow.</w:t>
      </w:r>
    </w:p>
    <w:p>
      <w:pPr>
        <w:spacing w:after="0" w:line="260" w:lineRule="exact"/>
        <w:rPr>
          <w:sz w:val="20"/>
          <w:szCs w:val="20"/>
          <w:color w:val="auto"/>
        </w:rPr>
      </w:pPr>
    </w:p>
    <w:p>
      <w:pPr>
        <w:jc w:val="both"/>
        <w:ind w:left="5" w:right="20"/>
        <w:spacing w:after="0" w:line="238" w:lineRule="auto"/>
        <w:rPr>
          <w:sz w:val="20"/>
          <w:szCs w:val="20"/>
          <w:color w:val="auto"/>
        </w:rPr>
      </w:pPr>
      <w:r>
        <w:rPr>
          <w:rFonts w:ascii="Arial" w:cs="Arial" w:eastAsia="Arial" w:hAnsi="Arial"/>
          <w:sz w:val="19"/>
          <w:szCs w:val="19"/>
          <w:color w:val="auto"/>
        </w:rPr>
        <w:t>Further, when a financial measure is used to assess performance underlying a bonus opportunity under our Corporate Annual Incentive Plan (the “CAIP”) or an equity award the performance of which is determined by reference to an annual operating plan approved by our Board (such plan for any given year, the “AOP”) or long-range strategic plan, constant foreign exchange rates are assumed, which means we convert current period results into dollars using the average exchange rate at the time we established the targets (e.g., at the time the relevant AOP was established), rather than the actual exchange rates during the relevant period.</w:t>
      </w:r>
    </w:p>
    <w:p>
      <w:pPr>
        <w:spacing w:after="0" w:line="235" w:lineRule="exact"/>
        <w:rPr>
          <w:sz w:val="20"/>
          <w:szCs w:val="20"/>
          <w:color w:val="auto"/>
        </w:rPr>
      </w:pPr>
    </w:p>
    <w:p>
      <w:pPr>
        <w:ind w:left="5"/>
        <w:spacing w:after="0"/>
        <w:rPr>
          <w:sz w:val="20"/>
          <w:szCs w:val="20"/>
          <w:color w:val="auto"/>
        </w:rPr>
      </w:pPr>
      <w:r>
        <w:rPr>
          <w:rFonts w:ascii="Arial" w:cs="Arial" w:eastAsia="Arial" w:hAnsi="Arial"/>
          <w:sz w:val="24"/>
          <w:szCs w:val="24"/>
          <w:b w:val="1"/>
          <w:bCs w:val="1"/>
          <w:color w:val="auto"/>
        </w:rPr>
        <w:t>References to U.S. Dollars</w:t>
      </w:r>
    </w:p>
    <w:p>
      <w:pPr>
        <w:spacing w:after="0" w:line="142" w:lineRule="exact"/>
        <w:rPr>
          <w:sz w:val="20"/>
          <w:szCs w:val="20"/>
          <w:color w:val="auto"/>
        </w:rPr>
      </w:pPr>
    </w:p>
    <w:p>
      <w:pPr>
        <w:ind w:left="5"/>
        <w:spacing w:after="0"/>
        <w:rPr>
          <w:sz w:val="20"/>
          <w:szCs w:val="20"/>
          <w:color w:val="auto"/>
        </w:rPr>
      </w:pPr>
      <w:r>
        <w:rPr>
          <w:rFonts w:ascii="Arial" w:cs="Arial" w:eastAsia="Arial" w:hAnsi="Arial"/>
          <w:sz w:val="19"/>
          <w:szCs w:val="19"/>
          <w:color w:val="auto"/>
        </w:rPr>
        <w:t>All dollar amounts referred to in or contemplated by this proxy statement refer to United States (“U.S.”) dollars.</w:t>
      </w:r>
    </w:p>
    <w:p>
      <w:pPr>
        <w:spacing w:after="0" w:line="243" w:lineRule="exact"/>
        <w:rPr>
          <w:sz w:val="20"/>
          <w:szCs w:val="20"/>
          <w:color w:val="auto"/>
        </w:rPr>
      </w:pPr>
    </w:p>
    <w:p>
      <w:pPr>
        <w:ind w:left="5"/>
        <w:spacing w:after="0"/>
        <w:rPr>
          <w:sz w:val="20"/>
          <w:szCs w:val="20"/>
          <w:color w:val="auto"/>
        </w:rPr>
      </w:pPr>
      <w:r>
        <w:rPr>
          <w:rFonts w:ascii="Arial" w:cs="Arial" w:eastAsia="Arial" w:hAnsi="Arial"/>
          <w:sz w:val="24"/>
          <w:szCs w:val="24"/>
          <w:b w:val="1"/>
          <w:bCs w:val="1"/>
          <w:color w:val="auto"/>
        </w:rPr>
        <w:t>Cautionary Statement with Respect to Forward-Looking Statements</w:t>
      </w:r>
    </w:p>
    <w:p>
      <w:pPr>
        <w:spacing w:after="0" w:line="142" w:lineRule="exact"/>
        <w:rPr>
          <w:sz w:val="20"/>
          <w:szCs w:val="20"/>
          <w:color w:val="auto"/>
        </w:rPr>
      </w:pPr>
    </w:p>
    <w:p>
      <w:pPr>
        <w:jc w:val="both"/>
        <w:ind w:left="5"/>
        <w:spacing w:after="0" w:line="236" w:lineRule="auto"/>
        <w:rPr>
          <w:sz w:val="20"/>
          <w:szCs w:val="20"/>
          <w:color w:val="auto"/>
        </w:rPr>
      </w:pPr>
      <w:r>
        <w:rPr>
          <w:rFonts w:ascii="Arial" w:cs="Arial" w:eastAsia="Arial" w:hAnsi="Arial"/>
          <w:sz w:val="19"/>
          <w:szCs w:val="19"/>
          <w:color w:val="auto"/>
        </w:rPr>
        <w:t>This proxy statement contains, or incorporates by reference, statements reflecting our views about our future performance that constitute forward-looking statements within the meaning of the Private Securities Litigation Reform Act of 1995. Such statements consist of any statement other than a recitation of historical facts and include, but are not limited to: (1) projections of revenues, expenses, income or loss, earnings or loss per share, cash flow, or other financial items; (2) statements of our plans and objectives, including those related to releases of products or services and restructuring activities; (3) statements of future financial or operating performance, including the impact of tax items thereon; (4) expectations concerning vesting and satisfaction of performance conditions with respect to equity awards; (5) statements regarding the proposed transaction between Activision Blizzard and Microsoft Corporation (“Microsoft”) (such transaction, “the proposed transaction with Microsoft”), including any statements regarding the expected timetable for completing the proposed transaction with Microsoft, the ability to complete the proposed transaction with Microsoft, and the expected benefits of the proposed transaction with Microsoft; and (6) statements of assumptions underlying such statements. Activision Blizzard generally uses words such as “outlook,” “forecast,” “will,” “could,” “should,” “would,” “to be,” “plan,” “aims,” “believes,” “may,” “might,” “expects,” “intends,” “seeks,” “anticipates,” “estimate,” “future,” “positioned,” “potential,” “project,” “remain,” “scheduled,” “set to,” “subject to,” “upcoming,” and the negative version of these words and other similar words and expressions to help identify forward-looking statements. Forward-looking statements are subject to business and economic risks, reflect management’s current expectations, estimates, and projections about our business, and are inherently uncertain and difficult to predict.</w:t>
      </w:r>
    </w:p>
    <w:p>
      <w:pPr>
        <w:spacing w:after="0" w:line="154" w:lineRule="exact"/>
        <w:rPr>
          <w:sz w:val="20"/>
          <w:szCs w:val="20"/>
          <w:color w:val="auto"/>
        </w:rPr>
      </w:pPr>
    </w:p>
    <w:p>
      <w:pPr>
        <w:ind w:left="5"/>
        <w:spacing w:after="0"/>
        <w:tabs>
          <w:tab w:leader="none" w:pos="7364" w:val="left"/>
          <w:tab w:leader="none" w:pos="9384" w:val="left"/>
          <w:tab w:leader="none" w:pos="1108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bookmarkStart w:id="18" w:name="page19"/>
    <w:bookmarkEnd w:id="18"/>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35" w:lineRule="exact"/>
        <w:rPr>
          <w:sz w:val="20"/>
          <w:szCs w:val="20"/>
          <w:color w:val="auto"/>
        </w:rPr>
      </w:pPr>
    </w:p>
    <w:p>
      <w:pPr>
        <w:jc w:val="both"/>
        <w:spacing w:after="0" w:line="235" w:lineRule="auto"/>
        <w:rPr>
          <w:sz w:val="20"/>
          <w:szCs w:val="20"/>
          <w:color w:val="auto"/>
        </w:rPr>
      </w:pPr>
      <w:r>
        <w:rPr>
          <w:rFonts w:ascii="Arial" w:cs="Arial" w:eastAsia="Arial" w:hAnsi="Arial"/>
          <w:sz w:val="19"/>
          <w:szCs w:val="19"/>
          <w:color w:val="auto"/>
        </w:rPr>
        <w:t>We caution that a number of important factors, many of which are beyond our control, could cause our actual future results and other future circumstances to differ materially from those expressed in any forward-looking statements. Such factors include, but are not limited to: the risk that the proposed transaction with Microsoft may not be completed in a timely manner or at all, which may adversely affect our business and the price of our common stock; the failure to satisfy the conditions to the consummation of the proposed transaction with Microsoft, including the receipt of certain governmental and regulatory approvals; the occurrence of any event, change, or other circumstance that could give rise to the termination of the Agreement and Plan of Merger, dated as of January 18, 2022, by and among Activision Blizzard, Microsoft, and Anchorage Merger Sub Inc., a wholly owned subsidiary of Microsoft (the “Microsoft Merger Agreement”); the effect of the announcement or pendency of the proposed transaction with Microsoft on our business relationships, operating results, and business generally; risks that the proposed transaction with Microsoft disrupts our current plans and operations and potential difficulties in employee retention as a result of the proposed transaction with Microsoft; risks related to diverting management’s attention from ongoing business operations; the outcome of any legal proceedings that have been or may be instituted against us related to the Microsoft Merger Agreement or the transactions contemplated thereby; restrictions during the pendency of the proposed transaction with Microsoft that may impact our ability to pursue certain business opportunities or strategic transactions; the potential for receipt of alternative acquisition proposals from potential acquirors; the global impact of the ongoing COVID-19 pandemic (including, without limitation, the potential for significant short- and long-term global unemployment and economic weakness and a resulting impact on global discretionary spending; potential strain on the retailers, distributors, and manufacturers who sell our physical products to customers and the platform providers on whose networks and consoles certain of our games are available; effects on our ability to release our content in a timely manner and with effective quality control; effects on our ability to prevent cybersecurity incidents while our workforce is disbursed; effects on the operations of our professional esports leagues; the impact of large-scale intervention by the Federal Reserve and other central banks around the world, including the impact on interest rates; increased demand for our games due to stay-at-home orders and curtailment of other forms of entertainment, which may not be sustained and may fluctuate as stay-at-home orders are reduced, lifted, and/or reinstated; macroeconomic impacts arising from the long duration of the COVID-19 pandemic, including labor shortages and supply chain disruptions; and volatility in foreign exchange rates); our ability to consistently deliver popular, high-quality titles in a timely manner, which has been made more difficult as a result of the COVID-19 pandemic; our ability to satisfy the expectations of consumers with respect to our brands, games, services, and/or business practices; negative impacts on our business from concerns regarding our workplace; our ability to attract, retain, and motivate skilled personnel; competition; concentration of revenue among a small number of franchises; negative impacts from unionization or attempts to unionize by our workforce; rapid changes in technology and industry standards; increasing importance of revenues derived from digital distribution channels; our ability to manage growth in the scope and complexity of our business; substantial influence of third-party platform providers over our products and costs; success and availability of video game consoles manufactured by third parties, including our ability to predict the consoles that will be most successful in the marketplace and develop commercially-successful products for those consoles; risks associated with the free-to-play business model, including our dependence on a relatively small number of consumers for a significant portion of revenues and profits from any given game; risks and uncertainties of conducting business outside the U.S., including the need for regulatory approval to operate, impacts on our business arising from the current conflict between Russia and Ukraine, the relatively weaker protection for our intellectual property rights, and the impact of cultural differences on consumer preferences; risks associated with the retail sales business model; our ability to realize the expected benefits of our recent restructuring actions; difficulties in integrating acquired businesses or otherwise realizing the anticipated benefits of strategic transactions; the seasonality in the sale of our products; fluctuation in our recurring business; risks relating to behavior of our distributors, retailers, development, and licensing partners, or other affiliated third parties that may harm our brands or business operations; our reliance on tools and technologies owned by third parties; risks associated with our use of open source software; risks associated with undisclosed content or features that may result in consumers’ refusal to buy or retailers’ refusal to sell our products; risks associated with objectionable consumer- or other third-party-created content; outages, disruptions or degradations in our services, products, and/or technological infrastructure; data breaches, fraudulent activity, and other cybersecurity risks; significant disruption during our live events; risks related to the impacts of catastrophic events; climate change; provisions in our corporate documents that may make it more difficult for any person to acquire control of our company; ongoing legal proceedings</w:t>
      </w:r>
    </w:p>
    <w:p>
      <w:pPr>
        <w:spacing w:after="0" w:line="182"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9" w:name="page20"/>
    <w:bookmarkEnd w:id="19"/>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35"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related to workplace concerns and otherwise, including the impact of the complaint filed in 2021 by the California Department of Fair Employment and Housing alleging violations of the California Fair Employment and Housing Act and the California Equal Pay Act and separate investigations and complaints by other parties and regulators related to certain employment practices and related disclosures; successful implementation of the requirements of the court-approved consent decree with the Equal Employment Opportunity Commission (“EEOC”); intellectual property claims; increasing regulation in key territories; regulation relating to the Internet, including potential harm from laws impacting “net neutrality”; regulation concerning data privacy, including China’s recently passed Personal Information Protection Law; scrutiny regarding the appropriateness of our games’ content, including ratings assigned by third parties; changes in tax rates and/or tax laws or exposure to additional tax liabilities; fluctuations in currency exchange rates; impacts of changes in financial accounting standards; insolvency or business failure of any of our business partners, which has been magnified as a result of the COVID-19 pandemic; risks associated with our reliance on discretionary spending; and the other factors included in “Risk Factors” included in Part I, Item 1A of our Annual Report on Form 10-K for the year ended December 31, 2021, filed with the U.S. Securities and Exchange Commission (“SEC”) on February 25, 2022 (our “2021 10-K”).</w:t>
      </w:r>
    </w:p>
    <w:p>
      <w:pPr>
        <w:spacing w:after="0" w:line="169"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20" w:name="page21"/>
    <w:bookmarkEnd w:id="20"/>
    <w:p>
      <w:pPr>
        <w:ind w:left="5"/>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20" w:lineRule="exact"/>
        <w:rPr>
          <w:sz w:val="20"/>
          <w:szCs w:val="20"/>
          <w:color w:val="auto"/>
        </w:rPr>
      </w:pPr>
    </w:p>
    <w:p>
      <w:pPr>
        <w:ind w:left="5"/>
        <w:spacing w:after="0"/>
        <w:tabs>
          <w:tab w:leader="none" w:pos="3144" w:val="left"/>
        </w:tabs>
        <w:rPr>
          <w:sz w:val="20"/>
          <w:szCs w:val="20"/>
          <w:color w:val="auto"/>
        </w:rPr>
      </w:pPr>
      <w:r>
        <w:rPr>
          <w:sz w:val="1"/>
          <w:szCs w:val="1"/>
          <w:color w:val="auto"/>
        </w:rPr>
        <w:drawing>
          <wp:inline distT="0" distB="0" distL="0" distR="0">
            <wp:extent cx="445135" cy="15113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45135" cy="151130"/>
                    </a:xfrm>
                    <a:prstGeom prst="rect">
                      <a:avLst/>
                    </a:prstGeom>
                    <a:noFill/>
                    <a:ln>
                      <a:noFill/>
                    </a:ln>
                  </pic:spPr>
                </pic:pic>
              </a:graphicData>
            </a:graphic>
          </wp:inline>
        </w:drawing>
      </w:r>
      <w:r>
        <w:rPr>
          <w:rFonts w:ascii="Arial" w:cs="Arial" w:eastAsia="Arial" w:hAnsi="Arial"/>
          <w:sz w:val="31"/>
          <w:szCs w:val="31"/>
          <w:b w:val="1"/>
          <w:bCs w:val="1"/>
          <w:color w:val="125288"/>
        </w:rPr>
        <w:t xml:space="preserve"> PROPOSAL 1</w:t>
      </w:r>
      <w:r>
        <w:rPr>
          <w:sz w:val="20"/>
          <w:szCs w:val="20"/>
          <w:color w:val="auto"/>
        </w:rPr>
        <w:tab/>
      </w:r>
      <w:r>
        <w:rPr>
          <w:rFonts w:ascii="Arial" w:cs="Arial" w:eastAsia="Arial" w:hAnsi="Arial"/>
          <w:sz w:val="30"/>
          <w:szCs w:val="30"/>
          <w:b w:val="1"/>
          <w:bCs w:val="1"/>
          <w:color w:val="125288"/>
        </w:rPr>
        <w:t>ELECTION OF DIRECTORS</w:t>
      </w:r>
    </w:p>
    <w:p>
      <w:pPr>
        <w:spacing w:after="0" w:line="311" w:lineRule="exact"/>
        <w:rPr>
          <w:sz w:val="20"/>
          <w:szCs w:val="20"/>
          <w:color w:val="auto"/>
        </w:rPr>
      </w:pPr>
    </w:p>
    <w:p>
      <w:pPr>
        <w:ind w:left="5"/>
        <w:spacing w:after="0"/>
        <w:rPr>
          <w:sz w:val="20"/>
          <w:szCs w:val="20"/>
          <w:color w:val="auto"/>
        </w:rPr>
      </w:pPr>
      <w:r>
        <w:rPr>
          <w:rFonts w:ascii="Arial" w:cs="Arial" w:eastAsia="Arial" w:hAnsi="Arial"/>
          <w:sz w:val="26"/>
          <w:szCs w:val="26"/>
          <w:b w:val="1"/>
          <w:bCs w:val="1"/>
          <w:color w:val="auto"/>
        </w:rPr>
        <w:t>GENERAL</w:t>
      </w:r>
    </w:p>
    <w:p>
      <w:pPr>
        <w:spacing w:after="0" w:line="309" w:lineRule="exact"/>
        <w:rPr>
          <w:sz w:val="20"/>
          <w:szCs w:val="20"/>
          <w:color w:val="auto"/>
        </w:rPr>
      </w:pPr>
    </w:p>
    <w:p>
      <w:pPr>
        <w:jc w:val="both"/>
        <w:ind w:left="5"/>
        <w:spacing w:after="0" w:line="238" w:lineRule="auto"/>
        <w:rPr>
          <w:sz w:val="20"/>
          <w:szCs w:val="20"/>
          <w:color w:val="auto"/>
        </w:rPr>
      </w:pPr>
      <w:r>
        <w:rPr>
          <w:rFonts w:ascii="Arial" w:cs="Arial" w:eastAsia="Arial" w:hAnsi="Arial"/>
          <w:sz w:val="19"/>
          <w:szCs w:val="19"/>
          <w:color w:val="auto"/>
        </w:rPr>
        <w:t>Our shareholders are being asked to elect ten directors at the Annual Meeting. Those elected will serve for a one-year term and until their respective successors are duly elected or appointed and qualified or until their earlier death, resignation, or removal. Unless shareholders instruct otherwise, proxies solicited by this proxy statement will be voted for the election of the ten nominees. However, if any nominee becomes unable to serve or, for good cause, will not serve as a director at the Annual Meeting, the proxy may be voted for a substitute designated by our Board.</w:t>
      </w:r>
    </w:p>
    <w:p>
      <w:pPr>
        <w:spacing w:after="0" w:line="366" w:lineRule="exact"/>
        <w:rPr>
          <w:sz w:val="20"/>
          <w:szCs w:val="20"/>
          <w:color w:val="auto"/>
        </w:rPr>
      </w:pPr>
    </w:p>
    <w:p>
      <w:pPr>
        <w:ind w:left="5"/>
        <w:spacing w:after="0"/>
        <w:rPr>
          <w:sz w:val="20"/>
          <w:szCs w:val="20"/>
          <w:color w:val="auto"/>
        </w:rPr>
      </w:pPr>
      <w:r>
        <w:rPr>
          <w:rFonts w:ascii="Arial" w:cs="Arial" w:eastAsia="Arial" w:hAnsi="Arial"/>
          <w:sz w:val="26"/>
          <w:szCs w:val="26"/>
          <w:b w:val="1"/>
          <w:bCs w:val="1"/>
          <w:color w:val="auto"/>
        </w:rPr>
        <w:t>HOW WE IDENTIFY CANDIDATES FOR OUR BOARD</w:t>
      </w:r>
    </w:p>
    <w:p>
      <w:pPr>
        <w:spacing w:after="0" w:line="283" w:lineRule="exact"/>
        <w:rPr>
          <w:sz w:val="20"/>
          <w:szCs w:val="20"/>
          <w:color w:val="auto"/>
        </w:rPr>
      </w:pPr>
    </w:p>
    <w:p>
      <w:pPr>
        <w:ind w:left="5"/>
        <w:spacing w:after="0"/>
        <w:rPr>
          <w:sz w:val="20"/>
          <w:szCs w:val="20"/>
          <w:color w:val="auto"/>
        </w:rPr>
      </w:pPr>
      <w:r>
        <w:rPr>
          <w:rFonts w:ascii="Arial" w:cs="Arial" w:eastAsia="Arial" w:hAnsi="Arial"/>
          <w:sz w:val="24"/>
          <w:szCs w:val="24"/>
          <w:b w:val="1"/>
          <w:bCs w:val="1"/>
          <w:color w:val="auto"/>
        </w:rPr>
        <w:t>Nominating and Corporate Governance Committee Process</w:t>
      </w:r>
    </w:p>
    <w:p>
      <w:pPr>
        <w:spacing w:after="0" w:line="142" w:lineRule="exact"/>
        <w:rPr>
          <w:sz w:val="20"/>
          <w:szCs w:val="20"/>
          <w:color w:val="auto"/>
        </w:rPr>
      </w:pPr>
    </w:p>
    <w:p>
      <w:pPr>
        <w:jc w:val="both"/>
        <w:ind w:left="5"/>
        <w:spacing w:after="0" w:line="238" w:lineRule="auto"/>
        <w:rPr>
          <w:sz w:val="20"/>
          <w:szCs w:val="20"/>
          <w:color w:val="auto"/>
        </w:rPr>
      </w:pPr>
      <w:r>
        <w:rPr>
          <w:rFonts w:ascii="Arial" w:cs="Arial" w:eastAsia="Arial" w:hAnsi="Arial"/>
          <w:sz w:val="19"/>
          <w:szCs w:val="19"/>
          <w:color w:val="auto"/>
        </w:rPr>
        <w:t>The Nominating and Corporate Governance Committee identifies and evaluates potential candidates to serve on our Board. The committee may consider candidates suggested by its members, other directors, senior management, and, as described immediately below, our shareholders. In addition, the Nominating and Corporate Governance Committee may, at the Company’s expense, retain search firms, consultants, and other advisors to identify, screen, or evaluate candidates.</w:t>
      </w:r>
    </w:p>
    <w:p>
      <w:pPr>
        <w:spacing w:after="0" w:line="263" w:lineRule="exact"/>
        <w:rPr>
          <w:sz w:val="20"/>
          <w:szCs w:val="20"/>
          <w:color w:val="auto"/>
        </w:rPr>
      </w:pPr>
    </w:p>
    <w:p>
      <w:pPr>
        <w:jc w:val="both"/>
        <w:ind w:left="5"/>
        <w:spacing w:after="0" w:line="236" w:lineRule="auto"/>
        <w:rPr>
          <w:sz w:val="20"/>
          <w:szCs w:val="20"/>
          <w:color w:val="auto"/>
        </w:rPr>
      </w:pPr>
      <w:r>
        <w:rPr>
          <w:rFonts w:ascii="Arial" w:cs="Arial" w:eastAsia="Arial" w:hAnsi="Arial"/>
          <w:sz w:val="19"/>
          <w:szCs w:val="19"/>
          <w:color w:val="auto"/>
        </w:rPr>
        <w:t>This year’s nominees include two new persons. Ms. Meservey joined our Board in April 2022 and is standing for re-election by our shareholders for the first time at the Annual Meeting. In addition, our Board has nominated Ms. Carr to stand for election at the Annual Meeting. Potential candidates for both of these nominations were recommended by a third-party search firm, as well as members of the Board. Members of the Nominating and Corporate Governance Committee considered multiple candidates so recommended, including Mses. Carr and Meservey, both of whom were recommended by members of our Board and the third-party search firm. Each potential candidate was evaluated based on the established criteria for persons to be nominated, including the perceived needs of our Board at the time, as described below. The Nominating and Corporate Governance Committee determined that Mses. Carr and Meservey both met these criteria and, further, that they were the best qualified of the potential candidates considered for nomination to join our Board. The nomination of each was recommended by the Nominating and Corporate Governance Committee and approved by our Board.</w:t>
      </w:r>
    </w:p>
    <w:p>
      <w:pPr>
        <w:spacing w:after="0" w:line="239" w:lineRule="exact"/>
        <w:rPr>
          <w:sz w:val="20"/>
          <w:szCs w:val="20"/>
          <w:color w:val="auto"/>
        </w:rPr>
      </w:pPr>
    </w:p>
    <w:p>
      <w:pPr>
        <w:ind w:left="5"/>
        <w:spacing w:after="0"/>
        <w:rPr>
          <w:sz w:val="20"/>
          <w:szCs w:val="20"/>
          <w:color w:val="auto"/>
        </w:rPr>
      </w:pPr>
      <w:r>
        <w:rPr>
          <w:rFonts w:ascii="Arial" w:cs="Arial" w:eastAsia="Arial" w:hAnsi="Arial"/>
          <w:sz w:val="24"/>
          <w:szCs w:val="24"/>
          <w:b w:val="1"/>
          <w:bCs w:val="1"/>
          <w:color w:val="auto"/>
        </w:rPr>
        <w:t>How Shareholders Can Recommend Director Candidates</w:t>
      </w:r>
    </w:p>
    <w:p>
      <w:pPr>
        <w:spacing w:after="0" w:line="137" w:lineRule="exact"/>
        <w:rPr>
          <w:sz w:val="20"/>
          <w:szCs w:val="20"/>
          <w:color w:val="auto"/>
        </w:rPr>
      </w:pPr>
    </w:p>
    <w:p>
      <w:pPr>
        <w:ind w:left="5"/>
        <w:spacing w:after="0"/>
        <w:rPr>
          <w:sz w:val="20"/>
          <w:szCs w:val="20"/>
          <w:color w:val="auto"/>
        </w:rPr>
      </w:pPr>
      <w:r>
        <w:rPr>
          <w:rFonts w:ascii="Arial" w:cs="Arial" w:eastAsia="Arial" w:hAnsi="Arial"/>
          <w:sz w:val="19"/>
          <w:szCs w:val="19"/>
          <w:color w:val="auto"/>
        </w:rPr>
        <w:t>Our shareholders may recommend independent director nominees directly to the Nominating and Corporate Governance Committee.</w:t>
      </w:r>
    </w:p>
    <w:p>
      <w:pPr>
        <w:ind w:left="5"/>
        <w:spacing w:after="0"/>
        <w:rPr>
          <w:sz w:val="20"/>
          <w:szCs w:val="20"/>
          <w:color w:val="auto"/>
        </w:rPr>
      </w:pPr>
      <w:r>
        <w:rPr>
          <w:rFonts w:ascii="Arial" w:cs="Arial" w:eastAsia="Arial" w:hAnsi="Arial"/>
          <w:sz w:val="19"/>
          <w:szCs w:val="19"/>
          <w:color w:val="auto"/>
        </w:rPr>
        <w:t>Shareholders should submit their recommendations in writing and include the following information:</w:t>
      </w:r>
    </w:p>
    <w:p>
      <w:pPr>
        <w:spacing w:after="0" w:line="138" w:lineRule="exact"/>
        <w:rPr>
          <w:sz w:val="20"/>
          <w:szCs w:val="20"/>
          <w:color w:val="auto"/>
        </w:rPr>
      </w:pPr>
    </w:p>
    <w:p>
      <w:pPr>
        <w:ind w:left="145" w:right="40" w:hanging="145"/>
        <w:spacing w:after="0" w:line="245" w:lineRule="auto"/>
        <w:tabs>
          <w:tab w:leader="none" w:pos="145" w:val="left"/>
        </w:tabs>
        <w:numPr>
          <w:ilvl w:val="0"/>
          <w:numId w:val="8"/>
        </w:numPr>
        <w:rPr>
          <w:rFonts w:ascii="Arial" w:cs="Arial" w:eastAsia="Arial" w:hAnsi="Arial"/>
          <w:sz w:val="19"/>
          <w:szCs w:val="19"/>
          <w:color w:val="125288"/>
        </w:rPr>
      </w:pPr>
      <w:r>
        <w:rPr>
          <w:rFonts w:ascii="Arial" w:cs="Arial" w:eastAsia="Arial" w:hAnsi="Arial"/>
          <w:sz w:val="19"/>
          <w:szCs w:val="19"/>
          <w:color w:val="auto"/>
        </w:rPr>
        <w:t>the name, address, phone number, and email address of the shareholder and evidence of the shareholder’s ownership of our Common Stock, including the number of shares beneficially owned by such person and the length of time of such ownership;</w:t>
      </w:r>
    </w:p>
    <w:p>
      <w:pPr>
        <w:spacing w:after="0" w:line="124" w:lineRule="exact"/>
        <w:rPr>
          <w:rFonts w:ascii="Arial" w:cs="Arial" w:eastAsia="Arial" w:hAnsi="Arial"/>
          <w:sz w:val="19"/>
          <w:szCs w:val="19"/>
          <w:color w:val="125288"/>
        </w:rPr>
      </w:pPr>
    </w:p>
    <w:p>
      <w:pPr>
        <w:jc w:val="both"/>
        <w:ind w:left="145" w:right="40" w:hanging="145"/>
        <w:spacing w:after="0"/>
        <w:tabs>
          <w:tab w:leader="none" w:pos="145" w:val="left"/>
        </w:tabs>
        <w:numPr>
          <w:ilvl w:val="0"/>
          <w:numId w:val="8"/>
        </w:numPr>
        <w:rPr>
          <w:rFonts w:ascii="Arial" w:cs="Arial" w:eastAsia="Arial" w:hAnsi="Arial"/>
          <w:sz w:val="19"/>
          <w:szCs w:val="19"/>
          <w:color w:val="125288"/>
        </w:rPr>
      </w:pPr>
      <w:r>
        <w:rPr>
          <w:rFonts w:ascii="Arial" w:cs="Arial" w:eastAsia="Arial" w:hAnsi="Arial"/>
          <w:sz w:val="19"/>
          <w:szCs w:val="19"/>
          <w:color w:val="auto"/>
        </w:rPr>
        <w:t>the name of the director candidate, the candidate’s address, phone number, and email address, the candidate’s resume or a list of the individual’s qualifications to be a director of Activision Blizzard, and the candidate’s consent to be named a director, if nominated, and to serve as a director, if elected; and</w:t>
      </w:r>
    </w:p>
    <w:p>
      <w:pPr>
        <w:spacing w:after="0" w:line="129"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8"/>
        </w:numPr>
        <w:rPr>
          <w:rFonts w:ascii="Arial" w:cs="Arial" w:eastAsia="Arial" w:hAnsi="Arial"/>
          <w:sz w:val="19"/>
          <w:szCs w:val="19"/>
          <w:color w:val="125288"/>
        </w:rPr>
      </w:pPr>
      <w:r>
        <w:rPr>
          <w:rFonts w:ascii="Arial" w:cs="Arial" w:eastAsia="Arial" w:hAnsi="Arial"/>
          <w:sz w:val="19"/>
          <w:szCs w:val="19"/>
          <w:color w:val="auto"/>
        </w:rPr>
        <w:t>a description of any agreements, arrangements, understandings, or relationships between the shareholder and the director candidate and any other persons (by name), pursuant to which the recommendation is made.</w:t>
      </w:r>
    </w:p>
    <w:p>
      <w:pPr>
        <w:spacing w:after="0" w:line="125" w:lineRule="exact"/>
        <w:rPr>
          <w:sz w:val="20"/>
          <w:szCs w:val="20"/>
          <w:color w:val="auto"/>
        </w:rPr>
      </w:pPr>
    </w:p>
    <w:p>
      <w:pPr>
        <w:ind w:left="5" w:right="20"/>
        <w:spacing w:after="0" w:line="245" w:lineRule="auto"/>
        <w:rPr>
          <w:sz w:val="20"/>
          <w:szCs w:val="20"/>
          <w:color w:val="auto"/>
        </w:rPr>
      </w:pPr>
      <w:r>
        <w:rPr>
          <w:rFonts w:ascii="Arial" w:cs="Arial" w:eastAsia="Arial" w:hAnsi="Arial"/>
          <w:sz w:val="19"/>
          <w:szCs w:val="19"/>
          <w:color w:val="auto"/>
        </w:rPr>
        <w:t>In addition, shareholders may submit nominees directly to our shareholders for election at an annual meeting. For more information, please see “Director Nominations and Other Shareholder Proposals for Our 2023 Annual Meeting” below.</w:t>
      </w:r>
    </w:p>
    <w:p>
      <w:pPr>
        <w:spacing w:after="0" w:line="125" w:lineRule="exact"/>
        <w:rPr>
          <w:sz w:val="20"/>
          <w:szCs w:val="20"/>
          <w:color w:val="auto"/>
        </w:rPr>
      </w:pPr>
    </w:p>
    <w:p>
      <w:pPr>
        <w:ind w:left="5"/>
        <w:spacing w:after="0"/>
        <w:rPr>
          <w:sz w:val="20"/>
          <w:szCs w:val="20"/>
          <w:color w:val="auto"/>
        </w:rPr>
      </w:pPr>
      <w:r>
        <w:rPr>
          <w:rFonts w:ascii="Arial" w:cs="Arial" w:eastAsia="Arial" w:hAnsi="Arial"/>
          <w:sz w:val="19"/>
          <w:szCs w:val="19"/>
          <w:color w:val="auto"/>
        </w:rPr>
        <w:t>Candidates recommended by shareholders are evaluated using the same criteria as are applied for all other candidates.</w:t>
      </w:r>
    </w:p>
    <w:p>
      <w:pPr>
        <w:spacing w:after="0" w:line="258" w:lineRule="exact"/>
        <w:rPr>
          <w:sz w:val="20"/>
          <w:szCs w:val="20"/>
          <w:color w:val="auto"/>
        </w:rPr>
      </w:pPr>
    </w:p>
    <w:p>
      <w:pPr>
        <w:ind w:left="5"/>
        <w:spacing w:after="0"/>
        <w:tabs>
          <w:tab w:leader="none" w:pos="7364" w:val="left"/>
          <w:tab w:leader="none" w:pos="9384" w:val="left"/>
          <w:tab w:leader="none" w:pos="1108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bookmarkStart w:id="21" w:name="page22"/>
    <w:bookmarkEnd w:id="21"/>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Characteristics of Our Director Nominees</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125288"/>
        </w:rPr>
        <w:t>Experience and Skills</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We believe an effective board of directors has members with a diverse set of perspectives, backgrounds, and experiences that provide the collective skills, expertise, and independence necessary to promote independent oversight. As a company with a global customer base in the interactive entertainment industry, we consider leadership abilities gained from senior roles as executive officers or board members of large, global corporations in the media, entertainment, or technology fields to be particularly relevant to our business. Typically, the skills we consider critical are the following:</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125288"/>
        </w:rPr>
        <w:t>Experience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43815</wp:posOffset>
            </wp:positionV>
            <wp:extent cx="7148830"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720" w:type="dxa"/>
            <w:vAlign w:val="bottom"/>
          </w:tcPr>
          <w:p>
            <w:pPr>
              <w:ind w:left="440"/>
              <w:spacing w:after="0"/>
              <w:rPr>
                <w:sz w:val="20"/>
                <w:szCs w:val="20"/>
                <w:color w:val="auto"/>
              </w:rPr>
            </w:pPr>
            <w:r>
              <w:rPr>
                <w:rFonts w:ascii="Arial" w:cs="Arial" w:eastAsia="Arial" w:hAnsi="Arial"/>
                <w:sz w:val="17"/>
                <w:szCs w:val="17"/>
                <w:color w:val="auto"/>
              </w:rPr>
              <w:t>Gaming Industry Expertise</w:t>
            </w:r>
          </w:p>
        </w:tc>
        <w:tc>
          <w:tcPr>
            <w:tcW w:w="3780" w:type="dxa"/>
            <w:vAlign w:val="bottom"/>
          </w:tcPr>
          <w:p>
            <w:pPr>
              <w:ind w:left="560"/>
              <w:spacing w:after="0"/>
              <w:rPr>
                <w:sz w:val="20"/>
                <w:szCs w:val="20"/>
                <w:color w:val="auto"/>
              </w:rPr>
            </w:pPr>
            <w:r>
              <w:rPr>
                <w:rFonts w:ascii="Arial" w:cs="Arial" w:eastAsia="Arial" w:hAnsi="Arial"/>
                <w:sz w:val="17"/>
                <w:szCs w:val="17"/>
                <w:color w:val="auto"/>
              </w:rPr>
              <w:t>Educational Expertise</w:t>
            </w:r>
          </w:p>
        </w:tc>
        <w:tc>
          <w:tcPr>
            <w:tcW w:w="3760" w:type="dxa"/>
            <w:vAlign w:val="bottom"/>
          </w:tcPr>
          <w:p>
            <w:pPr>
              <w:ind w:left="560"/>
              <w:spacing w:after="0"/>
              <w:rPr>
                <w:sz w:val="20"/>
                <w:szCs w:val="20"/>
                <w:color w:val="auto"/>
              </w:rPr>
            </w:pPr>
            <w:r>
              <w:rPr>
                <w:rFonts w:ascii="Arial" w:cs="Arial" w:eastAsia="Arial" w:hAnsi="Arial"/>
                <w:sz w:val="17"/>
                <w:szCs w:val="17"/>
                <w:color w:val="auto"/>
              </w:rPr>
              <w:t>Audit/Accounting Expertise</w:t>
            </w:r>
          </w:p>
        </w:tc>
      </w:tr>
      <w:tr>
        <w:trPr>
          <w:trHeight w:val="49"/>
        </w:trPr>
        <w:tc>
          <w:tcPr>
            <w:tcW w:w="3720" w:type="dxa"/>
            <w:vAlign w:val="bottom"/>
            <w:tcBorders>
              <w:bottom w:val="single" w:sz="8" w:color="125288"/>
            </w:tcBorders>
          </w:tcPr>
          <w:p>
            <w:pPr>
              <w:spacing w:after="0"/>
              <w:rPr>
                <w:sz w:val="4"/>
                <w:szCs w:val="4"/>
                <w:color w:val="auto"/>
              </w:rPr>
            </w:pPr>
          </w:p>
        </w:tc>
        <w:tc>
          <w:tcPr>
            <w:tcW w:w="3780" w:type="dxa"/>
            <w:vAlign w:val="bottom"/>
            <w:tcBorders>
              <w:bottom w:val="single" w:sz="8" w:color="125288"/>
            </w:tcBorders>
          </w:tcPr>
          <w:p>
            <w:pPr>
              <w:spacing w:after="0"/>
              <w:rPr>
                <w:sz w:val="4"/>
                <w:szCs w:val="4"/>
                <w:color w:val="auto"/>
              </w:rPr>
            </w:pPr>
          </w:p>
        </w:tc>
        <w:tc>
          <w:tcPr>
            <w:tcW w:w="3760" w:type="dxa"/>
            <w:vAlign w:val="bottom"/>
            <w:tcBorders>
              <w:bottom w:val="single" w:sz="8" w:color="125288"/>
            </w:tcBorders>
          </w:tcPr>
          <w:p>
            <w:pPr>
              <w:spacing w:after="0"/>
              <w:rPr>
                <w:sz w:val="4"/>
                <w:szCs w:val="4"/>
                <w:color w:val="auto"/>
              </w:rPr>
            </w:pPr>
          </w:p>
        </w:tc>
      </w:tr>
      <w:tr>
        <w:trPr>
          <w:trHeight w:val="228"/>
        </w:trPr>
        <w:tc>
          <w:tcPr>
            <w:tcW w:w="3720" w:type="dxa"/>
            <w:vAlign w:val="bottom"/>
          </w:tcPr>
          <w:p>
            <w:pPr>
              <w:ind w:left="440"/>
              <w:spacing w:after="0"/>
              <w:rPr>
                <w:sz w:val="20"/>
                <w:szCs w:val="20"/>
                <w:color w:val="auto"/>
              </w:rPr>
            </w:pPr>
            <w:r>
              <w:rPr>
                <w:rFonts w:ascii="Arial" w:cs="Arial" w:eastAsia="Arial" w:hAnsi="Arial"/>
                <w:sz w:val="17"/>
                <w:szCs w:val="17"/>
                <w:color w:val="auto"/>
              </w:rPr>
              <w:t>Technology/Digital Industry Expertise</w:t>
            </w:r>
          </w:p>
        </w:tc>
        <w:tc>
          <w:tcPr>
            <w:tcW w:w="3780" w:type="dxa"/>
            <w:vAlign w:val="bottom"/>
          </w:tcPr>
          <w:p>
            <w:pPr>
              <w:ind w:left="560"/>
              <w:spacing w:after="0"/>
              <w:rPr>
                <w:sz w:val="20"/>
                <w:szCs w:val="20"/>
                <w:color w:val="auto"/>
              </w:rPr>
            </w:pPr>
            <w:r>
              <w:rPr>
                <w:rFonts w:ascii="Arial" w:cs="Arial" w:eastAsia="Arial" w:hAnsi="Arial"/>
                <w:sz w:val="17"/>
                <w:szCs w:val="17"/>
                <w:color w:val="auto"/>
              </w:rPr>
              <w:t>International Operations Experience</w:t>
            </w:r>
          </w:p>
        </w:tc>
        <w:tc>
          <w:tcPr>
            <w:tcW w:w="3760" w:type="dxa"/>
            <w:vAlign w:val="bottom"/>
          </w:tcPr>
          <w:p>
            <w:pPr>
              <w:ind w:left="560"/>
              <w:spacing w:after="0"/>
              <w:rPr>
                <w:sz w:val="20"/>
                <w:szCs w:val="20"/>
                <w:color w:val="auto"/>
              </w:rPr>
            </w:pPr>
            <w:r>
              <w:rPr>
                <w:rFonts w:ascii="Arial" w:cs="Arial" w:eastAsia="Arial" w:hAnsi="Arial"/>
                <w:sz w:val="17"/>
                <w:szCs w:val="17"/>
                <w:color w:val="auto"/>
              </w:rPr>
              <w:t>Public Company Board Experience</w:t>
            </w:r>
          </w:p>
        </w:tc>
      </w:tr>
      <w:tr>
        <w:trPr>
          <w:trHeight w:val="49"/>
        </w:trPr>
        <w:tc>
          <w:tcPr>
            <w:tcW w:w="3720" w:type="dxa"/>
            <w:vAlign w:val="bottom"/>
            <w:tcBorders>
              <w:bottom w:val="single" w:sz="8" w:color="125288"/>
            </w:tcBorders>
          </w:tcPr>
          <w:p>
            <w:pPr>
              <w:spacing w:after="0"/>
              <w:rPr>
                <w:sz w:val="4"/>
                <w:szCs w:val="4"/>
                <w:color w:val="auto"/>
              </w:rPr>
            </w:pPr>
          </w:p>
        </w:tc>
        <w:tc>
          <w:tcPr>
            <w:tcW w:w="3780" w:type="dxa"/>
            <w:vAlign w:val="bottom"/>
            <w:tcBorders>
              <w:bottom w:val="single" w:sz="8" w:color="125288"/>
            </w:tcBorders>
          </w:tcPr>
          <w:p>
            <w:pPr>
              <w:spacing w:after="0"/>
              <w:rPr>
                <w:sz w:val="4"/>
                <w:szCs w:val="4"/>
                <w:color w:val="auto"/>
              </w:rPr>
            </w:pPr>
          </w:p>
        </w:tc>
        <w:tc>
          <w:tcPr>
            <w:tcW w:w="3760" w:type="dxa"/>
            <w:vAlign w:val="bottom"/>
            <w:tcBorders>
              <w:bottom w:val="single" w:sz="8" w:color="125288"/>
            </w:tcBorders>
          </w:tcPr>
          <w:p>
            <w:pPr>
              <w:spacing w:after="0"/>
              <w:rPr>
                <w:sz w:val="4"/>
                <w:szCs w:val="4"/>
                <w:color w:val="auto"/>
              </w:rPr>
            </w:pPr>
          </w:p>
        </w:tc>
      </w:tr>
      <w:tr>
        <w:trPr>
          <w:trHeight w:val="228"/>
        </w:trPr>
        <w:tc>
          <w:tcPr>
            <w:tcW w:w="3720" w:type="dxa"/>
            <w:vAlign w:val="bottom"/>
          </w:tcPr>
          <w:p>
            <w:pPr>
              <w:ind w:left="440"/>
              <w:spacing w:after="0"/>
              <w:rPr>
                <w:sz w:val="20"/>
                <w:szCs w:val="20"/>
                <w:color w:val="auto"/>
              </w:rPr>
            </w:pPr>
            <w:r>
              <w:rPr>
                <w:rFonts w:ascii="Arial" w:cs="Arial" w:eastAsia="Arial" w:hAnsi="Arial"/>
                <w:sz w:val="17"/>
                <w:szCs w:val="17"/>
                <w:color w:val="auto"/>
              </w:rPr>
              <w:t>Financial/Capital Allocation Expertise</w:t>
            </w:r>
          </w:p>
        </w:tc>
        <w:tc>
          <w:tcPr>
            <w:tcW w:w="3780" w:type="dxa"/>
            <w:vAlign w:val="bottom"/>
          </w:tcPr>
          <w:p>
            <w:pPr>
              <w:ind w:left="560"/>
              <w:spacing w:after="0"/>
              <w:rPr>
                <w:sz w:val="20"/>
                <w:szCs w:val="20"/>
                <w:color w:val="auto"/>
              </w:rPr>
            </w:pPr>
            <w:r>
              <w:rPr>
                <w:rFonts w:ascii="Arial" w:cs="Arial" w:eastAsia="Arial" w:hAnsi="Arial"/>
                <w:sz w:val="17"/>
                <w:szCs w:val="17"/>
                <w:color w:val="auto"/>
              </w:rPr>
              <w:t>Entertainment Industry Expertise</w:t>
            </w:r>
          </w:p>
        </w:tc>
        <w:tc>
          <w:tcPr>
            <w:tcW w:w="3760" w:type="dxa"/>
            <w:vAlign w:val="bottom"/>
          </w:tcPr>
          <w:p>
            <w:pPr>
              <w:ind w:left="560"/>
              <w:spacing w:after="0"/>
              <w:rPr>
                <w:sz w:val="20"/>
                <w:szCs w:val="20"/>
                <w:color w:val="auto"/>
              </w:rPr>
            </w:pPr>
            <w:r>
              <w:rPr>
                <w:rFonts w:ascii="Arial" w:cs="Arial" w:eastAsia="Arial" w:hAnsi="Arial"/>
                <w:sz w:val="17"/>
                <w:szCs w:val="17"/>
                <w:color w:val="auto"/>
              </w:rPr>
              <w:t>Public Company Executive Experience</w:t>
            </w:r>
          </w:p>
        </w:tc>
      </w:tr>
      <w:tr>
        <w:trPr>
          <w:trHeight w:val="49"/>
        </w:trPr>
        <w:tc>
          <w:tcPr>
            <w:tcW w:w="3720" w:type="dxa"/>
            <w:vAlign w:val="bottom"/>
            <w:tcBorders>
              <w:bottom w:val="single" w:sz="8" w:color="125288"/>
            </w:tcBorders>
          </w:tcPr>
          <w:p>
            <w:pPr>
              <w:spacing w:after="0"/>
              <w:rPr>
                <w:sz w:val="4"/>
                <w:szCs w:val="4"/>
                <w:color w:val="auto"/>
              </w:rPr>
            </w:pPr>
          </w:p>
        </w:tc>
        <w:tc>
          <w:tcPr>
            <w:tcW w:w="3780" w:type="dxa"/>
            <w:vAlign w:val="bottom"/>
            <w:tcBorders>
              <w:bottom w:val="single" w:sz="8" w:color="125288"/>
            </w:tcBorders>
          </w:tcPr>
          <w:p>
            <w:pPr>
              <w:spacing w:after="0"/>
              <w:rPr>
                <w:sz w:val="4"/>
                <w:szCs w:val="4"/>
                <w:color w:val="auto"/>
              </w:rPr>
            </w:pPr>
          </w:p>
        </w:tc>
        <w:tc>
          <w:tcPr>
            <w:tcW w:w="3760" w:type="dxa"/>
            <w:vAlign w:val="bottom"/>
            <w:tcBorders>
              <w:bottom w:val="single" w:sz="8" w:color="125288"/>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-535305</wp:posOffset>
            </wp:positionV>
            <wp:extent cx="98425" cy="984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2487930</wp:posOffset>
            </wp:positionH>
            <wp:positionV relativeFrom="paragraph">
              <wp:posOffset>-535305</wp:posOffset>
            </wp:positionV>
            <wp:extent cx="98425" cy="984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4926330</wp:posOffset>
            </wp:positionH>
            <wp:positionV relativeFrom="paragraph">
              <wp:posOffset>-535305</wp:posOffset>
            </wp:positionV>
            <wp:extent cx="98425" cy="984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57150</wp:posOffset>
            </wp:positionH>
            <wp:positionV relativeFrom="paragraph">
              <wp:posOffset>-346710</wp:posOffset>
            </wp:positionV>
            <wp:extent cx="98425" cy="984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2487930</wp:posOffset>
            </wp:positionH>
            <wp:positionV relativeFrom="paragraph">
              <wp:posOffset>-346710</wp:posOffset>
            </wp:positionV>
            <wp:extent cx="98425" cy="984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4926330</wp:posOffset>
            </wp:positionH>
            <wp:positionV relativeFrom="paragraph">
              <wp:posOffset>-346710</wp:posOffset>
            </wp:positionV>
            <wp:extent cx="98425" cy="984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57150</wp:posOffset>
            </wp:positionH>
            <wp:positionV relativeFrom="paragraph">
              <wp:posOffset>-158115</wp:posOffset>
            </wp:positionV>
            <wp:extent cx="98425" cy="984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2487930</wp:posOffset>
            </wp:positionH>
            <wp:positionV relativeFrom="paragraph">
              <wp:posOffset>-158115</wp:posOffset>
            </wp:positionV>
            <wp:extent cx="98425" cy="984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4926330</wp:posOffset>
            </wp:positionH>
            <wp:positionV relativeFrom="paragraph">
              <wp:posOffset>-158115</wp:posOffset>
            </wp:positionV>
            <wp:extent cx="98425" cy="984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60"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Nominating and Corporate Governance Committee also considers the following attributes: personal and professional integrity; character; business judgment; time availability in light of other commitments; and independence. The committee evaluates all nominees individually to ensure their experience, skills, and other attributes are consistent with the interests of our shareholders and complement our Board’s composition and needs.</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125288"/>
        </w:rPr>
        <w:t>Personal Diversity</w:t>
      </w:r>
    </w:p>
    <w:p>
      <w:pPr>
        <w:spacing w:after="0" w:line="149"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The Nominating and Corporate Governance Committee also takes diversity into account and, to that end, has committed that the pool from which new independent director nominees are chosen will include qualified women and racially/ethnically diverse candidates. The following chart provides diversity information with respect to our director nominees.</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125288"/>
        </w:rPr>
        <w:t>Board Diversity Matrix</w:t>
      </w:r>
    </w:p>
    <w:p>
      <w:pPr>
        <w:spacing w:after="0" w:line="4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i w:val="1"/>
          <w:iCs w:val="1"/>
          <w:color w:val="125288"/>
        </w:rPr>
        <w:t>as of April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43815</wp:posOffset>
            </wp:positionV>
            <wp:extent cx="7148830"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125288"/>
              </w:rPr>
              <w:t>Did Not Disclose</w:t>
            </w:r>
          </w:p>
        </w:tc>
      </w:tr>
      <w:tr>
        <w:trPr>
          <w:trHeight w:val="214"/>
        </w:trPr>
        <w:tc>
          <w:tcPr>
            <w:tcW w:w="508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5"/>
                <w:szCs w:val="15"/>
                <w:b w:val="1"/>
                <w:bCs w:val="1"/>
                <w:color w:val="125288"/>
              </w:rPr>
              <w:t>Female</w:t>
            </w:r>
          </w:p>
        </w:tc>
        <w:tc>
          <w:tcPr>
            <w:tcW w:w="1080" w:type="dxa"/>
            <w:vAlign w:val="bottom"/>
          </w:tcPr>
          <w:p>
            <w:pPr>
              <w:jc w:val="right"/>
              <w:ind w:right="165"/>
              <w:spacing w:after="0"/>
              <w:rPr>
                <w:sz w:val="20"/>
                <w:szCs w:val="20"/>
                <w:color w:val="auto"/>
              </w:rPr>
            </w:pPr>
            <w:r>
              <w:rPr>
                <w:rFonts w:ascii="Arial" w:cs="Arial" w:eastAsia="Arial" w:hAnsi="Arial"/>
                <w:sz w:val="15"/>
                <w:szCs w:val="15"/>
                <w:b w:val="1"/>
                <w:bCs w:val="1"/>
                <w:color w:val="125288"/>
              </w:rPr>
              <w:t>Male</w:t>
            </w:r>
          </w:p>
        </w:tc>
        <w:tc>
          <w:tcPr>
            <w:tcW w:w="1340" w:type="dxa"/>
            <w:vAlign w:val="bottom"/>
          </w:tcPr>
          <w:p>
            <w:pPr>
              <w:jc w:val="right"/>
              <w:ind w:right="177"/>
              <w:spacing w:after="0"/>
              <w:rPr>
                <w:sz w:val="20"/>
                <w:szCs w:val="20"/>
                <w:color w:val="auto"/>
              </w:rPr>
            </w:pPr>
            <w:r>
              <w:rPr>
                <w:rFonts w:ascii="Arial" w:cs="Arial" w:eastAsia="Arial" w:hAnsi="Arial"/>
                <w:sz w:val="15"/>
                <w:szCs w:val="15"/>
                <w:b w:val="1"/>
                <w:bCs w:val="1"/>
                <w:color w:val="125288"/>
              </w:rPr>
              <w:t>Non-Binary</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125288"/>
              </w:rPr>
              <w:t>Gender</w:t>
            </w:r>
          </w:p>
        </w:tc>
      </w:tr>
      <w:tr>
        <w:trPr>
          <w:trHeight w:val="41"/>
        </w:trPr>
        <w:tc>
          <w:tcPr>
            <w:tcW w:w="5080" w:type="dxa"/>
            <w:vAlign w:val="bottom"/>
            <w:tcBorders>
              <w:bottom w:val="single" w:sz="8" w:color="125288"/>
            </w:tcBorders>
          </w:tcPr>
          <w:p>
            <w:pPr>
              <w:spacing w:after="0"/>
              <w:rPr>
                <w:sz w:val="3"/>
                <w:szCs w:val="3"/>
                <w:color w:val="auto"/>
              </w:rPr>
            </w:pPr>
          </w:p>
        </w:tc>
        <w:tc>
          <w:tcPr>
            <w:tcW w:w="2280" w:type="dxa"/>
            <w:vAlign w:val="bottom"/>
            <w:tcBorders>
              <w:bottom w:val="single" w:sz="8" w:color="125288"/>
            </w:tcBorders>
          </w:tcPr>
          <w:p>
            <w:pPr>
              <w:spacing w:after="0"/>
              <w:rPr>
                <w:sz w:val="3"/>
                <w:szCs w:val="3"/>
                <w:color w:val="auto"/>
              </w:rPr>
            </w:pPr>
          </w:p>
        </w:tc>
        <w:tc>
          <w:tcPr>
            <w:tcW w:w="1080" w:type="dxa"/>
            <w:vAlign w:val="bottom"/>
            <w:tcBorders>
              <w:bottom w:val="single" w:sz="8" w:color="125288"/>
            </w:tcBorders>
          </w:tcPr>
          <w:p>
            <w:pPr>
              <w:spacing w:after="0"/>
              <w:rPr>
                <w:sz w:val="3"/>
                <w:szCs w:val="3"/>
                <w:color w:val="auto"/>
              </w:rPr>
            </w:pPr>
          </w:p>
        </w:tc>
        <w:tc>
          <w:tcPr>
            <w:tcW w:w="1340" w:type="dxa"/>
            <w:vAlign w:val="bottom"/>
            <w:tcBorders>
              <w:bottom w:val="single" w:sz="8" w:color="125288"/>
            </w:tcBorders>
          </w:tcPr>
          <w:p>
            <w:pPr>
              <w:spacing w:after="0"/>
              <w:rPr>
                <w:sz w:val="3"/>
                <w:szCs w:val="3"/>
                <w:color w:val="auto"/>
              </w:rPr>
            </w:pPr>
          </w:p>
        </w:tc>
        <w:tc>
          <w:tcPr>
            <w:tcW w:w="1480" w:type="dxa"/>
            <w:vAlign w:val="bottom"/>
            <w:tcBorders>
              <w:bottom w:val="single" w:sz="8" w:color="125288"/>
            </w:tcBorders>
          </w:tcPr>
          <w:p>
            <w:pPr>
              <w:spacing w:after="0"/>
              <w:rPr>
                <w:sz w:val="3"/>
                <w:szCs w:val="3"/>
                <w:color w:val="auto"/>
              </w:rPr>
            </w:pPr>
          </w:p>
        </w:tc>
      </w:tr>
      <w:tr>
        <w:trPr>
          <w:trHeight w:val="276"/>
        </w:trPr>
        <w:tc>
          <w:tcPr>
            <w:tcW w:w="5080" w:type="dxa"/>
            <w:vAlign w:val="bottom"/>
          </w:tcPr>
          <w:p>
            <w:pPr>
              <w:ind w:left="40"/>
              <w:spacing w:after="0"/>
              <w:rPr>
                <w:sz w:val="20"/>
                <w:szCs w:val="20"/>
                <w:color w:val="auto"/>
              </w:rPr>
            </w:pPr>
            <w:r>
              <w:rPr>
                <w:rFonts w:ascii="Arial" w:cs="Arial" w:eastAsia="Arial" w:hAnsi="Arial"/>
                <w:sz w:val="17"/>
                <w:szCs w:val="17"/>
                <w:b w:val="1"/>
                <w:bCs w:val="1"/>
                <w:color w:val="auto"/>
              </w:rPr>
              <w:t>Part I: Gender Identity</w:t>
            </w:r>
          </w:p>
        </w:tc>
        <w:tc>
          <w:tcPr>
            <w:tcW w:w="2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85"/>
        </w:trPr>
        <w:tc>
          <w:tcPr>
            <w:tcW w:w="5080" w:type="dxa"/>
            <w:vAlign w:val="bottom"/>
            <w:tcBorders>
              <w:bottom w:val="single" w:sz="8" w:color="125288"/>
            </w:tcBorders>
          </w:tcPr>
          <w:p>
            <w:pPr>
              <w:spacing w:after="0"/>
              <w:rPr>
                <w:sz w:val="7"/>
                <w:szCs w:val="7"/>
                <w:color w:val="auto"/>
              </w:rPr>
            </w:pPr>
          </w:p>
        </w:tc>
        <w:tc>
          <w:tcPr>
            <w:tcW w:w="2280" w:type="dxa"/>
            <w:vAlign w:val="bottom"/>
            <w:tcBorders>
              <w:bottom w:val="single" w:sz="8" w:color="125288"/>
            </w:tcBorders>
          </w:tcPr>
          <w:p>
            <w:pPr>
              <w:spacing w:after="0"/>
              <w:rPr>
                <w:sz w:val="7"/>
                <w:szCs w:val="7"/>
                <w:color w:val="auto"/>
              </w:rPr>
            </w:pPr>
          </w:p>
        </w:tc>
        <w:tc>
          <w:tcPr>
            <w:tcW w:w="1080" w:type="dxa"/>
            <w:vAlign w:val="bottom"/>
            <w:tcBorders>
              <w:bottom w:val="single" w:sz="8" w:color="125288"/>
            </w:tcBorders>
          </w:tcPr>
          <w:p>
            <w:pPr>
              <w:spacing w:after="0"/>
              <w:rPr>
                <w:sz w:val="7"/>
                <w:szCs w:val="7"/>
                <w:color w:val="auto"/>
              </w:rPr>
            </w:pPr>
          </w:p>
        </w:tc>
        <w:tc>
          <w:tcPr>
            <w:tcW w:w="1340" w:type="dxa"/>
            <w:vAlign w:val="bottom"/>
            <w:tcBorders>
              <w:bottom w:val="single" w:sz="8" w:color="125288"/>
            </w:tcBorders>
          </w:tcPr>
          <w:p>
            <w:pPr>
              <w:spacing w:after="0"/>
              <w:rPr>
                <w:sz w:val="7"/>
                <w:szCs w:val="7"/>
                <w:color w:val="auto"/>
              </w:rPr>
            </w:pPr>
          </w:p>
        </w:tc>
        <w:tc>
          <w:tcPr>
            <w:tcW w:w="1480" w:type="dxa"/>
            <w:vAlign w:val="bottom"/>
            <w:tcBorders>
              <w:bottom w:val="single" w:sz="8" w:color="125288"/>
            </w:tcBorders>
          </w:tcPr>
          <w:p>
            <w:pPr>
              <w:spacing w:after="0"/>
              <w:rPr>
                <w:sz w:val="7"/>
                <w:szCs w:val="7"/>
                <w:color w:val="auto"/>
              </w:rPr>
            </w:pPr>
          </w:p>
        </w:tc>
      </w:tr>
      <w:tr>
        <w:trPr>
          <w:trHeight w:val="276"/>
        </w:trPr>
        <w:tc>
          <w:tcPr>
            <w:tcW w:w="5080" w:type="dxa"/>
            <w:vAlign w:val="bottom"/>
          </w:tcPr>
          <w:p>
            <w:pPr>
              <w:ind w:left="140"/>
              <w:spacing w:after="0"/>
              <w:rPr>
                <w:sz w:val="20"/>
                <w:szCs w:val="20"/>
                <w:color w:val="auto"/>
              </w:rPr>
            </w:pPr>
            <w:r>
              <w:rPr>
                <w:rFonts w:ascii="Arial" w:cs="Arial" w:eastAsia="Arial" w:hAnsi="Arial"/>
                <w:sz w:val="17"/>
                <w:szCs w:val="17"/>
                <w:color w:val="auto"/>
              </w:rPr>
              <w:t>Directors</w:t>
            </w:r>
          </w:p>
        </w:tc>
        <w:tc>
          <w:tcPr>
            <w:tcW w:w="2280" w:type="dxa"/>
            <w:vAlign w:val="bottom"/>
          </w:tcPr>
          <w:p>
            <w:pPr>
              <w:jc w:val="right"/>
              <w:spacing w:after="0"/>
              <w:rPr>
                <w:sz w:val="20"/>
                <w:szCs w:val="20"/>
                <w:color w:val="auto"/>
              </w:rPr>
            </w:pPr>
            <w:r>
              <w:rPr>
                <w:rFonts w:ascii="Arial" w:cs="Arial" w:eastAsia="Arial" w:hAnsi="Arial"/>
                <w:sz w:val="17"/>
                <w:szCs w:val="17"/>
                <w:color w:val="auto"/>
              </w:rPr>
              <w:t>4</w:t>
            </w:r>
          </w:p>
        </w:tc>
        <w:tc>
          <w:tcPr>
            <w:tcW w:w="1080" w:type="dxa"/>
            <w:vAlign w:val="bottom"/>
          </w:tcPr>
          <w:p>
            <w:pPr>
              <w:jc w:val="right"/>
              <w:ind w:right="165"/>
              <w:spacing w:after="0"/>
              <w:rPr>
                <w:sz w:val="20"/>
                <w:szCs w:val="20"/>
                <w:color w:val="auto"/>
              </w:rPr>
            </w:pPr>
            <w:r>
              <w:rPr>
                <w:rFonts w:ascii="Arial" w:cs="Arial" w:eastAsia="Arial" w:hAnsi="Arial"/>
                <w:sz w:val="17"/>
                <w:szCs w:val="17"/>
                <w:color w:val="auto"/>
              </w:rPr>
              <w:t>6</w:t>
            </w:r>
          </w:p>
        </w:tc>
        <w:tc>
          <w:tcPr>
            <w:tcW w:w="134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85"/>
        </w:trPr>
        <w:tc>
          <w:tcPr>
            <w:tcW w:w="5080" w:type="dxa"/>
            <w:vAlign w:val="bottom"/>
            <w:tcBorders>
              <w:bottom w:val="single" w:sz="8" w:color="125288"/>
            </w:tcBorders>
          </w:tcPr>
          <w:p>
            <w:pPr>
              <w:spacing w:after="0"/>
              <w:rPr>
                <w:sz w:val="7"/>
                <w:szCs w:val="7"/>
                <w:color w:val="auto"/>
              </w:rPr>
            </w:pPr>
          </w:p>
        </w:tc>
        <w:tc>
          <w:tcPr>
            <w:tcW w:w="2280" w:type="dxa"/>
            <w:vAlign w:val="bottom"/>
            <w:tcBorders>
              <w:bottom w:val="single" w:sz="8" w:color="125288"/>
            </w:tcBorders>
          </w:tcPr>
          <w:p>
            <w:pPr>
              <w:spacing w:after="0"/>
              <w:rPr>
                <w:sz w:val="7"/>
                <w:szCs w:val="7"/>
                <w:color w:val="auto"/>
              </w:rPr>
            </w:pPr>
          </w:p>
        </w:tc>
        <w:tc>
          <w:tcPr>
            <w:tcW w:w="1080" w:type="dxa"/>
            <w:vAlign w:val="bottom"/>
            <w:tcBorders>
              <w:bottom w:val="single" w:sz="8" w:color="125288"/>
            </w:tcBorders>
          </w:tcPr>
          <w:p>
            <w:pPr>
              <w:spacing w:after="0"/>
              <w:rPr>
                <w:sz w:val="7"/>
                <w:szCs w:val="7"/>
                <w:color w:val="auto"/>
              </w:rPr>
            </w:pPr>
          </w:p>
        </w:tc>
        <w:tc>
          <w:tcPr>
            <w:tcW w:w="1340" w:type="dxa"/>
            <w:vAlign w:val="bottom"/>
            <w:tcBorders>
              <w:bottom w:val="single" w:sz="8" w:color="125288"/>
            </w:tcBorders>
          </w:tcPr>
          <w:p>
            <w:pPr>
              <w:spacing w:after="0"/>
              <w:rPr>
                <w:sz w:val="7"/>
                <w:szCs w:val="7"/>
                <w:color w:val="auto"/>
              </w:rPr>
            </w:pPr>
          </w:p>
        </w:tc>
        <w:tc>
          <w:tcPr>
            <w:tcW w:w="1480" w:type="dxa"/>
            <w:vAlign w:val="bottom"/>
            <w:tcBorders>
              <w:bottom w:val="single" w:sz="8" w:color="125288"/>
            </w:tcBorders>
          </w:tcPr>
          <w:p>
            <w:pPr>
              <w:spacing w:after="0"/>
              <w:rPr>
                <w:sz w:val="7"/>
                <w:szCs w:val="7"/>
                <w:color w:val="auto"/>
              </w:rPr>
            </w:pPr>
          </w:p>
        </w:tc>
      </w:tr>
      <w:tr>
        <w:trPr>
          <w:trHeight w:val="276"/>
        </w:trPr>
        <w:tc>
          <w:tcPr>
            <w:tcW w:w="5080" w:type="dxa"/>
            <w:vAlign w:val="bottom"/>
          </w:tcPr>
          <w:p>
            <w:pPr>
              <w:ind w:left="40"/>
              <w:spacing w:after="0"/>
              <w:rPr>
                <w:sz w:val="20"/>
                <w:szCs w:val="20"/>
                <w:color w:val="auto"/>
              </w:rPr>
            </w:pPr>
            <w:r>
              <w:rPr>
                <w:rFonts w:ascii="Arial" w:cs="Arial" w:eastAsia="Arial" w:hAnsi="Arial"/>
                <w:sz w:val="17"/>
                <w:szCs w:val="17"/>
                <w:b w:val="1"/>
                <w:bCs w:val="1"/>
                <w:color w:val="auto"/>
              </w:rPr>
              <w:t>Part II: Demographic Background</w:t>
            </w:r>
          </w:p>
        </w:tc>
        <w:tc>
          <w:tcPr>
            <w:tcW w:w="2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85"/>
        </w:trPr>
        <w:tc>
          <w:tcPr>
            <w:tcW w:w="5080" w:type="dxa"/>
            <w:vAlign w:val="bottom"/>
            <w:tcBorders>
              <w:bottom w:val="single" w:sz="8" w:color="125288"/>
            </w:tcBorders>
          </w:tcPr>
          <w:p>
            <w:pPr>
              <w:spacing w:after="0"/>
              <w:rPr>
                <w:sz w:val="7"/>
                <w:szCs w:val="7"/>
                <w:color w:val="auto"/>
              </w:rPr>
            </w:pPr>
          </w:p>
        </w:tc>
        <w:tc>
          <w:tcPr>
            <w:tcW w:w="2280" w:type="dxa"/>
            <w:vAlign w:val="bottom"/>
            <w:tcBorders>
              <w:bottom w:val="single" w:sz="8" w:color="125288"/>
            </w:tcBorders>
          </w:tcPr>
          <w:p>
            <w:pPr>
              <w:spacing w:after="0"/>
              <w:rPr>
                <w:sz w:val="7"/>
                <w:szCs w:val="7"/>
                <w:color w:val="auto"/>
              </w:rPr>
            </w:pPr>
          </w:p>
        </w:tc>
        <w:tc>
          <w:tcPr>
            <w:tcW w:w="1080" w:type="dxa"/>
            <w:vAlign w:val="bottom"/>
            <w:tcBorders>
              <w:bottom w:val="single" w:sz="8" w:color="125288"/>
            </w:tcBorders>
          </w:tcPr>
          <w:p>
            <w:pPr>
              <w:spacing w:after="0"/>
              <w:rPr>
                <w:sz w:val="7"/>
                <w:szCs w:val="7"/>
                <w:color w:val="auto"/>
              </w:rPr>
            </w:pPr>
          </w:p>
        </w:tc>
        <w:tc>
          <w:tcPr>
            <w:tcW w:w="1340" w:type="dxa"/>
            <w:vAlign w:val="bottom"/>
            <w:tcBorders>
              <w:bottom w:val="single" w:sz="8" w:color="125288"/>
            </w:tcBorders>
          </w:tcPr>
          <w:p>
            <w:pPr>
              <w:spacing w:after="0"/>
              <w:rPr>
                <w:sz w:val="7"/>
                <w:szCs w:val="7"/>
                <w:color w:val="auto"/>
              </w:rPr>
            </w:pPr>
          </w:p>
        </w:tc>
        <w:tc>
          <w:tcPr>
            <w:tcW w:w="1480" w:type="dxa"/>
            <w:vAlign w:val="bottom"/>
            <w:tcBorders>
              <w:bottom w:val="single" w:sz="8" w:color="125288"/>
            </w:tcBorders>
          </w:tcPr>
          <w:p>
            <w:pPr>
              <w:spacing w:after="0"/>
              <w:rPr>
                <w:sz w:val="7"/>
                <w:szCs w:val="7"/>
                <w:color w:val="auto"/>
              </w:rPr>
            </w:pPr>
          </w:p>
        </w:tc>
      </w:tr>
      <w:tr>
        <w:trPr>
          <w:trHeight w:val="276"/>
        </w:trPr>
        <w:tc>
          <w:tcPr>
            <w:tcW w:w="5080" w:type="dxa"/>
            <w:vAlign w:val="bottom"/>
          </w:tcPr>
          <w:p>
            <w:pPr>
              <w:ind w:left="140"/>
              <w:spacing w:after="0"/>
              <w:rPr>
                <w:sz w:val="20"/>
                <w:szCs w:val="20"/>
                <w:color w:val="auto"/>
              </w:rPr>
            </w:pPr>
            <w:r>
              <w:rPr>
                <w:rFonts w:ascii="Arial" w:cs="Arial" w:eastAsia="Arial" w:hAnsi="Arial"/>
                <w:sz w:val="17"/>
                <w:szCs w:val="17"/>
                <w:color w:val="auto"/>
              </w:rPr>
              <w:t>African American or Black</w:t>
            </w:r>
          </w:p>
        </w:tc>
        <w:tc>
          <w:tcPr>
            <w:tcW w:w="2280" w:type="dxa"/>
            <w:vAlign w:val="bottom"/>
          </w:tcPr>
          <w:p>
            <w:pPr>
              <w:jc w:val="right"/>
              <w:spacing w:after="0"/>
              <w:rPr>
                <w:sz w:val="20"/>
                <w:szCs w:val="20"/>
                <w:color w:val="auto"/>
              </w:rPr>
            </w:pPr>
            <w:r>
              <w:rPr>
                <w:rFonts w:ascii="Arial" w:cs="Arial" w:eastAsia="Arial" w:hAnsi="Arial"/>
                <w:sz w:val="17"/>
                <w:szCs w:val="17"/>
                <w:color w:val="auto"/>
              </w:rPr>
              <w:t>1</w:t>
            </w:r>
          </w:p>
        </w:tc>
        <w:tc>
          <w:tcPr>
            <w:tcW w:w="1080" w:type="dxa"/>
            <w:vAlign w:val="bottom"/>
          </w:tcPr>
          <w:p>
            <w:pPr>
              <w:jc w:val="right"/>
              <w:ind w:right="16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85"/>
        </w:trPr>
        <w:tc>
          <w:tcPr>
            <w:tcW w:w="5080" w:type="dxa"/>
            <w:vAlign w:val="bottom"/>
            <w:tcBorders>
              <w:bottom w:val="single" w:sz="8" w:color="125288"/>
            </w:tcBorders>
          </w:tcPr>
          <w:p>
            <w:pPr>
              <w:spacing w:after="0"/>
              <w:rPr>
                <w:sz w:val="7"/>
                <w:szCs w:val="7"/>
                <w:color w:val="auto"/>
              </w:rPr>
            </w:pPr>
          </w:p>
        </w:tc>
        <w:tc>
          <w:tcPr>
            <w:tcW w:w="2280" w:type="dxa"/>
            <w:vAlign w:val="bottom"/>
            <w:tcBorders>
              <w:bottom w:val="single" w:sz="8" w:color="125288"/>
            </w:tcBorders>
          </w:tcPr>
          <w:p>
            <w:pPr>
              <w:spacing w:after="0"/>
              <w:rPr>
                <w:sz w:val="7"/>
                <w:szCs w:val="7"/>
                <w:color w:val="auto"/>
              </w:rPr>
            </w:pPr>
          </w:p>
        </w:tc>
        <w:tc>
          <w:tcPr>
            <w:tcW w:w="1080" w:type="dxa"/>
            <w:vAlign w:val="bottom"/>
            <w:tcBorders>
              <w:bottom w:val="single" w:sz="8" w:color="125288"/>
            </w:tcBorders>
          </w:tcPr>
          <w:p>
            <w:pPr>
              <w:spacing w:after="0"/>
              <w:rPr>
                <w:sz w:val="7"/>
                <w:szCs w:val="7"/>
                <w:color w:val="auto"/>
              </w:rPr>
            </w:pPr>
          </w:p>
        </w:tc>
        <w:tc>
          <w:tcPr>
            <w:tcW w:w="1340" w:type="dxa"/>
            <w:vAlign w:val="bottom"/>
            <w:tcBorders>
              <w:bottom w:val="single" w:sz="8" w:color="125288"/>
            </w:tcBorders>
          </w:tcPr>
          <w:p>
            <w:pPr>
              <w:spacing w:after="0"/>
              <w:rPr>
                <w:sz w:val="7"/>
                <w:szCs w:val="7"/>
                <w:color w:val="auto"/>
              </w:rPr>
            </w:pPr>
          </w:p>
        </w:tc>
        <w:tc>
          <w:tcPr>
            <w:tcW w:w="1480" w:type="dxa"/>
            <w:vAlign w:val="bottom"/>
            <w:tcBorders>
              <w:bottom w:val="single" w:sz="8" w:color="125288"/>
            </w:tcBorders>
          </w:tcPr>
          <w:p>
            <w:pPr>
              <w:spacing w:after="0"/>
              <w:rPr>
                <w:sz w:val="7"/>
                <w:szCs w:val="7"/>
                <w:color w:val="auto"/>
              </w:rPr>
            </w:pPr>
          </w:p>
        </w:tc>
      </w:tr>
      <w:tr>
        <w:trPr>
          <w:trHeight w:val="276"/>
        </w:trPr>
        <w:tc>
          <w:tcPr>
            <w:tcW w:w="5080" w:type="dxa"/>
            <w:vAlign w:val="bottom"/>
          </w:tcPr>
          <w:p>
            <w:pPr>
              <w:ind w:left="140"/>
              <w:spacing w:after="0"/>
              <w:rPr>
                <w:sz w:val="20"/>
                <w:szCs w:val="20"/>
                <w:color w:val="auto"/>
              </w:rPr>
            </w:pPr>
            <w:r>
              <w:rPr>
                <w:rFonts w:ascii="Arial" w:cs="Arial" w:eastAsia="Arial" w:hAnsi="Arial"/>
                <w:sz w:val="17"/>
                <w:szCs w:val="17"/>
                <w:color w:val="auto"/>
              </w:rPr>
              <w:t>Alaskan Native or Native American</w:t>
            </w:r>
          </w:p>
        </w:tc>
        <w:tc>
          <w:tcPr>
            <w:tcW w:w="22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6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85"/>
        </w:trPr>
        <w:tc>
          <w:tcPr>
            <w:tcW w:w="5080" w:type="dxa"/>
            <w:vAlign w:val="bottom"/>
            <w:tcBorders>
              <w:bottom w:val="single" w:sz="8" w:color="125288"/>
            </w:tcBorders>
          </w:tcPr>
          <w:p>
            <w:pPr>
              <w:spacing w:after="0"/>
              <w:rPr>
                <w:sz w:val="7"/>
                <w:szCs w:val="7"/>
                <w:color w:val="auto"/>
              </w:rPr>
            </w:pPr>
          </w:p>
        </w:tc>
        <w:tc>
          <w:tcPr>
            <w:tcW w:w="2280" w:type="dxa"/>
            <w:vAlign w:val="bottom"/>
            <w:tcBorders>
              <w:bottom w:val="single" w:sz="8" w:color="125288"/>
            </w:tcBorders>
          </w:tcPr>
          <w:p>
            <w:pPr>
              <w:spacing w:after="0"/>
              <w:rPr>
                <w:sz w:val="7"/>
                <w:szCs w:val="7"/>
                <w:color w:val="auto"/>
              </w:rPr>
            </w:pPr>
          </w:p>
        </w:tc>
        <w:tc>
          <w:tcPr>
            <w:tcW w:w="1080" w:type="dxa"/>
            <w:vAlign w:val="bottom"/>
            <w:tcBorders>
              <w:bottom w:val="single" w:sz="8" w:color="125288"/>
            </w:tcBorders>
          </w:tcPr>
          <w:p>
            <w:pPr>
              <w:spacing w:after="0"/>
              <w:rPr>
                <w:sz w:val="7"/>
                <w:szCs w:val="7"/>
                <w:color w:val="auto"/>
              </w:rPr>
            </w:pPr>
          </w:p>
        </w:tc>
        <w:tc>
          <w:tcPr>
            <w:tcW w:w="1340" w:type="dxa"/>
            <w:vAlign w:val="bottom"/>
            <w:tcBorders>
              <w:bottom w:val="single" w:sz="8" w:color="125288"/>
            </w:tcBorders>
          </w:tcPr>
          <w:p>
            <w:pPr>
              <w:spacing w:after="0"/>
              <w:rPr>
                <w:sz w:val="7"/>
                <w:szCs w:val="7"/>
                <w:color w:val="auto"/>
              </w:rPr>
            </w:pPr>
          </w:p>
        </w:tc>
        <w:tc>
          <w:tcPr>
            <w:tcW w:w="1480" w:type="dxa"/>
            <w:vAlign w:val="bottom"/>
            <w:tcBorders>
              <w:bottom w:val="single" w:sz="8" w:color="125288"/>
            </w:tcBorders>
          </w:tcPr>
          <w:p>
            <w:pPr>
              <w:spacing w:after="0"/>
              <w:rPr>
                <w:sz w:val="7"/>
                <w:szCs w:val="7"/>
                <w:color w:val="auto"/>
              </w:rPr>
            </w:pPr>
          </w:p>
        </w:tc>
      </w:tr>
      <w:tr>
        <w:trPr>
          <w:trHeight w:val="276"/>
        </w:trPr>
        <w:tc>
          <w:tcPr>
            <w:tcW w:w="5080" w:type="dxa"/>
            <w:vAlign w:val="bottom"/>
          </w:tcPr>
          <w:p>
            <w:pPr>
              <w:ind w:left="140"/>
              <w:spacing w:after="0"/>
              <w:rPr>
                <w:sz w:val="20"/>
                <w:szCs w:val="20"/>
                <w:color w:val="auto"/>
              </w:rPr>
            </w:pPr>
            <w:r>
              <w:rPr>
                <w:rFonts w:ascii="Arial" w:cs="Arial" w:eastAsia="Arial" w:hAnsi="Arial"/>
                <w:sz w:val="17"/>
                <w:szCs w:val="17"/>
                <w:color w:val="auto"/>
              </w:rPr>
              <w:t>Asian</w:t>
            </w:r>
          </w:p>
        </w:tc>
        <w:tc>
          <w:tcPr>
            <w:tcW w:w="2280" w:type="dxa"/>
            <w:vAlign w:val="bottom"/>
          </w:tcPr>
          <w:p>
            <w:pPr>
              <w:jc w:val="right"/>
              <w:spacing w:after="0"/>
              <w:rPr>
                <w:sz w:val="20"/>
                <w:szCs w:val="20"/>
                <w:color w:val="auto"/>
              </w:rPr>
            </w:pPr>
            <w:r>
              <w:rPr>
                <w:rFonts w:ascii="Arial" w:cs="Arial" w:eastAsia="Arial" w:hAnsi="Arial"/>
                <w:sz w:val="17"/>
                <w:szCs w:val="17"/>
                <w:color w:val="auto"/>
              </w:rPr>
              <w:t>1</w:t>
            </w:r>
          </w:p>
        </w:tc>
        <w:tc>
          <w:tcPr>
            <w:tcW w:w="1080" w:type="dxa"/>
            <w:vAlign w:val="bottom"/>
          </w:tcPr>
          <w:p>
            <w:pPr>
              <w:jc w:val="right"/>
              <w:ind w:right="16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85"/>
        </w:trPr>
        <w:tc>
          <w:tcPr>
            <w:tcW w:w="5080" w:type="dxa"/>
            <w:vAlign w:val="bottom"/>
            <w:tcBorders>
              <w:bottom w:val="single" w:sz="8" w:color="125288"/>
            </w:tcBorders>
          </w:tcPr>
          <w:p>
            <w:pPr>
              <w:spacing w:after="0"/>
              <w:rPr>
                <w:sz w:val="7"/>
                <w:szCs w:val="7"/>
                <w:color w:val="auto"/>
              </w:rPr>
            </w:pPr>
          </w:p>
        </w:tc>
        <w:tc>
          <w:tcPr>
            <w:tcW w:w="2280" w:type="dxa"/>
            <w:vAlign w:val="bottom"/>
            <w:tcBorders>
              <w:bottom w:val="single" w:sz="8" w:color="125288"/>
            </w:tcBorders>
          </w:tcPr>
          <w:p>
            <w:pPr>
              <w:spacing w:after="0"/>
              <w:rPr>
                <w:sz w:val="7"/>
                <w:szCs w:val="7"/>
                <w:color w:val="auto"/>
              </w:rPr>
            </w:pPr>
          </w:p>
        </w:tc>
        <w:tc>
          <w:tcPr>
            <w:tcW w:w="1080" w:type="dxa"/>
            <w:vAlign w:val="bottom"/>
            <w:tcBorders>
              <w:bottom w:val="single" w:sz="8" w:color="125288"/>
            </w:tcBorders>
          </w:tcPr>
          <w:p>
            <w:pPr>
              <w:spacing w:after="0"/>
              <w:rPr>
                <w:sz w:val="7"/>
                <w:szCs w:val="7"/>
                <w:color w:val="auto"/>
              </w:rPr>
            </w:pPr>
          </w:p>
        </w:tc>
        <w:tc>
          <w:tcPr>
            <w:tcW w:w="1340" w:type="dxa"/>
            <w:vAlign w:val="bottom"/>
            <w:tcBorders>
              <w:bottom w:val="single" w:sz="8" w:color="125288"/>
            </w:tcBorders>
          </w:tcPr>
          <w:p>
            <w:pPr>
              <w:spacing w:after="0"/>
              <w:rPr>
                <w:sz w:val="7"/>
                <w:szCs w:val="7"/>
                <w:color w:val="auto"/>
              </w:rPr>
            </w:pPr>
          </w:p>
        </w:tc>
        <w:tc>
          <w:tcPr>
            <w:tcW w:w="1480" w:type="dxa"/>
            <w:vAlign w:val="bottom"/>
            <w:tcBorders>
              <w:bottom w:val="single" w:sz="8" w:color="125288"/>
            </w:tcBorders>
          </w:tcPr>
          <w:p>
            <w:pPr>
              <w:spacing w:after="0"/>
              <w:rPr>
                <w:sz w:val="7"/>
                <w:szCs w:val="7"/>
                <w:color w:val="auto"/>
              </w:rPr>
            </w:pPr>
          </w:p>
        </w:tc>
      </w:tr>
      <w:tr>
        <w:trPr>
          <w:trHeight w:val="276"/>
        </w:trPr>
        <w:tc>
          <w:tcPr>
            <w:tcW w:w="5080" w:type="dxa"/>
            <w:vAlign w:val="bottom"/>
          </w:tcPr>
          <w:p>
            <w:pPr>
              <w:ind w:left="140"/>
              <w:spacing w:after="0"/>
              <w:rPr>
                <w:sz w:val="20"/>
                <w:szCs w:val="20"/>
                <w:color w:val="auto"/>
              </w:rPr>
            </w:pPr>
            <w:r>
              <w:rPr>
                <w:rFonts w:ascii="Arial" w:cs="Arial" w:eastAsia="Arial" w:hAnsi="Arial"/>
                <w:sz w:val="17"/>
                <w:szCs w:val="17"/>
                <w:color w:val="auto"/>
              </w:rPr>
              <w:t>Hispanic or Latinx</w:t>
            </w:r>
          </w:p>
        </w:tc>
        <w:tc>
          <w:tcPr>
            <w:tcW w:w="22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6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85"/>
        </w:trPr>
        <w:tc>
          <w:tcPr>
            <w:tcW w:w="5080" w:type="dxa"/>
            <w:vAlign w:val="bottom"/>
            <w:tcBorders>
              <w:bottom w:val="single" w:sz="8" w:color="125288"/>
            </w:tcBorders>
          </w:tcPr>
          <w:p>
            <w:pPr>
              <w:spacing w:after="0"/>
              <w:rPr>
                <w:sz w:val="7"/>
                <w:szCs w:val="7"/>
                <w:color w:val="auto"/>
              </w:rPr>
            </w:pPr>
          </w:p>
        </w:tc>
        <w:tc>
          <w:tcPr>
            <w:tcW w:w="2280" w:type="dxa"/>
            <w:vAlign w:val="bottom"/>
            <w:tcBorders>
              <w:bottom w:val="single" w:sz="8" w:color="125288"/>
            </w:tcBorders>
          </w:tcPr>
          <w:p>
            <w:pPr>
              <w:spacing w:after="0"/>
              <w:rPr>
                <w:sz w:val="7"/>
                <w:szCs w:val="7"/>
                <w:color w:val="auto"/>
              </w:rPr>
            </w:pPr>
          </w:p>
        </w:tc>
        <w:tc>
          <w:tcPr>
            <w:tcW w:w="1080" w:type="dxa"/>
            <w:vAlign w:val="bottom"/>
            <w:tcBorders>
              <w:bottom w:val="single" w:sz="8" w:color="125288"/>
            </w:tcBorders>
          </w:tcPr>
          <w:p>
            <w:pPr>
              <w:spacing w:after="0"/>
              <w:rPr>
                <w:sz w:val="7"/>
                <w:szCs w:val="7"/>
                <w:color w:val="auto"/>
              </w:rPr>
            </w:pPr>
          </w:p>
        </w:tc>
        <w:tc>
          <w:tcPr>
            <w:tcW w:w="1340" w:type="dxa"/>
            <w:vAlign w:val="bottom"/>
            <w:tcBorders>
              <w:bottom w:val="single" w:sz="8" w:color="125288"/>
            </w:tcBorders>
          </w:tcPr>
          <w:p>
            <w:pPr>
              <w:spacing w:after="0"/>
              <w:rPr>
                <w:sz w:val="7"/>
                <w:szCs w:val="7"/>
                <w:color w:val="auto"/>
              </w:rPr>
            </w:pPr>
          </w:p>
        </w:tc>
        <w:tc>
          <w:tcPr>
            <w:tcW w:w="1480" w:type="dxa"/>
            <w:vAlign w:val="bottom"/>
            <w:tcBorders>
              <w:bottom w:val="single" w:sz="8" w:color="125288"/>
            </w:tcBorders>
          </w:tcPr>
          <w:p>
            <w:pPr>
              <w:spacing w:after="0"/>
              <w:rPr>
                <w:sz w:val="7"/>
                <w:szCs w:val="7"/>
                <w:color w:val="auto"/>
              </w:rPr>
            </w:pPr>
          </w:p>
        </w:tc>
      </w:tr>
      <w:tr>
        <w:trPr>
          <w:trHeight w:val="276"/>
        </w:trPr>
        <w:tc>
          <w:tcPr>
            <w:tcW w:w="5080" w:type="dxa"/>
            <w:vAlign w:val="bottom"/>
          </w:tcPr>
          <w:p>
            <w:pPr>
              <w:ind w:left="140"/>
              <w:spacing w:after="0"/>
              <w:rPr>
                <w:sz w:val="20"/>
                <w:szCs w:val="20"/>
                <w:color w:val="auto"/>
              </w:rPr>
            </w:pPr>
            <w:r>
              <w:rPr>
                <w:rFonts w:ascii="Arial" w:cs="Arial" w:eastAsia="Arial" w:hAnsi="Arial"/>
                <w:sz w:val="17"/>
                <w:szCs w:val="17"/>
                <w:color w:val="auto"/>
              </w:rPr>
              <w:t>Native Hawaiian or Pacific Islander</w:t>
            </w:r>
          </w:p>
        </w:tc>
        <w:tc>
          <w:tcPr>
            <w:tcW w:w="22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65"/>
              <w:spacing w:after="0"/>
              <w:rPr>
                <w:sz w:val="20"/>
                <w:szCs w:val="20"/>
                <w:color w:val="auto"/>
              </w:rPr>
            </w:pPr>
            <w:r>
              <w:rPr>
                <w:rFonts w:ascii="Arial" w:cs="Arial" w:eastAsia="Arial" w:hAnsi="Arial"/>
                <w:sz w:val="17"/>
                <w:szCs w:val="17"/>
                <w:color w:val="auto"/>
              </w:rPr>
              <w:t>1</w:t>
            </w:r>
          </w:p>
        </w:tc>
        <w:tc>
          <w:tcPr>
            <w:tcW w:w="134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85"/>
        </w:trPr>
        <w:tc>
          <w:tcPr>
            <w:tcW w:w="5080" w:type="dxa"/>
            <w:vAlign w:val="bottom"/>
            <w:tcBorders>
              <w:bottom w:val="single" w:sz="8" w:color="125288"/>
            </w:tcBorders>
          </w:tcPr>
          <w:p>
            <w:pPr>
              <w:spacing w:after="0"/>
              <w:rPr>
                <w:sz w:val="7"/>
                <w:szCs w:val="7"/>
                <w:color w:val="auto"/>
              </w:rPr>
            </w:pPr>
          </w:p>
        </w:tc>
        <w:tc>
          <w:tcPr>
            <w:tcW w:w="2280" w:type="dxa"/>
            <w:vAlign w:val="bottom"/>
            <w:tcBorders>
              <w:bottom w:val="single" w:sz="8" w:color="125288"/>
            </w:tcBorders>
          </w:tcPr>
          <w:p>
            <w:pPr>
              <w:spacing w:after="0"/>
              <w:rPr>
                <w:sz w:val="7"/>
                <w:szCs w:val="7"/>
                <w:color w:val="auto"/>
              </w:rPr>
            </w:pPr>
          </w:p>
        </w:tc>
        <w:tc>
          <w:tcPr>
            <w:tcW w:w="1080" w:type="dxa"/>
            <w:vAlign w:val="bottom"/>
            <w:tcBorders>
              <w:bottom w:val="single" w:sz="8" w:color="125288"/>
            </w:tcBorders>
          </w:tcPr>
          <w:p>
            <w:pPr>
              <w:spacing w:after="0"/>
              <w:rPr>
                <w:sz w:val="7"/>
                <w:szCs w:val="7"/>
                <w:color w:val="auto"/>
              </w:rPr>
            </w:pPr>
          </w:p>
        </w:tc>
        <w:tc>
          <w:tcPr>
            <w:tcW w:w="1340" w:type="dxa"/>
            <w:vAlign w:val="bottom"/>
            <w:tcBorders>
              <w:bottom w:val="single" w:sz="8" w:color="125288"/>
            </w:tcBorders>
          </w:tcPr>
          <w:p>
            <w:pPr>
              <w:spacing w:after="0"/>
              <w:rPr>
                <w:sz w:val="7"/>
                <w:szCs w:val="7"/>
                <w:color w:val="auto"/>
              </w:rPr>
            </w:pPr>
          </w:p>
        </w:tc>
        <w:tc>
          <w:tcPr>
            <w:tcW w:w="1480" w:type="dxa"/>
            <w:vAlign w:val="bottom"/>
            <w:tcBorders>
              <w:bottom w:val="single" w:sz="8" w:color="125288"/>
            </w:tcBorders>
          </w:tcPr>
          <w:p>
            <w:pPr>
              <w:spacing w:after="0"/>
              <w:rPr>
                <w:sz w:val="7"/>
                <w:szCs w:val="7"/>
                <w:color w:val="auto"/>
              </w:rPr>
            </w:pPr>
          </w:p>
        </w:tc>
      </w:tr>
      <w:tr>
        <w:trPr>
          <w:trHeight w:val="276"/>
        </w:trPr>
        <w:tc>
          <w:tcPr>
            <w:tcW w:w="5080" w:type="dxa"/>
            <w:vAlign w:val="bottom"/>
          </w:tcPr>
          <w:p>
            <w:pPr>
              <w:ind w:left="140"/>
              <w:spacing w:after="0"/>
              <w:rPr>
                <w:sz w:val="20"/>
                <w:szCs w:val="20"/>
                <w:color w:val="auto"/>
              </w:rPr>
            </w:pPr>
            <w:r>
              <w:rPr>
                <w:rFonts w:ascii="Arial" w:cs="Arial" w:eastAsia="Arial" w:hAnsi="Arial"/>
                <w:sz w:val="17"/>
                <w:szCs w:val="17"/>
                <w:color w:val="auto"/>
              </w:rPr>
              <w:t>White</w:t>
            </w:r>
          </w:p>
        </w:tc>
        <w:tc>
          <w:tcPr>
            <w:tcW w:w="2280" w:type="dxa"/>
            <w:vAlign w:val="bottom"/>
          </w:tcPr>
          <w:p>
            <w:pPr>
              <w:jc w:val="right"/>
              <w:spacing w:after="0"/>
              <w:rPr>
                <w:sz w:val="20"/>
                <w:szCs w:val="20"/>
                <w:color w:val="auto"/>
              </w:rPr>
            </w:pPr>
            <w:r>
              <w:rPr>
                <w:rFonts w:ascii="Arial" w:cs="Arial" w:eastAsia="Arial" w:hAnsi="Arial"/>
                <w:sz w:val="17"/>
                <w:szCs w:val="17"/>
                <w:color w:val="auto"/>
              </w:rPr>
              <w:t>2</w:t>
            </w:r>
          </w:p>
        </w:tc>
        <w:tc>
          <w:tcPr>
            <w:tcW w:w="1080" w:type="dxa"/>
            <w:vAlign w:val="bottom"/>
          </w:tcPr>
          <w:p>
            <w:pPr>
              <w:jc w:val="right"/>
              <w:ind w:right="165"/>
              <w:spacing w:after="0"/>
              <w:rPr>
                <w:sz w:val="20"/>
                <w:szCs w:val="20"/>
                <w:color w:val="auto"/>
              </w:rPr>
            </w:pPr>
            <w:r>
              <w:rPr>
                <w:rFonts w:ascii="Arial" w:cs="Arial" w:eastAsia="Arial" w:hAnsi="Arial"/>
                <w:sz w:val="17"/>
                <w:szCs w:val="17"/>
                <w:color w:val="auto"/>
              </w:rPr>
              <w:t>5</w:t>
            </w:r>
          </w:p>
        </w:tc>
        <w:tc>
          <w:tcPr>
            <w:tcW w:w="134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85"/>
        </w:trPr>
        <w:tc>
          <w:tcPr>
            <w:tcW w:w="5080" w:type="dxa"/>
            <w:vAlign w:val="bottom"/>
            <w:tcBorders>
              <w:bottom w:val="single" w:sz="8" w:color="125288"/>
            </w:tcBorders>
          </w:tcPr>
          <w:p>
            <w:pPr>
              <w:spacing w:after="0"/>
              <w:rPr>
                <w:sz w:val="7"/>
                <w:szCs w:val="7"/>
                <w:color w:val="auto"/>
              </w:rPr>
            </w:pPr>
          </w:p>
        </w:tc>
        <w:tc>
          <w:tcPr>
            <w:tcW w:w="2280" w:type="dxa"/>
            <w:vAlign w:val="bottom"/>
            <w:tcBorders>
              <w:bottom w:val="single" w:sz="8" w:color="125288"/>
            </w:tcBorders>
          </w:tcPr>
          <w:p>
            <w:pPr>
              <w:spacing w:after="0"/>
              <w:rPr>
                <w:sz w:val="7"/>
                <w:szCs w:val="7"/>
                <w:color w:val="auto"/>
              </w:rPr>
            </w:pPr>
          </w:p>
        </w:tc>
        <w:tc>
          <w:tcPr>
            <w:tcW w:w="1080" w:type="dxa"/>
            <w:vAlign w:val="bottom"/>
            <w:tcBorders>
              <w:bottom w:val="single" w:sz="8" w:color="125288"/>
            </w:tcBorders>
          </w:tcPr>
          <w:p>
            <w:pPr>
              <w:spacing w:after="0"/>
              <w:rPr>
                <w:sz w:val="7"/>
                <w:szCs w:val="7"/>
                <w:color w:val="auto"/>
              </w:rPr>
            </w:pPr>
          </w:p>
        </w:tc>
        <w:tc>
          <w:tcPr>
            <w:tcW w:w="1340" w:type="dxa"/>
            <w:vAlign w:val="bottom"/>
            <w:tcBorders>
              <w:bottom w:val="single" w:sz="8" w:color="125288"/>
            </w:tcBorders>
          </w:tcPr>
          <w:p>
            <w:pPr>
              <w:spacing w:after="0"/>
              <w:rPr>
                <w:sz w:val="7"/>
                <w:szCs w:val="7"/>
                <w:color w:val="auto"/>
              </w:rPr>
            </w:pPr>
          </w:p>
        </w:tc>
        <w:tc>
          <w:tcPr>
            <w:tcW w:w="1480" w:type="dxa"/>
            <w:vAlign w:val="bottom"/>
            <w:tcBorders>
              <w:bottom w:val="single" w:sz="8" w:color="125288"/>
            </w:tcBorders>
          </w:tcPr>
          <w:p>
            <w:pPr>
              <w:spacing w:after="0"/>
              <w:rPr>
                <w:sz w:val="7"/>
                <w:szCs w:val="7"/>
                <w:color w:val="auto"/>
              </w:rPr>
            </w:pPr>
          </w:p>
        </w:tc>
      </w:tr>
      <w:tr>
        <w:trPr>
          <w:trHeight w:val="276"/>
        </w:trPr>
        <w:tc>
          <w:tcPr>
            <w:tcW w:w="5080" w:type="dxa"/>
            <w:vAlign w:val="bottom"/>
          </w:tcPr>
          <w:p>
            <w:pPr>
              <w:ind w:left="140"/>
              <w:spacing w:after="0"/>
              <w:rPr>
                <w:sz w:val="20"/>
                <w:szCs w:val="20"/>
                <w:color w:val="auto"/>
              </w:rPr>
            </w:pPr>
            <w:r>
              <w:rPr>
                <w:rFonts w:ascii="Arial" w:cs="Arial" w:eastAsia="Arial" w:hAnsi="Arial"/>
                <w:sz w:val="17"/>
                <w:szCs w:val="17"/>
                <w:color w:val="auto"/>
              </w:rPr>
              <w:t>Two or More Races or Ethnicities</w:t>
            </w:r>
          </w:p>
        </w:tc>
        <w:tc>
          <w:tcPr>
            <w:tcW w:w="22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6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85"/>
        </w:trPr>
        <w:tc>
          <w:tcPr>
            <w:tcW w:w="5080" w:type="dxa"/>
            <w:vAlign w:val="bottom"/>
            <w:tcBorders>
              <w:bottom w:val="single" w:sz="8" w:color="125288"/>
            </w:tcBorders>
          </w:tcPr>
          <w:p>
            <w:pPr>
              <w:spacing w:after="0"/>
              <w:rPr>
                <w:sz w:val="7"/>
                <w:szCs w:val="7"/>
                <w:color w:val="auto"/>
              </w:rPr>
            </w:pPr>
          </w:p>
        </w:tc>
        <w:tc>
          <w:tcPr>
            <w:tcW w:w="2280" w:type="dxa"/>
            <w:vAlign w:val="bottom"/>
            <w:tcBorders>
              <w:bottom w:val="single" w:sz="8" w:color="125288"/>
            </w:tcBorders>
          </w:tcPr>
          <w:p>
            <w:pPr>
              <w:spacing w:after="0"/>
              <w:rPr>
                <w:sz w:val="7"/>
                <w:szCs w:val="7"/>
                <w:color w:val="auto"/>
              </w:rPr>
            </w:pPr>
          </w:p>
        </w:tc>
        <w:tc>
          <w:tcPr>
            <w:tcW w:w="1080" w:type="dxa"/>
            <w:vAlign w:val="bottom"/>
            <w:tcBorders>
              <w:bottom w:val="single" w:sz="8" w:color="125288"/>
            </w:tcBorders>
          </w:tcPr>
          <w:p>
            <w:pPr>
              <w:spacing w:after="0"/>
              <w:rPr>
                <w:sz w:val="7"/>
                <w:szCs w:val="7"/>
                <w:color w:val="auto"/>
              </w:rPr>
            </w:pPr>
          </w:p>
        </w:tc>
        <w:tc>
          <w:tcPr>
            <w:tcW w:w="1340" w:type="dxa"/>
            <w:vAlign w:val="bottom"/>
            <w:tcBorders>
              <w:bottom w:val="single" w:sz="8" w:color="125288"/>
            </w:tcBorders>
          </w:tcPr>
          <w:p>
            <w:pPr>
              <w:spacing w:after="0"/>
              <w:rPr>
                <w:sz w:val="7"/>
                <w:szCs w:val="7"/>
                <w:color w:val="auto"/>
              </w:rPr>
            </w:pPr>
          </w:p>
        </w:tc>
        <w:tc>
          <w:tcPr>
            <w:tcW w:w="1480" w:type="dxa"/>
            <w:vAlign w:val="bottom"/>
            <w:tcBorders>
              <w:bottom w:val="single" w:sz="8" w:color="125288"/>
            </w:tcBorders>
          </w:tcPr>
          <w:p>
            <w:pPr>
              <w:spacing w:after="0"/>
              <w:rPr>
                <w:sz w:val="7"/>
                <w:szCs w:val="7"/>
                <w:color w:val="auto"/>
              </w:rPr>
            </w:pPr>
          </w:p>
        </w:tc>
      </w:tr>
      <w:tr>
        <w:trPr>
          <w:trHeight w:val="276"/>
        </w:trPr>
        <w:tc>
          <w:tcPr>
            <w:tcW w:w="5080" w:type="dxa"/>
            <w:vAlign w:val="bottom"/>
          </w:tcPr>
          <w:p>
            <w:pPr>
              <w:ind w:left="140"/>
              <w:spacing w:after="0"/>
              <w:rPr>
                <w:sz w:val="20"/>
                <w:szCs w:val="20"/>
                <w:color w:val="auto"/>
              </w:rPr>
            </w:pPr>
            <w:r>
              <w:rPr>
                <w:rFonts w:ascii="Arial" w:cs="Arial" w:eastAsia="Arial" w:hAnsi="Arial"/>
                <w:sz w:val="17"/>
                <w:szCs w:val="17"/>
                <w:color w:val="auto"/>
              </w:rPr>
              <w:t>LGBTQ+</w:t>
            </w:r>
          </w:p>
        </w:tc>
        <w:tc>
          <w:tcPr>
            <w:tcW w:w="2280" w:type="dxa"/>
            <w:vAlign w:val="bottom"/>
          </w:tcPr>
          <w:p>
            <w:pPr>
              <w:spacing w:after="0"/>
              <w:rPr>
                <w:sz w:val="23"/>
                <w:szCs w:val="23"/>
                <w:color w:val="auto"/>
              </w:rPr>
            </w:pPr>
          </w:p>
        </w:tc>
        <w:tc>
          <w:tcPr>
            <w:tcW w:w="1080" w:type="dxa"/>
            <w:vAlign w:val="bottom"/>
          </w:tcPr>
          <w:p>
            <w:pPr>
              <w:jc w:val="right"/>
              <w:ind w:right="165"/>
              <w:spacing w:after="0"/>
              <w:rPr>
                <w:sz w:val="20"/>
                <w:szCs w:val="20"/>
                <w:color w:val="auto"/>
              </w:rPr>
            </w:pPr>
            <w:r>
              <w:rPr>
                <w:rFonts w:ascii="Arial" w:cs="Arial" w:eastAsia="Arial" w:hAnsi="Arial"/>
                <w:sz w:val="17"/>
                <w:szCs w:val="17"/>
                <w:color w:val="auto"/>
              </w:rPr>
              <w:t>—</w:t>
            </w:r>
          </w:p>
        </w:tc>
        <w:tc>
          <w:tcPr>
            <w:tcW w:w="13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85"/>
        </w:trPr>
        <w:tc>
          <w:tcPr>
            <w:tcW w:w="5080" w:type="dxa"/>
            <w:vAlign w:val="bottom"/>
            <w:tcBorders>
              <w:bottom w:val="single" w:sz="8" w:color="125288"/>
            </w:tcBorders>
          </w:tcPr>
          <w:p>
            <w:pPr>
              <w:spacing w:after="0"/>
              <w:rPr>
                <w:sz w:val="7"/>
                <w:szCs w:val="7"/>
                <w:color w:val="auto"/>
              </w:rPr>
            </w:pPr>
          </w:p>
        </w:tc>
        <w:tc>
          <w:tcPr>
            <w:tcW w:w="2280" w:type="dxa"/>
            <w:vAlign w:val="bottom"/>
            <w:tcBorders>
              <w:bottom w:val="single" w:sz="8" w:color="125288"/>
            </w:tcBorders>
          </w:tcPr>
          <w:p>
            <w:pPr>
              <w:spacing w:after="0"/>
              <w:rPr>
                <w:sz w:val="7"/>
                <w:szCs w:val="7"/>
                <w:color w:val="auto"/>
              </w:rPr>
            </w:pPr>
          </w:p>
        </w:tc>
        <w:tc>
          <w:tcPr>
            <w:tcW w:w="1080" w:type="dxa"/>
            <w:vAlign w:val="bottom"/>
            <w:tcBorders>
              <w:bottom w:val="single" w:sz="8" w:color="125288"/>
            </w:tcBorders>
          </w:tcPr>
          <w:p>
            <w:pPr>
              <w:spacing w:after="0"/>
              <w:rPr>
                <w:sz w:val="7"/>
                <w:szCs w:val="7"/>
                <w:color w:val="auto"/>
              </w:rPr>
            </w:pPr>
          </w:p>
        </w:tc>
        <w:tc>
          <w:tcPr>
            <w:tcW w:w="1340" w:type="dxa"/>
            <w:vAlign w:val="bottom"/>
            <w:tcBorders>
              <w:bottom w:val="single" w:sz="8" w:color="125288"/>
            </w:tcBorders>
          </w:tcPr>
          <w:p>
            <w:pPr>
              <w:spacing w:after="0"/>
              <w:rPr>
                <w:sz w:val="7"/>
                <w:szCs w:val="7"/>
                <w:color w:val="auto"/>
              </w:rPr>
            </w:pPr>
          </w:p>
        </w:tc>
        <w:tc>
          <w:tcPr>
            <w:tcW w:w="1480" w:type="dxa"/>
            <w:vAlign w:val="bottom"/>
            <w:tcBorders>
              <w:bottom w:val="single" w:sz="8" w:color="125288"/>
            </w:tcBorders>
          </w:tcPr>
          <w:p>
            <w:pPr>
              <w:spacing w:after="0"/>
              <w:rPr>
                <w:sz w:val="7"/>
                <w:szCs w:val="7"/>
                <w:color w:val="auto"/>
              </w:rPr>
            </w:pPr>
          </w:p>
        </w:tc>
      </w:tr>
      <w:tr>
        <w:trPr>
          <w:trHeight w:val="276"/>
        </w:trPr>
        <w:tc>
          <w:tcPr>
            <w:tcW w:w="5080" w:type="dxa"/>
            <w:vAlign w:val="bottom"/>
          </w:tcPr>
          <w:p>
            <w:pPr>
              <w:ind w:left="140"/>
              <w:spacing w:after="0"/>
              <w:rPr>
                <w:sz w:val="20"/>
                <w:szCs w:val="20"/>
                <w:color w:val="auto"/>
              </w:rPr>
            </w:pPr>
            <w:r>
              <w:rPr>
                <w:rFonts w:ascii="Arial" w:cs="Arial" w:eastAsia="Arial" w:hAnsi="Arial"/>
                <w:sz w:val="17"/>
                <w:szCs w:val="17"/>
                <w:color w:val="auto"/>
              </w:rPr>
              <w:t>Did Not Disclose Demographic Background</w:t>
            </w:r>
          </w:p>
        </w:tc>
        <w:tc>
          <w:tcPr>
            <w:tcW w:w="2280" w:type="dxa"/>
            <w:vAlign w:val="bottom"/>
          </w:tcPr>
          <w:p>
            <w:pPr>
              <w:spacing w:after="0"/>
              <w:rPr>
                <w:sz w:val="23"/>
                <w:szCs w:val="23"/>
                <w:color w:val="auto"/>
              </w:rPr>
            </w:pPr>
          </w:p>
        </w:tc>
        <w:tc>
          <w:tcPr>
            <w:tcW w:w="1080" w:type="dxa"/>
            <w:vAlign w:val="bottom"/>
          </w:tcPr>
          <w:p>
            <w:pPr>
              <w:jc w:val="right"/>
              <w:ind w:right="165"/>
              <w:spacing w:after="0"/>
              <w:rPr>
                <w:sz w:val="20"/>
                <w:szCs w:val="20"/>
                <w:color w:val="auto"/>
              </w:rPr>
            </w:pPr>
            <w:r>
              <w:rPr>
                <w:rFonts w:ascii="Arial" w:cs="Arial" w:eastAsia="Arial" w:hAnsi="Arial"/>
                <w:sz w:val="17"/>
                <w:szCs w:val="17"/>
                <w:color w:val="auto"/>
              </w:rPr>
              <w:t>—</w:t>
            </w:r>
          </w:p>
        </w:tc>
        <w:tc>
          <w:tcPr>
            <w:tcW w:w="13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85"/>
        </w:trPr>
        <w:tc>
          <w:tcPr>
            <w:tcW w:w="5080" w:type="dxa"/>
            <w:vAlign w:val="bottom"/>
            <w:tcBorders>
              <w:bottom w:val="single" w:sz="8" w:color="125288"/>
            </w:tcBorders>
          </w:tcPr>
          <w:p>
            <w:pPr>
              <w:spacing w:after="0"/>
              <w:rPr>
                <w:sz w:val="7"/>
                <w:szCs w:val="7"/>
                <w:color w:val="auto"/>
              </w:rPr>
            </w:pPr>
          </w:p>
        </w:tc>
        <w:tc>
          <w:tcPr>
            <w:tcW w:w="2280" w:type="dxa"/>
            <w:vAlign w:val="bottom"/>
            <w:tcBorders>
              <w:bottom w:val="single" w:sz="8" w:color="125288"/>
            </w:tcBorders>
          </w:tcPr>
          <w:p>
            <w:pPr>
              <w:spacing w:after="0"/>
              <w:rPr>
                <w:sz w:val="7"/>
                <w:szCs w:val="7"/>
                <w:color w:val="auto"/>
              </w:rPr>
            </w:pPr>
          </w:p>
        </w:tc>
        <w:tc>
          <w:tcPr>
            <w:tcW w:w="3900" w:type="dxa"/>
            <w:vAlign w:val="bottom"/>
            <w:tcBorders>
              <w:bottom w:val="single" w:sz="8" w:color="125288"/>
            </w:tcBorders>
            <w:gridSpan w:val="3"/>
          </w:tcPr>
          <w:p>
            <w:pPr>
              <w:spacing w:after="0"/>
              <w:rPr>
                <w:sz w:val="7"/>
                <w:szCs w:val="7"/>
                <w:color w:val="auto"/>
              </w:rPr>
            </w:pPr>
          </w:p>
        </w:tc>
      </w:tr>
      <w:tr>
        <w:trPr>
          <w:trHeight w:val="446"/>
        </w:trPr>
        <w:tc>
          <w:tcPr>
            <w:tcW w:w="5080" w:type="dxa"/>
            <w:vAlign w:val="bottom"/>
          </w:tcPr>
          <w:p>
            <w:pPr>
              <w:spacing w:after="0"/>
              <w:rPr>
                <w:sz w:val="20"/>
                <w:szCs w:val="20"/>
                <w:color w:val="auto"/>
              </w:rPr>
            </w:pPr>
            <w:r>
              <w:rPr>
                <w:rFonts w:ascii="Arial" w:cs="Arial" w:eastAsia="Arial" w:hAnsi="Arial"/>
                <w:sz w:val="14"/>
                <w:szCs w:val="14"/>
                <w:color w:val="706F6F"/>
              </w:rPr>
              <w:t>www.activisionblizzard.com</w:t>
            </w:r>
          </w:p>
        </w:tc>
        <w:tc>
          <w:tcPr>
            <w:tcW w:w="2280" w:type="dxa"/>
            <w:vAlign w:val="bottom"/>
          </w:tcPr>
          <w:p>
            <w:pPr>
              <w:spacing w:after="0"/>
              <w:rPr>
                <w:sz w:val="24"/>
                <w:szCs w:val="24"/>
                <w:color w:val="auto"/>
              </w:rPr>
            </w:pPr>
          </w:p>
        </w:tc>
        <w:tc>
          <w:tcPr>
            <w:tcW w:w="3900" w:type="dxa"/>
            <w:vAlign w:val="bottom"/>
            <w:gridSpan w:val="3"/>
          </w:tcPr>
          <w:p>
            <w:pPr>
              <w:jc w:val="right"/>
              <w:spacing w:after="0"/>
              <w:rPr>
                <w:sz w:val="20"/>
                <w:szCs w:val="20"/>
                <w:color w:val="auto"/>
              </w:rPr>
            </w:pPr>
            <w:r>
              <w:rPr>
                <w:rFonts w:ascii="Arial" w:cs="Arial" w:eastAsia="Arial" w:hAnsi="Arial"/>
                <w:sz w:val="14"/>
                <w:szCs w:val="14"/>
                <w:color w:val="706F6F"/>
              </w:rPr>
              <w:t>ACTIVISION BLIZZARD, INC.  2022 Proxy Statement</w:t>
            </w:r>
            <w:r>
              <w:rPr>
                <w:rFonts w:ascii="Arial" w:cs="Arial" w:eastAsia="Arial" w:hAnsi="Arial"/>
                <w:sz w:val="14"/>
                <w:szCs w:val="14"/>
                <w:b w:val="1"/>
                <w:bCs w:val="1"/>
                <w:color w:val="706F6F"/>
              </w:rPr>
              <w:t>19</w:t>
            </w:r>
          </w:p>
        </w:tc>
      </w:tr>
      <w:tr>
        <w:trPr>
          <w:trHeight w:val="93"/>
        </w:trPr>
        <w:tc>
          <w:tcPr>
            <w:tcW w:w="5080" w:type="dxa"/>
            <w:vAlign w:val="bottom"/>
            <w:tcBorders>
              <w:bottom w:val="single" w:sz="8" w:color="808080"/>
            </w:tcBorders>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r>
    </w:tbl>
    <w:p>
      <w:pPr>
        <w:sectPr>
          <w:pgSz w:w="11900" w:h="16838" w:orient="portrait"/>
          <w:cols w:equalWidth="0" w:num="1">
            <w:col w:w="11260"/>
          </w:cols>
          <w:pgMar w:left="320" w:top="144" w:right="319" w:bottom="1440" w:gutter="0" w:footer="0" w:header="0"/>
        </w:sectPr>
      </w:pPr>
    </w:p>
    <w:bookmarkStart w:id="22" w:name="page23"/>
    <w:bookmarkEnd w:id="22"/>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35"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With the addition to our Board of Ms. Meservey, the Board satisfies California requirements with respect to the number of women on our Board—and, upon the election of Ms. Carr, will exceed them. In addition, our Board currently exceeds California requirements with respect to the number of directors from underrepresented communities (individuals who self-identify as Black, African American, Hispanic, Latino, Asian, Pacific Islander, Native American, Native Hawaiian, or Alaska Native, or who self-identify as gay, lesbian, bisexual, or transgender).</w:t>
      </w:r>
    </w:p>
    <w:p>
      <w:pPr>
        <w:spacing w:after="0" w:line="235"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INFORMATION ABOUT OUR DIRECTOR NOMINEES</w:t>
      </w:r>
    </w:p>
    <w:p>
      <w:pPr>
        <w:spacing w:after="0" w:line="30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We believe all of our director nominees bring or, in the case of our new director nominee, Kerry Carr, will bring, to our Board the practical wisdom and strong professional characteristics, judgment, and leadership abilities necessary to keep our Company performing competitively in the market. The following biographies of our director nominees describe their noteworthy experience, individual qualifications, and skills that we believe contribute, or will contribute, to our Board’s effectiveness and success.</w:t>
      </w:r>
    </w:p>
    <w:p>
      <w:pPr>
        <w:spacing w:after="0" w:line="286"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125288"/>
        </w:rPr>
        <w:t>REVETA BOWERS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38735</wp:posOffset>
            </wp:positionV>
            <wp:extent cx="7148830"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128" w:lineRule="exact"/>
        <w:rPr>
          <w:sz w:val="20"/>
          <w:szCs w:val="20"/>
          <w:color w:val="auto"/>
        </w:rPr>
      </w:pPr>
    </w:p>
    <w:p>
      <w:pPr>
        <w:jc w:val="both"/>
        <w:ind w:left="1560" w:right="60"/>
        <w:spacing w:after="0" w:line="236" w:lineRule="auto"/>
        <w:rPr>
          <w:sz w:val="20"/>
          <w:szCs w:val="20"/>
          <w:color w:val="auto"/>
        </w:rPr>
      </w:pPr>
      <w:r>
        <w:rPr>
          <w:rFonts w:ascii="Arial" w:cs="Arial" w:eastAsia="Arial" w:hAnsi="Arial"/>
          <w:sz w:val="17"/>
          <w:szCs w:val="17"/>
          <w:color w:val="auto"/>
        </w:rPr>
        <w:t>Ms. Bowers has served as an independent governance and organizational consultant for nonprofit organizations since 2016. From 1972 to 2016, she served as a teacher and administrator at The Center for Early Education, an independent school for children, and on July 1, 2020, she returned as Interim Head of School. From 1993 to 2003, she served on the Board of Directors of The Walt Disney Company, a global entertainment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-482600</wp:posOffset>
            </wp:positionV>
            <wp:extent cx="7103110" cy="6870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3110" cy="68707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ind w:left="60" w:right="300"/>
        <w:spacing w:after="0" w:line="291" w:lineRule="auto"/>
        <w:rPr>
          <w:sz w:val="20"/>
          <w:szCs w:val="20"/>
          <w:color w:val="auto"/>
        </w:rPr>
      </w:pPr>
      <w:r>
        <w:rPr>
          <w:rFonts w:ascii="Arial" w:cs="Arial" w:eastAsia="Arial" w:hAnsi="Arial"/>
          <w:sz w:val="15"/>
          <w:szCs w:val="15"/>
          <w:b w:val="1"/>
          <w:bCs w:val="1"/>
          <w:color w:val="auto"/>
        </w:rPr>
        <w:t>Independent Director</w:t>
      </w:r>
    </w:p>
    <w:p>
      <w:pPr>
        <w:spacing w:after="0" w:line="22" w:lineRule="exact"/>
        <w:rPr>
          <w:sz w:val="20"/>
          <w:szCs w:val="20"/>
          <w:color w:val="auto"/>
        </w:rPr>
      </w:pPr>
    </w:p>
    <w:p>
      <w:pPr>
        <w:ind w:left="60" w:right="60"/>
        <w:spacing w:after="0" w:line="262" w:lineRule="auto"/>
        <w:rPr>
          <w:sz w:val="20"/>
          <w:szCs w:val="20"/>
          <w:color w:val="auto"/>
        </w:rPr>
      </w:pPr>
      <w:r>
        <w:rPr>
          <w:rFonts w:ascii="Arial" w:cs="Arial" w:eastAsia="Arial" w:hAnsi="Arial"/>
          <w:sz w:val="15"/>
          <w:szCs w:val="15"/>
          <w:b w:val="1"/>
          <w:bCs w:val="1"/>
          <w:color w:val="auto"/>
        </w:rPr>
        <w:t>Interim Head of School of the Center for Early Education</w:t>
      </w:r>
    </w:p>
    <w:p>
      <w:pPr>
        <w:spacing w:after="0" w:line="43" w:lineRule="exact"/>
        <w:rPr>
          <w:sz w:val="20"/>
          <w:szCs w:val="20"/>
          <w:color w:val="auto"/>
        </w:rPr>
      </w:pPr>
    </w:p>
    <w:p>
      <w:pPr>
        <w:ind w:left="60" w:right="400"/>
        <w:spacing w:after="0" w:line="291" w:lineRule="auto"/>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b w:val="1"/>
          <w:bCs w:val="1"/>
          <w:color w:val="125288"/>
        </w:rPr>
        <w:t>2018</w:t>
      </w:r>
    </w:p>
    <w:p>
      <w:pPr>
        <w:spacing w:after="0" w:line="22" w:lineRule="exact"/>
        <w:rPr>
          <w:sz w:val="20"/>
          <w:szCs w:val="20"/>
          <w:color w:val="auto"/>
        </w:rPr>
      </w:pPr>
    </w:p>
    <w:p>
      <w:pPr>
        <w:ind w:left="60" w:right="80"/>
        <w:spacing w:after="0" w:line="262" w:lineRule="auto"/>
        <w:rPr>
          <w:sz w:val="20"/>
          <w:szCs w:val="20"/>
          <w:color w:val="auto"/>
        </w:rPr>
      </w:pPr>
      <w:r>
        <w:rPr>
          <w:rFonts w:ascii="Arial" w:cs="Arial" w:eastAsia="Arial" w:hAnsi="Arial"/>
          <w:sz w:val="15"/>
          <w:szCs w:val="15"/>
          <w:b w:val="1"/>
          <w:bCs w:val="1"/>
          <w:color w:val="auto"/>
        </w:rPr>
        <w:t>Activision Blizzard Committee Membership(s):</w:t>
      </w:r>
    </w:p>
    <w:p>
      <w:pPr>
        <w:spacing w:after="0" w:line="43" w:lineRule="exact"/>
        <w:rPr>
          <w:sz w:val="20"/>
          <w:szCs w:val="20"/>
          <w:color w:val="auto"/>
        </w:rPr>
      </w:pPr>
    </w:p>
    <w:p>
      <w:pPr>
        <w:ind w:left="200" w:hanging="145"/>
        <w:spacing w:after="0" w:line="259" w:lineRule="auto"/>
        <w:tabs>
          <w:tab w:leader="none" w:pos="200" w:val="left"/>
        </w:tabs>
        <w:numPr>
          <w:ilvl w:val="0"/>
          <w:numId w:val="9"/>
        </w:numPr>
        <w:rPr>
          <w:rFonts w:ascii="Arial" w:cs="Arial" w:eastAsia="Arial" w:hAnsi="Arial"/>
          <w:sz w:val="17"/>
          <w:szCs w:val="17"/>
          <w:b w:val="1"/>
          <w:bCs w:val="1"/>
          <w:color w:val="125288"/>
        </w:rPr>
      </w:pPr>
      <w:r>
        <w:rPr>
          <w:rFonts w:ascii="Arial" w:cs="Arial" w:eastAsia="Arial" w:hAnsi="Arial"/>
          <w:sz w:val="15"/>
          <w:szCs w:val="15"/>
          <w:b w:val="1"/>
          <w:bCs w:val="1"/>
          <w:color w:val="auto"/>
        </w:rPr>
        <w:t>Compensation Committee</w:t>
      </w:r>
    </w:p>
    <w:p>
      <w:pPr>
        <w:spacing w:after="0" w:line="42" w:lineRule="exact"/>
        <w:rPr>
          <w:rFonts w:ascii="Arial" w:cs="Arial" w:eastAsia="Arial" w:hAnsi="Arial"/>
          <w:sz w:val="17"/>
          <w:szCs w:val="17"/>
          <w:b w:val="1"/>
          <w:bCs w:val="1"/>
          <w:color w:val="125288"/>
        </w:rPr>
      </w:pPr>
    </w:p>
    <w:p>
      <w:pPr>
        <w:ind w:left="200" w:right="20" w:hanging="145"/>
        <w:spacing w:after="0" w:line="253" w:lineRule="auto"/>
        <w:tabs>
          <w:tab w:leader="none" w:pos="200" w:val="left"/>
        </w:tabs>
        <w:numPr>
          <w:ilvl w:val="0"/>
          <w:numId w:val="9"/>
        </w:numPr>
        <w:rPr>
          <w:rFonts w:ascii="Arial" w:cs="Arial" w:eastAsia="Arial" w:hAnsi="Arial"/>
          <w:sz w:val="17"/>
          <w:szCs w:val="17"/>
          <w:b w:val="1"/>
          <w:bCs w:val="1"/>
          <w:color w:val="125288"/>
        </w:rPr>
      </w:pPr>
      <w:r>
        <w:rPr>
          <w:rFonts w:ascii="Arial" w:cs="Arial" w:eastAsia="Arial" w:hAnsi="Arial"/>
          <w:sz w:val="15"/>
          <w:szCs w:val="15"/>
          <w:b w:val="1"/>
          <w:bCs w:val="1"/>
          <w:color w:val="auto"/>
        </w:rPr>
        <w:t>Workplace Responsibility Committee</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b w:val="1"/>
          <w:bCs w:val="1"/>
          <w:color w:val="125288"/>
        </w:rPr>
        <w:t>73</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Experience/Qualifications:</w:t>
      </w:r>
    </w:p>
    <w:p>
      <w:pPr>
        <w:spacing w:after="0" w:line="61" w:lineRule="exact"/>
        <w:rPr>
          <w:sz w:val="20"/>
          <w:szCs w:val="20"/>
          <w:color w:val="auto"/>
        </w:rPr>
      </w:pPr>
    </w:p>
    <w:p>
      <w:pPr>
        <w:ind w:left="160" w:right="140" w:hanging="156"/>
        <w:spacing w:after="0" w:line="237" w:lineRule="auto"/>
        <w:tabs>
          <w:tab w:leader="none" w:pos="160" w:val="left"/>
        </w:tabs>
        <w:numPr>
          <w:ilvl w:val="0"/>
          <w:numId w:val="10"/>
        </w:numPr>
        <w:rPr>
          <w:rFonts w:ascii="Arial" w:cs="Arial" w:eastAsia="Arial" w:hAnsi="Arial"/>
          <w:sz w:val="17"/>
          <w:szCs w:val="17"/>
          <w:color w:val="125288"/>
        </w:rPr>
      </w:pPr>
      <w:r>
        <w:rPr>
          <w:rFonts w:ascii="Arial" w:cs="Arial" w:eastAsia="Arial" w:hAnsi="Arial"/>
          <w:sz w:val="17"/>
          <w:szCs w:val="17"/>
          <w:color w:val="auto"/>
        </w:rPr>
        <w:t>Extensive public board experience, with ten years as an outside director of The Walt Disney Company and as a member of four committees of Disney’s board</w:t>
      </w:r>
    </w:p>
    <w:p>
      <w:pPr>
        <w:spacing w:after="0" w:line="27" w:lineRule="exact"/>
        <w:rPr>
          <w:rFonts w:ascii="Arial" w:cs="Arial" w:eastAsia="Arial" w:hAnsi="Arial"/>
          <w:sz w:val="17"/>
          <w:szCs w:val="17"/>
          <w:color w:val="125288"/>
        </w:rPr>
      </w:pPr>
    </w:p>
    <w:p>
      <w:pPr>
        <w:ind w:left="160" w:hanging="156"/>
        <w:spacing w:after="0" w:line="237" w:lineRule="auto"/>
        <w:tabs>
          <w:tab w:leader="none" w:pos="160" w:val="left"/>
        </w:tabs>
        <w:numPr>
          <w:ilvl w:val="0"/>
          <w:numId w:val="10"/>
        </w:numPr>
        <w:rPr>
          <w:rFonts w:ascii="Arial" w:cs="Arial" w:eastAsia="Arial" w:hAnsi="Arial"/>
          <w:sz w:val="17"/>
          <w:szCs w:val="17"/>
          <w:color w:val="125288"/>
        </w:rPr>
      </w:pPr>
      <w:r>
        <w:rPr>
          <w:rFonts w:ascii="Arial" w:cs="Arial" w:eastAsia="Arial" w:hAnsi="Arial"/>
          <w:sz w:val="17"/>
          <w:szCs w:val="17"/>
          <w:color w:val="auto"/>
        </w:rPr>
        <w:t>Serves as Chair of Common Sense Media, a non-profit organization dedicated to helping children use technology responsibly, safely, and effectively</w:t>
      </w:r>
    </w:p>
    <w:p>
      <w:pPr>
        <w:spacing w:after="0" w:line="27" w:lineRule="exact"/>
        <w:rPr>
          <w:rFonts w:ascii="Arial" w:cs="Arial" w:eastAsia="Arial" w:hAnsi="Arial"/>
          <w:sz w:val="17"/>
          <w:szCs w:val="17"/>
          <w:color w:val="125288"/>
        </w:rPr>
      </w:pPr>
    </w:p>
    <w:p>
      <w:pPr>
        <w:ind w:left="160" w:right="620" w:hanging="156"/>
        <w:spacing w:after="0" w:line="239" w:lineRule="auto"/>
        <w:tabs>
          <w:tab w:leader="none" w:pos="160" w:val="left"/>
        </w:tabs>
        <w:numPr>
          <w:ilvl w:val="0"/>
          <w:numId w:val="10"/>
        </w:numPr>
        <w:rPr>
          <w:rFonts w:ascii="Arial" w:cs="Arial" w:eastAsia="Arial" w:hAnsi="Arial"/>
          <w:sz w:val="17"/>
          <w:szCs w:val="17"/>
          <w:color w:val="125288"/>
        </w:rPr>
      </w:pPr>
      <w:r>
        <w:rPr>
          <w:rFonts w:ascii="Arial" w:cs="Arial" w:eastAsia="Arial" w:hAnsi="Arial"/>
          <w:sz w:val="17"/>
          <w:szCs w:val="17"/>
          <w:color w:val="auto"/>
        </w:rPr>
        <w:t>Serves as an advocate for the use of gaming and technology to enhance childhood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-993140</wp:posOffset>
            </wp:positionH>
            <wp:positionV relativeFrom="paragraph">
              <wp:posOffset>1410970</wp:posOffset>
            </wp:positionV>
            <wp:extent cx="7148830"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Involvement with Other Organization(s):</w:t>
      </w:r>
    </w:p>
    <w:p>
      <w:pPr>
        <w:spacing w:after="0" w:line="61" w:lineRule="exact"/>
        <w:rPr>
          <w:sz w:val="20"/>
          <w:szCs w:val="20"/>
          <w:color w:val="auto"/>
        </w:rPr>
      </w:pPr>
    </w:p>
    <w:p>
      <w:pPr>
        <w:ind w:left="160" w:right="400" w:hanging="159"/>
        <w:spacing w:after="0" w:line="239" w:lineRule="auto"/>
        <w:tabs>
          <w:tab w:leader="none" w:pos="160" w:val="left"/>
        </w:tabs>
        <w:numPr>
          <w:ilvl w:val="0"/>
          <w:numId w:val="11"/>
        </w:numPr>
        <w:rPr>
          <w:rFonts w:ascii="Arial" w:cs="Arial" w:eastAsia="Arial" w:hAnsi="Arial"/>
          <w:sz w:val="17"/>
          <w:szCs w:val="17"/>
          <w:color w:val="125288"/>
        </w:rPr>
      </w:pPr>
      <w:r>
        <w:rPr>
          <w:rFonts w:ascii="Arial" w:cs="Arial" w:eastAsia="Arial" w:hAnsi="Arial"/>
          <w:sz w:val="17"/>
          <w:szCs w:val="17"/>
          <w:color w:val="auto"/>
        </w:rPr>
        <w:t>California Teacher Development Collaborative (seminar faculty member)</w:t>
      </w:r>
    </w:p>
    <w:p>
      <w:pPr>
        <w:spacing w:after="0" w:line="26" w:lineRule="exact"/>
        <w:rPr>
          <w:rFonts w:ascii="Arial" w:cs="Arial" w:eastAsia="Arial" w:hAnsi="Arial"/>
          <w:sz w:val="17"/>
          <w:szCs w:val="17"/>
          <w:color w:val="125288"/>
        </w:rPr>
      </w:pPr>
    </w:p>
    <w:p>
      <w:pPr>
        <w:ind w:left="160" w:hanging="159"/>
        <w:spacing w:after="0"/>
        <w:tabs>
          <w:tab w:leader="none" w:pos="160" w:val="left"/>
        </w:tabs>
        <w:numPr>
          <w:ilvl w:val="0"/>
          <w:numId w:val="11"/>
        </w:numPr>
        <w:rPr>
          <w:rFonts w:ascii="Arial" w:cs="Arial" w:eastAsia="Arial" w:hAnsi="Arial"/>
          <w:sz w:val="17"/>
          <w:szCs w:val="17"/>
          <w:color w:val="125288"/>
        </w:rPr>
      </w:pPr>
      <w:r>
        <w:rPr>
          <w:rFonts w:ascii="Arial" w:cs="Arial" w:eastAsia="Arial" w:hAnsi="Arial"/>
          <w:sz w:val="17"/>
          <w:szCs w:val="17"/>
          <w:color w:val="auto"/>
        </w:rPr>
        <w:t>Common Sense Media (Chair Emeritus)</w:t>
      </w:r>
    </w:p>
    <w:p>
      <w:pPr>
        <w:spacing w:after="0" w:line="30" w:lineRule="exact"/>
        <w:rPr>
          <w:rFonts w:ascii="Arial" w:cs="Arial" w:eastAsia="Arial" w:hAnsi="Arial"/>
          <w:sz w:val="17"/>
          <w:szCs w:val="17"/>
          <w:color w:val="125288"/>
        </w:rPr>
      </w:pPr>
    </w:p>
    <w:p>
      <w:pPr>
        <w:ind w:left="160" w:hanging="159"/>
        <w:spacing w:after="0"/>
        <w:tabs>
          <w:tab w:leader="none" w:pos="160" w:val="left"/>
        </w:tabs>
        <w:numPr>
          <w:ilvl w:val="0"/>
          <w:numId w:val="11"/>
        </w:numPr>
        <w:rPr>
          <w:rFonts w:ascii="Arial" w:cs="Arial" w:eastAsia="Arial" w:hAnsi="Arial"/>
          <w:sz w:val="17"/>
          <w:szCs w:val="17"/>
          <w:color w:val="125288"/>
        </w:rPr>
      </w:pPr>
      <w:r>
        <w:rPr>
          <w:rFonts w:ascii="Arial" w:cs="Arial" w:eastAsia="Arial" w:hAnsi="Arial"/>
          <w:sz w:val="17"/>
          <w:szCs w:val="17"/>
          <w:color w:val="auto"/>
        </w:rPr>
        <w:t>Dream Fund for Scholars (Member of Advisory Board)</w:t>
      </w:r>
    </w:p>
    <w:p>
      <w:pPr>
        <w:spacing w:after="0" w:line="30" w:lineRule="exact"/>
        <w:rPr>
          <w:rFonts w:ascii="Arial" w:cs="Arial" w:eastAsia="Arial" w:hAnsi="Arial"/>
          <w:sz w:val="17"/>
          <w:szCs w:val="17"/>
          <w:color w:val="125288"/>
        </w:rPr>
      </w:pPr>
    </w:p>
    <w:p>
      <w:pPr>
        <w:ind w:left="160" w:hanging="159"/>
        <w:spacing w:after="0"/>
        <w:tabs>
          <w:tab w:leader="none" w:pos="160" w:val="left"/>
        </w:tabs>
        <w:numPr>
          <w:ilvl w:val="0"/>
          <w:numId w:val="11"/>
        </w:numPr>
        <w:rPr>
          <w:rFonts w:ascii="Arial" w:cs="Arial" w:eastAsia="Arial" w:hAnsi="Arial"/>
          <w:sz w:val="16"/>
          <w:szCs w:val="16"/>
          <w:color w:val="125288"/>
        </w:rPr>
      </w:pPr>
      <w:r>
        <w:rPr>
          <w:rFonts w:ascii="Arial" w:cs="Arial" w:eastAsia="Arial" w:hAnsi="Arial"/>
          <w:sz w:val="16"/>
          <w:szCs w:val="16"/>
          <w:color w:val="auto"/>
        </w:rPr>
        <w:t>Edward E. Ford Foundation (Member of Board of Advisors)</w:t>
      </w:r>
    </w:p>
    <w:p>
      <w:pPr>
        <w:spacing w:after="0" w:line="41" w:lineRule="exact"/>
        <w:rPr>
          <w:rFonts w:ascii="Arial" w:cs="Arial" w:eastAsia="Arial" w:hAnsi="Arial"/>
          <w:sz w:val="16"/>
          <w:szCs w:val="16"/>
          <w:color w:val="125288"/>
        </w:rPr>
      </w:pPr>
    </w:p>
    <w:p>
      <w:pPr>
        <w:ind w:left="160" w:hanging="159"/>
        <w:spacing w:after="0"/>
        <w:tabs>
          <w:tab w:leader="none" w:pos="160" w:val="left"/>
        </w:tabs>
        <w:numPr>
          <w:ilvl w:val="0"/>
          <w:numId w:val="11"/>
        </w:numPr>
        <w:rPr>
          <w:rFonts w:ascii="Arial" w:cs="Arial" w:eastAsia="Arial" w:hAnsi="Arial"/>
          <w:sz w:val="17"/>
          <w:szCs w:val="17"/>
          <w:color w:val="125288"/>
        </w:rPr>
      </w:pPr>
      <w:r>
        <w:rPr>
          <w:rFonts w:ascii="Arial" w:cs="Arial" w:eastAsia="Arial" w:hAnsi="Arial"/>
          <w:sz w:val="17"/>
          <w:szCs w:val="17"/>
          <w:color w:val="auto"/>
        </w:rPr>
        <w:t>FEDCO Charitable Foundation (Board of Directors)</w:t>
      </w:r>
    </w:p>
    <w:p>
      <w:pPr>
        <w:spacing w:after="0" w:line="30" w:lineRule="exact"/>
        <w:rPr>
          <w:rFonts w:ascii="Arial" w:cs="Arial" w:eastAsia="Arial" w:hAnsi="Arial"/>
          <w:sz w:val="17"/>
          <w:szCs w:val="17"/>
          <w:color w:val="125288"/>
        </w:rPr>
      </w:pPr>
    </w:p>
    <w:p>
      <w:pPr>
        <w:ind w:left="160" w:hanging="159"/>
        <w:spacing w:after="0"/>
        <w:tabs>
          <w:tab w:leader="none" w:pos="160" w:val="left"/>
        </w:tabs>
        <w:numPr>
          <w:ilvl w:val="0"/>
          <w:numId w:val="11"/>
        </w:numPr>
        <w:rPr>
          <w:rFonts w:ascii="Arial" w:cs="Arial" w:eastAsia="Arial" w:hAnsi="Arial"/>
          <w:sz w:val="17"/>
          <w:szCs w:val="17"/>
          <w:color w:val="125288"/>
        </w:rPr>
      </w:pPr>
      <w:r>
        <w:rPr>
          <w:rFonts w:ascii="Arial" w:cs="Arial" w:eastAsia="Arial" w:hAnsi="Arial"/>
          <w:sz w:val="17"/>
          <w:szCs w:val="17"/>
          <w:color w:val="auto"/>
        </w:rPr>
        <w:t>L.A. Philharmonic (Vice Chair of Board of Directors)</w:t>
      </w:r>
    </w:p>
    <w:p>
      <w:pPr>
        <w:spacing w:after="0" w:line="30" w:lineRule="exact"/>
        <w:rPr>
          <w:rFonts w:ascii="Arial" w:cs="Arial" w:eastAsia="Arial" w:hAnsi="Arial"/>
          <w:sz w:val="17"/>
          <w:szCs w:val="17"/>
          <w:color w:val="125288"/>
        </w:rPr>
      </w:pPr>
    </w:p>
    <w:p>
      <w:pPr>
        <w:ind w:left="160" w:right="660" w:hanging="159"/>
        <w:spacing w:after="0" w:line="239" w:lineRule="auto"/>
        <w:tabs>
          <w:tab w:leader="none" w:pos="160" w:val="left"/>
        </w:tabs>
        <w:numPr>
          <w:ilvl w:val="0"/>
          <w:numId w:val="11"/>
        </w:numPr>
        <w:rPr>
          <w:rFonts w:ascii="Arial" w:cs="Arial" w:eastAsia="Arial" w:hAnsi="Arial"/>
          <w:sz w:val="17"/>
          <w:szCs w:val="17"/>
          <w:color w:val="125288"/>
        </w:rPr>
      </w:pPr>
      <w:r>
        <w:rPr>
          <w:rFonts w:ascii="Arial" w:cs="Arial" w:eastAsia="Arial" w:hAnsi="Arial"/>
          <w:sz w:val="17"/>
          <w:szCs w:val="17"/>
          <w:color w:val="auto"/>
        </w:rPr>
        <w:t>Rossier School of Education, University of Southern California (Chair of Board of Councilors)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Education:</w:t>
      </w:r>
    </w:p>
    <w:p>
      <w:pPr>
        <w:spacing w:after="0" w:line="50" w:lineRule="exact"/>
        <w:rPr>
          <w:sz w:val="20"/>
          <w:szCs w:val="20"/>
          <w:color w:val="auto"/>
        </w:rPr>
      </w:pPr>
    </w:p>
    <w:p>
      <w:pPr>
        <w:ind w:left="160" w:right="800" w:hanging="159"/>
        <w:spacing w:after="0" w:line="239" w:lineRule="auto"/>
        <w:tabs>
          <w:tab w:leader="none" w:pos="160" w:val="left"/>
        </w:tabs>
        <w:numPr>
          <w:ilvl w:val="0"/>
          <w:numId w:val="12"/>
        </w:numPr>
        <w:rPr>
          <w:rFonts w:ascii="Arial" w:cs="Arial" w:eastAsia="Arial" w:hAnsi="Arial"/>
          <w:sz w:val="17"/>
          <w:szCs w:val="17"/>
          <w:color w:val="125288"/>
        </w:rPr>
      </w:pPr>
      <w:r>
        <w:rPr>
          <w:rFonts w:ascii="Arial" w:cs="Arial" w:eastAsia="Arial" w:hAnsi="Arial"/>
          <w:sz w:val="17"/>
          <w:szCs w:val="17"/>
          <w:color w:val="auto"/>
        </w:rPr>
        <w:t>B.A. in humanities from the University of Southern California</w:t>
      </w:r>
    </w:p>
    <w:p>
      <w:pPr>
        <w:spacing w:after="0" w:line="26" w:lineRule="exact"/>
        <w:rPr>
          <w:rFonts w:ascii="Arial" w:cs="Arial" w:eastAsia="Arial" w:hAnsi="Arial"/>
          <w:sz w:val="17"/>
          <w:szCs w:val="17"/>
          <w:color w:val="125288"/>
        </w:rPr>
      </w:pPr>
    </w:p>
    <w:p>
      <w:pPr>
        <w:ind w:left="160" w:right="500" w:hanging="159"/>
        <w:spacing w:after="0" w:line="239" w:lineRule="auto"/>
        <w:tabs>
          <w:tab w:leader="none" w:pos="160" w:val="left"/>
        </w:tabs>
        <w:numPr>
          <w:ilvl w:val="0"/>
          <w:numId w:val="12"/>
        </w:numPr>
        <w:rPr>
          <w:rFonts w:ascii="Arial" w:cs="Arial" w:eastAsia="Arial" w:hAnsi="Arial"/>
          <w:sz w:val="17"/>
          <w:szCs w:val="17"/>
          <w:color w:val="125288"/>
        </w:rPr>
      </w:pPr>
      <w:r>
        <w:rPr>
          <w:rFonts w:ascii="Arial" w:cs="Arial" w:eastAsia="Arial" w:hAnsi="Arial"/>
          <w:sz w:val="17"/>
          <w:szCs w:val="17"/>
          <w:color w:val="auto"/>
        </w:rPr>
        <w:t>M.A. in developmental psychology from the College of Developmental Studies</w:t>
      </w:r>
    </w:p>
    <w:p>
      <w:pPr>
        <w:spacing w:after="0" w:line="950" w:lineRule="exact"/>
        <w:rPr>
          <w:sz w:val="20"/>
          <w:szCs w:val="20"/>
          <w:color w:val="auto"/>
        </w:rPr>
      </w:pPr>
    </w:p>
    <w:p>
      <w:pPr>
        <w:sectPr>
          <w:pgSz w:w="11900" w:h="16838" w:orient="portrait"/>
          <w:cols w:equalWidth="0" w:num="3">
            <w:col w:w="1280" w:space="280"/>
            <w:col w:w="4400" w:space="660"/>
            <w:col w:w="4640"/>
          </w:cols>
          <w:pgMar w:left="320" w:top="144" w:right="319" w:bottom="1440" w:gutter="0" w:footer="0" w:header="0"/>
          <w:type w:val="continuous"/>
        </w:sectPr>
      </w:pPr>
    </w:p>
    <w:p>
      <w:pPr>
        <w:spacing w:after="0" w:line="66"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type w:val="continuous"/>
        </w:sectPr>
      </w:pPr>
    </w:p>
    <w:bookmarkStart w:id="23" w:name="page24"/>
    <w:bookmarkEnd w:id="23"/>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125288"/>
        </w:rPr>
        <w:t>KERRY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45720</wp:posOffset>
            </wp:positionV>
            <wp:extent cx="7148830"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60"/>
        <w:spacing w:after="0" w:line="269" w:lineRule="auto"/>
        <w:rPr>
          <w:sz w:val="20"/>
          <w:szCs w:val="20"/>
          <w:color w:val="auto"/>
        </w:rPr>
      </w:pPr>
      <w:r>
        <w:rPr>
          <w:rFonts w:ascii="Arial" w:cs="Arial" w:eastAsia="Arial" w:hAnsi="Arial"/>
          <w:sz w:val="15"/>
          <w:szCs w:val="15"/>
          <w:b w:val="1"/>
          <w:bCs w:val="1"/>
          <w:color w:val="auto"/>
        </w:rPr>
        <w:t>Independent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-1127760</wp:posOffset>
            </wp:positionV>
            <wp:extent cx="687070" cy="6870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7070" cy="687070"/>
                    </a:xfrm>
                    <a:prstGeom prst="rect">
                      <a:avLst/>
                    </a:prstGeom>
                    <a:noFill/>
                  </pic:spPr>
                </pic:pic>
              </a:graphicData>
            </a:graphic>
          </wp:anchor>
        </w:drawing>
      </w:r>
    </w:p>
    <w:p>
      <w:pPr>
        <w:spacing w:after="0" w:line="18"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Senior Vice</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President</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Global</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Performance</w:t>
      </w:r>
    </w:p>
    <w:p>
      <w:pPr>
        <w:ind w:left="60"/>
        <w:spacing w:after="0" w:line="181" w:lineRule="auto"/>
        <w:rPr>
          <w:sz w:val="20"/>
          <w:szCs w:val="20"/>
          <w:color w:val="auto"/>
        </w:rPr>
      </w:pPr>
      <w:r>
        <w:rPr>
          <w:rFonts w:ascii="Arial" w:cs="Arial" w:eastAsia="Arial" w:hAnsi="Arial"/>
          <w:sz w:val="13"/>
          <w:szCs w:val="13"/>
          <w:b w:val="1"/>
          <w:bCs w:val="1"/>
          <w:color w:val="auto"/>
        </w:rPr>
        <w:t>Management,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both"/>
        <w:ind w:right="60"/>
        <w:spacing w:after="0" w:line="234" w:lineRule="auto"/>
        <w:rPr>
          <w:sz w:val="20"/>
          <w:szCs w:val="20"/>
          <w:color w:val="auto"/>
        </w:rPr>
      </w:pPr>
      <w:r>
        <w:rPr>
          <w:rFonts w:ascii="Arial" w:cs="Arial" w:eastAsia="Arial" w:hAnsi="Arial"/>
          <w:sz w:val="17"/>
          <w:szCs w:val="17"/>
          <w:color w:val="auto"/>
        </w:rPr>
        <w:t>Ms. Carr is the Senior Vice President Global Performance Management, Revenue Growth Management and Shared Services at Bacardi Limited, a privately-held spirits company. She has held the role of Senior Vice President Global Performance Management since April 2020, and in April 2021, became the Senior Vice President Global Performance Management, Revenue Growth Management and Shared Services and was appointed to the CEO’s Global Leadership Team. Prior to that, Ms. Carr served as Global Senior Vice President—Continuous Improvement and Special Projects from 2014 until 2020 at Bacardi. Ms. Carr held a number of positions in finance, operations, supply chain and organizational design before joining Bacardi, including serving as: Executive Vice President, Chief Operating Officer, and Chief Financial Officer at Kid Brands, Inc. from 2012 to 2014 (Kid Brands, Inc. filed a voluntary petition for Chapter 11 bankruptcy in 2014); in positions of increasing responsibility in finance and operations at Avon Products, Inc. from 2003 to 2012; Vice President of Internal Audit and Corporate Security at AT&amp;T Inc. from 2001 to 2003; Senior Vice President &amp; Chief Financial Officer at ABC Television Stations and Radio Group from 1999 to 2001; Vice President Worldwide Management Audit and International Labor Standards Compliance at The Walt Disney Company from 1996 to 1999; Vice President of Internal Audit at Capital Cities/ABC, Inc. from 1991 to 1996; and various financial management and audit roles at Deloitte &amp; Touche from 1985 to 1991.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24765</wp:posOffset>
            </wp:positionV>
            <wp:extent cx="623506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35065" cy="1524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1040" w:space="420"/>
            <w:col w:w="9800"/>
          </w:cols>
          <w:pgMar w:left="320" w:top="144" w:right="319" w:bottom="1440" w:gutter="0" w:footer="0" w:header="0"/>
          <w:type w:val="continuous"/>
        </w:sectPr>
      </w:pPr>
    </w:p>
    <w:p>
      <w:pPr>
        <w:spacing w:after="0" w:line="52" w:lineRule="exact"/>
        <w:rPr>
          <w:sz w:val="20"/>
          <w:szCs w:val="20"/>
          <w:color w:val="auto"/>
        </w:rPr>
      </w:pPr>
    </w:p>
    <w:p>
      <w:pPr>
        <w:ind w:left="60" w:right="200"/>
        <w:spacing w:after="0" w:line="256" w:lineRule="auto"/>
        <w:rPr>
          <w:sz w:val="20"/>
          <w:szCs w:val="20"/>
          <w:color w:val="auto"/>
        </w:rPr>
      </w:pPr>
      <w:r>
        <w:rPr>
          <w:rFonts w:ascii="Arial" w:cs="Arial" w:eastAsia="Arial" w:hAnsi="Arial"/>
          <w:sz w:val="15"/>
          <w:szCs w:val="15"/>
          <w:b w:val="1"/>
          <w:bCs w:val="1"/>
          <w:color w:val="auto"/>
        </w:rPr>
        <w:t>Revenue Growth Management and Shared Services of Bacardi</w:t>
      </w:r>
    </w:p>
    <w:p>
      <w:pPr>
        <w:spacing w:after="0" w:line="49" w:lineRule="exact"/>
        <w:rPr>
          <w:sz w:val="20"/>
          <w:szCs w:val="20"/>
          <w:color w:val="auto"/>
        </w:rPr>
      </w:pPr>
    </w:p>
    <w:p>
      <w:pPr>
        <w:ind w:left="60" w:right="200"/>
        <w:spacing w:after="0" w:line="291" w:lineRule="auto"/>
        <w:rPr>
          <w:sz w:val="20"/>
          <w:szCs w:val="20"/>
          <w:color w:val="auto"/>
        </w:rPr>
      </w:pPr>
      <w:r>
        <w:rPr>
          <w:rFonts w:ascii="Arial" w:cs="Arial" w:eastAsia="Arial" w:hAnsi="Arial"/>
          <w:sz w:val="15"/>
          <w:szCs w:val="15"/>
          <w:b w:val="1"/>
          <w:bCs w:val="1"/>
          <w:color w:val="125288"/>
        </w:rPr>
        <w:t>New Director Nominee</w:t>
      </w:r>
    </w:p>
    <w:p>
      <w:pPr>
        <w:spacing w:after="0" w:line="22" w:lineRule="exact"/>
        <w:rPr>
          <w:sz w:val="20"/>
          <w:szCs w:val="20"/>
          <w:color w:val="auto"/>
        </w:rPr>
      </w:pPr>
    </w:p>
    <w:p>
      <w:pPr>
        <w:ind w:left="60"/>
        <w:spacing w:after="0" w:line="262" w:lineRule="auto"/>
        <w:rPr>
          <w:sz w:val="20"/>
          <w:szCs w:val="20"/>
          <w:color w:val="auto"/>
        </w:rPr>
      </w:pPr>
      <w:r>
        <w:rPr>
          <w:rFonts w:ascii="Arial" w:cs="Arial" w:eastAsia="Arial" w:hAnsi="Arial"/>
          <w:sz w:val="15"/>
          <w:szCs w:val="15"/>
          <w:b w:val="1"/>
          <w:bCs w:val="1"/>
          <w:color w:val="auto"/>
        </w:rPr>
        <w:t>Activision Blizzard Committee Membership(s):</w:t>
      </w:r>
    </w:p>
    <w:p>
      <w:pPr>
        <w:spacing w:after="0" w:line="43" w:lineRule="exact"/>
        <w:rPr>
          <w:sz w:val="20"/>
          <w:szCs w:val="20"/>
          <w:color w:val="auto"/>
        </w:rPr>
      </w:pPr>
    </w:p>
    <w:p>
      <w:pPr>
        <w:ind w:left="200" w:right="200" w:hanging="145"/>
        <w:spacing w:after="0" w:line="251" w:lineRule="auto"/>
        <w:tabs>
          <w:tab w:leader="none" w:pos="200" w:val="left"/>
        </w:tabs>
        <w:numPr>
          <w:ilvl w:val="0"/>
          <w:numId w:val="13"/>
        </w:numPr>
        <w:rPr>
          <w:rFonts w:ascii="Arial" w:cs="Arial" w:eastAsia="Arial" w:hAnsi="Arial"/>
          <w:sz w:val="17"/>
          <w:szCs w:val="17"/>
          <w:b w:val="1"/>
          <w:bCs w:val="1"/>
          <w:color w:val="125288"/>
        </w:rPr>
      </w:pPr>
      <w:r>
        <w:rPr>
          <w:rFonts w:ascii="Arial" w:cs="Arial" w:eastAsia="Arial" w:hAnsi="Arial"/>
          <w:sz w:val="15"/>
          <w:szCs w:val="15"/>
          <w:b w:val="1"/>
          <w:bCs w:val="1"/>
          <w:color w:val="auto"/>
        </w:rPr>
        <w:t>Audit Committee (</w:t>
      </w:r>
      <w:r>
        <w:rPr>
          <w:rFonts w:ascii="Arial" w:cs="Arial" w:eastAsia="Arial" w:hAnsi="Arial"/>
          <w:sz w:val="15"/>
          <w:szCs w:val="15"/>
          <w:b w:val="1"/>
          <w:bCs w:val="1"/>
          <w:i w:val="1"/>
          <w:iCs w:val="1"/>
          <w:color w:val="auto"/>
        </w:rPr>
        <w:t>pending</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election</w:t>
      </w:r>
      <w:r>
        <w:rPr>
          <w:rFonts w:ascii="Arial" w:cs="Arial" w:eastAsia="Arial" w:hAnsi="Arial"/>
          <w:sz w:val="15"/>
          <w:szCs w:val="15"/>
          <w:b w:val="1"/>
          <w:bCs w:val="1"/>
          <w:color w:val="auto"/>
        </w:rPr>
        <w:t>)</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b w:val="1"/>
          <w:bCs w:val="1"/>
          <w:color w:val="125288"/>
        </w:rPr>
        <w:t>59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Key Experience/Qualifications:</w:t>
      </w:r>
    </w:p>
    <w:p>
      <w:pPr>
        <w:spacing w:after="0" w:line="43" w:lineRule="exact"/>
        <w:rPr>
          <w:sz w:val="20"/>
          <w:szCs w:val="20"/>
          <w:color w:val="auto"/>
        </w:rPr>
      </w:pPr>
    </w:p>
    <w:p>
      <w:pPr>
        <w:ind w:left="160" w:hanging="151"/>
        <w:spacing w:after="0" w:line="237" w:lineRule="auto"/>
        <w:tabs>
          <w:tab w:leader="none" w:pos="160" w:val="left"/>
        </w:tabs>
        <w:numPr>
          <w:ilvl w:val="0"/>
          <w:numId w:val="14"/>
        </w:numPr>
        <w:rPr>
          <w:rFonts w:ascii="Arial" w:cs="Arial" w:eastAsia="Arial" w:hAnsi="Arial"/>
          <w:sz w:val="17"/>
          <w:szCs w:val="17"/>
          <w:color w:val="125288"/>
        </w:rPr>
      </w:pPr>
      <w:r>
        <w:rPr>
          <w:rFonts w:ascii="Arial" w:cs="Arial" w:eastAsia="Arial" w:hAnsi="Arial"/>
          <w:sz w:val="17"/>
          <w:szCs w:val="17"/>
          <w:color w:val="auto"/>
        </w:rPr>
        <w:t>Finance, operations, supply chain and organizational design expertise through, among others, her roles at Bacardi, The Walt Disney Company, and Avon Products</w:t>
      </w:r>
    </w:p>
    <w:p>
      <w:pPr>
        <w:spacing w:after="0" w:line="27" w:lineRule="exact"/>
        <w:rPr>
          <w:rFonts w:ascii="Arial" w:cs="Arial" w:eastAsia="Arial" w:hAnsi="Arial"/>
          <w:sz w:val="17"/>
          <w:szCs w:val="17"/>
          <w:color w:val="125288"/>
        </w:rPr>
      </w:pPr>
    </w:p>
    <w:p>
      <w:pPr>
        <w:ind w:left="160" w:right="120" w:hanging="151"/>
        <w:spacing w:after="0" w:line="236" w:lineRule="auto"/>
        <w:tabs>
          <w:tab w:leader="none" w:pos="160" w:val="left"/>
        </w:tabs>
        <w:numPr>
          <w:ilvl w:val="0"/>
          <w:numId w:val="14"/>
        </w:numPr>
        <w:rPr>
          <w:rFonts w:ascii="Arial" w:cs="Arial" w:eastAsia="Arial" w:hAnsi="Arial"/>
          <w:sz w:val="17"/>
          <w:szCs w:val="17"/>
          <w:color w:val="125288"/>
        </w:rPr>
      </w:pPr>
      <w:r>
        <w:rPr>
          <w:rFonts w:ascii="Arial" w:cs="Arial" w:eastAsia="Arial" w:hAnsi="Arial"/>
          <w:sz w:val="17"/>
          <w:szCs w:val="17"/>
          <w:color w:val="auto"/>
        </w:rPr>
        <w:t>Experience leading global organizations in strategic business planning and driving and overseeing business performance, including in the entertainment and consumer products industries</w:t>
      </w:r>
    </w:p>
    <w:p>
      <w:pPr>
        <w:spacing w:after="0" w:line="27" w:lineRule="exact"/>
        <w:rPr>
          <w:rFonts w:ascii="Arial" w:cs="Arial" w:eastAsia="Arial" w:hAnsi="Arial"/>
          <w:sz w:val="17"/>
          <w:szCs w:val="17"/>
          <w:color w:val="125288"/>
        </w:rPr>
      </w:pPr>
    </w:p>
    <w:p>
      <w:pPr>
        <w:ind w:left="160" w:hanging="151"/>
        <w:spacing w:after="0"/>
        <w:tabs>
          <w:tab w:leader="none" w:pos="160" w:val="left"/>
        </w:tabs>
        <w:numPr>
          <w:ilvl w:val="0"/>
          <w:numId w:val="14"/>
        </w:numPr>
        <w:rPr>
          <w:rFonts w:ascii="Arial" w:cs="Arial" w:eastAsia="Arial" w:hAnsi="Arial"/>
          <w:sz w:val="17"/>
          <w:szCs w:val="17"/>
          <w:color w:val="125288"/>
        </w:rPr>
      </w:pPr>
      <w:r>
        <w:rPr>
          <w:rFonts w:ascii="Arial" w:cs="Arial" w:eastAsia="Arial" w:hAnsi="Arial"/>
          <w:sz w:val="17"/>
          <w:szCs w:val="17"/>
          <w:color w:val="auto"/>
        </w:rPr>
        <w:t>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-929640</wp:posOffset>
            </wp:positionH>
            <wp:positionV relativeFrom="paragraph">
              <wp:posOffset>1066165</wp:posOffset>
            </wp:positionV>
            <wp:extent cx="7148830"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
        <w:spacing w:after="0"/>
        <w:rPr>
          <w:sz w:val="20"/>
          <w:szCs w:val="20"/>
          <w:color w:val="auto"/>
        </w:rPr>
      </w:pPr>
      <w:r>
        <w:rPr>
          <w:rFonts w:ascii="Arial" w:cs="Arial" w:eastAsia="Arial" w:hAnsi="Arial"/>
          <w:sz w:val="15"/>
          <w:szCs w:val="15"/>
          <w:b w:val="1"/>
          <w:bCs w:val="1"/>
          <w:color w:val="auto"/>
        </w:rPr>
        <w:t>Involvement with Other Organization(s):</w:t>
      </w:r>
    </w:p>
    <w:p>
      <w:pPr>
        <w:spacing w:after="0" w:line="43" w:lineRule="exact"/>
        <w:rPr>
          <w:sz w:val="20"/>
          <w:szCs w:val="20"/>
          <w:color w:val="auto"/>
        </w:rPr>
      </w:pPr>
    </w:p>
    <w:p>
      <w:pPr>
        <w:ind w:left="165" w:hanging="165"/>
        <w:spacing w:after="0"/>
        <w:tabs>
          <w:tab w:leader="none" w:pos="165" w:val="left"/>
        </w:tabs>
        <w:numPr>
          <w:ilvl w:val="0"/>
          <w:numId w:val="15"/>
        </w:numPr>
        <w:rPr>
          <w:rFonts w:ascii="Arial" w:cs="Arial" w:eastAsia="Arial" w:hAnsi="Arial"/>
          <w:sz w:val="17"/>
          <w:szCs w:val="17"/>
          <w:color w:val="125288"/>
        </w:rPr>
      </w:pPr>
      <w:r>
        <w:rPr>
          <w:rFonts w:ascii="Arial" w:cs="Arial" w:eastAsia="Arial" w:hAnsi="Arial"/>
          <w:sz w:val="17"/>
          <w:szCs w:val="17"/>
          <w:color w:val="auto"/>
        </w:rPr>
        <w:t>Junior Achievement (Member of Board of Directors)</w:t>
      </w:r>
    </w:p>
    <w:p>
      <w:pPr>
        <w:spacing w:after="0" w:line="30" w:lineRule="exact"/>
        <w:rPr>
          <w:rFonts w:ascii="Arial" w:cs="Arial" w:eastAsia="Arial" w:hAnsi="Arial"/>
          <w:sz w:val="17"/>
          <w:szCs w:val="17"/>
          <w:color w:val="125288"/>
        </w:rPr>
      </w:pPr>
    </w:p>
    <w:p>
      <w:pPr>
        <w:ind w:left="165" w:hanging="165"/>
        <w:spacing w:after="0"/>
        <w:tabs>
          <w:tab w:leader="none" w:pos="165" w:val="left"/>
        </w:tabs>
        <w:numPr>
          <w:ilvl w:val="0"/>
          <w:numId w:val="15"/>
        </w:numPr>
        <w:rPr>
          <w:rFonts w:ascii="Arial" w:cs="Arial" w:eastAsia="Arial" w:hAnsi="Arial"/>
          <w:sz w:val="17"/>
          <w:szCs w:val="17"/>
          <w:color w:val="125288"/>
        </w:rPr>
      </w:pPr>
      <w:r>
        <w:rPr>
          <w:rFonts w:ascii="Arial" w:cs="Arial" w:eastAsia="Arial" w:hAnsi="Arial"/>
          <w:sz w:val="17"/>
          <w:szCs w:val="17"/>
          <w:color w:val="auto"/>
        </w:rPr>
        <w:t>Literacy Volunteers of America (volunteer)</w:t>
      </w:r>
    </w:p>
    <w:p>
      <w:pPr>
        <w:spacing w:after="0" w:line="30" w:lineRule="exact"/>
        <w:rPr>
          <w:rFonts w:ascii="Arial" w:cs="Arial" w:eastAsia="Arial" w:hAnsi="Arial"/>
          <w:sz w:val="17"/>
          <w:szCs w:val="17"/>
          <w:color w:val="125288"/>
        </w:rPr>
      </w:pPr>
    </w:p>
    <w:p>
      <w:pPr>
        <w:ind w:left="165" w:right="140" w:hanging="165"/>
        <w:spacing w:after="0" w:line="237" w:lineRule="auto"/>
        <w:tabs>
          <w:tab w:leader="none" w:pos="165" w:val="left"/>
        </w:tabs>
        <w:numPr>
          <w:ilvl w:val="0"/>
          <w:numId w:val="15"/>
        </w:numPr>
        <w:rPr>
          <w:rFonts w:ascii="Arial" w:cs="Arial" w:eastAsia="Arial" w:hAnsi="Arial"/>
          <w:sz w:val="17"/>
          <w:szCs w:val="17"/>
          <w:color w:val="125288"/>
        </w:rPr>
      </w:pPr>
      <w:r>
        <w:rPr>
          <w:rFonts w:ascii="Arial" w:cs="Arial" w:eastAsia="Arial" w:hAnsi="Arial"/>
          <w:sz w:val="17"/>
          <w:szCs w:val="17"/>
          <w:color w:val="auto"/>
        </w:rPr>
        <w:t>Sanctuary for Families Domestic Violence Agency (Member of Board of Directors, Audit Committee and Development Committee)</w:t>
      </w:r>
    </w:p>
    <w:p>
      <w:pPr>
        <w:spacing w:after="0" w:line="27" w:lineRule="exact"/>
        <w:rPr>
          <w:rFonts w:ascii="Arial" w:cs="Arial" w:eastAsia="Arial" w:hAnsi="Arial"/>
          <w:sz w:val="17"/>
          <w:szCs w:val="17"/>
          <w:color w:val="125288"/>
        </w:rPr>
      </w:pPr>
    </w:p>
    <w:p>
      <w:pPr>
        <w:ind w:left="165" w:right="260" w:hanging="165"/>
        <w:spacing w:after="0" w:line="239" w:lineRule="auto"/>
        <w:tabs>
          <w:tab w:leader="none" w:pos="165" w:val="left"/>
        </w:tabs>
        <w:numPr>
          <w:ilvl w:val="0"/>
          <w:numId w:val="15"/>
        </w:numPr>
        <w:rPr>
          <w:rFonts w:ascii="Arial" w:cs="Arial" w:eastAsia="Arial" w:hAnsi="Arial"/>
          <w:sz w:val="17"/>
          <w:szCs w:val="17"/>
          <w:color w:val="125288"/>
        </w:rPr>
      </w:pPr>
      <w:r>
        <w:rPr>
          <w:rFonts w:ascii="Arial" w:cs="Arial" w:eastAsia="Arial" w:hAnsi="Arial"/>
          <w:sz w:val="17"/>
          <w:szCs w:val="17"/>
          <w:color w:val="auto"/>
        </w:rPr>
        <w:t>Brooklyn Coalition Against Domestic Violence (Member of Board of Directors)</w:t>
      </w:r>
    </w:p>
    <w:p>
      <w:pPr>
        <w:spacing w:after="0" w:line="7"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auto"/>
        </w:rPr>
        <w:t>Education:</w:t>
      </w:r>
    </w:p>
    <w:p>
      <w:pPr>
        <w:spacing w:after="0" w:line="50" w:lineRule="exact"/>
        <w:rPr>
          <w:sz w:val="20"/>
          <w:szCs w:val="20"/>
          <w:color w:val="auto"/>
        </w:rPr>
      </w:pPr>
    </w:p>
    <w:p>
      <w:pPr>
        <w:ind w:left="165" w:hanging="165"/>
        <w:spacing w:after="0"/>
        <w:tabs>
          <w:tab w:leader="none" w:pos="165" w:val="left"/>
        </w:tabs>
        <w:numPr>
          <w:ilvl w:val="0"/>
          <w:numId w:val="16"/>
        </w:numPr>
        <w:rPr>
          <w:rFonts w:ascii="Arial" w:cs="Arial" w:eastAsia="Arial" w:hAnsi="Arial"/>
          <w:sz w:val="17"/>
          <w:szCs w:val="17"/>
          <w:color w:val="125288"/>
        </w:rPr>
      </w:pPr>
      <w:r>
        <w:rPr>
          <w:rFonts w:ascii="Arial" w:cs="Arial" w:eastAsia="Arial" w:hAnsi="Arial"/>
          <w:sz w:val="17"/>
          <w:szCs w:val="17"/>
          <w:color w:val="auto"/>
        </w:rPr>
        <w:t>B.B.A. in public accounting from Hofstra University</w:t>
      </w:r>
    </w:p>
    <w:p>
      <w:pPr>
        <w:spacing w:after="0" w:line="1501" w:lineRule="exact"/>
        <w:rPr>
          <w:sz w:val="20"/>
          <w:szCs w:val="20"/>
          <w:color w:val="auto"/>
        </w:rPr>
      </w:pPr>
    </w:p>
    <w:p>
      <w:pPr>
        <w:sectPr>
          <w:pgSz w:w="11900" w:h="16838" w:orient="portrait"/>
          <w:cols w:equalWidth="0" w:num="3">
            <w:col w:w="1200" w:space="260"/>
            <w:col w:w="4580" w:space="535"/>
            <w:col w:w="4685"/>
          </w:cols>
          <w:pgMar w:left="320" w:top="144" w:right="319" w:bottom="1440" w:gutter="0" w:footer="0" w:header="0"/>
          <w:type w:val="continuous"/>
        </w:sectPr>
      </w:pPr>
    </w:p>
    <w:p>
      <w:pPr>
        <w:spacing w:after="0" w:line="100"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125288"/>
        </w:rPr>
        <w:t>ROBERT CORTI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38735</wp:posOffset>
            </wp:positionV>
            <wp:extent cx="7148830"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128" w:lineRule="exact"/>
        <w:rPr>
          <w:sz w:val="20"/>
          <w:szCs w:val="20"/>
          <w:color w:val="auto"/>
        </w:rPr>
      </w:pPr>
    </w:p>
    <w:p>
      <w:pPr>
        <w:jc w:val="both"/>
        <w:ind w:left="1460" w:right="60"/>
        <w:spacing w:after="0" w:line="236" w:lineRule="auto"/>
        <w:rPr>
          <w:sz w:val="20"/>
          <w:szCs w:val="20"/>
          <w:color w:val="auto"/>
        </w:rPr>
      </w:pPr>
      <w:r>
        <w:rPr>
          <w:rFonts w:ascii="Arial" w:cs="Arial" w:eastAsia="Arial" w:hAnsi="Arial"/>
          <w:sz w:val="17"/>
          <w:szCs w:val="17"/>
          <w:color w:val="auto"/>
        </w:rPr>
        <w:t>Mr. Corti worked at Avon Products, a global manufacturer and marketer of beauty and related products, for more than 25 years. He joined Avon as a tax associate in 1976 and held positions of increasing responsibility in the company’s finance department throughout his tenure there, including serving as Executive Vice President and Chief Financial Officer of Avon Products from 1998 until he retired from the Chief Financial Officer role in 2005 and from the Executive Vice President role in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-482600</wp:posOffset>
            </wp:positionV>
            <wp:extent cx="7103110" cy="6870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3110" cy="68707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ind w:left="60" w:right="220"/>
        <w:spacing w:after="0" w:line="291" w:lineRule="auto"/>
        <w:rPr>
          <w:sz w:val="20"/>
          <w:szCs w:val="20"/>
          <w:color w:val="auto"/>
        </w:rPr>
      </w:pPr>
      <w:r>
        <w:rPr>
          <w:rFonts w:ascii="Arial" w:cs="Arial" w:eastAsia="Arial" w:hAnsi="Arial"/>
          <w:sz w:val="15"/>
          <w:szCs w:val="15"/>
          <w:b w:val="1"/>
          <w:bCs w:val="1"/>
          <w:color w:val="auto"/>
        </w:rPr>
        <w:t>Independent Director</w:t>
      </w:r>
    </w:p>
    <w:p>
      <w:pPr>
        <w:spacing w:after="0" w:line="22" w:lineRule="exact"/>
        <w:rPr>
          <w:sz w:val="20"/>
          <w:szCs w:val="20"/>
          <w:color w:val="auto"/>
        </w:rPr>
      </w:pPr>
    </w:p>
    <w:p>
      <w:pPr>
        <w:ind w:left="60" w:right="40"/>
        <w:spacing w:after="0" w:line="262" w:lineRule="auto"/>
        <w:rPr>
          <w:sz w:val="20"/>
          <w:szCs w:val="20"/>
          <w:color w:val="auto"/>
        </w:rPr>
      </w:pPr>
      <w:r>
        <w:rPr>
          <w:rFonts w:ascii="Arial" w:cs="Arial" w:eastAsia="Arial" w:hAnsi="Arial"/>
          <w:sz w:val="15"/>
          <w:szCs w:val="15"/>
          <w:b w:val="1"/>
          <w:bCs w:val="1"/>
          <w:color w:val="auto"/>
        </w:rPr>
        <w:t>Retired Chief Financial Officer of Avon Products</w:t>
      </w:r>
    </w:p>
    <w:p>
      <w:pPr>
        <w:spacing w:after="0" w:line="43" w:lineRule="exact"/>
        <w:rPr>
          <w:sz w:val="20"/>
          <w:szCs w:val="20"/>
          <w:color w:val="auto"/>
        </w:rPr>
      </w:pPr>
    </w:p>
    <w:p>
      <w:pPr>
        <w:ind w:left="60" w:right="320"/>
        <w:spacing w:after="0" w:line="291" w:lineRule="auto"/>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b w:val="1"/>
          <w:bCs w:val="1"/>
          <w:color w:val="125288"/>
        </w:rPr>
        <w:t>2003</w:t>
      </w:r>
    </w:p>
    <w:p>
      <w:pPr>
        <w:spacing w:after="0" w:line="22" w:lineRule="exact"/>
        <w:rPr>
          <w:sz w:val="20"/>
          <w:szCs w:val="20"/>
          <w:color w:val="auto"/>
        </w:rPr>
      </w:pPr>
    </w:p>
    <w:p>
      <w:pPr>
        <w:ind w:left="60"/>
        <w:spacing w:after="0" w:line="262" w:lineRule="auto"/>
        <w:rPr>
          <w:sz w:val="20"/>
          <w:szCs w:val="20"/>
          <w:color w:val="auto"/>
        </w:rPr>
      </w:pPr>
      <w:r>
        <w:rPr>
          <w:rFonts w:ascii="Arial" w:cs="Arial" w:eastAsia="Arial" w:hAnsi="Arial"/>
          <w:sz w:val="15"/>
          <w:szCs w:val="15"/>
          <w:b w:val="1"/>
          <w:bCs w:val="1"/>
          <w:color w:val="auto"/>
        </w:rPr>
        <w:t>Activision Blizzard Committee Membership(s):</w:t>
      </w:r>
    </w:p>
    <w:p>
      <w:pPr>
        <w:spacing w:after="0" w:line="43" w:lineRule="exact"/>
        <w:rPr>
          <w:sz w:val="20"/>
          <w:szCs w:val="20"/>
          <w:color w:val="auto"/>
        </w:rPr>
      </w:pPr>
    </w:p>
    <w:p>
      <w:pPr>
        <w:ind w:left="200" w:right="200" w:hanging="145"/>
        <w:spacing w:after="0" w:line="253" w:lineRule="auto"/>
        <w:tabs>
          <w:tab w:leader="none" w:pos="200" w:val="left"/>
        </w:tabs>
        <w:numPr>
          <w:ilvl w:val="0"/>
          <w:numId w:val="17"/>
        </w:numPr>
        <w:rPr>
          <w:rFonts w:ascii="Arial" w:cs="Arial" w:eastAsia="Arial" w:hAnsi="Arial"/>
          <w:sz w:val="17"/>
          <w:szCs w:val="17"/>
          <w:b w:val="1"/>
          <w:bCs w:val="1"/>
          <w:color w:val="125288"/>
        </w:rPr>
      </w:pPr>
      <w:r>
        <w:rPr>
          <w:rFonts w:ascii="Arial" w:cs="Arial" w:eastAsia="Arial" w:hAnsi="Arial"/>
          <w:sz w:val="15"/>
          <w:szCs w:val="15"/>
          <w:b w:val="1"/>
          <w:bCs w:val="1"/>
          <w:color w:val="auto"/>
        </w:rPr>
        <w:t>Audit Committee (Chair)</w:t>
      </w:r>
    </w:p>
    <w:p>
      <w:pPr>
        <w:spacing w:after="0" w:line="48" w:lineRule="exact"/>
        <w:rPr>
          <w:rFonts w:ascii="Arial" w:cs="Arial" w:eastAsia="Arial" w:hAnsi="Arial"/>
          <w:sz w:val="17"/>
          <w:szCs w:val="17"/>
          <w:b w:val="1"/>
          <w:bCs w:val="1"/>
          <w:color w:val="125288"/>
        </w:rPr>
      </w:pPr>
    </w:p>
    <w:p>
      <w:pPr>
        <w:ind w:left="200" w:right="100" w:hanging="145"/>
        <w:spacing w:after="0" w:line="249" w:lineRule="auto"/>
        <w:tabs>
          <w:tab w:leader="none" w:pos="200" w:val="left"/>
        </w:tabs>
        <w:numPr>
          <w:ilvl w:val="0"/>
          <w:numId w:val="17"/>
        </w:numPr>
        <w:rPr>
          <w:rFonts w:ascii="Arial" w:cs="Arial" w:eastAsia="Arial" w:hAnsi="Arial"/>
          <w:sz w:val="17"/>
          <w:szCs w:val="17"/>
          <w:b w:val="1"/>
          <w:bCs w:val="1"/>
          <w:color w:val="125288"/>
        </w:rPr>
      </w:pPr>
      <w:r>
        <w:rPr>
          <w:rFonts w:ascii="Arial" w:cs="Arial" w:eastAsia="Arial" w:hAnsi="Arial"/>
          <w:sz w:val="15"/>
          <w:szCs w:val="15"/>
          <w:b w:val="1"/>
          <w:bCs w:val="1"/>
          <w:color w:val="auto"/>
        </w:rPr>
        <w:t xml:space="preserve">Nominating and Corporate Governance Committee </w:t>
      </w:r>
      <w:r>
        <w:rPr>
          <w:rFonts w:ascii="Arial" w:cs="Arial" w:eastAsia="Arial" w:hAnsi="Arial"/>
          <w:sz w:val="15"/>
          <w:szCs w:val="15"/>
          <w:b w:val="1"/>
          <w:bCs w:val="1"/>
          <w:i w:val="1"/>
          <w:iCs w:val="1"/>
          <w:color w:val="auto"/>
        </w:rPr>
        <w:t>(pending re-election)</w:t>
      </w:r>
    </w:p>
    <w:p>
      <w:pPr>
        <w:spacing w:after="0" w:line="55"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b w:val="1"/>
          <w:bCs w:val="1"/>
          <w:color w:val="125288"/>
        </w:rPr>
        <w:t>72</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Experience/Qualifications:</w:t>
      </w:r>
    </w:p>
    <w:p>
      <w:pPr>
        <w:spacing w:after="0" w:line="61" w:lineRule="exact"/>
        <w:rPr>
          <w:sz w:val="20"/>
          <w:szCs w:val="20"/>
          <w:color w:val="auto"/>
        </w:rPr>
      </w:pPr>
    </w:p>
    <w:p>
      <w:pPr>
        <w:ind w:left="160" w:right="180" w:hanging="151"/>
        <w:spacing w:after="0" w:line="237" w:lineRule="auto"/>
        <w:tabs>
          <w:tab w:leader="none" w:pos="160" w:val="left"/>
        </w:tabs>
        <w:numPr>
          <w:ilvl w:val="0"/>
          <w:numId w:val="18"/>
        </w:numPr>
        <w:rPr>
          <w:rFonts w:ascii="Arial" w:cs="Arial" w:eastAsia="Arial" w:hAnsi="Arial"/>
          <w:sz w:val="17"/>
          <w:szCs w:val="17"/>
          <w:color w:val="125288"/>
        </w:rPr>
      </w:pPr>
      <w:r>
        <w:rPr>
          <w:rFonts w:ascii="Arial" w:cs="Arial" w:eastAsia="Arial" w:hAnsi="Arial"/>
          <w:sz w:val="17"/>
          <w:szCs w:val="17"/>
          <w:color w:val="auto"/>
        </w:rPr>
        <w:t>Financial expertise, particularly accounting and tax experience, gleaned in part from his long tenure in Avon’s finance department</w:t>
      </w:r>
    </w:p>
    <w:p>
      <w:pPr>
        <w:spacing w:after="0" w:line="27" w:lineRule="exact"/>
        <w:rPr>
          <w:rFonts w:ascii="Arial" w:cs="Arial" w:eastAsia="Arial" w:hAnsi="Arial"/>
          <w:sz w:val="17"/>
          <w:szCs w:val="17"/>
          <w:color w:val="125288"/>
        </w:rPr>
      </w:pPr>
    </w:p>
    <w:p>
      <w:pPr>
        <w:ind w:left="160" w:hanging="151"/>
        <w:spacing w:after="0" w:line="253" w:lineRule="auto"/>
        <w:tabs>
          <w:tab w:leader="none" w:pos="160" w:val="left"/>
        </w:tabs>
        <w:numPr>
          <w:ilvl w:val="0"/>
          <w:numId w:val="18"/>
        </w:numPr>
        <w:rPr>
          <w:rFonts w:ascii="Arial" w:cs="Arial" w:eastAsia="Arial" w:hAnsi="Arial"/>
          <w:sz w:val="16"/>
          <w:szCs w:val="16"/>
          <w:color w:val="125288"/>
        </w:rPr>
      </w:pPr>
      <w:r>
        <w:rPr>
          <w:rFonts w:ascii="Arial" w:cs="Arial" w:eastAsia="Arial" w:hAnsi="Arial"/>
          <w:sz w:val="16"/>
          <w:szCs w:val="16"/>
          <w:color w:val="auto"/>
        </w:rPr>
        <w:t>Unique perspective of having helped to guide a large public company with international operations through the changing economic and competitive landscape, gained from having served Avon for more than 25 years and working his way up to increasingly senior roles within that organization</w:t>
      </w:r>
    </w:p>
    <w:p>
      <w:pPr>
        <w:spacing w:after="0" w:line="16" w:lineRule="exact"/>
        <w:rPr>
          <w:rFonts w:ascii="Arial" w:cs="Arial" w:eastAsia="Arial" w:hAnsi="Arial"/>
          <w:sz w:val="16"/>
          <w:szCs w:val="16"/>
          <w:color w:val="125288"/>
        </w:rPr>
      </w:pPr>
    </w:p>
    <w:p>
      <w:pPr>
        <w:ind w:left="160" w:right="140" w:hanging="151"/>
        <w:spacing w:after="0" w:line="239" w:lineRule="auto"/>
        <w:tabs>
          <w:tab w:leader="none" w:pos="160" w:val="left"/>
        </w:tabs>
        <w:numPr>
          <w:ilvl w:val="0"/>
          <w:numId w:val="18"/>
        </w:numPr>
        <w:rPr>
          <w:rFonts w:ascii="Arial" w:cs="Arial" w:eastAsia="Arial" w:hAnsi="Arial"/>
          <w:sz w:val="17"/>
          <w:szCs w:val="17"/>
          <w:color w:val="125288"/>
        </w:rPr>
      </w:pPr>
      <w:r>
        <w:rPr>
          <w:rFonts w:ascii="Arial" w:cs="Arial" w:eastAsia="Arial" w:hAnsi="Arial"/>
          <w:sz w:val="17"/>
          <w:szCs w:val="17"/>
          <w:color w:val="auto"/>
        </w:rPr>
        <w:t>Consumer products industry experience from his tenure at Avon</w:t>
      </w:r>
    </w:p>
    <w:p>
      <w:pPr>
        <w:spacing w:after="0" w:line="26" w:lineRule="exact"/>
        <w:rPr>
          <w:rFonts w:ascii="Arial" w:cs="Arial" w:eastAsia="Arial" w:hAnsi="Arial"/>
          <w:sz w:val="17"/>
          <w:szCs w:val="17"/>
          <w:color w:val="125288"/>
        </w:rPr>
      </w:pPr>
    </w:p>
    <w:p>
      <w:pPr>
        <w:ind w:left="160" w:hanging="151"/>
        <w:spacing w:after="0"/>
        <w:tabs>
          <w:tab w:leader="none" w:pos="160" w:val="left"/>
        </w:tabs>
        <w:numPr>
          <w:ilvl w:val="0"/>
          <w:numId w:val="18"/>
        </w:numPr>
        <w:rPr>
          <w:rFonts w:ascii="Arial" w:cs="Arial" w:eastAsia="Arial" w:hAnsi="Arial"/>
          <w:sz w:val="17"/>
          <w:szCs w:val="17"/>
          <w:color w:val="125288"/>
        </w:rPr>
      </w:pPr>
      <w:r>
        <w:rPr>
          <w:rFonts w:ascii="Arial" w:cs="Arial" w:eastAsia="Arial" w:hAnsi="Arial"/>
          <w:sz w:val="17"/>
          <w:szCs w:val="17"/>
          <w:color w:val="auto"/>
        </w:rPr>
        <w:t>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-929640</wp:posOffset>
            </wp:positionH>
            <wp:positionV relativeFrom="paragraph">
              <wp:posOffset>1594485</wp:posOffset>
            </wp:positionV>
            <wp:extent cx="7148830"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5"/>
        <w:spacing w:after="0"/>
        <w:rPr>
          <w:sz w:val="20"/>
          <w:szCs w:val="20"/>
          <w:color w:val="auto"/>
        </w:rPr>
      </w:pPr>
      <w:r>
        <w:rPr>
          <w:rFonts w:ascii="Arial" w:cs="Arial" w:eastAsia="Arial" w:hAnsi="Arial"/>
          <w:sz w:val="15"/>
          <w:szCs w:val="15"/>
          <w:b w:val="1"/>
          <w:bCs w:val="1"/>
          <w:color w:val="auto"/>
        </w:rPr>
        <w:t>Private Company Directorship(s):</w:t>
      </w:r>
    </w:p>
    <w:p>
      <w:pPr>
        <w:spacing w:after="0" w:line="61" w:lineRule="exact"/>
        <w:rPr>
          <w:sz w:val="20"/>
          <w:szCs w:val="20"/>
          <w:color w:val="auto"/>
        </w:rPr>
      </w:pPr>
    </w:p>
    <w:p>
      <w:pPr>
        <w:ind w:left="165" w:hanging="165"/>
        <w:spacing w:after="0"/>
        <w:tabs>
          <w:tab w:leader="none" w:pos="165" w:val="left"/>
        </w:tabs>
        <w:numPr>
          <w:ilvl w:val="0"/>
          <w:numId w:val="19"/>
        </w:numPr>
        <w:rPr>
          <w:rFonts w:ascii="Arial" w:cs="Arial" w:eastAsia="Arial" w:hAnsi="Arial"/>
          <w:sz w:val="17"/>
          <w:szCs w:val="17"/>
          <w:color w:val="125288"/>
        </w:rPr>
      </w:pPr>
      <w:r>
        <w:rPr>
          <w:rFonts w:ascii="Arial" w:cs="Arial" w:eastAsia="Arial" w:hAnsi="Arial"/>
          <w:sz w:val="17"/>
          <w:szCs w:val="17"/>
          <w:color w:val="auto"/>
        </w:rPr>
        <w:t>Bacardi Limited (since 2006)</w:t>
      </w:r>
    </w:p>
    <w:p>
      <w:pPr>
        <w:spacing w:after="0" w:line="10" w:lineRule="exact"/>
        <w:rPr>
          <w:rFonts w:ascii="Arial" w:cs="Arial" w:eastAsia="Arial" w:hAnsi="Arial"/>
          <w:sz w:val="17"/>
          <w:szCs w:val="17"/>
          <w:color w:val="125288"/>
        </w:rPr>
      </w:pPr>
    </w:p>
    <w:p>
      <w:pPr>
        <w:ind w:left="5"/>
        <w:spacing w:after="0"/>
        <w:rPr>
          <w:rFonts w:ascii="Arial" w:cs="Arial" w:eastAsia="Arial" w:hAnsi="Arial"/>
          <w:sz w:val="17"/>
          <w:szCs w:val="17"/>
          <w:color w:val="125288"/>
        </w:rPr>
      </w:pPr>
      <w:r>
        <w:rPr>
          <w:rFonts w:ascii="Arial" w:cs="Arial" w:eastAsia="Arial" w:hAnsi="Arial"/>
          <w:sz w:val="17"/>
          <w:szCs w:val="17"/>
          <w:b w:val="1"/>
          <w:bCs w:val="1"/>
          <w:color w:val="auto"/>
        </w:rPr>
        <w:t>Involvement with Other Organization(s):</w:t>
      </w:r>
    </w:p>
    <w:p>
      <w:pPr>
        <w:spacing w:after="0" w:line="50" w:lineRule="exact"/>
        <w:rPr>
          <w:rFonts w:ascii="Arial" w:cs="Arial" w:eastAsia="Arial" w:hAnsi="Arial"/>
          <w:sz w:val="17"/>
          <w:szCs w:val="17"/>
          <w:color w:val="125288"/>
        </w:rPr>
      </w:pPr>
    </w:p>
    <w:p>
      <w:pPr>
        <w:ind w:left="165" w:right="640" w:hanging="165"/>
        <w:spacing w:after="0" w:line="239" w:lineRule="auto"/>
        <w:tabs>
          <w:tab w:leader="none" w:pos="165" w:val="left"/>
        </w:tabs>
        <w:numPr>
          <w:ilvl w:val="0"/>
          <w:numId w:val="19"/>
        </w:numPr>
        <w:rPr>
          <w:rFonts w:ascii="Arial" w:cs="Arial" w:eastAsia="Arial" w:hAnsi="Arial"/>
          <w:sz w:val="17"/>
          <w:szCs w:val="17"/>
          <w:color w:val="125288"/>
        </w:rPr>
      </w:pPr>
      <w:r>
        <w:rPr>
          <w:rFonts w:ascii="Arial" w:cs="Arial" w:eastAsia="Arial" w:hAnsi="Arial"/>
          <w:sz w:val="17"/>
          <w:szCs w:val="17"/>
          <w:color w:val="auto"/>
        </w:rPr>
        <w:t>Manhattan Chapter of the Cystic Fibrosis Foundation (Member of Board Of Directors)</w:t>
      </w:r>
    </w:p>
    <w:p>
      <w:pPr>
        <w:spacing w:after="0" w:line="7"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auto"/>
        </w:rPr>
        <w:t>Education:</w:t>
      </w:r>
    </w:p>
    <w:p>
      <w:pPr>
        <w:spacing w:after="0" w:line="50" w:lineRule="exact"/>
        <w:rPr>
          <w:sz w:val="20"/>
          <w:szCs w:val="20"/>
          <w:color w:val="auto"/>
        </w:rPr>
      </w:pPr>
    </w:p>
    <w:p>
      <w:pPr>
        <w:ind w:left="165" w:hanging="165"/>
        <w:spacing w:after="0"/>
        <w:tabs>
          <w:tab w:leader="none" w:pos="165" w:val="left"/>
        </w:tabs>
        <w:numPr>
          <w:ilvl w:val="0"/>
          <w:numId w:val="20"/>
        </w:numPr>
        <w:rPr>
          <w:rFonts w:ascii="Arial" w:cs="Arial" w:eastAsia="Arial" w:hAnsi="Arial"/>
          <w:sz w:val="17"/>
          <w:szCs w:val="17"/>
          <w:color w:val="125288"/>
        </w:rPr>
      </w:pPr>
      <w:r>
        <w:rPr>
          <w:rFonts w:ascii="Arial" w:cs="Arial" w:eastAsia="Arial" w:hAnsi="Arial"/>
          <w:sz w:val="17"/>
          <w:szCs w:val="17"/>
          <w:color w:val="auto"/>
        </w:rPr>
        <w:t>B.A. in accounting from Queens College</w:t>
      </w:r>
    </w:p>
    <w:p>
      <w:pPr>
        <w:spacing w:after="0" w:line="30" w:lineRule="exact"/>
        <w:rPr>
          <w:rFonts w:ascii="Arial" w:cs="Arial" w:eastAsia="Arial" w:hAnsi="Arial"/>
          <w:sz w:val="17"/>
          <w:szCs w:val="17"/>
          <w:color w:val="125288"/>
        </w:rPr>
      </w:pPr>
    </w:p>
    <w:p>
      <w:pPr>
        <w:ind w:left="165" w:hanging="165"/>
        <w:spacing w:after="0"/>
        <w:tabs>
          <w:tab w:leader="none" w:pos="165" w:val="left"/>
        </w:tabs>
        <w:numPr>
          <w:ilvl w:val="0"/>
          <w:numId w:val="20"/>
        </w:numPr>
        <w:rPr>
          <w:rFonts w:ascii="Arial" w:cs="Arial" w:eastAsia="Arial" w:hAnsi="Arial"/>
          <w:sz w:val="17"/>
          <w:szCs w:val="17"/>
          <w:color w:val="125288"/>
        </w:rPr>
      </w:pPr>
      <w:r>
        <w:rPr>
          <w:rFonts w:ascii="Arial" w:cs="Arial" w:eastAsia="Arial" w:hAnsi="Arial"/>
          <w:sz w:val="17"/>
          <w:szCs w:val="17"/>
          <w:color w:val="auto"/>
        </w:rPr>
        <w:t>M.B.A. in taxation from St. John’s University</w:t>
      </w:r>
    </w:p>
    <w:p>
      <w:pPr>
        <w:spacing w:after="0" w:line="3320" w:lineRule="exact"/>
        <w:rPr>
          <w:sz w:val="20"/>
          <w:szCs w:val="20"/>
          <w:color w:val="auto"/>
        </w:rPr>
      </w:pPr>
    </w:p>
    <w:p>
      <w:pPr>
        <w:sectPr>
          <w:pgSz w:w="11900" w:h="16838" w:orient="portrait"/>
          <w:cols w:equalWidth="0" w:num="3">
            <w:col w:w="1200" w:space="260"/>
            <w:col w:w="4580" w:space="535"/>
            <w:col w:w="4685"/>
          </w:cols>
          <w:pgMar w:left="320" w:top="144" w:right="319" w:bottom="1440" w:gutter="0" w:footer="0" w:header="0"/>
          <w:type w:val="continuous"/>
        </w:sectPr>
      </w:pPr>
    </w:p>
    <w:p>
      <w:pPr>
        <w:spacing w:after="0" w:line="66"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type w:val="continuous"/>
        </w:sectPr>
      </w:pPr>
    </w:p>
    <w:bookmarkStart w:id="24" w:name="page25"/>
    <w:bookmarkEnd w:id="24"/>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59"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125288"/>
        </w:rPr>
        <w:t>BRIAN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38735</wp:posOffset>
            </wp:positionV>
            <wp:extent cx="7148830"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128" w:lineRule="exact"/>
        <w:rPr>
          <w:sz w:val="20"/>
          <w:szCs w:val="20"/>
          <w:color w:val="auto"/>
        </w:rPr>
      </w:pPr>
    </w:p>
    <w:p>
      <w:pPr>
        <w:jc w:val="both"/>
        <w:ind w:left="1360" w:right="60"/>
        <w:spacing w:after="0" w:line="236" w:lineRule="auto"/>
        <w:rPr>
          <w:sz w:val="20"/>
          <w:szCs w:val="20"/>
          <w:color w:val="auto"/>
        </w:rPr>
      </w:pPr>
      <w:r>
        <w:rPr>
          <w:rFonts w:ascii="Arial" w:cs="Arial" w:eastAsia="Arial" w:hAnsi="Arial"/>
          <w:sz w:val="17"/>
          <w:szCs w:val="17"/>
          <w:color w:val="auto"/>
        </w:rPr>
        <w:t>Mr. Kelly has been a director of the Company since 1995. He has served as Chairman of our Board of Directors since 2013 and previously served as the Co-Chairman of our Board from 1998 to 2013. Prior to that, he served in several executive roles for the Company, including as President from 1997 to 1998, as Chief Operating Officer from 1995 to 1998, as Chief Financial Officer from 1991 until 1997, and as Secretary from 1991 until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-482600</wp:posOffset>
            </wp:positionV>
            <wp:extent cx="7103110" cy="6870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03110" cy="68707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ind w:left="60"/>
        <w:spacing w:after="0" w:line="262" w:lineRule="auto"/>
        <w:rPr>
          <w:sz w:val="20"/>
          <w:szCs w:val="20"/>
          <w:color w:val="auto"/>
        </w:rPr>
      </w:pPr>
      <w:r>
        <w:rPr>
          <w:rFonts w:ascii="Arial" w:cs="Arial" w:eastAsia="Arial" w:hAnsi="Arial"/>
          <w:sz w:val="15"/>
          <w:szCs w:val="15"/>
          <w:b w:val="1"/>
          <w:bCs w:val="1"/>
          <w:color w:val="auto"/>
        </w:rPr>
        <w:t>Chairman of the Board of Activision Blizzard</w:t>
      </w:r>
    </w:p>
    <w:p>
      <w:pPr>
        <w:spacing w:after="0" w:line="43" w:lineRule="exact"/>
        <w:rPr>
          <w:sz w:val="20"/>
          <w:szCs w:val="20"/>
          <w:color w:val="auto"/>
        </w:rPr>
      </w:pPr>
    </w:p>
    <w:p>
      <w:pPr>
        <w:ind w:left="60" w:right="80"/>
        <w:spacing w:after="0" w:line="291" w:lineRule="auto"/>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b w:val="1"/>
          <w:bCs w:val="1"/>
          <w:color w:val="125288"/>
        </w:rPr>
        <w:t>1995</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b w:val="1"/>
          <w:bCs w:val="1"/>
          <w:color w:val="125288"/>
        </w:rPr>
        <w:t>59</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Experience/Qualifications:</w:t>
      </w:r>
    </w:p>
    <w:p>
      <w:pPr>
        <w:spacing w:after="0" w:line="61" w:lineRule="exact"/>
        <w:rPr>
          <w:sz w:val="20"/>
          <w:szCs w:val="20"/>
          <w:color w:val="auto"/>
        </w:rPr>
      </w:pPr>
    </w:p>
    <w:p>
      <w:pPr>
        <w:ind w:left="160" w:hanging="158"/>
        <w:spacing w:after="0" w:line="236" w:lineRule="auto"/>
        <w:tabs>
          <w:tab w:leader="none" w:pos="160" w:val="left"/>
        </w:tabs>
        <w:numPr>
          <w:ilvl w:val="0"/>
          <w:numId w:val="21"/>
        </w:numPr>
        <w:rPr>
          <w:rFonts w:ascii="Arial" w:cs="Arial" w:eastAsia="Arial" w:hAnsi="Arial"/>
          <w:sz w:val="17"/>
          <w:szCs w:val="17"/>
          <w:color w:val="125288"/>
        </w:rPr>
      </w:pPr>
      <w:r>
        <w:rPr>
          <w:rFonts w:ascii="Arial" w:cs="Arial" w:eastAsia="Arial" w:hAnsi="Arial"/>
          <w:sz w:val="17"/>
          <w:szCs w:val="17"/>
          <w:color w:val="auto"/>
        </w:rPr>
        <w:t>Depth of institutional knowledge and understanding of our organization, by virtue of his service as a senior executive of the Company from 1991 until 2008 and as a director of the Company for over 25 years</w:t>
      </w:r>
    </w:p>
    <w:p>
      <w:pPr>
        <w:spacing w:after="0" w:line="27" w:lineRule="exact"/>
        <w:rPr>
          <w:rFonts w:ascii="Arial" w:cs="Arial" w:eastAsia="Arial" w:hAnsi="Arial"/>
          <w:sz w:val="17"/>
          <w:szCs w:val="17"/>
          <w:color w:val="125288"/>
        </w:rPr>
      </w:pPr>
    </w:p>
    <w:p>
      <w:pPr>
        <w:ind w:left="160" w:right="300" w:hanging="158"/>
        <w:spacing w:after="0" w:line="269" w:lineRule="auto"/>
        <w:tabs>
          <w:tab w:leader="none" w:pos="160" w:val="left"/>
        </w:tabs>
        <w:numPr>
          <w:ilvl w:val="0"/>
          <w:numId w:val="21"/>
        </w:numPr>
        <w:rPr>
          <w:rFonts w:ascii="Arial" w:cs="Arial" w:eastAsia="Arial" w:hAnsi="Arial"/>
          <w:sz w:val="16"/>
          <w:szCs w:val="16"/>
          <w:color w:val="125288"/>
        </w:rPr>
      </w:pPr>
      <w:r>
        <w:rPr>
          <w:rFonts w:ascii="Arial" w:cs="Arial" w:eastAsia="Arial" w:hAnsi="Arial"/>
          <w:sz w:val="16"/>
          <w:szCs w:val="16"/>
          <w:color w:val="auto"/>
        </w:rPr>
        <w:t>Superior leadership skills, devotion to the Company, and commitment to helping to ensure our ongoing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-866140</wp:posOffset>
            </wp:positionH>
            <wp:positionV relativeFrom="paragraph">
              <wp:posOffset>316865</wp:posOffset>
            </wp:positionV>
            <wp:extent cx="7148830"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Involvement with Other Organization(s):</w:t>
      </w:r>
    </w:p>
    <w:p>
      <w:pPr>
        <w:spacing w:after="0" w:line="61" w:lineRule="exact"/>
        <w:rPr>
          <w:sz w:val="20"/>
          <w:szCs w:val="20"/>
          <w:color w:val="auto"/>
        </w:rPr>
      </w:pPr>
    </w:p>
    <w:p>
      <w:pPr>
        <w:ind w:left="160" w:hanging="156"/>
        <w:spacing w:after="0"/>
        <w:tabs>
          <w:tab w:leader="none" w:pos="160" w:val="left"/>
        </w:tabs>
        <w:numPr>
          <w:ilvl w:val="0"/>
          <w:numId w:val="22"/>
        </w:numPr>
        <w:rPr>
          <w:rFonts w:ascii="Arial" w:cs="Arial" w:eastAsia="Arial" w:hAnsi="Arial"/>
          <w:sz w:val="17"/>
          <w:szCs w:val="17"/>
          <w:color w:val="125288"/>
        </w:rPr>
      </w:pPr>
      <w:r>
        <w:rPr>
          <w:rFonts w:ascii="Arial" w:cs="Arial" w:eastAsia="Arial" w:hAnsi="Arial"/>
          <w:sz w:val="17"/>
          <w:szCs w:val="17"/>
          <w:color w:val="auto"/>
        </w:rPr>
        <w:t>Call of Duty Endowment (Co-Founder)</w:t>
      </w:r>
    </w:p>
    <w:p>
      <w:pPr>
        <w:spacing w:after="0" w:line="30" w:lineRule="exact"/>
        <w:rPr>
          <w:rFonts w:ascii="Arial" w:cs="Arial" w:eastAsia="Arial" w:hAnsi="Arial"/>
          <w:sz w:val="17"/>
          <w:szCs w:val="17"/>
          <w:color w:val="125288"/>
        </w:rPr>
      </w:pPr>
    </w:p>
    <w:p>
      <w:pPr>
        <w:ind w:left="160" w:hanging="156"/>
        <w:spacing w:after="0"/>
        <w:tabs>
          <w:tab w:leader="none" w:pos="160" w:val="left"/>
        </w:tabs>
        <w:numPr>
          <w:ilvl w:val="0"/>
          <w:numId w:val="22"/>
        </w:numPr>
        <w:rPr>
          <w:rFonts w:ascii="Arial" w:cs="Arial" w:eastAsia="Arial" w:hAnsi="Arial"/>
          <w:sz w:val="17"/>
          <w:szCs w:val="17"/>
          <w:color w:val="125288"/>
        </w:rPr>
      </w:pPr>
      <w:r>
        <w:rPr>
          <w:rFonts w:ascii="Arial" w:cs="Arial" w:eastAsia="Arial" w:hAnsi="Arial"/>
          <w:sz w:val="17"/>
          <w:szCs w:val="17"/>
          <w:color w:val="auto"/>
        </w:rPr>
        <w:t>New York-Presbyterian Hospital (Trustee)</w:t>
      </w:r>
    </w:p>
    <w:p>
      <w:pPr>
        <w:spacing w:after="0" w:line="30" w:lineRule="exact"/>
        <w:rPr>
          <w:rFonts w:ascii="Arial" w:cs="Arial" w:eastAsia="Arial" w:hAnsi="Arial"/>
          <w:sz w:val="17"/>
          <w:szCs w:val="17"/>
          <w:color w:val="125288"/>
        </w:rPr>
      </w:pPr>
    </w:p>
    <w:p>
      <w:pPr>
        <w:ind w:left="160" w:hanging="156"/>
        <w:spacing w:after="0"/>
        <w:tabs>
          <w:tab w:leader="none" w:pos="160" w:val="left"/>
        </w:tabs>
        <w:numPr>
          <w:ilvl w:val="0"/>
          <w:numId w:val="22"/>
        </w:numPr>
        <w:rPr>
          <w:rFonts w:ascii="Arial" w:cs="Arial" w:eastAsia="Arial" w:hAnsi="Arial"/>
          <w:sz w:val="16"/>
          <w:szCs w:val="16"/>
          <w:color w:val="125288"/>
        </w:rPr>
      </w:pPr>
      <w:r>
        <w:rPr>
          <w:rFonts w:ascii="Arial" w:cs="Arial" w:eastAsia="Arial" w:hAnsi="Arial"/>
          <w:sz w:val="16"/>
          <w:szCs w:val="16"/>
          <w:color w:val="auto"/>
        </w:rPr>
        <w:t>Juvenile Diabetes Cure Alliance (Founder and Chairman)</w:t>
      </w:r>
    </w:p>
    <w:p>
      <w:pPr>
        <w:spacing w:after="0" w:line="41" w:lineRule="exact"/>
        <w:rPr>
          <w:rFonts w:ascii="Arial" w:cs="Arial" w:eastAsia="Arial" w:hAnsi="Arial"/>
          <w:sz w:val="16"/>
          <w:szCs w:val="16"/>
          <w:color w:val="125288"/>
        </w:rPr>
      </w:pPr>
    </w:p>
    <w:p>
      <w:pPr>
        <w:ind w:left="160" w:hanging="156"/>
        <w:spacing w:after="0"/>
        <w:tabs>
          <w:tab w:leader="none" w:pos="160" w:val="left"/>
        </w:tabs>
        <w:numPr>
          <w:ilvl w:val="0"/>
          <w:numId w:val="22"/>
        </w:numPr>
        <w:rPr>
          <w:rFonts w:ascii="Arial" w:cs="Arial" w:eastAsia="Arial" w:hAnsi="Arial"/>
          <w:sz w:val="17"/>
          <w:szCs w:val="17"/>
          <w:color w:val="125288"/>
        </w:rPr>
      </w:pPr>
      <w:r>
        <w:rPr>
          <w:rFonts w:ascii="Arial" w:cs="Arial" w:eastAsia="Arial" w:hAnsi="Arial"/>
          <w:sz w:val="17"/>
          <w:szCs w:val="17"/>
          <w:color w:val="auto"/>
        </w:rPr>
        <w:t>Brian and Joelle Kelly Family Foundation (Trustee)</w:t>
      </w:r>
    </w:p>
    <w:p>
      <w:pPr>
        <w:spacing w:after="0" w:line="10" w:lineRule="exact"/>
        <w:rPr>
          <w:rFonts w:ascii="Arial" w:cs="Arial" w:eastAsia="Arial" w:hAnsi="Arial"/>
          <w:sz w:val="17"/>
          <w:szCs w:val="17"/>
          <w:color w:val="125288"/>
        </w:rPr>
      </w:pPr>
    </w:p>
    <w:p>
      <w:pPr>
        <w:spacing w:after="0"/>
        <w:rPr>
          <w:rFonts w:ascii="Arial" w:cs="Arial" w:eastAsia="Arial" w:hAnsi="Arial"/>
          <w:sz w:val="17"/>
          <w:szCs w:val="17"/>
          <w:color w:val="125288"/>
        </w:rPr>
      </w:pPr>
      <w:r>
        <w:rPr>
          <w:rFonts w:ascii="Arial" w:cs="Arial" w:eastAsia="Arial" w:hAnsi="Arial"/>
          <w:sz w:val="17"/>
          <w:szCs w:val="17"/>
          <w:b w:val="1"/>
          <w:bCs w:val="1"/>
          <w:color w:val="auto"/>
        </w:rPr>
        <w:t>Education:</w:t>
      </w:r>
    </w:p>
    <w:p>
      <w:pPr>
        <w:spacing w:after="0" w:line="86" w:lineRule="exact"/>
        <w:rPr>
          <w:rFonts w:ascii="Arial" w:cs="Arial" w:eastAsia="Arial" w:hAnsi="Arial"/>
          <w:sz w:val="17"/>
          <w:szCs w:val="17"/>
          <w:color w:val="125288"/>
        </w:rPr>
      </w:pPr>
    </w:p>
    <w:p>
      <w:pPr>
        <w:ind w:left="160" w:hanging="156"/>
        <w:spacing w:after="0"/>
        <w:tabs>
          <w:tab w:leader="none" w:pos="160" w:val="left"/>
        </w:tabs>
        <w:numPr>
          <w:ilvl w:val="0"/>
          <w:numId w:val="22"/>
        </w:numPr>
        <w:rPr>
          <w:rFonts w:ascii="Arial" w:cs="Arial" w:eastAsia="Arial" w:hAnsi="Arial"/>
          <w:sz w:val="17"/>
          <w:szCs w:val="17"/>
          <w:color w:val="125288"/>
        </w:rPr>
      </w:pPr>
      <w:r>
        <w:rPr>
          <w:rFonts w:ascii="Arial" w:cs="Arial" w:eastAsia="Arial" w:hAnsi="Arial"/>
          <w:sz w:val="17"/>
          <w:szCs w:val="17"/>
          <w:color w:val="auto"/>
        </w:rPr>
        <w:t>B.A. in accounting from Rutgers University</w:t>
      </w:r>
    </w:p>
    <w:p>
      <w:pPr>
        <w:spacing w:after="0" w:line="30" w:lineRule="exact"/>
        <w:rPr>
          <w:rFonts w:ascii="Arial" w:cs="Arial" w:eastAsia="Arial" w:hAnsi="Arial"/>
          <w:sz w:val="17"/>
          <w:szCs w:val="17"/>
          <w:color w:val="125288"/>
        </w:rPr>
      </w:pPr>
    </w:p>
    <w:p>
      <w:pPr>
        <w:ind w:left="160" w:hanging="156"/>
        <w:spacing w:after="0"/>
        <w:tabs>
          <w:tab w:leader="none" w:pos="160" w:val="left"/>
        </w:tabs>
        <w:numPr>
          <w:ilvl w:val="0"/>
          <w:numId w:val="22"/>
        </w:numPr>
        <w:rPr>
          <w:rFonts w:ascii="Arial" w:cs="Arial" w:eastAsia="Arial" w:hAnsi="Arial"/>
          <w:sz w:val="17"/>
          <w:szCs w:val="17"/>
          <w:color w:val="125288"/>
        </w:rPr>
      </w:pPr>
      <w:r>
        <w:rPr>
          <w:rFonts w:ascii="Arial" w:cs="Arial" w:eastAsia="Arial" w:hAnsi="Arial"/>
          <w:sz w:val="17"/>
          <w:szCs w:val="17"/>
          <w:color w:val="auto"/>
        </w:rPr>
        <w:t>J.D. from Fordham University School of Law</w:t>
      </w:r>
    </w:p>
    <w:p>
      <w:pPr>
        <w:spacing w:after="0" w:line="200" w:lineRule="exact"/>
        <w:rPr>
          <w:sz w:val="20"/>
          <w:szCs w:val="20"/>
          <w:color w:val="auto"/>
        </w:rPr>
      </w:pPr>
    </w:p>
    <w:p>
      <w:pPr>
        <w:sectPr>
          <w:pgSz w:w="11900" w:h="16838" w:orient="portrait"/>
          <w:cols w:equalWidth="0" w:num="3">
            <w:col w:w="960" w:space="400"/>
            <w:col w:w="4600" w:space="560"/>
            <w:col w:w="4740"/>
          </w:cols>
          <w:pgMar w:left="320" w:top="144" w:right="319" w:bottom="1440" w:gutter="0" w:footer="0" w:header="0"/>
          <w:type w:val="continuous"/>
        </w:sectPr>
      </w:pPr>
    </w:p>
    <w:p>
      <w:pPr>
        <w:spacing w:after="0" w:line="142"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125288"/>
        </w:rPr>
        <w:t>ROBERT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38735</wp:posOffset>
            </wp:positionV>
            <wp:extent cx="7148830"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128" w:lineRule="exact"/>
        <w:rPr>
          <w:sz w:val="20"/>
          <w:szCs w:val="20"/>
          <w:color w:val="auto"/>
        </w:rPr>
      </w:pPr>
    </w:p>
    <w:p>
      <w:pPr>
        <w:jc w:val="both"/>
        <w:ind w:left="1360" w:right="60"/>
        <w:spacing w:after="0"/>
        <w:rPr>
          <w:sz w:val="20"/>
          <w:szCs w:val="20"/>
          <w:color w:val="auto"/>
        </w:rPr>
      </w:pPr>
      <w:r>
        <w:rPr>
          <w:rFonts w:ascii="Arial" w:cs="Arial" w:eastAsia="Arial" w:hAnsi="Arial"/>
          <w:sz w:val="17"/>
          <w:szCs w:val="17"/>
          <w:color w:val="auto"/>
        </w:rPr>
        <w:t>Mr. Kotick, our founder and Chief Executive Officer, has been a director of Activision Blizzard since 1991, when he purchased a significant interest in the Company, which was then on the verge of insolvency. Mr. Kotick was our Chairman and Chief Executive Officer from 1991 until 2008, when he became our President and Chief Executive Officer. He served as President from 2008 until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-490855</wp:posOffset>
            </wp:positionV>
            <wp:extent cx="7103110" cy="6870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03110" cy="68707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60" w:right="80"/>
        <w:spacing w:after="0" w:line="259" w:lineRule="auto"/>
        <w:rPr>
          <w:sz w:val="20"/>
          <w:szCs w:val="20"/>
          <w:color w:val="auto"/>
        </w:rPr>
      </w:pPr>
      <w:r>
        <w:rPr>
          <w:rFonts w:ascii="Arial" w:cs="Arial" w:eastAsia="Arial" w:hAnsi="Arial"/>
          <w:sz w:val="15"/>
          <w:szCs w:val="15"/>
          <w:b w:val="1"/>
          <w:bCs w:val="1"/>
          <w:color w:val="auto"/>
        </w:rPr>
        <w:t>Chief Executive Officer of Activision Blizzard</w:t>
      </w:r>
    </w:p>
    <w:p>
      <w:pPr>
        <w:spacing w:after="0" w:line="44" w:lineRule="exact"/>
        <w:rPr>
          <w:sz w:val="20"/>
          <w:szCs w:val="20"/>
          <w:color w:val="auto"/>
        </w:rPr>
      </w:pPr>
    </w:p>
    <w:p>
      <w:pPr>
        <w:ind w:left="60"/>
        <w:spacing w:after="0" w:line="291" w:lineRule="auto"/>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b w:val="1"/>
          <w:bCs w:val="1"/>
          <w:color w:val="125288"/>
        </w:rPr>
        <w:t>1991</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b w:val="1"/>
          <w:bCs w:val="1"/>
          <w:color w:val="125288"/>
        </w:rPr>
        <w:t>59</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Experience/Qualifications:</w:t>
      </w:r>
    </w:p>
    <w:p>
      <w:pPr>
        <w:spacing w:after="0" w:line="61" w:lineRule="exact"/>
        <w:rPr>
          <w:sz w:val="20"/>
          <w:szCs w:val="20"/>
          <w:color w:val="auto"/>
        </w:rPr>
      </w:pPr>
    </w:p>
    <w:p>
      <w:pPr>
        <w:ind w:left="160" w:hanging="158"/>
        <w:spacing w:after="0" w:line="253" w:lineRule="auto"/>
        <w:tabs>
          <w:tab w:leader="none" w:pos="160" w:val="left"/>
        </w:tabs>
        <w:numPr>
          <w:ilvl w:val="0"/>
          <w:numId w:val="23"/>
        </w:numPr>
        <w:rPr>
          <w:rFonts w:ascii="Arial" w:cs="Arial" w:eastAsia="Arial" w:hAnsi="Arial"/>
          <w:sz w:val="16"/>
          <w:szCs w:val="16"/>
          <w:color w:val="125288"/>
        </w:rPr>
      </w:pPr>
      <w:r>
        <w:rPr>
          <w:rFonts w:ascii="Arial" w:cs="Arial" w:eastAsia="Arial" w:hAnsi="Arial"/>
          <w:sz w:val="16"/>
          <w:szCs w:val="16"/>
          <w:color w:val="auto"/>
        </w:rPr>
        <w:t>Depth of institutional knowledge and understanding of our organization, as well as practical experience in a chief executive officer role, by virtue of his 30 years of service to the Company, including as our Chief Executive Officer and, previously, as our President and the Chairman of our Board</w:t>
      </w:r>
    </w:p>
    <w:p>
      <w:pPr>
        <w:spacing w:after="0" w:line="16" w:lineRule="exact"/>
        <w:rPr>
          <w:rFonts w:ascii="Arial" w:cs="Arial" w:eastAsia="Arial" w:hAnsi="Arial"/>
          <w:sz w:val="16"/>
          <w:szCs w:val="16"/>
          <w:color w:val="125288"/>
        </w:rPr>
      </w:pPr>
    </w:p>
    <w:p>
      <w:pPr>
        <w:ind w:left="160" w:right="100" w:hanging="158"/>
        <w:spacing w:after="0" w:line="255" w:lineRule="auto"/>
        <w:tabs>
          <w:tab w:leader="none" w:pos="160" w:val="left"/>
        </w:tabs>
        <w:numPr>
          <w:ilvl w:val="0"/>
          <w:numId w:val="23"/>
        </w:numPr>
        <w:rPr>
          <w:rFonts w:ascii="Arial" w:cs="Arial" w:eastAsia="Arial" w:hAnsi="Arial"/>
          <w:sz w:val="16"/>
          <w:szCs w:val="16"/>
          <w:color w:val="125288"/>
        </w:rPr>
      </w:pPr>
      <w:r>
        <w:rPr>
          <w:rFonts w:ascii="Arial" w:cs="Arial" w:eastAsia="Arial" w:hAnsi="Arial"/>
          <w:sz w:val="16"/>
          <w:szCs w:val="16"/>
          <w:color w:val="auto"/>
        </w:rPr>
        <w:t>Perspective as a board member at a variety of other organizations and experience helping those organizations achieve their diverse goals and overcome a wide range of challenges through changing economic and social 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-866140</wp:posOffset>
            </wp:positionH>
            <wp:positionV relativeFrom="paragraph">
              <wp:posOffset>59690</wp:posOffset>
            </wp:positionV>
            <wp:extent cx="7148830"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Public Company Directorship(s):</w:t>
      </w:r>
    </w:p>
    <w:p>
      <w:pPr>
        <w:spacing w:after="0" w:line="61" w:lineRule="exact"/>
        <w:rPr>
          <w:sz w:val="20"/>
          <w:szCs w:val="20"/>
          <w:color w:val="auto"/>
        </w:rPr>
      </w:pPr>
    </w:p>
    <w:p>
      <w:pPr>
        <w:ind w:left="160" w:hanging="156"/>
        <w:spacing w:after="0"/>
        <w:tabs>
          <w:tab w:leader="none" w:pos="160" w:val="left"/>
        </w:tabs>
        <w:numPr>
          <w:ilvl w:val="0"/>
          <w:numId w:val="24"/>
        </w:numPr>
        <w:rPr>
          <w:rFonts w:ascii="Arial" w:cs="Arial" w:eastAsia="Arial" w:hAnsi="Arial"/>
          <w:sz w:val="17"/>
          <w:szCs w:val="17"/>
          <w:color w:val="125288"/>
        </w:rPr>
      </w:pPr>
      <w:r>
        <w:rPr>
          <w:rFonts w:ascii="Arial" w:cs="Arial" w:eastAsia="Arial" w:hAnsi="Arial"/>
          <w:sz w:val="17"/>
          <w:szCs w:val="17"/>
          <w:color w:val="auto"/>
        </w:rPr>
        <w:t>The Coca-Cola Company (since 2012)*</w:t>
      </w:r>
    </w:p>
    <w:p>
      <w:pPr>
        <w:spacing w:after="0" w:line="10" w:lineRule="exact"/>
        <w:rPr>
          <w:rFonts w:ascii="Arial" w:cs="Arial" w:eastAsia="Arial" w:hAnsi="Arial"/>
          <w:sz w:val="17"/>
          <w:szCs w:val="17"/>
          <w:color w:val="125288"/>
        </w:rPr>
      </w:pPr>
    </w:p>
    <w:p>
      <w:pPr>
        <w:spacing w:after="0"/>
        <w:rPr>
          <w:rFonts w:ascii="Arial" w:cs="Arial" w:eastAsia="Arial" w:hAnsi="Arial"/>
          <w:sz w:val="17"/>
          <w:szCs w:val="17"/>
          <w:color w:val="125288"/>
        </w:rPr>
      </w:pPr>
      <w:r>
        <w:rPr>
          <w:rFonts w:ascii="Arial" w:cs="Arial" w:eastAsia="Arial" w:hAnsi="Arial"/>
          <w:sz w:val="17"/>
          <w:szCs w:val="17"/>
          <w:b w:val="1"/>
          <w:bCs w:val="1"/>
          <w:color w:val="auto"/>
        </w:rPr>
        <w:t>Involvement with Other Organization(s):</w:t>
      </w:r>
    </w:p>
    <w:p>
      <w:pPr>
        <w:spacing w:after="0" w:line="50" w:lineRule="exact"/>
        <w:rPr>
          <w:rFonts w:ascii="Arial" w:cs="Arial" w:eastAsia="Arial" w:hAnsi="Arial"/>
          <w:sz w:val="17"/>
          <w:szCs w:val="17"/>
          <w:color w:val="125288"/>
        </w:rPr>
      </w:pPr>
    </w:p>
    <w:p>
      <w:pPr>
        <w:ind w:left="160" w:hanging="156"/>
        <w:spacing w:after="0"/>
        <w:tabs>
          <w:tab w:leader="none" w:pos="160" w:val="left"/>
        </w:tabs>
        <w:numPr>
          <w:ilvl w:val="0"/>
          <w:numId w:val="24"/>
        </w:numPr>
        <w:rPr>
          <w:rFonts w:ascii="Arial" w:cs="Arial" w:eastAsia="Arial" w:hAnsi="Arial"/>
          <w:sz w:val="17"/>
          <w:szCs w:val="17"/>
          <w:color w:val="125288"/>
        </w:rPr>
      </w:pPr>
      <w:r>
        <w:rPr>
          <w:rFonts w:ascii="Arial" w:cs="Arial" w:eastAsia="Arial" w:hAnsi="Arial"/>
          <w:sz w:val="17"/>
          <w:szCs w:val="17"/>
          <w:color w:val="auto"/>
        </w:rPr>
        <w:t>Call of Duty Endowment (Co-Founder and Co-Chairman)</w:t>
      </w:r>
    </w:p>
    <w:p>
      <w:pPr>
        <w:spacing w:after="0" w:line="30" w:lineRule="exact"/>
        <w:rPr>
          <w:rFonts w:ascii="Arial" w:cs="Arial" w:eastAsia="Arial" w:hAnsi="Arial"/>
          <w:sz w:val="17"/>
          <w:szCs w:val="17"/>
          <w:color w:val="125288"/>
        </w:rPr>
      </w:pPr>
    </w:p>
    <w:p>
      <w:pPr>
        <w:ind w:left="160" w:right="100" w:hanging="156"/>
        <w:spacing w:after="0" w:line="239" w:lineRule="auto"/>
        <w:tabs>
          <w:tab w:leader="none" w:pos="160" w:val="left"/>
        </w:tabs>
        <w:numPr>
          <w:ilvl w:val="0"/>
          <w:numId w:val="24"/>
        </w:numPr>
        <w:rPr>
          <w:rFonts w:ascii="Arial" w:cs="Arial" w:eastAsia="Arial" w:hAnsi="Arial"/>
          <w:sz w:val="17"/>
          <w:szCs w:val="17"/>
          <w:color w:val="125288"/>
        </w:rPr>
      </w:pPr>
      <w:r>
        <w:rPr>
          <w:rFonts w:ascii="Arial" w:cs="Arial" w:eastAsia="Arial" w:hAnsi="Arial"/>
          <w:sz w:val="17"/>
          <w:szCs w:val="17"/>
          <w:color w:val="auto"/>
        </w:rPr>
        <w:t>Los Angeles County Museum of Art (Vice Chairman of Board and Chairman of Committee of Trustees)</w:t>
      </w:r>
    </w:p>
    <w:p>
      <w:pPr>
        <w:spacing w:after="0" w:line="26" w:lineRule="exact"/>
        <w:rPr>
          <w:rFonts w:ascii="Arial" w:cs="Arial" w:eastAsia="Arial" w:hAnsi="Arial"/>
          <w:sz w:val="17"/>
          <w:szCs w:val="17"/>
          <w:color w:val="125288"/>
        </w:rPr>
      </w:pPr>
    </w:p>
    <w:p>
      <w:pPr>
        <w:ind w:left="160" w:hanging="156"/>
        <w:spacing w:after="0"/>
        <w:tabs>
          <w:tab w:leader="none" w:pos="160" w:val="left"/>
        </w:tabs>
        <w:numPr>
          <w:ilvl w:val="0"/>
          <w:numId w:val="24"/>
        </w:numPr>
        <w:rPr>
          <w:rFonts w:ascii="Arial" w:cs="Arial" w:eastAsia="Arial" w:hAnsi="Arial"/>
          <w:sz w:val="17"/>
          <w:szCs w:val="17"/>
          <w:color w:val="125288"/>
        </w:rPr>
      </w:pPr>
      <w:r>
        <w:rPr>
          <w:rFonts w:ascii="Arial" w:cs="Arial" w:eastAsia="Arial" w:hAnsi="Arial"/>
          <w:sz w:val="17"/>
          <w:szCs w:val="17"/>
          <w:color w:val="auto"/>
        </w:rPr>
        <w:t>Harvard-Westlake School (Member of Board of Trustees)</w:t>
      </w:r>
    </w:p>
    <w:p>
      <w:pPr>
        <w:spacing w:after="0" w:line="679" w:lineRule="exact"/>
        <w:rPr>
          <w:sz w:val="20"/>
          <w:szCs w:val="20"/>
          <w:color w:val="auto"/>
        </w:rPr>
      </w:pPr>
    </w:p>
    <w:p>
      <w:pPr>
        <w:sectPr>
          <w:pgSz w:w="11900" w:h="16838" w:orient="portrait"/>
          <w:cols w:equalWidth="0" w:num="3">
            <w:col w:w="880" w:space="480"/>
            <w:col w:w="4520" w:space="640"/>
            <w:col w:w="4740"/>
          </w:cols>
          <w:pgMar w:left="320" w:top="144" w:right="319" w:bottom="1440" w:gutter="0" w:footer="0" w:header="0"/>
          <w:type w:val="continuous"/>
        </w:sectPr>
      </w:pPr>
    </w:p>
    <w:p>
      <w:pPr>
        <w:spacing w:after="0" w:line="51" w:lineRule="exact"/>
        <w:rPr>
          <w:sz w:val="20"/>
          <w:szCs w:val="20"/>
          <w:color w:val="auto"/>
        </w:rPr>
      </w:pPr>
    </w:p>
    <w:p>
      <w:pPr>
        <w:spacing w:after="0"/>
        <w:tabs>
          <w:tab w:leader="none" w:pos="180" w:val="left"/>
        </w:tabs>
        <w:rPr>
          <w:sz w:val="20"/>
          <w:szCs w:val="20"/>
          <w:color w:val="auto"/>
        </w:rPr>
      </w:pPr>
      <w:r>
        <w:rPr>
          <w:rFonts w:ascii="Arial" w:cs="Arial" w:eastAsia="Arial" w:hAnsi="Arial"/>
          <w:sz w:val="15"/>
          <w:szCs w:val="15"/>
          <w:color w:val="auto"/>
        </w:rPr>
        <w:t>*</w:t>
        <w:tab/>
        <w:t>Mr. Kotick has decided not to stand for re-election to The Coca-Cola Company’s board in 2022.</w:t>
      </w:r>
    </w:p>
    <w:p>
      <w:pPr>
        <w:spacing w:after="0" w:line="201"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type w:val="continuous"/>
        </w:sectPr>
      </w:pPr>
    </w:p>
    <w:bookmarkStart w:id="25" w:name="page26"/>
    <w:bookmarkEnd w:id="25"/>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125288"/>
        </w:rPr>
        <w:t>LULU MESERVEY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45720</wp:posOffset>
            </wp:positionV>
            <wp:extent cx="7148830"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spacing w:after="0" w:line="291" w:lineRule="auto"/>
        <w:rPr>
          <w:sz w:val="20"/>
          <w:szCs w:val="20"/>
          <w:color w:val="auto"/>
        </w:rPr>
      </w:pPr>
      <w:r>
        <w:rPr>
          <w:rFonts w:ascii="Arial" w:cs="Arial" w:eastAsia="Arial" w:hAnsi="Arial"/>
          <w:sz w:val="15"/>
          <w:szCs w:val="15"/>
          <w:b w:val="1"/>
          <w:bCs w:val="1"/>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-1025525</wp:posOffset>
            </wp:positionV>
            <wp:extent cx="687070" cy="6870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7070" cy="6870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both"/>
        <w:ind w:right="60"/>
        <w:spacing w:after="0" w:line="235" w:lineRule="auto"/>
        <w:rPr>
          <w:sz w:val="20"/>
          <w:szCs w:val="20"/>
          <w:color w:val="auto"/>
        </w:rPr>
      </w:pPr>
      <w:r>
        <w:rPr>
          <w:rFonts w:ascii="Arial" w:cs="Arial" w:eastAsia="Arial" w:hAnsi="Arial"/>
          <w:sz w:val="17"/>
          <w:szCs w:val="17"/>
          <w:color w:val="auto"/>
        </w:rPr>
        <w:t>Ms. Meservey is the Vice President of Communications at Substack, an online platform for independent publishers of newsletters and podcasts, a role she has held since June 2021. Prior to joining Substack, Ms. Meservey co-founded the communications agency TrailRunner International and served as its Chief Operating Officer from May 2016 to January 2021 and as its President from January 2021 to June 2021. From 2013 to 2016, Ms. Meservey worked in the office of the chairman at McLarty Associates (formerly Kissinger McLarty), a global strategic advisory firm headquartered in Washington, D.C., and she continued to serve as an advisor from 2016 to 2021. Her prior experience includes positions with the World Bank, where she advised on international open data initiatives, the MIT Lincoln Laboratory, where she worked on an international framework of norms in cyberspace, and as a financial analyst at J.P.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21590</wp:posOffset>
            </wp:positionV>
            <wp:extent cx="6174740"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74740" cy="15240"/>
                    </a:xfrm>
                    <a:prstGeom prst="rect">
                      <a:avLst/>
                    </a:prstGeom>
                    <a:noFill/>
                  </pic:spPr>
                </pic:pic>
              </a:graphicData>
            </a:graphic>
          </wp:anchor>
        </w:drawing>
      </w:r>
    </w:p>
    <w:p>
      <w:pPr>
        <w:spacing w:after="0" w:line="114" w:lineRule="exact"/>
        <w:rPr>
          <w:sz w:val="20"/>
          <w:szCs w:val="20"/>
          <w:color w:val="auto"/>
        </w:rPr>
      </w:pPr>
    </w:p>
    <w:p>
      <w:pPr>
        <w:sectPr>
          <w:pgSz w:w="11900" w:h="16838" w:orient="portrait"/>
          <w:cols w:equalWidth="0" w:num="2">
            <w:col w:w="980" w:space="580"/>
            <w:col w:w="9700"/>
          </w:cols>
          <w:pgMar w:left="320" w:top="144" w:right="319" w:bottom="1440" w:gutter="0" w:footer="0" w:header="0"/>
          <w:type w:val="continuous"/>
        </w:sectPr>
      </w:pPr>
    </w:p>
    <w:p>
      <w:pPr>
        <w:jc w:val="both"/>
        <w:ind w:left="60"/>
        <w:spacing w:after="0" w:line="269" w:lineRule="auto"/>
        <w:rPr>
          <w:sz w:val="20"/>
          <w:szCs w:val="20"/>
          <w:color w:val="auto"/>
        </w:rPr>
      </w:pPr>
      <w:r>
        <w:rPr>
          <w:rFonts w:ascii="Arial" w:cs="Arial" w:eastAsia="Arial" w:hAnsi="Arial"/>
          <w:sz w:val="15"/>
          <w:szCs w:val="15"/>
          <w:b w:val="1"/>
          <w:bCs w:val="1"/>
          <w:color w:val="auto"/>
        </w:rPr>
        <w:t>Vice President of Communications at Substack</w:t>
      </w:r>
    </w:p>
    <w:p>
      <w:pPr>
        <w:spacing w:after="0" w:line="38" w:lineRule="exact"/>
        <w:rPr>
          <w:sz w:val="20"/>
          <w:szCs w:val="20"/>
          <w:color w:val="auto"/>
        </w:rPr>
      </w:pPr>
    </w:p>
    <w:p>
      <w:pPr>
        <w:ind w:left="60" w:right="420"/>
        <w:spacing w:after="0" w:line="291" w:lineRule="auto"/>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b w:val="1"/>
          <w:bCs w:val="1"/>
          <w:color w:val="125288"/>
        </w:rPr>
        <w:t>2022</w:t>
      </w:r>
    </w:p>
    <w:p>
      <w:pPr>
        <w:spacing w:after="0" w:line="22" w:lineRule="exact"/>
        <w:rPr>
          <w:sz w:val="20"/>
          <w:szCs w:val="20"/>
          <w:color w:val="auto"/>
        </w:rPr>
      </w:pPr>
    </w:p>
    <w:p>
      <w:pPr>
        <w:ind w:left="60" w:right="100"/>
        <w:spacing w:after="0" w:line="262" w:lineRule="auto"/>
        <w:rPr>
          <w:sz w:val="20"/>
          <w:szCs w:val="20"/>
          <w:color w:val="auto"/>
        </w:rPr>
      </w:pPr>
      <w:r>
        <w:rPr>
          <w:rFonts w:ascii="Arial" w:cs="Arial" w:eastAsia="Arial" w:hAnsi="Arial"/>
          <w:sz w:val="15"/>
          <w:szCs w:val="15"/>
          <w:b w:val="1"/>
          <w:bCs w:val="1"/>
          <w:color w:val="auto"/>
        </w:rPr>
        <w:t>Activision Blizzard Board Committee Membership(s):</w:t>
      </w:r>
    </w:p>
    <w:p>
      <w:pPr>
        <w:spacing w:after="0" w:line="43" w:lineRule="exact"/>
        <w:rPr>
          <w:sz w:val="20"/>
          <w:szCs w:val="20"/>
          <w:color w:val="auto"/>
        </w:rPr>
      </w:pPr>
    </w:p>
    <w:p>
      <w:pPr>
        <w:ind w:left="200" w:right="40" w:hanging="145"/>
        <w:spacing w:after="0" w:line="253" w:lineRule="auto"/>
        <w:tabs>
          <w:tab w:leader="none" w:pos="200" w:val="left"/>
        </w:tabs>
        <w:numPr>
          <w:ilvl w:val="0"/>
          <w:numId w:val="25"/>
        </w:numPr>
        <w:rPr>
          <w:rFonts w:ascii="Arial" w:cs="Arial" w:eastAsia="Arial" w:hAnsi="Arial"/>
          <w:sz w:val="17"/>
          <w:szCs w:val="17"/>
          <w:b w:val="1"/>
          <w:bCs w:val="1"/>
          <w:color w:val="125288"/>
        </w:rPr>
      </w:pPr>
      <w:r>
        <w:rPr>
          <w:rFonts w:ascii="Arial" w:cs="Arial" w:eastAsia="Arial" w:hAnsi="Arial"/>
          <w:sz w:val="15"/>
          <w:szCs w:val="15"/>
          <w:b w:val="1"/>
          <w:bCs w:val="1"/>
          <w:color w:val="auto"/>
        </w:rPr>
        <w:t>Workplace Responsibility Committee</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b w:val="1"/>
          <w:bCs w:val="1"/>
          <w:color w:val="125288"/>
        </w:rPr>
        <w:t>35</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left="43"/>
        <w:spacing w:after="0"/>
        <w:rPr>
          <w:sz w:val="20"/>
          <w:szCs w:val="20"/>
          <w:color w:val="auto"/>
        </w:rPr>
      </w:pPr>
      <w:r>
        <w:rPr>
          <w:rFonts w:ascii="Arial" w:cs="Arial" w:eastAsia="Arial" w:hAnsi="Arial"/>
          <w:sz w:val="15"/>
          <w:szCs w:val="15"/>
          <w:b w:val="1"/>
          <w:bCs w:val="1"/>
          <w:color w:val="auto"/>
        </w:rPr>
        <w:t>Key Experience/Qualifications:</w:t>
      </w:r>
    </w:p>
    <w:p>
      <w:pPr>
        <w:spacing w:after="0" w:line="49" w:lineRule="exact"/>
        <w:rPr>
          <w:sz w:val="20"/>
          <w:szCs w:val="20"/>
          <w:color w:val="auto"/>
        </w:rPr>
      </w:pPr>
    </w:p>
    <w:p>
      <w:pPr>
        <w:ind w:left="163" w:hanging="163"/>
        <w:spacing w:after="0" w:line="191" w:lineRule="auto"/>
        <w:tabs>
          <w:tab w:leader="none" w:pos="163" w:val="left"/>
        </w:tabs>
        <w:numPr>
          <w:ilvl w:val="0"/>
          <w:numId w:val="26"/>
        </w:numPr>
        <w:rPr>
          <w:rFonts w:ascii="Arial" w:cs="Arial" w:eastAsia="Arial" w:hAnsi="Arial"/>
          <w:sz w:val="33"/>
          <w:szCs w:val="33"/>
          <w:color w:val="125288"/>
          <w:vertAlign w:val="superscript"/>
        </w:rPr>
      </w:pPr>
      <w:r>
        <w:rPr>
          <w:rFonts w:ascii="Arial" w:cs="Arial" w:eastAsia="Arial" w:hAnsi="Arial"/>
          <w:sz w:val="17"/>
          <w:szCs w:val="17"/>
          <w:color w:val="auto"/>
        </w:rPr>
        <w:t>Expertise in communications, including as a communications executive at a content publishing company and co-founder and executive of a firm focused on corporate and communications</w:t>
      </w:r>
    </w:p>
    <w:p>
      <w:pPr>
        <w:spacing w:after="0" w:line="15" w:lineRule="exact"/>
        <w:rPr>
          <w:rFonts w:ascii="Arial" w:cs="Arial" w:eastAsia="Arial" w:hAnsi="Arial"/>
          <w:sz w:val="33"/>
          <w:szCs w:val="33"/>
          <w:color w:val="125288"/>
          <w:vertAlign w:val="superscript"/>
        </w:rPr>
      </w:pPr>
    </w:p>
    <w:p>
      <w:pPr>
        <w:ind w:left="163" w:right="220" w:hanging="163"/>
        <w:spacing w:after="0" w:line="181" w:lineRule="auto"/>
        <w:tabs>
          <w:tab w:leader="none" w:pos="163" w:val="left"/>
        </w:tabs>
        <w:numPr>
          <w:ilvl w:val="0"/>
          <w:numId w:val="26"/>
        </w:numPr>
        <w:rPr>
          <w:rFonts w:ascii="Arial" w:cs="Arial" w:eastAsia="Arial" w:hAnsi="Arial"/>
          <w:sz w:val="33"/>
          <w:szCs w:val="33"/>
          <w:color w:val="125288"/>
          <w:vertAlign w:val="superscript"/>
        </w:rPr>
      </w:pPr>
      <w:r>
        <w:rPr>
          <w:rFonts w:ascii="Arial" w:cs="Arial" w:eastAsia="Arial" w:hAnsi="Arial"/>
          <w:sz w:val="17"/>
          <w:szCs w:val="17"/>
          <w:color w:val="auto"/>
        </w:rPr>
        <w:t>Experience in a broad range of disciplines, including tech, finance, policy, and international expansion and financial communications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692785</wp:posOffset>
            </wp:positionV>
            <wp:extent cx="7148830"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Involvement with Other Organization(s):</w:t>
      </w:r>
    </w:p>
    <w:p>
      <w:pPr>
        <w:spacing w:after="0" w:line="61" w:lineRule="exact"/>
        <w:rPr>
          <w:sz w:val="20"/>
          <w:szCs w:val="20"/>
          <w:color w:val="auto"/>
        </w:rPr>
      </w:pPr>
    </w:p>
    <w:p>
      <w:pPr>
        <w:ind w:left="160" w:hanging="159"/>
        <w:spacing w:after="0"/>
        <w:tabs>
          <w:tab w:leader="none" w:pos="160" w:val="left"/>
        </w:tabs>
        <w:numPr>
          <w:ilvl w:val="0"/>
          <w:numId w:val="27"/>
        </w:numPr>
        <w:rPr>
          <w:rFonts w:ascii="Arial" w:cs="Arial" w:eastAsia="Arial" w:hAnsi="Arial"/>
          <w:sz w:val="17"/>
          <w:szCs w:val="17"/>
          <w:color w:val="125288"/>
        </w:rPr>
      </w:pPr>
      <w:r>
        <w:rPr>
          <w:rFonts w:ascii="Arial" w:cs="Arial" w:eastAsia="Arial" w:hAnsi="Arial"/>
          <w:sz w:val="17"/>
          <w:szCs w:val="17"/>
          <w:color w:val="auto"/>
        </w:rPr>
        <w:t>TrailRunner International (Advisor)</w:t>
      </w:r>
    </w:p>
    <w:p>
      <w:pPr>
        <w:spacing w:after="0" w:line="30" w:lineRule="exact"/>
        <w:rPr>
          <w:rFonts w:ascii="Arial" w:cs="Arial" w:eastAsia="Arial" w:hAnsi="Arial"/>
          <w:sz w:val="17"/>
          <w:szCs w:val="17"/>
          <w:color w:val="125288"/>
        </w:rPr>
      </w:pPr>
    </w:p>
    <w:p>
      <w:pPr>
        <w:ind w:left="160" w:hanging="159"/>
        <w:spacing w:after="0"/>
        <w:tabs>
          <w:tab w:leader="none" w:pos="160" w:val="left"/>
        </w:tabs>
        <w:numPr>
          <w:ilvl w:val="0"/>
          <w:numId w:val="27"/>
        </w:numPr>
        <w:rPr>
          <w:rFonts w:ascii="Arial" w:cs="Arial" w:eastAsia="Arial" w:hAnsi="Arial"/>
          <w:sz w:val="17"/>
          <w:szCs w:val="17"/>
          <w:color w:val="125288"/>
        </w:rPr>
      </w:pPr>
      <w:r>
        <w:rPr>
          <w:rFonts w:ascii="Arial" w:cs="Arial" w:eastAsia="Arial" w:hAnsi="Arial"/>
          <w:sz w:val="17"/>
          <w:szCs w:val="17"/>
          <w:color w:val="auto"/>
        </w:rPr>
        <w:t>Dr. B (Advisor)</w:t>
      </w:r>
    </w:p>
    <w:p>
      <w:pPr>
        <w:spacing w:after="0" w:line="30" w:lineRule="exact"/>
        <w:rPr>
          <w:rFonts w:ascii="Arial" w:cs="Arial" w:eastAsia="Arial" w:hAnsi="Arial"/>
          <w:sz w:val="17"/>
          <w:szCs w:val="17"/>
          <w:color w:val="125288"/>
        </w:rPr>
      </w:pPr>
    </w:p>
    <w:p>
      <w:pPr>
        <w:ind w:left="160" w:hanging="159"/>
        <w:spacing w:after="0"/>
        <w:tabs>
          <w:tab w:leader="none" w:pos="160" w:val="left"/>
        </w:tabs>
        <w:numPr>
          <w:ilvl w:val="0"/>
          <w:numId w:val="27"/>
        </w:numPr>
        <w:rPr>
          <w:rFonts w:ascii="Arial" w:cs="Arial" w:eastAsia="Arial" w:hAnsi="Arial"/>
          <w:sz w:val="17"/>
          <w:szCs w:val="17"/>
          <w:color w:val="125288"/>
        </w:rPr>
      </w:pPr>
      <w:r>
        <w:rPr>
          <w:rFonts w:ascii="Arial" w:cs="Arial" w:eastAsia="Arial" w:hAnsi="Arial"/>
          <w:sz w:val="17"/>
          <w:szCs w:val="17"/>
          <w:color w:val="auto"/>
        </w:rPr>
        <w:t>Synthesis School (Advisor)</w:t>
      </w:r>
    </w:p>
    <w:p>
      <w:pPr>
        <w:spacing w:after="0" w:line="30" w:lineRule="exact"/>
        <w:rPr>
          <w:rFonts w:ascii="Arial" w:cs="Arial" w:eastAsia="Arial" w:hAnsi="Arial"/>
          <w:sz w:val="17"/>
          <w:szCs w:val="17"/>
          <w:color w:val="125288"/>
        </w:rPr>
      </w:pPr>
    </w:p>
    <w:p>
      <w:pPr>
        <w:ind w:left="160" w:hanging="159"/>
        <w:spacing w:after="0"/>
        <w:tabs>
          <w:tab w:leader="none" w:pos="160" w:val="left"/>
        </w:tabs>
        <w:numPr>
          <w:ilvl w:val="0"/>
          <w:numId w:val="27"/>
        </w:numPr>
        <w:rPr>
          <w:rFonts w:ascii="Arial" w:cs="Arial" w:eastAsia="Arial" w:hAnsi="Arial"/>
          <w:sz w:val="16"/>
          <w:szCs w:val="16"/>
          <w:color w:val="125288"/>
        </w:rPr>
      </w:pPr>
      <w:r>
        <w:rPr>
          <w:rFonts w:ascii="Arial" w:cs="Arial" w:eastAsia="Arial" w:hAnsi="Arial"/>
          <w:sz w:val="16"/>
          <w:szCs w:val="16"/>
          <w:color w:val="auto"/>
        </w:rPr>
        <w:t>The Fletcher School (former Member of Board of Directors)</w:t>
      </w:r>
    </w:p>
    <w:p>
      <w:pPr>
        <w:spacing w:after="0" w:line="21" w:lineRule="exact"/>
        <w:rPr>
          <w:rFonts w:ascii="Arial" w:cs="Arial" w:eastAsia="Arial" w:hAnsi="Arial"/>
          <w:sz w:val="16"/>
          <w:szCs w:val="16"/>
          <w:color w:val="125288"/>
        </w:rPr>
      </w:pPr>
    </w:p>
    <w:p>
      <w:pPr>
        <w:spacing w:after="0"/>
        <w:rPr>
          <w:rFonts w:ascii="Arial" w:cs="Arial" w:eastAsia="Arial" w:hAnsi="Arial"/>
          <w:sz w:val="16"/>
          <w:szCs w:val="16"/>
          <w:color w:val="125288"/>
        </w:rPr>
      </w:pPr>
      <w:r>
        <w:rPr>
          <w:rFonts w:ascii="Arial" w:cs="Arial" w:eastAsia="Arial" w:hAnsi="Arial"/>
          <w:sz w:val="17"/>
          <w:szCs w:val="17"/>
          <w:b w:val="1"/>
          <w:bCs w:val="1"/>
          <w:color w:val="auto"/>
        </w:rPr>
        <w:t>Education:</w:t>
      </w:r>
    </w:p>
    <w:p>
      <w:pPr>
        <w:spacing w:after="0" w:line="50" w:lineRule="exact"/>
        <w:rPr>
          <w:rFonts w:ascii="Arial" w:cs="Arial" w:eastAsia="Arial" w:hAnsi="Arial"/>
          <w:sz w:val="16"/>
          <w:szCs w:val="16"/>
          <w:color w:val="125288"/>
        </w:rPr>
      </w:pPr>
    </w:p>
    <w:p>
      <w:pPr>
        <w:ind w:left="160" w:hanging="159"/>
        <w:spacing w:after="0"/>
        <w:tabs>
          <w:tab w:leader="none" w:pos="160" w:val="left"/>
        </w:tabs>
        <w:numPr>
          <w:ilvl w:val="0"/>
          <w:numId w:val="27"/>
        </w:numPr>
        <w:rPr>
          <w:rFonts w:ascii="Arial" w:cs="Arial" w:eastAsia="Arial" w:hAnsi="Arial"/>
          <w:sz w:val="17"/>
          <w:szCs w:val="17"/>
          <w:color w:val="125288"/>
        </w:rPr>
      </w:pPr>
      <w:r>
        <w:rPr>
          <w:rFonts w:ascii="Arial" w:cs="Arial" w:eastAsia="Arial" w:hAnsi="Arial"/>
          <w:sz w:val="17"/>
          <w:szCs w:val="17"/>
          <w:color w:val="auto"/>
        </w:rPr>
        <w:t>B.A. in political science from Yale University</w:t>
      </w:r>
    </w:p>
    <w:p>
      <w:pPr>
        <w:spacing w:after="0" w:line="30" w:lineRule="exact"/>
        <w:rPr>
          <w:rFonts w:ascii="Arial" w:cs="Arial" w:eastAsia="Arial" w:hAnsi="Arial"/>
          <w:sz w:val="17"/>
          <w:szCs w:val="17"/>
          <w:color w:val="125288"/>
        </w:rPr>
      </w:pPr>
    </w:p>
    <w:p>
      <w:pPr>
        <w:ind w:left="160" w:right="240" w:hanging="159"/>
        <w:spacing w:after="0" w:line="239" w:lineRule="auto"/>
        <w:tabs>
          <w:tab w:leader="none" w:pos="160" w:val="left"/>
        </w:tabs>
        <w:numPr>
          <w:ilvl w:val="0"/>
          <w:numId w:val="27"/>
        </w:numPr>
        <w:rPr>
          <w:rFonts w:ascii="Arial" w:cs="Arial" w:eastAsia="Arial" w:hAnsi="Arial"/>
          <w:sz w:val="17"/>
          <w:szCs w:val="17"/>
          <w:color w:val="125288"/>
        </w:rPr>
      </w:pPr>
      <w:r>
        <w:rPr>
          <w:rFonts w:ascii="Arial" w:cs="Arial" w:eastAsia="Arial" w:hAnsi="Arial"/>
          <w:sz w:val="17"/>
          <w:szCs w:val="17"/>
          <w:color w:val="auto"/>
        </w:rPr>
        <w:t>M.A. in international relations from The Fletcher School of Law and Diplomacy at Tufts University</w:t>
      </w:r>
    </w:p>
    <w:p>
      <w:pPr>
        <w:spacing w:after="0" w:line="819" w:lineRule="exact"/>
        <w:rPr>
          <w:sz w:val="20"/>
          <w:szCs w:val="20"/>
          <w:color w:val="auto"/>
        </w:rPr>
      </w:pPr>
    </w:p>
    <w:p>
      <w:pPr>
        <w:sectPr>
          <w:pgSz w:w="11900" w:h="16838" w:orient="portrait"/>
          <w:cols w:equalWidth="0" w:num="3">
            <w:col w:w="1300" w:space="217"/>
            <w:col w:w="4623" w:space="480"/>
            <w:col w:w="4640"/>
          </w:cols>
          <w:pgMar w:left="320" w:top="144" w:right="319" w:bottom="1440" w:gutter="0" w:footer="0" w:header="0"/>
          <w:type w:val="continuous"/>
        </w:sectPr>
      </w:pPr>
    </w:p>
    <w:p>
      <w:pPr>
        <w:spacing w:after="0" w:line="100"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125288"/>
        </w:rPr>
        <w:t>BARRY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38735</wp:posOffset>
            </wp:positionV>
            <wp:extent cx="7148830"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128" w:lineRule="exact"/>
        <w:rPr>
          <w:sz w:val="20"/>
          <w:szCs w:val="20"/>
          <w:color w:val="auto"/>
        </w:rPr>
      </w:pPr>
    </w:p>
    <w:p>
      <w:pPr>
        <w:jc w:val="both"/>
        <w:ind w:left="1460" w:right="60"/>
        <w:spacing w:after="0" w:line="236" w:lineRule="auto"/>
        <w:rPr>
          <w:sz w:val="20"/>
          <w:szCs w:val="20"/>
          <w:color w:val="auto"/>
        </w:rPr>
      </w:pPr>
      <w:r>
        <w:rPr>
          <w:rFonts w:ascii="Arial" w:cs="Arial" w:eastAsia="Arial" w:hAnsi="Arial"/>
          <w:sz w:val="17"/>
          <w:szCs w:val="17"/>
          <w:color w:val="auto"/>
        </w:rPr>
        <w:t>Mr. Meyer retired as the Chairman of Warner Bros. Entertainment Inc., an American producer of film, television, and music, at the end of 2013. He joined Warner Bros. as a director of business affairs in 1971 and held positions of increasing responsibility throughout his tenure there, eventually serving as Warner Bros.’ Chief Executive Officer and Chairman from 1999 until 2013. Mr. Meyer founded the consulting firm North Ten Mile Associates following his retirement from Warner Bros., and currently serves as the Manager and Co-Chief Executive Officer of that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-604520</wp:posOffset>
            </wp:positionV>
            <wp:extent cx="7103110" cy="6870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03110" cy="68707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type w:val="continuous"/>
        </w:sectPr>
      </w:pPr>
    </w:p>
    <w:p>
      <w:pPr>
        <w:spacing w:after="0" w:line="244" w:lineRule="exact"/>
        <w:rPr>
          <w:sz w:val="20"/>
          <w:szCs w:val="20"/>
          <w:color w:val="auto"/>
        </w:rPr>
      </w:pPr>
    </w:p>
    <w:p>
      <w:pPr>
        <w:ind w:left="60" w:right="220"/>
        <w:spacing w:after="0" w:line="291" w:lineRule="auto"/>
        <w:rPr>
          <w:sz w:val="20"/>
          <w:szCs w:val="20"/>
          <w:color w:val="auto"/>
        </w:rPr>
      </w:pPr>
      <w:r>
        <w:rPr>
          <w:rFonts w:ascii="Arial" w:cs="Arial" w:eastAsia="Arial" w:hAnsi="Arial"/>
          <w:sz w:val="15"/>
          <w:szCs w:val="15"/>
          <w:b w:val="1"/>
          <w:bCs w:val="1"/>
          <w:color w:val="auto"/>
        </w:rPr>
        <w:t>Independent Director</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Retired</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Chairman and</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Chief Executive</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Officer of</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Warner Bros.</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Entertainment</w:t>
      </w:r>
    </w:p>
    <w:p>
      <w:pPr>
        <w:spacing w:after="0" w:line="71" w:lineRule="exact"/>
        <w:rPr>
          <w:sz w:val="20"/>
          <w:szCs w:val="20"/>
          <w:color w:val="auto"/>
        </w:rPr>
      </w:pPr>
    </w:p>
    <w:p>
      <w:pPr>
        <w:ind w:left="60" w:right="320"/>
        <w:spacing w:after="0" w:line="291" w:lineRule="auto"/>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b w:val="1"/>
          <w:bCs w:val="1"/>
          <w:color w:val="125288"/>
        </w:rPr>
        <w:t>2014</w:t>
      </w:r>
    </w:p>
    <w:p>
      <w:pPr>
        <w:spacing w:after="0" w:line="22" w:lineRule="exact"/>
        <w:rPr>
          <w:sz w:val="20"/>
          <w:szCs w:val="20"/>
          <w:color w:val="auto"/>
        </w:rPr>
      </w:pPr>
    </w:p>
    <w:p>
      <w:pPr>
        <w:ind w:left="60"/>
        <w:spacing w:after="0" w:line="262" w:lineRule="auto"/>
        <w:rPr>
          <w:sz w:val="20"/>
          <w:szCs w:val="20"/>
          <w:color w:val="auto"/>
        </w:rPr>
      </w:pPr>
      <w:r>
        <w:rPr>
          <w:rFonts w:ascii="Arial" w:cs="Arial" w:eastAsia="Arial" w:hAnsi="Arial"/>
          <w:sz w:val="15"/>
          <w:szCs w:val="15"/>
          <w:b w:val="1"/>
          <w:bCs w:val="1"/>
          <w:color w:val="auto"/>
        </w:rPr>
        <w:t>Activision Blizzard Board Committee Membership(s):</w:t>
      </w:r>
    </w:p>
    <w:p>
      <w:pPr>
        <w:spacing w:after="0" w:line="43" w:lineRule="exact"/>
        <w:rPr>
          <w:sz w:val="20"/>
          <w:szCs w:val="20"/>
          <w:color w:val="auto"/>
        </w:rPr>
      </w:pPr>
    </w:p>
    <w:p>
      <w:pPr>
        <w:ind w:left="200" w:right="100" w:hanging="145"/>
        <w:spacing w:after="0" w:line="250" w:lineRule="auto"/>
        <w:tabs>
          <w:tab w:leader="none" w:pos="200" w:val="left"/>
        </w:tabs>
        <w:numPr>
          <w:ilvl w:val="0"/>
          <w:numId w:val="28"/>
        </w:numPr>
        <w:rPr>
          <w:rFonts w:ascii="Arial" w:cs="Arial" w:eastAsia="Arial" w:hAnsi="Arial"/>
          <w:sz w:val="17"/>
          <w:szCs w:val="17"/>
          <w:color w:val="125288"/>
        </w:rPr>
      </w:pPr>
      <w:r>
        <w:rPr>
          <w:rFonts w:ascii="Arial" w:cs="Arial" w:eastAsia="Arial" w:hAnsi="Arial"/>
          <w:sz w:val="15"/>
          <w:szCs w:val="15"/>
          <w:b w:val="1"/>
          <w:bCs w:val="1"/>
          <w:color w:val="auto"/>
        </w:rPr>
        <w:t>Nominating and Corporate Governance Committee</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b w:val="1"/>
          <w:bCs w:val="1"/>
          <w:color w:val="125288"/>
        </w:rPr>
        <w:t>78</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38"/>
        <w:spacing w:after="0"/>
        <w:rPr>
          <w:sz w:val="20"/>
          <w:szCs w:val="20"/>
          <w:color w:val="auto"/>
        </w:rPr>
      </w:pPr>
      <w:r>
        <w:rPr>
          <w:rFonts w:ascii="Arial" w:cs="Arial" w:eastAsia="Arial" w:hAnsi="Arial"/>
          <w:sz w:val="15"/>
          <w:szCs w:val="15"/>
          <w:b w:val="1"/>
          <w:bCs w:val="1"/>
          <w:color w:val="auto"/>
        </w:rPr>
        <w:t>Key Experience/Qualifications:</w:t>
      </w:r>
    </w:p>
    <w:p>
      <w:pPr>
        <w:spacing w:after="0" w:line="49" w:lineRule="exact"/>
        <w:rPr>
          <w:sz w:val="20"/>
          <w:szCs w:val="20"/>
          <w:color w:val="auto"/>
        </w:rPr>
      </w:pPr>
    </w:p>
    <w:p>
      <w:pPr>
        <w:ind w:left="158" w:right="20" w:hanging="158"/>
        <w:spacing w:after="0" w:line="237" w:lineRule="auto"/>
        <w:tabs>
          <w:tab w:leader="none" w:pos="158" w:val="left"/>
        </w:tabs>
        <w:numPr>
          <w:ilvl w:val="0"/>
          <w:numId w:val="29"/>
        </w:numPr>
        <w:rPr>
          <w:rFonts w:ascii="Arial" w:cs="Arial" w:eastAsia="Arial" w:hAnsi="Arial"/>
          <w:sz w:val="17"/>
          <w:szCs w:val="17"/>
          <w:color w:val="125288"/>
        </w:rPr>
      </w:pPr>
      <w:r>
        <w:rPr>
          <w:rFonts w:ascii="Arial" w:cs="Arial" w:eastAsia="Arial" w:hAnsi="Arial"/>
          <w:sz w:val="17"/>
          <w:szCs w:val="17"/>
          <w:color w:val="auto"/>
        </w:rPr>
        <w:t>Over 40 years of leadership and managerial experience in one of the largest entertainment production companies in the world, including serving as its chief executive officer</w:t>
      </w:r>
    </w:p>
    <w:p>
      <w:pPr>
        <w:spacing w:after="0" w:line="27" w:lineRule="exact"/>
        <w:rPr>
          <w:rFonts w:ascii="Arial" w:cs="Arial" w:eastAsia="Arial" w:hAnsi="Arial"/>
          <w:sz w:val="17"/>
          <w:szCs w:val="17"/>
          <w:color w:val="125288"/>
        </w:rPr>
      </w:pPr>
    </w:p>
    <w:p>
      <w:pPr>
        <w:ind w:left="198" w:hanging="151"/>
        <w:spacing w:after="0" w:line="236" w:lineRule="auto"/>
        <w:tabs>
          <w:tab w:leader="none" w:pos="198" w:val="left"/>
        </w:tabs>
        <w:numPr>
          <w:ilvl w:val="1"/>
          <w:numId w:val="29"/>
        </w:numPr>
        <w:rPr>
          <w:rFonts w:ascii="Arial" w:cs="Arial" w:eastAsia="Arial" w:hAnsi="Arial"/>
          <w:sz w:val="17"/>
          <w:szCs w:val="17"/>
          <w:color w:val="125288"/>
        </w:rPr>
      </w:pPr>
      <w:r>
        <w:rPr>
          <w:rFonts w:ascii="Arial" w:cs="Arial" w:eastAsia="Arial" w:hAnsi="Arial"/>
          <w:sz w:val="17"/>
          <w:szCs w:val="17"/>
          <w:color w:val="auto"/>
        </w:rPr>
        <w:t>In-depth knowledge of both the business and creative aspects of the entertainment industry from his years at Warner Bros. and the leadership positions he holds in various cultural institutions dedicated to visual and cinematic arts</w:t>
      </w:r>
    </w:p>
    <w:p>
      <w:pPr>
        <w:spacing w:after="0" w:line="25" w:lineRule="exact"/>
        <w:rPr>
          <w:rFonts w:ascii="Arial" w:cs="Arial" w:eastAsia="Arial" w:hAnsi="Arial"/>
          <w:sz w:val="17"/>
          <w:szCs w:val="17"/>
          <w:color w:val="125288"/>
        </w:rPr>
      </w:pPr>
    </w:p>
    <w:p>
      <w:pPr>
        <w:ind w:left="198" w:right="900" w:hanging="151"/>
        <w:spacing w:after="0" w:line="239" w:lineRule="auto"/>
        <w:tabs>
          <w:tab w:leader="none" w:pos="198" w:val="left"/>
        </w:tabs>
        <w:numPr>
          <w:ilvl w:val="1"/>
          <w:numId w:val="29"/>
        </w:numPr>
        <w:rPr>
          <w:rFonts w:ascii="Arial" w:cs="Arial" w:eastAsia="Arial" w:hAnsi="Arial"/>
          <w:sz w:val="17"/>
          <w:szCs w:val="17"/>
          <w:color w:val="125288"/>
        </w:rPr>
      </w:pPr>
      <w:r>
        <w:rPr>
          <w:rFonts w:ascii="Arial" w:cs="Arial" w:eastAsia="Arial" w:hAnsi="Arial"/>
          <w:sz w:val="17"/>
          <w:szCs w:val="17"/>
          <w:color w:val="auto"/>
        </w:rPr>
        <w:t>Wealth of experience in nearly every facet of the entertainment industry</w:t>
      </w:r>
    </w:p>
    <w:p>
      <w:pPr>
        <w:spacing w:after="0" w:line="26" w:lineRule="exact"/>
        <w:rPr>
          <w:rFonts w:ascii="Arial" w:cs="Arial" w:eastAsia="Arial" w:hAnsi="Arial"/>
          <w:sz w:val="17"/>
          <w:szCs w:val="17"/>
          <w:color w:val="125288"/>
        </w:rPr>
      </w:pPr>
    </w:p>
    <w:p>
      <w:pPr>
        <w:ind w:left="198" w:right="440" w:hanging="151"/>
        <w:spacing w:after="0" w:line="239" w:lineRule="auto"/>
        <w:tabs>
          <w:tab w:leader="none" w:pos="198" w:val="left"/>
        </w:tabs>
        <w:numPr>
          <w:ilvl w:val="1"/>
          <w:numId w:val="29"/>
        </w:numPr>
        <w:rPr>
          <w:rFonts w:ascii="Arial" w:cs="Arial" w:eastAsia="Arial" w:hAnsi="Arial"/>
          <w:sz w:val="17"/>
          <w:szCs w:val="17"/>
          <w:color w:val="125288"/>
        </w:rPr>
      </w:pPr>
      <w:r>
        <w:rPr>
          <w:rFonts w:ascii="Arial" w:cs="Arial" w:eastAsia="Arial" w:hAnsi="Arial"/>
          <w:sz w:val="17"/>
          <w:szCs w:val="17"/>
          <w:color w:val="auto"/>
        </w:rPr>
        <w:t>Deep understanding of the unique challenges faced by large, multinational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965835</wp:posOffset>
            </wp:positionV>
            <wp:extent cx="7148830"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52"/>
        <w:spacing w:after="0"/>
        <w:rPr>
          <w:sz w:val="20"/>
          <w:szCs w:val="20"/>
          <w:color w:val="auto"/>
        </w:rPr>
      </w:pPr>
      <w:r>
        <w:rPr>
          <w:rFonts w:ascii="Arial" w:cs="Arial" w:eastAsia="Arial" w:hAnsi="Arial"/>
          <w:sz w:val="15"/>
          <w:szCs w:val="15"/>
          <w:b w:val="1"/>
          <w:bCs w:val="1"/>
          <w:color w:val="auto"/>
        </w:rPr>
        <w:t>Involvement with Other Organization(s):</w:t>
      </w:r>
    </w:p>
    <w:p>
      <w:pPr>
        <w:spacing w:after="0" w:line="49" w:lineRule="exact"/>
        <w:rPr>
          <w:sz w:val="20"/>
          <w:szCs w:val="20"/>
          <w:color w:val="auto"/>
        </w:rPr>
      </w:pPr>
    </w:p>
    <w:p>
      <w:pPr>
        <w:ind w:left="152" w:hanging="152"/>
        <w:spacing w:after="0"/>
        <w:tabs>
          <w:tab w:leader="none" w:pos="152" w:val="left"/>
        </w:tabs>
        <w:numPr>
          <w:ilvl w:val="0"/>
          <w:numId w:val="30"/>
        </w:numPr>
        <w:rPr>
          <w:rFonts w:ascii="Arial" w:cs="Arial" w:eastAsia="Arial" w:hAnsi="Arial"/>
          <w:sz w:val="17"/>
          <w:szCs w:val="17"/>
          <w:color w:val="125288"/>
        </w:rPr>
      </w:pPr>
      <w:r>
        <w:rPr>
          <w:rFonts w:ascii="Arial" w:cs="Arial" w:eastAsia="Arial" w:hAnsi="Arial"/>
          <w:sz w:val="17"/>
          <w:szCs w:val="17"/>
          <w:color w:val="auto"/>
        </w:rPr>
        <w:t>Federal Reserve Bank of San Francisco (former Chairman)</w:t>
      </w:r>
    </w:p>
    <w:p>
      <w:pPr>
        <w:spacing w:after="0" w:line="30" w:lineRule="exact"/>
        <w:rPr>
          <w:rFonts w:ascii="Arial" w:cs="Arial" w:eastAsia="Arial" w:hAnsi="Arial"/>
          <w:sz w:val="17"/>
          <w:szCs w:val="17"/>
          <w:color w:val="125288"/>
        </w:rPr>
      </w:pPr>
    </w:p>
    <w:p>
      <w:pPr>
        <w:ind w:left="212" w:hanging="165"/>
        <w:spacing w:after="0"/>
        <w:tabs>
          <w:tab w:leader="none" w:pos="212" w:val="left"/>
        </w:tabs>
        <w:numPr>
          <w:ilvl w:val="1"/>
          <w:numId w:val="30"/>
        </w:numPr>
        <w:rPr>
          <w:rFonts w:ascii="Arial" w:cs="Arial" w:eastAsia="Arial" w:hAnsi="Arial"/>
          <w:sz w:val="17"/>
          <w:szCs w:val="17"/>
          <w:color w:val="125288"/>
        </w:rPr>
      </w:pPr>
      <w:r>
        <w:rPr>
          <w:rFonts w:ascii="Arial" w:cs="Arial" w:eastAsia="Arial" w:hAnsi="Arial"/>
          <w:sz w:val="17"/>
          <w:szCs w:val="17"/>
          <w:color w:val="auto"/>
        </w:rPr>
        <w:t>Academy of Motion Picture Arts &amp; Sciences (Member)</w:t>
      </w:r>
    </w:p>
    <w:p>
      <w:pPr>
        <w:spacing w:after="0" w:line="30" w:lineRule="exact"/>
        <w:rPr>
          <w:rFonts w:ascii="Arial" w:cs="Arial" w:eastAsia="Arial" w:hAnsi="Arial"/>
          <w:sz w:val="17"/>
          <w:szCs w:val="17"/>
          <w:color w:val="125288"/>
        </w:rPr>
      </w:pPr>
    </w:p>
    <w:p>
      <w:pPr>
        <w:ind w:left="212" w:right="100" w:hanging="165"/>
        <w:spacing w:after="0" w:line="239" w:lineRule="auto"/>
        <w:tabs>
          <w:tab w:leader="none" w:pos="212" w:val="left"/>
        </w:tabs>
        <w:numPr>
          <w:ilvl w:val="1"/>
          <w:numId w:val="30"/>
        </w:numPr>
        <w:rPr>
          <w:rFonts w:ascii="Arial" w:cs="Arial" w:eastAsia="Arial" w:hAnsi="Arial"/>
          <w:sz w:val="17"/>
          <w:szCs w:val="17"/>
          <w:color w:val="125288"/>
        </w:rPr>
      </w:pPr>
      <w:r>
        <w:rPr>
          <w:rFonts w:ascii="Arial" w:cs="Arial" w:eastAsia="Arial" w:hAnsi="Arial"/>
          <w:sz w:val="17"/>
          <w:szCs w:val="17"/>
          <w:color w:val="auto"/>
        </w:rPr>
        <w:t>Academy of Television Arts &amp; Sciences (Member and former governor)</w:t>
      </w:r>
    </w:p>
    <w:p>
      <w:pPr>
        <w:spacing w:after="0" w:line="26" w:lineRule="exact"/>
        <w:rPr>
          <w:rFonts w:ascii="Arial" w:cs="Arial" w:eastAsia="Arial" w:hAnsi="Arial"/>
          <w:sz w:val="17"/>
          <w:szCs w:val="17"/>
          <w:color w:val="125288"/>
        </w:rPr>
      </w:pPr>
    </w:p>
    <w:p>
      <w:pPr>
        <w:ind w:left="212" w:hanging="165"/>
        <w:spacing w:after="0"/>
        <w:tabs>
          <w:tab w:leader="none" w:pos="212" w:val="left"/>
        </w:tabs>
        <w:numPr>
          <w:ilvl w:val="1"/>
          <w:numId w:val="30"/>
        </w:numPr>
        <w:rPr>
          <w:rFonts w:ascii="Arial" w:cs="Arial" w:eastAsia="Arial" w:hAnsi="Arial"/>
          <w:sz w:val="17"/>
          <w:szCs w:val="17"/>
          <w:color w:val="125288"/>
        </w:rPr>
      </w:pPr>
      <w:r>
        <w:rPr>
          <w:rFonts w:ascii="Arial" w:cs="Arial" w:eastAsia="Arial" w:hAnsi="Arial"/>
          <w:sz w:val="17"/>
          <w:szCs w:val="17"/>
          <w:color w:val="auto"/>
        </w:rPr>
        <w:t>Hollywood Radio and Television Society (Member)</w:t>
      </w:r>
    </w:p>
    <w:p>
      <w:pPr>
        <w:spacing w:after="0" w:line="30" w:lineRule="exact"/>
        <w:rPr>
          <w:rFonts w:ascii="Arial" w:cs="Arial" w:eastAsia="Arial" w:hAnsi="Arial"/>
          <w:sz w:val="17"/>
          <w:szCs w:val="17"/>
          <w:color w:val="125288"/>
        </w:rPr>
      </w:pPr>
    </w:p>
    <w:p>
      <w:pPr>
        <w:ind w:left="212" w:hanging="165"/>
        <w:spacing w:after="0"/>
        <w:tabs>
          <w:tab w:leader="none" w:pos="212" w:val="left"/>
        </w:tabs>
        <w:numPr>
          <w:ilvl w:val="1"/>
          <w:numId w:val="30"/>
        </w:numPr>
        <w:rPr>
          <w:rFonts w:ascii="Arial" w:cs="Arial" w:eastAsia="Arial" w:hAnsi="Arial"/>
          <w:sz w:val="17"/>
          <w:szCs w:val="17"/>
          <w:color w:val="125288"/>
        </w:rPr>
      </w:pPr>
      <w:r>
        <w:rPr>
          <w:rFonts w:ascii="Arial" w:cs="Arial" w:eastAsia="Arial" w:hAnsi="Arial"/>
          <w:sz w:val="17"/>
          <w:szCs w:val="17"/>
          <w:color w:val="auto"/>
        </w:rPr>
        <w:t>Human Rights Watch (Director Emeritus)</w:t>
      </w:r>
    </w:p>
    <w:p>
      <w:pPr>
        <w:spacing w:after="0" w:line="10" w:lineRule="exact"/>
        <w:rPr>
          <w:sz w:val="20"/>
          <w:szCs w:val="20"/>
          <w:color w:val="auto"/>
        </w:rPr>
      </w:pPr>
    </w:p>
    <w:p>
      <w:pPr>
        <w:ind w:left="52"/>
        <w:spacing w:after="0"/>
        <w:rPr>
          <w:sz w:val="20"/>
          <w:szCs w:val="20"/>
          <w:color w:val="auto"/>
        </w:rPr>
      </w:pPr>
      <w:r>
        <w:rPr>
          <w:rFonts w:ascii="Arial" w:cs="Arial" w:eastAsia="Arial" w:hAnsi="Arial"/>
          <w:sz w:val="17"/>
          <w:szCs w:val="17"/>
          <w:b w:val="1"/>
          <w:bCs w:val="1"/>
          <w:color w:val="auto"/>
        </w:rPr>
        <w:t>Education:</w:t>
      </w:r>
    </w:p>
    <w:p>
      <w:pPr>
        <w:spacing w:after="0" w:line="50" w:lineRule="exact"/>
        <w:rPr>
          <w:sz w:val="20"/>
          <w:szCs w:val="20"/>
          <w:color w:val="auto"/>
        </w:rPr>
      </w:pPr>
    </w:p>
    <w:p>
      <w:pPr>
        <w:ind w:left="212" w:hanging="165"/>
        <w:spacing w:after="0"/>
        <w:tabs>
          <w:tab w:leader="none" w:pos="212" w:val="left"/>
        </w:tabs>
        <w:numPr>
          <w:ilvl w:val="0"/>
          <w:numId w:val="31"/>
        </w:numPr>
        <w:rPr>
          <w:rFonts w:ascii="Arial" w:cs="Arial" w:eastAsia="Arial" w:hAnsi="Arial"/>
          <w:sz w:val="17"/>
          <w:szCs w:val="17"/>
          <w:color w:val="125288"/>
        </w:rPr>
      </w:pPr>
      <w:r>
        <w:rPr>
          <w:rFonts w:ascii="Arial" w:cs="Arial" w:eastAsia="Arial" w:hAnsi="Arial"/>
          <w:sz w:val="17"/>
          <w:szCs w:val="17"/>
          <w:color w:val="auto"/>
        </w:rPr>
        <w:t>B.A. in English from the University of Rochester</w:t>
      </w:r>
    </w:p>
    <w:p>
      <w:pPr>
        <w:spacing w:after="0" w:line="30" w:lineRule="exact"/>
        <w:rPr>
          <w:rFonts w:ascii="Arial" w:cs="Arial" w:eastAsia="Arial" w:hAnsi="Arial"/>
          <w:sz w:val="17"/>
          <w:szCs w:val="17"/>
          <w:color w:val="125288"/>
        </w:rPr>
      </w:pPr>
    </w:p>
    <w:p>
      <w:pPr>
        <w:ind w:left="212" w:hanging="165"/>
        <w:spacing w:after="0"/>
        <w:tabs>
          <w:tab w:leader="none" w:pos="212" w:val="left"/>
        </w:tabs>
        <w:numPr>
          <w:ilvl w:val="0"/>
          <w:numId w:val="31"/>
        </w:numPr>
        <w:rPr>
          <w:rFonts w:ascii="Arial" w:cs="Arial" w:eastAsia="Arial" w:hAnsi="Arial"/>
          <w:sz w:val="17"/>
          <w:szCs w:val="17"/>
          <w:color w:val="125288"/>
        </w:rPr>
      </w:pPr>
      <w:r>
        <w:rPr>
          <w:rFonts w:ascii="Arial" w:cs="Arial" w:eastAsia="Arial" w:hAnsi="Arial"/>
          <w:sz w:val="17"/>
          <w:szCs w:val="17"/>
          <w:color w:val="auto"/>
        </w:rPr>
        <w:t>J.D. from Case Western Reserve University School of Law</w:t>
      </w:r>
    </w:p>
    <w:p>
      <w:pPr>
        <w:spacing w:after="0" w:line="2071" w:lineRule="exact"/>
        <w:rPr>
          <w:sz w:val="20"/>
          <w:szCs w:val="20"/>
          <w:color w:val="auto"/>
        </w:rPr>
      </w:pPr>
    </w:p>
    <w:p>
      <w:pPr>
        <w:sectPr>
          <w:pgSz w:w="11900" w:h="16838" w:orient="portrait"/>
          <w:cols w:equalWidth="0" w:num="3">
            <w:col w:w="1200" w:space="222"/>
            <w:col w:w="4658" w:space="448"/>
            <w:col w:w="4732"/>
          </w:cols>
          <w:pgMar w:left="320" w:top="144" w:right="319" w:bottom="1440" w:gutter="0" w:footer="0" w:header="0"/>
          <w:type w:val="continuous"/>
        </w:sectPr>
      </w:pPr>
    </w:p>
    <w:p>
      <w:pPr>
        <w:spacing w:after="0" w:line="66"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type w:val="continuous"/>
        </w:sectPr>
      </w:pPr>
    </w:p>
    <w:bookmarkStart w:id="26" w:name="page27"/>
    <w:bookmarkEnd w:id="26"/>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59"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125288"/>
        </w:rPr>
        <w:t>ROBERT MORGADO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38735</wp:posOffset>
            </wp:positionV>
            <wp:extent cx="7148830"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128" w:lineRule="exact"/>
        <w:rPr>
          <w:sz w:val="20"/>
          <w:szCs w:val="20"/>
          <w:color w:val="auto"/>
        </w:rPr>
      </w:pPr>
    </w:p>
    <w:p>
      <w:pPr>
        <w:jc w:val="both"/>
        <w:ind w:left="1560" w:right="60"/>
        <w:spacing w:after="0" w:line="237" w:lineRule="auto"/>
        <w:rPr>
          <w:sz w:val="20"/>
          <w:szCs w:val="20"/>
          <w:color w:val="auto"/>
        </w:rPr>
      </w:pPr>
      <w:r>
        <w:rPr>
          <w:rFonts w:ascii="Arial" w:cs="Arial" w:eastAsia="Arial" w:hAnsi="Arial"/>
          <w:sz w:val="17"/>
          <w:szCs w:val="17"/>
          <w:color w:val="auto"/>
        </w:rPr>
        <w:t>Mr. Morgado, our Lead Independent Director, is Chairman of Maroley Media Group, a media entertainment investment company he established in 1995. He previously served as the Chairman and the Chief Executive Officer of Warner Music Group, a music content company made up of recorded music and music publishing businesses, from 1985 to 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-361950</wp:posOffset>
            </wp:positionV>
            <wp:extent cx="7103110" cy="6870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03110" cy="68707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right="340"/>
        <w:spacing w:after="0" w:line="291" w:lineRule="auto"/>
        <w:rPr>
          <w:sz w:val="20"/>
          <w:szCs w:val="20"/>
          <w:color w:val="auto"/>
        </w:rPr>
      </w:pPr>
      <w:r>
        <w:rPr>
          <w:rFonts w:ascii="Arial" w:cs="Arial" w:eastAsia="Arial" w:hAnsi="Arial"/>
          <w:sz w:val="15"/>
          <w:szCs w:val="15"/>
          <w:b w:val="1"/>
          <w:bCs w:val="1"/>
          <w:color w:val="auto"/>
        </w:rPr>
        <w:t>Independent Director</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Retired</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Chairman and</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Chief Executive</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Officer of Warner</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Music Group</w:t>
      </w:r>
    </w:p>
    <w:p>
      <w:pPr>
        <w:spacing w:after="0" w:line="71" w:lineRule="exact"/>
        <w:rPr>
          <w:sz w:val="20"/>
          <w:szCs w:val="20"/>
          <w:color w:val="auto"/>
        </w:rPr>
      </w:pPr>
    </w:p>
    <w:p>
      <w:pPr>
        <w:ind w:left="60" w:right="440"/>
        <w:spacing w:after="0" w:line="291" w:lineRule="auto"/>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b w:val="1"/>
          <w:bCs w:val="1"/>
          <w:color w:val="125288"/>
        </w:rPr>
        <w:t>1997</w:t>
      </w:r>
    </w:p>
    <w:p>
      <w:pPr>
        <w:spacing w:after="0" w:line="22" w:lineRule="exact"/>
        <w:rPr>
          <w:sz w:val="20"/>
          <w:szCs w:val="20"/>
          <w:color w:val="auto"/>
        </w:rPr>
      </w:pPr>
    </w:p>
    <w:p>
      <w:pPr>
        <w:ind w:left="60" w:right="120"/>
        <w:spacing w:after="0" w:line="262" w:lineRule="auto"/>
        <w:rPr>
          <w:sz w:val="20"/>
          <w:szCs w:val="20"/>
          <w:color w:val="auto"/>
        </w:rPr>
      </w:pPr>
      <w:r>
        <w:rPr>
          <w:rFonts w:ascii="Arial" w:cs="Arial" w:eastAsia="Arial" w:hAnsi="Arial"/>
          <w:sz w:val="15"/>
          <w:szCs w:val="15"/>
          <w:b w:val="1"/>
          <w:bCs w:val="1"/>
          <w:color w:val="auto"/>
        </w:rPr>
        <w:t>Activision Blizzard Board Committee Membership(s):</w:t>
      </w:r>
    </w:p>
    <w:p>
      <w:pPr>
        <w:spacing w:after="0" w:line="43" w:lineRule="exact"/>
        <w:rPr>
          <w:sz w:val="20"/>
          <w:szCs w:val="20"/>
          <w:color w:val="auto"/>
        </w:rPr>
      </w:pPr>
    </w:p>
    <w:p>
      <w:pPr>
        <w:ind w:left="200" w:right="40" w:hanging="145"/>
        <w:spacing w:after="0" w:line="253" w:lineRule="auto"/>
        <w:tabs>
          <w:tab w:leader="none" w:pos="200" w:val="left"/>
        </w:tabs>
        <w:numPr>
          <w:ilvl w:val="0"/>
          <w:numId w:val="32"/>
        </w:numPr>
        <w:rPr>
          <w:rFonts w:ascii="Arial" w:cs="Arial" w:eastAsia="Arial" w:hAnsi="Arial"/>
          <w:sz w:val="17"/>
          <w:szCs w:val="17"/>
          <w:color w:val="125288"/>
        </w:rPr>
      </w:pPr>
      <w:r>
        <w:rPr>
          <w:rFonts w:ascii="Arial" w:cs="Arial" w:eastAsia="Arial" w:hAnsi="Arial"/>
          <w:sz w:val="15"/>
          <w:szCs w:val="15"/>
          <w:b w:val="1"/>
          <w:bCs w:val="1"/>
          <w:color w:val="auto"/>
        </w:rPr>
        <w:t>Compensation Committee (Chair)</w:t>
      </w:r>
    </w:p>
    <w:p>
      <w:pPr>
        <w:spacing w:after="0" w:line="48" w:lineRule="exact"/>
        <w:rPr>
          <w:rFonts w:ascii="Arial" w:cs="Arial" w:eastAsia="Arial" w:hAnsi="Arial"/>
          <w:sz w:val="17"/>
          <w:szCs w:val="17"/>
          <w:color w:val="125288"/>
        </w:rPr>
      </w:pPr>
    </w:p>
    <w:p>
      <w:pPr>
        <w:ind w:left="200" w:right="60" w:hanging="145"/>
        <w:spacing w:after="0" w:line="250" w:lineRule="auto"/>
        <w:tabs>
          <w:tab w:leader="none" w:pos="200" w:val="left"/>
        </w:tabs>
        <w:numPr>
          <w:ilvl w:val="0"/>
          <w:numId w:val="32"/>
        </w:numPr>
        <w:rPr>
          <w:rFonts w:ascii="Arial" w:cs="Arial" w:eastAsia="Arial" w:hAnsi="Arial"/>
          <w:sz w:val="17"/>
          <w:szCs w:val="17"/>
          <w:color w:val="125288"/>
        </w:rPr>
      </w:pPr>
      <w:r>
        <w:rPr>
          <w:rFonts w:ascii="Arial" w:cs="Arial" w:eastAsia="Arial" w:hAnsi="Arial"/>
          <w:sz w:val="15"/>
          <w:szCs w:val="15"/>
          <w:b w:val="1"/>
          <w:bCs w:val="1"/>
          <w:color w:val="auto"/>
        </w:rPr>
        <w:t>Nominating and Corporate Governance Committee (Chair)</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b w:val="1"/>
          <w:bCs w:val="1"/>
          <w:color w:val="125288"/>
        </w:rPr>
        <w:t>79</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Experience/Qualifications:</w:t>
      </w:r>
    </w:p>
    <w:p>
      <w:pPr>
        <w:spacing w:after="0" w:line="61" w:lineRule="exact"/>
        <w:rPr>
          <w:sz w:val="20"/>
          <w:szCs w:val="20"/>
          <w:color w:val="auto"/>
        </w:rPr>
      </w:pPr>
    </w:p>
    <w:p>
      <w:pPr>
        <w:ind w:left="160" w:hanging="156"/>
        <w:spacing w:after="0" w:line="269" w:lineRule="auto"/>
        <w:tabs>
          <w:tab w:leader="none" w:pos="160" w:val="left"/>
        </w:tabs>
        <w:numPr>
          <w:ilvl w:val="0"/>
          <w:numId w:val="33"/>
        </w:numPr>
        <w:rPr>
          <w:rFonts w:ascii="Arial" w:cs="Arial" w:eastAsia="Arial" w:hAnsi="Arial"/>
          <w:sz w:val="16"/>
          <w:szCs w:val="16"/>
          <w:color w:val="125288"/>
        </w:rPr>
      </w:pPr>
      <w:r>
        <w:rPr>
          <w:rFonts w:ascii="Arial" w:cs="Arial" w:eastAsia="Arial" w:hAnsi="Arial"/>
          <w:sz w:val="16"/>
          <w:szCs w:val="16"/>
          <w:color w:val="auto"/>
        </w:rPr>
        <w:t>Extensive experience as a chief executive officer and a director at a variety of media and entertainment companies</w:t>
      </w:r>
    </w:p>
    <w:p>
      <w:pPr>
        <w:spacing w:after="0" w:line="3" w:lineRule="exact"/>
        <w:rPr>
          <w:rFonts w:ascii="Arial" w:cs="Arial" w:eastAsia="Arial" w:hAnsi="Arial"/>
          <w:sz w:val="16"/>
          <w:szCs w:val="16"/>
          <w:color w:val="125288"/>
        </w:rPr>
      </w:pPr>
    </w:p>
    <w:p>
      <w:pPr>
        <w:ind w:left="160" w:right="800" w:hanging="156"/>
        <w:spacing w:after="0" w:line="239" w:lineRule="auto"/>
        <w:tabs>
          <w:tab w:leader="none" w:pos="160" w:val="left"/>
        </w:tabs>
        <w:numPr>
          <w:ilvl w:val="0"/>
          <w:numId w:val="33"/>
        </w:numPr>
        <w:rPr>
          <w:rFonts w:ascii="Arial" w:cs="Arial" w:eastAsia="Arial" w:hAnsi="Arial"/>
          <w:sz w:val="17"/>
          <w:szCs w:val="17"/>
          <w:color w:val="125288"/>
        </w:rPr>
      </w:pPr>
      <w:r>
        <w:rPr>
          <w:rFonts w:ascii="Arial" w:cs="Arial" w:eastAsia="Arial" w:hAnsi="Arial"/>
          <w:sz w:val="17"/>
          <w:szCs w:val="17"/>
          <w:color w:val="auto"/>
        </w:rPr>
        <w:t>Perspective as the founder and chair of a media entertainment investment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-993140</wp:posOffset>
            </wp:positionH>
            <wp:positionV relativeFrom="paragraph">
              <wp:posOffset>2490470</wp:posOffset>
            </wp:positionV>
            <wp:extent cx="7148830"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Private Company Directorship(s):</w:t>
      </w:r>
    </w:p>
    <w:p>
      <w:pPr>
        <w:spacing w:after="0" w:line="61" w:lineRule="exact"/>
        <w:rPr>
          <w:sz w:val="20"/>
          <w:szCs w:val="20"/>
          <w:color w:val="auto"/>
        </w:rPr>
      </w:pPr>
    </w:p>
    <w:p>
      <w:pPr>
        <w:ind w:left="160" w:hanging="159"/>
        <w:spacing w:after="0"/>
        <w:tabs>
          <w:tab w:leader="none" w:pos="160" w:val="left"/>
        </w:tabs>
        <w:numPr>
          <w:ilvl w:val="0"/>
          <w:numId w:val="34"/>
        </w:numPr>
        <w:rPr>
          <w:rFonts w:ascii="Arial" w:cs="Arial" w:eastAsia="Arial" w:hAnsi="Arial"/>
          <w:sz w:val="17"/>
          <w:szCs w:val="17"/>
          <w:color w:val="125288"/>
        </w:rPr>
      </w:pPr>
      <w:r>
        <w:rPr>
          <w:rFonts w:ascii="Arial" w:cs="Arial" w:eastAsia="Arial" w:hAnsi="Arial"/>
          <w:sz w:val="17"/>
          <w:szCs w:val="17"/>
          <w:color w:val="auto"/>
        </w:rPr>
        <w:t>Kaanapali Kai (Chairman) (since 2006)</w:t>
      </w:r>
    </w:p>
    <w:p>
      <w:pPr>
        <w:spacing w:after="0" w:line="30" w:lineRule="exact"/>
        <w:rPr>
          <w:rFonts w:ascii="Arial" w:cs="Arial" w:eastAsia="Arial" w:hAnsi="Arial"/>
          <w:sz w:val="17"/>
          <w:szCs w:val="17"/>
          <w:color w:val="125288"/>
        </w:rPr>
      </w:pPr>
    </w:p>
    <w:p>
      <w:pPr>
        <w:ind w:left="160" w:right="220" w:hanging="159"/>
        <w:spacing w:after="0" w:line="239" w:lineRule="auto"/>
        <w:tabs>
          <w:tab w:leader="none" w:pos="160" w:val="left"/>
        </w:tabs>
        <w:numPr>
          <w:ilvl w:val="0"/>
          <w:numId w:val="34"/>
        </w:numPr>
        <w:rPr>
          <w:rFonts w:ascii="Arial" w:cs="Arial" w:eastAsia="Arial" w:hAnsi="Arial"/>
          <w:sz w:val="17"/>
          <w:szCs w:val="17"/>
          <w:color w:val="125288"/>
        </w:rPr>
      </w:pPr>
      <w:r>
        <w:rPr>
          <w:rFonts w:ascii="Arial" w:cs="Arial" w:eastAsia="Arial" w:hAnsi="Arial"/>
          <w:sz w:val="17"/>
          <w:szCs w:val="17"/>
          <w:color w:val="auto"/>
        </w:rPr>
        <w:t>Nest Top (controlling shareholder of Nest Family and Nest Learning Systems) (since 1997)</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Involvement with Other Organization(s):</w:t>
      </w:r>
    </w:p>
    <w:p>
      <w:pPr>
        <w:spacing w:after="0" w:line="50" w:lineRule="exact"/>
        <w:rPr>
          <w:sz w:val="20"/>
          <w:szCs w:val="20"/>
          <w:color w:val="auto"/>
        </w:rPr>
      </w:pPr>
    </w:p>
    <w:p>
      <w:pPr>
        <w:ind w:left="160" w:hanging="159"/>
        <w:spacing w:after="0"/>
        <w:tabs>
          <w:tab w:leader="none" w:pos="160" w:val="left"/>
        </w:tabs>
        <w:numPr>
          <w:ilvl w:val="0"/>
          <w:numId w:val="35"/>
        </w:numPr>
        <w:rPr>
          <w:rFonts w:ascii="Arial" w:cs="Arial" w:eastAsia="Arial" w:hAnsi="Arial"/>
          <w:sz w:val="16"/>
          <w:szCs w:val="16"/>
          <w:color w:val="125288"/>
        </w:rPr>
      </w:pPr>
      <w:r>
        <w:rPr>
          <w:rFonts w:ascii="Arial" w:cs="Arial" w:eastAsia="Arial" w:hAnsi="Arial"/>
          <w:sz w:val="16"/>
          <w:szCs w:val="16"/>
          <w:color w:val="auto"/>
        </w:rPr>
        <w:t>Maui Arts &amp; Cultural Center (Member of Board of Directors)</w:t>
      </w:r>
    </w:p>
    <w:p>
      <w:pPr>
        <w:spacing w:after="0" w:line="21" w:lineRule="exact"/>
        <w:rPr>
          <w:rFonts w:ascii="Arial" w:cs="Arial" w:eastAsia="Arial" w:hAnsi="Arial"/>
          <w:sz w:val="16"/>
          <w:szCs w:val="16"/>
          <w:color w:val="125288"/>
        </w:rPr>
      </w:pPr>
    </w:p>
    <w:p>
      <w:pPr>
        <w:spacing w:after="0"/>
        <w:rPr>
          <w:rFonts w:ascii="Arial" w:cs="Arial" w:eastAsia="Arial" w:hAnsi="Arial"/>
          <w:sz w:val="16"/>
          <w:szCs w:val="16"/>
          <w:color w:val="125288"/>
        </w:rPr>
      </w:pPr>
      <w:r>
        <w:rPr>
          <w:rFonts w:ascii="Arial" w:cs="Arial" w:eastAsia="Arial" w:hAnsi="Arial"/>
          <w:sz w:val="17"/>
          <w:szCs w:val="17"/>
          <w:b w:val="1"/>
          <w:bCs w:val="1"/>
          <w:color w:val="auto"/>
        </w:rPr>
        <w:t>Education:</w:t>
      </w:r>
    </w:p>
    <w:p>
      <w:pPr>
        <w:spacing w:after="0" w:line="50" w:lineRule="exact"/>
        <w:rPr>
          <w:rFonts w:ascii="Arial" w:cs="Arial" w:eastAsia="Arial" w:hAnsi="Arial"/>
          <w:sz w:val="16"/>
          <w:szCs w:val="16"/>
          <w:color w:val="125288"/>
        </w:rPr>
      </w:pPr>
    </w:p>
    <w:p>
      <w:pPr>
        <w:ind w:left="160" w:right="240" w:hanging="159"/>
        <w:spacing w:after="0" w:line="239" w:lineRule="auto"/>
        <w:tabs>
          <w:tab w:leader="none" w:pos="160" w:val="left"/>
        </w:tabs>
        <w:numPr>
          <w:ilvl w:val="0"/>
          <w:numId w:val="35"/>
        </w:numPr>
        <w:rPr>
          <w:rFonts w:ascii="Arial" w:cs="Arial" w:eastAsia="Arial" w:hAnsi="Arial"/>
          <w:sz w:val="17"/>
          <w:szCs w:val="17"/>
          <w:color w:val="125288"/>
        </w:rPr>
      </w:pPr>
      <w:r>
        <w:rPr>
          <w:rFonts w:ascii="Arial" w:cs="Arial" w:eastAsia="Arial" w:hAnsi="Arial"/>
          <w:sz w:val="17"/>
          <w:szCs w:val="17"/>
          <w:color w:val="auto"/>
        </w:rPr>
        <w:t>B.A. in history and philosophy from Chaminade University of Honolulu</w:t>
      </w:r>
    </w:p>
    <w:p>
      <w:pPr>
        <w:spacing w:after="0" w:line="26" w:lineRule="exact"/>
        <w:rPr>
          <w:rFonts w:ascii="Arial" w:cs="Arial" w:eastAsia="Arial" w:hAnsi="Arial"/>
          <w:sz w:val="17"/>
          <w:szCs w:val="17"/>
          <w:color w:val="125288"/>
        </w:rPr>
      </w:pPr>
    </w:p>
    <w:p>
      <w:pPr>
        <w:ind w:left="160" w:hanging="159"/>
        <w:spacing w:after="0"/>
        <w:tabs>
          <w:tab w:leader="none" w:pos="160" w:val="left"/>
        </w:tabs>
        <w:numPr>
          <w:ilvl w:val="0"/>
          <w:numId w:val="35"/>
        </w:numPr>
        <w:rPr>
          <w:rFonts w:ascii="Arial" w:cs="Arial" w:eastAsia="Arial" w:hAnsi="Arial"/>
          <w:sz w:val="17"/>
          <w:szCs w:val="17"/>
          <w:color w:val="125288"/>
        </w:rPr>
      </w:pPr>
      <w:r>
        <w:rPr>
          <w:rFonts w:ascii="Arial" w:cs="Arial" w:eastAsia="Arial" w:hAnsi="Arial"/>
          <w:sz w:val="17"/>
          <w:szCs w:val="17"/>
          <w:color w:val="auto"/>
        </w:rPr>
        <w:t>M.P.A. from The State University of New York</w:t>
      </w:r>
    </w:p>
    <w:p>
      <w:pPr>
        <w:spacing w:after="0" w:line="2915" w:lineRule="exact"/>
        <w:rPr>
          <w:sz w:val="20"/>
          <w:szCs w:val="20"/>
          <w:color w:val="auto"/>
        </w:rPr>
      </w:pPr>
    </w:p>
    <w:p>
      <w:pPr>
        <w:sectPr>
          <w:pgSz w:w="11900" w:h="16838" w:orient="portrait"/>
          <w:cols w:equalWidth="0" w:num="3">
            <w:col w:w="1320" w:space="240"/>
            <w:col w:w="4500" w:space="560"/>
            <w:col w:w="4640"/>
          </w:cols>
          <w:pgMar w:left="320" w:top="144" w:right="319" w:bottom="1440" w:gutter="0" w:footer="0" w:header="0"/>
          <w:type w:val="continuous"/>
        </w:sectPr>
      </w:pP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125288"/>
        </w:rPr>
        <w:t>PETER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45720</wp:posOffset>
            </wp:positionV>
            <wp:extent cx="7148830"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spacing w:after="0" w:line="219" w:lineRule="auto"/>
        <w:rPr>
          <w:sz w:val="20"/>
          <w:szCs w:val="20"/>
          <w:color w:val="auto"/>
        </w:rPr>
      </w:pPr>
      <w:r>
        <w:rPr>
          <w:rFonts w:ascii="Arial" w:cs="Arial" w:eastAsia="Arial" w:hAnsi="Arial"/>
          <w:sz w:val="15"/>
          <w:szCs w:val="15"/>
          <w:b w:val="1"/>
          <w:bCs w:val="1"/>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-959485</wp:posOffset>
            </wp:positionV>
            <wp:extent cx="687070" cy="6870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7070" cy="6870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both"/>
        <w:ind w:right="60"/>
        <w:spacing w:after="0" w:line="235" w:lineRule="auto"/>
        <w:rPr>
          <w:sz w:val="20"/>
          <w:szCs w:val="20"/>
          <w:color w:val="auto"/>
        </w:rPr>
      </w:pPr>
      <w:r>
        <w:rPr>
          <w:rFonts w:ascii="Arial" w:cs="Arial" w:eastAsia="Arial" w:hAnsi="Arial"/>
          <w:sz w:val="17"/>
          <w:szCs w:val="17"/>
          <w:color w:val="auto"/>
        </w:rPr>
        <w:t>Mr. Nolan has served as the Chairman of Nolan Capital, a private investment company, since 2014 and is also a senior advisor to Leonard Green &amp; Partners, L.P., a private equity firm. He was previously the Managing Partner of Leonard Green &amp; Partners. Before becoming a partner at Leonard Green &amp; Partners in 1997, Mr. Nolan served as a managing director and the co-head of Donaldson, Lufkin and Jenrette’s Los Angeles Investment Banking Division from 1990 to 1997, as a first vice president in corporate finance at Drexel Burnham Lambert from 1986 to 1990, and as a vice president at Prudential Securities, Inc. from 1982 to 1986. Prior to 1982, Mr. Nolan was an associate at Manufacturers Hanover Trust Company. Mr. Nolan served on the Company’s Board from 2003 until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22225</wp:posOffset>
            </wp:positionV>
            <wp:extent cx="6235065"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35065" cy="15240"/>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980" w:space="480"/>
            <w:col w:w="9800"/>
          </w:cols>
          <w:pgMar w:left="320" w:top="144" w:right="319" w:bottom="1440" w:gutter="0" w:footer="0" w:header="0"/>
          <w:type w:val="continuous"/>
        </w:sectPr>
      </w:pPr>
    </w:p>
    <w:p>
      <w:pPr>
        <w:spacing w:after="0" w:line="124" w:lineRule="exact"/>
        <w:rPr>
          <w:sz w:val="20"/>
          <w:szCs w:val="20"/>
          <w:color w:val="auto"/>
        </w:rPr>
      </w:pPr>
    </w:p>
    <w:p>
      <w:pPr>
        <w:ind w:left="60" w:right="40"/>
        <w:spacing w:after="0" w:line="262" w:lineRule="auto"/>
        <w:rPr>
          <w:sz w:val="20"/>
          <w:szCs w:val="20"/>
          <w:color w:val="auto"/>
        </w:rPr>
      </w:pPr>
      <w:r>
        <w:rPr>
          <w:rFonts w:ascii="Arial" w:cs="Arial" w:eastAsia="Arial" w:hAnsi="Arial"/>
          <w:sz w:val="15"/>
          <w:szCs w:val="15"/>
          <w:b w:val="1"/>
          <w:bCs w:val="1"/>
          <w:color w:val="auto"/>
        </w:rPr>
        <w:t>Senior Advisor to Leonard Green &amp; Partners</w:t>
      </w:r>
    </w:p>
    <w:p>
      <w:pPr>
        <w:spacing w:after="0" w:line="43" w:lineRule="exact"/>
        <w:rPr>
          <w:sz w:val="20"/>
          <w:szCs w:val="20"/>
          <w:color w:val="auto"/>
        </w:rPr>
      </w:pPr>
    </w:p>
    <w:p>
      <w:pPr>
        <w:ind w:left="60" w:right="40"/>
        <w:spacing w:after="0" w:line="265" w:lineRule="auto"/>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b w:val="1"/>
          <w:bCs w:val="1"/>
          <w:color w:val="125288"/>
        </w:rPr>
        <w:t>2013</w:t>
      </w:r>
      <w:r>
        <w:rPr>
          <w:rFonts w:ascii="Arial" w:cs="Arial" w:eastAsia="Arial" w:hAnsi="Arial"/>
          <w:sz w:val="15"/>
          <w:szCs w:val="15"/>
          <w:b w:val="1"/>
          <w:bCs w:val="1"/>
          <w:color w:val="auto"/>
        </w:rPr>
        <w:t xml:space="preserve"> </w:t>
      </w:r>
      <w:r>
        <w:rPr>
          <w:rFonts w:ascii="Arial" w:cs="Arial" w:eastAsia="Arial" w:hAnsi="Arial"/>
          <w:sz w:val="15"/>
          <w:szCs w:val="15"/>
          <w:b w:val="1"/>
          <w:bCs w:val="1"/>
          <w:color w:val="125288"/>
        </w:rPr>
        <w:t>(and from 2003 to 2008)</w:t>
      </w:r>
    </w:p>
    <w:p>
      <w:pPr>
        <w:spacing w:after="0" w:line="225" w:lineRule="exact"/>
        <w:rPr>
          <w:sz w:val="20"/>
          <w:szCs w:val="20"/>
          <w:color w:val="auto"/>
        </w:rPr>
      </w:pPr>
    </w:p>
    <w:p>
      <w:pPr>
        <w:ind w:left="60"/>
        <w:spacing w:after="0" w:line="262" w:lineRule="auto"/>
        <w:rPr>
          <w:sz w:val="20"/>
          <w:szCs w:val="20"/>
          <w:color w:val="auto"/>
        </w:rPr>
      </w:pPr>
      <w:r>
        <w:rPr>
          <w:rFonts w:ascii="Arial" w:cs="Arial" w:eastAsia="Arial" w:hAnsi="Arial"/>
          <w:sz w:val="15"/>
          <w:szCs w:val="15"/>
          <w:b w:val="1"/>
          <w:bCs w:val="1"/>
          <w:color w:val="auto"/>
        </w:rPr>
        <w:t>Activision Blizzard Board Committee Membership(s):</w:t>
      </w:r>
    </w:p>
    <w:p>
      <w:pPr>
        <w:spacing w:after="0" w:line="43" w:lineRule="exact"/>
        <w:rPr>
          <w:sz w:val="20"/>
          <w:szCs w:val="20"/>
          <w:color w:val="auto"/>
        </w:rPr>
      </w:pPr>
    </w:p>
    <w:p>
      <w:pPr>
        <w:ind w:left="200" w:right="200" w:hanging="145"/>
        <w:spacing w:after="0" w:line="259" w:lineRule="auto"/>
        <w:tabs>
          <w:tab w:leader="none" w:pos="200" w:val="left"/>
        </w:tabs>
        <w:numPr>
          <w:ilvl w:val="0"/>
          <w:numId w:val="36"/>
        </w:numPr>
        <w:rPr>
          <w:rFonts w:ascii="Arial" w:cs="Arial" w:eastAsia="Arial" w:hAnsi="Arial"/>
          <w:sz w:val="17"/>
          <w:szCs w:val="17"/>
          <w:color w:val="125288"/>
        </w:rPr>
      </w:pPr>
      <w:r>
        <w:rPr>
          <w:rFonts w:ascii="Arial" w:cs="Arial" w:eastAsia="Arial" w:hAnsi="Arial"/>
          <w:sz w:val="15"/>
          <w:szCs w:val="15"/>
          <w:b w:val="1"/>
          <w:bCs w:val="1"/>
          <w:color w:val="auto"/>
        </w:rPr>
        <w:t>Audit Committee</w:t>
      </w:r>
    </w:p>
    <w:p>
      <w:pPr>
        <w:spacing w:after="0" w:line="43"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b w:val="1"/>
          <w:bCs w:val="1"/>
          <w:color w:val="125288"/>
        </w:rPr>
        <w:t>63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Key Experience/Qualifications:</w:t>
      </w:r>
    </w:p>
    <w:p>
      <w:pPr>
        <w:spacing w:after="0" w:line="43" w:lineRule="exact"/>
        <w:rPr>
          <w:sz w:val="20"/>
          <w:szCs w:val="20"/>
          <w:color w:val="auto"/>
        </w:rPr>
      </w:pPr>
    </w:p>
    <w:p>
      <w:pPr>
        <w:ind w:left="160" w:hanging="151"/>
        <w:spacing w:after="0" w:line="237" w:lineRule="auto"/>
        <w:tabs>
          <w:tab w:leader="none" w:pos="160" w:val="left"/>
        </w:tabs>
        <w:numPr>
          <w:ilvl w:val="0"/>
          <w:numId w:val="37"/>
        </w:numPr>
        <w:rPr>
          <w:rFonts w:ascii="Arial" w:cs="Arial" w:eastAsia="Arial" w:hAnsi="Arial"/>
          <w:sz w:val="17"/>
          <w:szCs w:val="17"/>
          <w:color w:val="125288"/>
        </w:rPr>
      </w:pPr>
      <w:r>
        <w:rPr>
          <w:rFonts w:ascii="Arial" w:cs="Arial" w:eastAsia="Arial" w:hAnsi="Arial"/>
          <w:sz w:val="17"/>
          <w:szCs w:val="17"/>
          <w:color w:val="auto"/>
        </w:rPr>
        <w:t>Extensive experience in corporate finance and investment banking, including leadership roles at large international corporations with worldwide operations</w:t>
      </w:r>
    </w:p>
    <w:p>
      <w:pPr>
        <w:spacing w:after="0" w:line="27" w:lineRule="exact"/>
        <w:rPr>
          <w:rFonts w:ascii="Arial" w:cs="Arial" w:eastAsia="Arial" w:hAnsi="Arial"/>
          <w:sz w:val="17"/>
          <w:szCs w:val="17"/>
          <w:color w:val="125288"/>
        </w:rPr>
      </w:pPr>
    </w:p>
    <w:p>
      <w:pPr>
        <w:ind w:left="160" w:right="20" w:hanging="151"/>
        <w:spacing w:after="0" w:line="237" w:lineRule="auto"/>
        <w:tabs>
          <w:tab w:leader="none" w:pos="160" w:val="left"/>
        </w:tabs>
        <w:numPr>
          <w:ilvl w:val="0"/>
          <w:numId w:val="37"/>
        </w:numPr>
        <w:rPr>
          <w:rFonts w:ascii="Arial" w:cs="Arial" w:eastAsia="Arial" w:hAnsi="Arial"/>
          <w:sz w:val="17"/>
          <w:szCs w:val="17"/>
          <w:color w:val="125288"/>
        </w:rPr>
      </w:pPr>
      <w:r>
        <w:rPr>
          <w:rFonts w:ascii="Arial" w:cs="Arial" w:eastAsia="Arial" w:hAnsi="Arial"/>
          <w:sz w:val="17"/>
          <w:szCs w:val="17"/>
          <w:color w:val="auto"/>
        </w:rPr>
        <w:t>Extensive and wide-ranging experience, demonstrated by directorships in other companies operating in various industries</w:t>
      </w:r>
    </w:p>
    <w:p>
      <w:pPr>
        <w:spacing w:after="0" w:line="27" w:lineRule="exact"/>
        <w:rPr>
          <w:rFonts w:ascii="Arial" w:cs="Arial" w:eastAsia="Arial" w:hAnsi="Arial"/>
          <w:sz w:val="17"/>
          <w:szCs w:val="17"/>
          <w:color w:val="125288"/>
        </w:rPr>
      </w:pPr>
    </w:p>
    <w:p>
      <w:pPr>
        <w:ind w:left="160" w:right="20" w:hanging="151"/>
        <w:spacing w:after="0" w:line="239" w:lineRule="auto"/>
        <w:tabs>
          <w:tab w:leader="none" w:pos="160" w:val="left"/>
        </w:tabs>
        <w:numPr>
          <w:ilvl w:val="0"/>
          <w:numId w:val="37"/>
        </w:numPr>
        <w:rPr>
          <w:rFonts w:ascii="Arial" w:cs="Arial" w:eastAsia="Arial" w:hAnsi="Arial"/>
          <w:sz w:val="17"/>
          <w:szCs w:val="17"/>
          <w:color w:val="125288"/>
        </w:rPr>
      </w:pPr>
      <w:r>
        <w:rPr>
          <w:rFonts w:ascii="Arial" w:cs="Arial" w:eastAsia="Arial" w:hAnsi="Arial"/>
          <w:sz w:val="17"/>
          <w:szCs w:val="17"/>
          <w:color w:val="auto"/>
        </w:rPr>
        <w:t>Depth of institutional knowledge about the Company from his service on our Board from 2003 to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-929640</wp:posOffset>
            </wp:positionH>
            <wp:positionV relativeFrom="paragraph">
              <wp:posOffset>882650</wp:posOffset>
            </wp:positionV>
            <wp:extent cx="7148830"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
        <w:spacing w:after="0"/>
        <w:rPr>
          <w:sz w:val="20"/>
          <w:szCs w:val="20"/>
          <w:color w:val="auto"/>
        </w:rPr>
      </w:pPr>
      <w:r>
        <w:rPr>
          <w:rFonts w:ascii="Arial" w:cs="Arial" w:eastAsia="Arial" w:hAnsi="Arial"/>
          <w:sz w:val="15"/>
          <w:szCs w:val="15"/>
          <w:b w:val="1"/>
          <w:bCs w:val="1"/>
          <w:color w:val="auto"/>
        </w:rPr>
        <w:t>Other Public Company Directorship(s):</w:t>
      </w:r>
    </w:p>
    <w:p>
      <w:pPr>
        <w:spacing w:after="0" w:line="43" w:lineRule="exact"/>
        <w:rPr>
          <w:sz w:val="20"/>
          <w:szCs w:val="20"/>
          <w:color w:val="auto"/>
        </w:rPr>
      </w:pPr>
    </w:p>
    <w:p>
      <w:pPr>
        <w:ind w:left="165" w:right="140" w:hanging="165"/>
        <w:spacing w:after="0" w:line="239" w:lineRule="auto"/>
        <w:tabs>
          <w:tab w:leader="none" w:pos="165" w:val="left"/>
        </w:tabs>
        <w:numPr>
          <w:ilvl w:val="0"/>
          <w:numId w:val="38"/>
        </w:numPr>
        <w:rPr>
          <w:rFonts w:ascii="Arial" w:cs="Arial" w:eastAsia="Arial" w:hAnsi="Arial"/>
          <w:sz w:val="17"/>
          <w:szCs w:val="17"/>
          <w:color w:val="125288"/>
        </w:rPr>
      </w:pPr>
      <w:r>
        <w:rPr>
          <w:rFonts w:ascii="Arial" w:cs="Arial" w:eastAsia="Arial" w:hAnsi="Arial"/>
          <w:sz w:val="17"/>
          <w:szCs w:val="17"/>
          <w:color w:val="auto"/>
        </w:rPr>
        <w:t>AerSale Corporation (a company in which Leonard Green &amp; Partners, L.P. has an ownership interest) (since 2020)</w:t>
      </w:r>
    </w:p>
    <w:p>
      <w:pPr>
        <w:spacing w:after="0" w:line="7"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auto"/>
        </w:rPr>
        <w:t>Private Company Directorship(s):</w:t>
      </w:r>
    </w:p>
    <w:p>
      <w:pPr>
        <w:spacing w:after="0" w:line="50" w:lineRule="exact"/>
        <w:rPr>
          <w:sz w:val="20"/>
          <w:szCs w:val="20"/>
          <w:color w:val="auto"/>
        </w:rPr>
      </w:pPr>
    </w:p>
    <w:p>
      <w:pPr>
        <w:ind w:left="165" w:right="480" w:hanging="165"/>
        <w:spacing w:after="0" w:line="239" w:lineRule="auto"/>
        <w:tabs>
          <w:tab w:leader="none" w:pos="165" w:val="left"/>
        </w:tabs>
        <w:numPr>
          <w:ilvl w:val="0"/>
          <w:numId w:val="39"/>
        </w:numPr>
        <w:rPr>
          <w:rFonts w:ascii="Arial" w:cs="Arial" w:eastAsia="Arial" w:hAnsi="Arial"/>
          <w:sz w:val="17"/>
          <w:szCs w:val="17"/>
          <w:color w:val="125288"/>
        </w:rPr>
      </w:pPr>
      <w:r>
        <w:rPr>
          <w:rFonts w:ascii="Arial" w:cs="Arial" w:eastAsia="Arial" w:hAnsi="Arial"/>
          <w:sz w:val="17"/>
          <w:szCs w:val="17"/>
          <w:color w:val="auto"/>
        </w:rPr>
        <w:t>Board seats held where Nolan Capital has a controlling ownership interest:</w:t>
      </w:r>
    </w:p>
    <w:p>
      <w:pPr>
        <w:spacing w:after="0" w:line="26" w:lineRule="exact"/>
        <w:rPr>
          <w:rFonts w:ascii="Arial" w:cs="Arial" w:eastAsia="Arial" w:hAnsi="Arial"/>
          <w:sz w:val="17"/>
          <w:szCs w:val="17"/>
          <w:color w:val="125288"/>
        </w:rPr>
      </w:pPr>
    </w:p>
    <w:p>
      <w:pPr>
        <w:ind w:left="165"/>
        <w:spacing w:after="0"/>
        <w:rPr>
          <w:rFonts w:ascii="Arial" w:cs="Arial" w:eastAsia="Arial" w:hAnsi="Arial"/>
          <w:sz w:val="17"/>
          <w:szCs w:val="17"/>
          <w:color w:val="125288"/>
        </w:rPr>
      </w:pPr>
      <w:r>
        <w:rPr>
          <w:rFonts w:ascii="Arial" w:cs="Arial" w:eastAsia="Arial" w:hAnsi="Arial"/>
          <w:sz w:val="17"/>
          <w:szCs w:val="17"/>
          <w:color w:val="auto"/>
        </w:rPr>
        <w:t>– Diamond Wipes International, Inc. (since 2016)</w:t>
      </w:r>
    </w:p>
    <w:p>
      <w:pPr>
        <w:spacing w:after="0" w:line="30" w:lineRule="exact"/>
        <w:rPr>
          <w:rFonts w:ascii="Arial" w:cs="Arial" w:eastAsia="Arial" w:hAnsi="Arial"/>
          <w:sz w:val="17"/>
          <w:szCs w:val="17"/>
          <w:color w:val="125288"/>
        </w:rPr>
      </w:pPr>
    </w:p>
    <w:p>
      <w:pPr>
        <w:ind w:left="165"/>
        <w:spacing w:after="0"/>
        <w:rPr>
          <w:rFonts w:ascii="Arial" w:cs="Arial" w:eastAsia="Arial" w:hAnsi="Arial"/>
          <w:sz w:val="17"/>
          <w:szCs w:val="17"/>
          <w:color w:val="125288"/>
        </w:rPr>
      </w:pPr>
      <w:r>
        <w:rPr>
          <w:rFonts w:ascii="Arial" w:cs="Arial" w:eastAsia="Arial" w:hAnsi="Arial"/>
          <w:sz w:val="17"/>
          <w:szCs w:val="17"/>
          <w:color w:val="auto"/>
        </w:rPr>
        <w:t>– Golden Road Food Services, LLC (since 2015)</w:t>
      </w:r>
    </w:p>
    <w:p>
      <w:pPr>
        <w:spacing w:after="0" w:line="30" w:lineRule="exact"/>
        <w:rPr>
          <w:rFonts w:ascii="Arial" w:cs="Arial" w:eastAsia="Arial" w:hAnsi="Arial"/>
          <w:sz w:val="17"/>
          <w:szCs w:val="17"/>
          <w:color w:val="125288"/>
        </w:rPr>
      </w:pPr>
    </w:p>
    <w:p>
      <w:pPr>
        <w:ind w:left="165"/>
        <w:spacing w:after="0"/>
        <w:rPr>
          <w:rFonts w:ascii="Arial" w:cs="Arial" w:eastAsia="Arial" w:hAnsi="Arial"/>
          <w:sz w:val="17"/>
          <w:szCs w:val="17"/>
          <w:color w:val="125288"/>
        </w:rPr>
      </w:pPr>
      <w:r>
        <w:rPr>
          <w:rFonts w:ascii="Arial" w:cs="Arial" w:eastAsia="Arial" w:hAnsi="Arial"/>
          <w:sz w:val="17"/>
          <w:szCs w:val="17"/>
          <w:color w:val="auto"/>
        </w:rPr>
        <w:t>– Ortega National Parks (since 2019)</w:t>
      </w:r>
    </w:p>
    <w:p>
      <w:pPr>
        <w:spacing w:after="0" w:line="30" w:lineRule="exact"/>
        <w:rPr>
          <w:rFonts w:ascii="Arial" w:cs="Arial" w:eastAsia="Arial" w:hAnsi="Arial"/>
          <w:sz w:val="17"/>
          <w:szCs w:val="17"/>
          <w:color w:val="125288"/>
        </w:rPr>
      </w:pPr>
    </w:p>
    <w:p>
      <w:pPr>
        <w:ind w:left="165"/>
        <w:spacing w:after="0"/>
        <w:rPr>
          <w:rFonts w:ascii="Arial" w:cs="Arial" w:eastAsia="Arial" w:hAnsi="Arial"/>
          <w:sz w:val="17"/>
          <w:szCs w:val="17"/>
          <w:color w:val="125288"/>
        </w:rPr>
      </w:pPr>
      <w:r>
        <w:rPr>
          <w:rFonts w:ascii="Arial" w:cs="Arial" w:eastAsia="Arial" w:hAnsi="Arial"/>
          <w:sz w:val="17"/>
          <w:szCs w:val="17"/>
          <w:color w:val="auto"/>
        </w:rPr>
        <w:t>– Coastal Farm &amp; Ranch (since 2021)</w:t>
      </w:r>
    </w:p>
    <w:p>
      <w:pPr>
        <w:spacing w:after="0" w:line="17"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auto"/>
        </w:rPr>
        <w:t>Education:</w:t>
      </w:r>
    </w:p>
    <w:p>
      <w:pPr>
        <w:spacing w:after="0" w:line="44" w:lineRule="exact"/>
        <w:rPr>
          <w:sz w:val="20"/>
          <w:szCs w:val="20"/>
          <w:color w:val="auto"/>
        </w:rPr>
      </w:pPr>
    </w:p>
    <w:p>
      <w:pPr>
        <w:ind w:left="165" w:right="480" w:hanging="165"/>
        <w:spacing w:after="0" w:line="239" w:lineRule="auto"/>
        <w:tabs>
          <w:tab w:leader="none" w:pos="165" w:val="left"/>
        </w:tabs>
        <w:numPr>
          <w:ilvl w:val="0"/>
          <w:numId w:val="40"/>
        </w:numPr>
        <w:rPr>
          <w:rFonts w:ascii="Arial" w:cs="Arial" w:eastAsia="Arial" w:hAnsi="Arial"/>
          <w:sz w:val="17"/>
          <w:szCs w:val="17"/>
          <w:color w:val="125288"/>
        </w:rPr>
      </w:pPr>
      <w:r>
        <w:rPr>
          <w:rFonts w:ascii="Arial" w:cs="Arial" w:eastAsia="Arial" w:hAnsi="Arial"/>
          <w:sz w:val="17"/>
          <w:szCs w:val="17"/>
          <w:color w:val="auto"/>
        </w:rPr>
        <w:t>B.S. in agricultural economics and finance from Cornell University</w:t>
      </w:r>
    </w:p>
    <w:p>
      <w:pPr>
        <w:spacing w:after="0" w:line="26" w:lineRule="exact"/>
        <w:rPr>
          <w:rFonts w:ascii="Arial" w:cs="Arial" w:eastAsia="Arial" w:hAnsi="Arial"/>
          <w:sz w:val="17"/>
          <w:szCs w:val="17"/>
          <w:color w:val="125288"/>
        </w:rPr>
      </w:pPr>
    </w:p>
    <w:p>
      <w:pPr>
        <w:ind w:left="165" w:hanging="165"/>
        <w:spacing w:after="0"/>
        <w:tabs>
          <w:tab w:leader="none" w:pos="165" w:val="left"/>
        </w:tabs>
        <w:numPr>
          <w:ilvl w:val="0"/>
          <w:numId w:val="40"/>
        </w:numPr>
        <w:rPr>
          <w:rFonts w:ascii="Arial" w:cs="Arial" w:eastAsia="Arial" w:hAnsi="Arial"/>
          <w:sz w:val="17"/>
          <w:szCs w:val="17"/>
          <w:color w:val="125288"/>
        </w:rPr>
      </w:pPr>
      <w:r>
        <w:rPr>
          <w:rFonts w:ascii="Arial" w:cs="Arial" w:eastAsia="Arial" w:hAnsi="Arial"/>
          <w:sz w:val="17"/>
          <w:szCs w:val="17"/>
          <w:color w:val="auto"/>
        </w:rPr>
        <w:t>M.B.A. from Cornell University</w:t>
      </w:r>
    </w:p>
    <w:p>
      <w:pPr>
        <w:spacing w:after="0" w:line="312" w:lineRule="exact"/>
        <w:rPr>
          <w:sz w:val="20"/>
          <w:szCs w:val="20"/>
          <w:color w:val="auto"/>
        </w:rPr>
      </w:pPr>
    </w:p>
    <w:p>
      <w:pPr>
        <w:sectPr>
          <w:pgSz w:w="11900" w:h="16838" w:orient="portrait"/>
          <w:cols w:equalWidth="0" w:num="3">
            <w:col w:w="1200" w:space="260"/>
            <w:col w:w="4420" w:space="695"/>
            <w:col w:w="4685"/>
          </w:cols>
          <w:pgMar w:left="320" w:top="144" w:right="319" w:bottom="1440" w:gutter="0" w:footer="0" w:header="0"/>
          <w:type w:val="continuous"/>
        </w:sectPr>
      </w:pPr>
    </w:p>
    <w:p>
      <w:pPr>
        <w:spacing w:after="0" w:line="66"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type w:val="continuous"/>
        </w:sectPr>
      </w:pPr>
    </w:p>
    <w:bookmarkStart w:id="27" w:name="page28"/>
    <w:bookmarkEnd w:id="27"/>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3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125288"/>
        </w:rPr>
        <w:t>DAWN OSTROFF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45720</wp:posOffset>
            </wp:positionV>
            <wp:extent cx="7148830"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300"/>
        <w:spacing w:after="0" w:line="291" w:lineRule="auto"/>
        <w:rPr>
          <w:sz w:val="20"/>
          <w:szCs w:val="20"/>
          <w:color w:val="auto"/>
        </w:rPr>
      </w:pPr>
      <w:r>
        <w:rPr>
          <w:rFonts w:ascii="Arial" w:cs="Arial" w:eastAsia="Arial" w:hAnsi="Arial"/>
          <w:sz w:val="15"/>
          <w:szCs w:val="15"/>
          <w:b w:val="1"/>
          <w:bCs w:val="1"/>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-1025525</wp:posOffset>
            </wp:positionV>
            <wp:extent cx="687070" cy="6870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7070" cy="687070"/>
                    </a:xfrm>
                    <a:prstGeom prst="rect">
                      <a:avLst/>
                    </a:prstGeom>
                    <a:noFill/>
                  </pic:spPr>
                </pic:pic>
              </a:graphicData>
            </a:graphic>
          </wp:anchor>
        </w:drawing>
      </w:r>
    </w:p>
    <w:p>
      <w:pPr>
        <w:spacing w:after="0" w:line="2"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Chief Content</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and Advertising</w:t>
      </w:r>
    </w:p>
    <w:p>
      <w:pPr>
        <w:ind w:left="60"/>
        <w:spacing w:after="0" w:line="201" w:lineRule="auto"/>
        <w:rPr>
          <w:sz w:val="20"/>
          <w:szCs w:val="20"/>
          <w:color w:val="auto"/>
        </w:rPr>
      </w:pPr>
      <w:r>
        <w:rPr>
          <w:rFonts w:ascii="Arial" w:cs="Arial" w:eastAsia="Arial" w:hAnsi="Arial"/>
          <w:sz w:val="8"/>
          <w:szCs w:val="8"/>
          <w:b w:val="1"/>
          <w:bCs w:val="1"/>
          <w:color w:val="auto"/>
        </w:rPr>
        <w:t>Business Officer</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both"/>
        <w:ind w:right="60"/>
        <w:spacing w:after="0" w:line="250" w:lineRule="auto"/>
        <w:rPr>
          <w:sz w:val="20"/>
          <w:szCs w:val="20"/>
          <w:color w:val="auto"/>
        </w:rPr>
      </w:pPr>
      <w:r>
        <w:rPr>
          <w:rFonts w:ascii="Arial" w:cs="Arial" w:eastAsia="Arial" w:hAnsi="Arial"/>
          <w:sz w:val="16"/>
          <w:szCs w:val="16"/>
          <w:color w:val="auto"/>
        </w:rPr>
        <w:t>Ms. Ostroff is the Chief Content and Advertising Business Officer of Spotify Technology S.A., an international media services provider. She has held the role of Chief Content Officer since 2018, and in January 2020, became the Chief Content and Advertising Business Officer. Before joining Spotify, Ms. Ostroff co-founded Condé Nast Entertainment, a studio and distribution network for film, television, premium digital video, social media, and virtual reality, where she served as the President from 2011 to 2018. Ms. Ostroff held a number of positions in the media and entertainment industry before founding Condé Nast Entertainment, including serving as: President of Entertainment for The CW Television Network from 2006 to 2011; President of United Paramount Network from 2002 to 2006; Executive Vice President of Entertainment at Lifetime Television from 1999 to 2002; Senior Vice President of Programming and Production at Lifetime Television from 1996 to 1999; Division Senior Vice President, Creative Affairs of Twentieth Century Fox Film from 1993 to 1996; President of Michael Jacobs Productions at The Walt Disney Company from 1989 to 1993; and Vice President of Business Development at The Kushner-Locke Company from 1984 to 1989.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18415</wp:posOffset>
            </wp:positionV>
            <wp:extent cx="6174740"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174740" cy="15240"/>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1280" w:space="280"/>
            <w:col w:w="9700"/>
          </w:cols>
          <w:pgMar w:left="320" w:top="144" w:right="319" w:bottom="1440" w:gutter="0" w:footer="0" w:header="0"/>
          <w:type w:val="continuous"/>
        </w:sectPr>
      </w:pPr>
    </w:p>
    <w:p>
      <w:pPr>
        <w:spacing w:after="0" w:line="88"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of Spotify</w:t>
      </w:r>
    </w:p>
    <w:p>
      <w:pPr>
        <w:spacing w:after="0" w:line="89" w:lineRule="exact"/>
        <w:rPr>
          <w:sz w:val="20"/>
          <w:szCs w:val="20"/>
          <w:color w:val="auto"/>
        </w:rPr>
      </w:pPr>
    </w:p>
    <w:p>
      <w:pPr>
        <w:ind w:left="60" w:right="400"/>
        <w:spacing w:after="0" w:line="291" w:lineRule="auto"/>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b w:val="1"/>
          <w:bCs w:val="1"/>
          <w:color w:val="125288"/>
        </w:rPr>
        <w:t>2020</w:t>
      </w:r>
    </w:p>
    <w:p>
      <w:pPr>
        <w:spacing w:after="0" w:line="22" w:lineRule="exact"/>
        <w:rPr>
          <w:sz w:val="20"/>
          <w:szCs w:val="20"/>
          <w:color w:val="auto"/>
        </w:rPr>
      </w:pPr>
    </w:p>
    <w:p>
      <w:pPr>
        <w:ind w:left="60" w:right="80"/>
        <w:spacing w:after="0" w:line="262" w:lineRule="auto"/>
        <w:rPr>
          <w:sz w:val="20"/>
          <w:szCs w:val="20"/>
          <w:color w:val="auto"/>
        </w:rPr>
      </w:pPr>
      <w:r>
        <w:rPr>
          <w:rFonts w:ascii="Arial" w:cs="Arial" w:eastAsia="Arial" w:hAnsi="Arial"/>
          <w:sz w:val="15"/>
          <w:szCs w:val="15"/>
          <w:b w:val="1"/>
          <w:bCs w:val="1"/>
          <w:color w:val="auto"/>
        </w:rPr>
        <w:t>Activision Blizzard Board Committee Membership(s):</w:t>
      </w:r>
    </w:p>
    <w:p>
      <w:pPr>
        <w:spacing w:after="0" w:line="43" w:lineRule="exact"/>
        <w:rPr>
          <w:sz w:val="20"/>
          <w:szCs w:val="20"/>
          <w:color w:val="auto"/>
        </w:rPr>
      </w:pPr>
    </w:p>
    <w:p>
      <w:pPr>
        <w:ind w:left="200" w:hanging="145"/>
        <w:spacing w:after="0" w:line="259" w:lineRule="auto"/>
        <w:tabs>
          <w:tab w:leader="none" w:pos="200" w:val="left"/>
        </w:tabs>
        <w:numPr>
          <w:ilvl w:val="0"/>
          <w:numId w:val="41"/>
        </w:numPr>
        <w:rPr>
          <w:rFonts w:ascii="Arial" w:cs="Arial" w:eastAsia="Arial" w:hAnsi="Arial"/>
          <w:sz w:val="17"/>
          <w:szCs w:val="17"/>
          <w:color w:val="125288"/>
        </w:rPr>
      </w:pPr>
      <w:r>
        <w:rPr>
          <w:rFonts w:ascii="Arial" w:cs="Arial" w:eastAsia="Arial" w:hAnsi="Arial"/>
          <w:sz w:val="15"/>
          <w:szCs w:val="15"/>
          <w:b w:val="1"/>
          <w:bCs w:val="1"/>
          <w:color w:val="auto"/>
        </w:rPr>
        <w:t>Compensation Committee</w:t>
      </w:r>
    </w:p>
    <w:p>
      <w:pPr>
        <w:spacing w:after="0" w:line="42" w:lineRule="exact"/>
        <w:rPr>
          <w:rFonts w:ascii="Arial" w:cs="Arial" w:eastAsia="Arial" w:hAnsi="Arial"/>
          <w:sz w:val="17"/>
          <w:szCs w:val="17"/>
          <w:color w:val="125288"/>
        </w:rPr>
      </w:pPr>
    </w:p>
    <w:p>
      <w:pPr>
        <w:ind w:left="200" w:right="20" w:hanging="145"/>
        <w:spacing w:after="0" w:line="251" w:lineRule="auto"/>
        <w:tabs>
          <w:tab w:leader="none" w:pos="200" w:val="left"/>
        </w:tabs>
        <w:numPr>
          <w:ilvl w:val="0"/>
          <w:numId w:val="41"/>
        </w:numPr>
        <w:rPr>
          <w:rFonts w:ascii="Arial" w:cs="Arial" w:eastAsia="Arial" w:hAnsi="Arial"/>
          <w:sz w:val="17"/>
          <w:szCs w:val="17"/>
          <w:color w:val="125288"/>
        </w:rPr>
      </w:pPr>
      <w:r>
        <w:rPr>
          <w:rFonts w:ascii="Arial" w:cs="Arial" w:eastAsia="Arial" w:hAnsi="Arial"/>
          <w:sz w:val="15"/>
          <w:szCs w:val="15"/>
          <w:b w:val="1"/>
          <w:bCs w:val="1"/>
          <w:color w:val="auto"/>
        </w:rPr>
        <w:t>Workplace Responsibility Committee (Chair)</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b w:val="1"/>
          <w:bCs w:val="1"/>
          <w:color w:val="125288"/>
        </w:rPr>
        <w:t>62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Key Experience/Qualifications:</w:t>
      </w:r>
    </w:p>
    <w:p>
      <w:pPr>
        <w:spacing w:after="0" w:line="43" w:lineRule="exact"/>
        <w:rPr>
          <w:sz w:val="20"/>
          <w:szCs w:val="20"/>
          <w:color w:val="auto"/>
        </w:rPr>
      </w:pPr>
    </w:p>
    <w:p>
      <w:pPr>
        <w:ind w:left="160" w:right="120" w:hanging="156"/>
        <w:spacing w:after="0" w:line="237" w:lineRule="auto"/>
        <w:tabs>
          <w:tab w:leader="none" w:pos="160" w:val="left"/>
        </w:tabs>
        <w:numPr>
          <w:ilvl w:val="0"/>
          <w:numId w:val="42"/>
        </w:numPr>
        <w:rPr>
          <w:rFonts w:ascii="Arial" w:cs="Arial" w:eastAsia="Arial" w:hAnsi="Arial"/>
          <w:sz w:val="17"/>
          <w:szCs w:val="17"/>
          <w:color w:val="125288"/>
        </w:rPr>
      </w:pPr>
      <w:r>
        <w:rPr>
          <w:rFonts w:ascii="Arial" w:cs="Arial" w:eastAsia="Arial" w:hAnsi="Arial"/>
          <w:sz w:val="17"/>
          <w:szCs w:val="17"/>
          <w:color w:val="auto"/>
        </w:rPr>
        <w:t>Wealth of experience in media, entertainment, and advertising, stemming from over 35 years of experience at a variety of media and entertainment companies</w:t>
      </w:r>
    </w:p>
    <w:p>
      <w:pPr>
        <w:spacing w:after="0" w:line="27" w:lineRule="exact"/>
        <w:rPr>
          <w:rFonts w:ascii="Arial" w:cs="Arial" w:eastAsia="Arial" w:hAnsi="Arial"/>
          <w:sz w:val="17"/>
          <w:szCs w:val="17"/>
          <w:color w:val="125288"/>
        </w:rPr>
      </w:pPr>
    </w:p>
    <w:p>
      <w:pPr>
        <w:ind w:left="160" w:hanging="156"/>
        <w:spacing w:after="0" w:line="236" w:lineRule="auto"/>
        <w:tabs>
          <w:tab w:leader="none" w:pos="160" w:val="left"/>
        </w:tabs>
        <w:numPr>
          <w:ilvl w:val="0"/>
          <w:numId w:val="42"/>
        </w:numPr>
        <w:rPr>
          <w:rFonts w:ascii="Arial" w:cs="Arial" w:eastAsia="Arial" w:hAnsi="Arial"/>
          <w:sz w:val="17"/>
          <w:szCs w:val="17"/>
          <w:color w:val="125288"/>
        </w:rPr>
      </w:pPr>
      <w:r>
        <w:rPr>
          <w:rFonts w:ascii="Arial" w:cs="Arial" w:eastAsia="Arial" w:hAnsi="Arial"/>
          <w:sz w:val="17"/>
          <w:szCs w:val="17"/>
          <w:color w:val="auto"/>
        </w:rPr>
        <w:t>Strong leadership skills, gained through numerous positions of responsibility throughout her career, including as an executive of an international media services provider and founder of a studio and distribution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-993140</wp:posOffset>
            </wp:positionH>
            <wp:positionV relativeFrom="paragraph">
              <wp:posOffset>943610</wp:posOffset>
            </wp:positionV>
            <wp:extent cx="7148830"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Other Public Company Directorship(s):</w:t>
      </w:r>
    </w:p>
    <w:p>
      <w:pPr>
        <w:spacing w:after="0" w:line="43" w:lineRule="exact"/>
        <w:rPr>
          <w:sz w:val="20"/>
          <w:szCs w:val="20"/>
          <w:color w:val="auto"/>
        </w:rPr>
      </w:pPr>
    </w:p>
    <w:p>
      <w:pPr>
        <w:ind w:left="160" w:hanging="159"/>
        <w:spacing w:after="0"/>
        <w:tabs>
          <w:tab w:leader="none" w:pos="160" w:val="left"/>
        </w:tabs>
        <w:numPr>
          <w:ilvl w:val="0"/>
          <w:numId w:val="43"/>
        </w:numPr>
        <w:rPr>
          <w:rFonts w:ascii="Arial" w:cs="Arial" w:eastAsia="Arial" w:hAnsi="Arial"/>
          <w:sz w:val="17"/>
          <w:szCs w:val="17"/>
          <w:color w:val="125288"/>
        </w:rPr>
      </w:pPr>
      <w:r>
        <w:rPr>
          <w:rFonts w:ascii="Arial" w:cs="Arial" w:eastAsia="Arial" w:hAnsi="Arial"/>
          <w:sz w:val="17"/>
          <w:szCs w:val="17"/>
          <w:color w:val="auto"/>
        </w:rPr>
        <w:t>Westfield Corporation (2016 to 2018)</w:t>
      </w:r>
    </w:p>
    <w:p>
      <w:pPr>
        <w:spacing w:after="0" w:line="10" w:lineRule="exact"/>
        <w:rPr>
          <w:rFonts w:ascii="Arial" w:cs="Arial" w:eastAsia="Arial" w:hAnsi="Arial"/>
          <w:sz w:val="17"/>
          <w:szCs w:val="17"/>
          <w:color w:val="125288"/>
        </w:rPr>
      </w:pPr>
    </w:p>
    <w:p>
      <w:pPr>
        <w:spacing w:after="0"/>
        <w:rPr>
          <w:rFonts w:ascii="Arial" w:cs="Arial" w:eastAsia="Arial" w:hAnsi="Arial"/>
          <w:sz w:val="17"/>
          <w:szCs w:val="17"/>
          <w:color w:val="125288"/>
        </w:rPr>
      </w:pPr>
      <w:r>
        <w:rPr>
          <w:rFonts w:ascii="Arial" w:cs="Arial" w:eastAsia="Arial" w:hAnsi="Arial"/>
          <w:sz w:val="17"/>
          <w:szCs w:val="17"/>
          <w:b w:val="1"/>
          <w:bCs w:val="1"/>
          <w:color w:val="auto"/>
        </w:rPr>
        <w:t>Private Company Directorship(s):</w:t>
      </w:r>
    </w:p>
    <w:p>
      <w:pPr>
        <w:spacing w:after="0" w:line="50" w:lineRule="exact"/>
        <w:rPr>
          <w:rFonts w:ascii="Arial" w:cs="Arial" w:eastAsia="Arial" w:hAnsi="Arial"/>
          <w:sz w:val="17"/>
          <w:szCs w:val="17"/>
          <w:color w:val="125288"/>
        </w:rPr>
      </w:pPr>
    </w:p>
    <w:p>
      <w:pPr>
        <w:ind w:left="160" w:hanging="159"/>
        <w:spacing w:after="0"/>
        <w:tabs>
          <w:tab w:leader="none" w:pos="160" w:val="left"/>
        </w:tabs>
        <w:numPr>
          <w:ilvl w:val="0"/>
          <w:numId w:val="43"/>
        </w:numPr>
        <w:rPr>
          <w:rFonts w:ascii="Arial" w:cs="Arial" w:eastAsia="Arial" w:hAnsi="Arial"/>
          <w:sz w:val="17"/>
          <w:szCs w:val="17"/>
          <w:color w:val="125288"/>
        </w:rPr>
      </w:pPr>
      <w:r>
        <w:rPr>
          <w:rFonts w:ascii="Arial" w:cs="Arial" w:eastAsia="Arial" w:hAnsi="Arial"/>
          <w:sz w:val="17"/>
          <w:szCs w:val="17"/>
          <w:color w:val="auto"/>
        </w:rPr>
        <w:t>Anonymous Content (2019 to 2020)</w:t>
      </w:r>
    </w:p>
    <w:p>
      <w:pPr>
        <w:spacing w:after="0" w:line="10" w:lineRule="exact"/>
        <w:rPr>
          <w:rFonts w:ascii="Arial" w:cs="Arial" w:eastAsia="Arial" w:hAnsi="Arial"/>
          <w:sz w:val="17"/>
          <w:szCs w:val="17"/>
          <w:color w:val="125288"/>
        </w:rPr>
      </w:pPr>
    </w:p>
    <w:p>
      <w:pPr>
        <w:spacing w:after="0"/>
        <w:rPr>
          <w:rFonts w:ascii="Arial" w:cs="Arial" w:eastAsia="Arial" w:hAnsi="Arial"/>
          <w:sz w:val="17"/>
          <w:szCs w:val="17"/>
          <w:color w:val="125288"/>
        </w:rPr>
      </w:pPr>
      <w:r>
        <w:rPr>
          <w:rFonts w:ascii="Arial" w:cs="Arial" w:eastAsia="Arial" w:hAnsi="Arial"/>
          <w:sz w:val="17"/>
          <w:szCs w:val="17"/>
          <w:b w:val="1"/>
          <w:bCs w:val="1"/>
          <w:color w:val="auto"/>
        </w:rPr>
        <w:t>Involvement in Other Organization(s):</w:t>
      </w:r>
    </w:p>
    <w:p>
      <w:pPr>
        <w:spacing w:after="0" w:line="50" w:lineRule="exact"/>
        <w:rPr>
          <w:rFonts w:ascii="Arial" w:cs="Arial" w:eastAsia="Arial" w:hAnsi="Arial"/>
          <w:sz w:val="17"/>
          <w:szCs w:val="17"/>
          <w:color w:val="125288"/>
        </w:rPr>
      </w:pPr>
    </w:p>
    <w:p>
      <w:pPr>
        <w:ind w:left="160" w:right="220" w:hanging="159"/>
        <w:spacing w:after="0" w:line="239" w:lineRule="auto"/>
        <w:tabs>
          <w:tab w:leader="none" w:pos="160" w:val="left"/>
        </w:tabs>
        <w:numPr>
          <w:ilvl w:val="0"/>
          <w:numId w:val="43"/>
        </w:numPr>
        <w:rPr>
          <w:rFonts w:ascii="Arial" w:cs="Arial" w:eastAsia="Arial" w:hAnsi="Arial"/>
          <w:sz w:val="17"/>
          <w:szCs w:val="17"/>
          <w:color w:val="125288"/>
        </w:rPr>
      </w:pPr>
      <w:r>
        <w:rPr>
          <w:rFonts w:ascii="Arial" w:cs="Arial" w:eastAsia="Arial" w:hAnsi="Arial"/>
          <w:sz w:val="17"/>
          <w:szCs w:val="17"/>
          <w:color w:val="auto"/>
        </w:rPr>
        <w:t>New York University Faculty of Arts and Science (Member of The Board of Overseers)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Education:</w:t>
      </w:r>
    </w:p>
    <w:p>
      <w:pPr>
        <w:spacing w:after="0" w:line="50" w:lineRule="exact"/>
        <w:rPr>
          <w:sz w:val="20"/>
          <w:szCs w:val="20"/>
          <w:color w:val="auto"/>
        </w:rPr>
      </w:pPr>
    </w:p>
    <w:p>
      <w:pPr>
        <w:ind w:left="160" w:hanging="159"/>
        <w:spacing w:after="0"/>
        <w:tabs>
          <w:tab w:leader="none" w:pos="160" w:val="left"/>
        </w:tabs>
        <w:numPr>
          <w:ilvl w:val="0"/>
          <w:numId w:val="44"/>
        </w:numPr>
        <w:rPr>
          <w:rFonts w:ascii="Arial" w:cs="Arial" w:eastAsia="Arial" w:hAnsi="Arial"/>
          <w:sz w:val="17"/>
          <w:szCs w:val="17"/>
          <w:color w:val="125288"/>
        </w:rPr>
      </w:pPr>
      <w:r>
        <w:rPr>
          <w:rFonts w:ascii="Arial" w:cs="Arial" w:eastAsia="Arial" w:hAnsi="Arial"/>
          <w:sz w:val="17"/>
          <w:szCs w:val="17"/>
          <w:color w:val="auto"/>
        </w:rPr>
        <w:t>B.S. in journalism from Florida International University</w:t>
      </w:r>
    </w:p>
    <w:p>
      <w:pPr>
        <w:spacing w:after="0" w:line="1239" w:lineRule="exact"/>
        <w:rPr>
          <w:sz w:val="20"/>
          <w:szCs w:val="20"/>
          <w:color w:val="auto"/>
        </w:rPr>
      </w:pPr>
    </w:p>
    <w:p>
      <w:pPr>
        <w:sectPr>
          <w:pgSz w:w="11900" w:h="16838" w:orient="portrait"/>
          <w:cols w:equalWidth="0" w:num="3">
            <w:col w:w="1280" w:space="280"/>
            <w:col w:w="4560" w:space="500"/>
            <w:col w:w="4640"/>
          </w:cols>
          <w:pgMar w:left="320" w:top="144" w:right="319" w:bottom="1440" w:gutter="0" w:footer="0" w:header="0"/>
          <w:type w:val="continuous"/>
        </w:sectPr>
      </w:pPr>
    </w:p>
    <w:p>
      <w:pPr>
        <w:spacing w:after="0" w:line="231"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Hendrik Hartong III and Casey Wasserman, both of whom have served on our Board since 2015, will not be seeking re-election at the Annual Meeting.</w:t>
      </w:r>
    </w:p>
    <w:p>
      <w:pPr>
        <w:spacing w:after="0" w:line="23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REQUIRED VOTE AND BOARD RECOMMENDATION</w:t>
      </w:r>
    </w:p>
    <w:p>
      <w:pPr>
        <w:spacing w:after="0" w:line="309"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In accordance with our Bylaws, a director nominee will be elected in an uncontested election only if the number of shares voted “for” that nominee exceeds the number of shares voted “against” that nominee. For more information, see “Information About the 2022 Annual Meeting—What are my voting options with respect to each proposal and how many votes are required to approve each proposal” and “Corporate Governance Matters—Mandatory Offers to Resign from Our Board”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313690</wp:posOffset>
            </wp:positionV>
            <wp:extent cx="6038850" cy="5207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8850" cy="52070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1500" w:right="1000"/>
        <w:spacing w:after="0" w:line="273" w:lineRule="auto"/>
        <w:rPr>
          <w:sz w:val="20"/>
          <w:szCs w:val="20"/>
          <w:color w:val="auto"/>
        </w:rPr>
      </w:pPr>
      <w:r>
        <w:rPr>
          <w:rFonts w:ascii="Arial" w:cs="Arial" w:eastAsia="Arial" w:hAnsi="Arial"/>
          <w:sz w:val="25"/>
          <w:szCs w:val="25"/>
          <w:b w:val="1"/>
          <w:bCs w:val="1"/>
          <w:color w:val="auto"/>
        </w:rPr>
        <w:t xml:space="preserve">YOUR BOARD UNANIMOUSLY RECOMMENDS THAT YOU VOTE </w:t>
      </w:r>
      <w:r>
        <w:rPr>
          <w:rFonts w:ascii="Arial" w:cs="Arial" w:eastAsia="Arial" w:hAnsi="Arial"/>
          <w:sz w:val="25"/>
          <w:szCs w:val="25"/>
          <w:b w:val="1"/>
          <w:bCs w:val="1"/>
          <w:color w:val="125288"/>
        </w:rPr>
        <w:t>FOR</w:t>
      </w:r>
      <w:r>
        <w:rPr>
          <w:rFonts w:ascii="Arial" w:cs="Arial" w:eastAsia="Arial" w:hAnsi="Arial"/>
          <w:sz w:val="25"/>
          <w:szCs w:val="25"/>
          <w:b w:val="1"/>
          <w:bCs w:val="1"/>
          <w:color w:val="auto"/>
        </w:rPr>
        <w:t xml:space="preserve"> THE ELECTION OF EACH NOMINEE FOR DIRECTOR.</w:t>
      </w:r>
    </w:p>
    <w:p>
      <w:pPr>
        <w:spacing w:after="0" w:line="299"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type w:val="continuous"/>
        </w:sectPr>
      </w:pPr>
    </w:p>
    <w:bookmarkStart w:id="28" w:name="page29"/>
    <w:bookmarkEnd w:id="28"/>
    <w:p>
      <w:pPr>
        <w:ind w:left="5"/>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20" w:lineRule="exact"/>
        <w:rPr>
          <w:sz w:val="20"/>
          <w:szCs w:val="20"/>
          <w:color w:val="auto"/>
        </w:rPr>
      </w:pPr>
    </w:p>
    <w:p>
      <w:pPr>
        <w:ind w:left="5"/>
        <w:spacing w:after="0"/>
        <w:rPr>
          <w:sz w:val="20"/>
          <w:szCs w:val="20"/>
          <w:color w:val="auto"/>
        </w:rPr>
      </w:pPr>
      <w:r>
        <w:rPr>
          <w:sz w:val="1"/>
          <w:szCs w:val="1"/>
          <w:color w:val="auto"/>
        </w:rPr>
        <w:drawing>
          <wp:inline distT="0" distB="0" distL="0" distR="0">
            <wp:extent cx="445135" cy="15113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45135" cy="151130"/>
                    </a:xfrm>
                    <a:prstGeom prst="rect">
                      <a:avLst/>
                    </a:prstGeom>
                    <a:noFill/>
                    <a:ln>
                      <a:noFill/>
                    </a:ln>
                  </pic:spPr>
                </pic:pic>
              </a:graphicData>
            </a:graphic>
          </wp:inline>
        </w:drawing>
      </w:r>
      <w:r>
        <w:rPr>
          <w:rFonts w:ascii="Arial" w:cs="Arial" w:eastAsia="Arial" w:hAnsi="Arial"/>
          <w:sz w:val="31"/>
          <w:szCs w:val="31"/>
          <w:b w:val="1"/>
          <w:bCs w:val="1"/>
          <w:color w:val="125288"/>
        </w:rPr>
        <w:t xml:space="preserve"> CORPORATE GOVERNANCE MATTERS</w:t>
      </w:r>
    </w:p>
    <w:p>
      <w:pPr>
        <w:spacing w:after="0" w:line="311" w:lineRule="exact"/>
        <w:rPr>
          <w:sz w:val="20"/>
          <w:szCs w:val="20"/>
          <w:color w:val="auto"/>
        </w:rPr>
      </w:pPr>
    </w:p>
    <w:p>
      <w:pPr>
        <w:ind w:left="5"/>
        <w:spacing w:after="0"/>
        <w:rPr>
          <w:sz w:val="20"/>
          <w:szCs w:val="20"/>
          <w:color w:val="auto"/>
        </w:rPr>
      </w:pPr>
      <w:r>
        <w:rPr>
          <w:rFonts w:ascii="Arial" w:cs="Arial" w:eastAsia="Arial" w:hAnsi="Arial"/>
          <w:sz w:val="26"/>
          <w:szCs w:val="26"/>
          <w:b w:val="1"/>
          <w:bCs w:val="1"/>
          <w:color w:val="auto"/>
        </w:rPr>
        <w:t>OVERVIEW</w:t>
      </w:r>
    </w:p>
    <w:p>
      <w:pPr>
        <w:spacing w:after="0" w:line="309" w:lineRule="exact"/>
        <w:rPr>
          <w:sz w:val="20"/>
          <w:szCs w:val="20"/>
          <w:color w:val="auto"/>
        </w:rPr>
      </w:pPr>
    </w:p>
    <w:p>
      <w:pPr>
        <w:jc w:val="both"/>
        <w:ind w:left="5"/>
        <w:spacing w:after="0" w:line="238" w:lineRule="auto"/>
        <w:rPr>
          <w:sz w:val="20"/>
          <w:szCs w:val="20"/>
          <w:color w:val="auto"/>
        </w:rPr>
      </w:pPr>
      <w:r>
        <w:rPr>
          <w:rFonts w:ascii="Arial" w:cs="Arial" w:eastAsia="Arial" w:hAnsi="Arial"/>
          <w:sz w:val="19"/>
          <w:szCs w:val="19"/>
          <w:color w:val="auto"/>
        </w:rPr>
        <w:t>Our Board is responsible for overseeing management and providing strategic guidance for the Company. Consequently, our Board strives to remain well-informed about the issues, risks, and opportunities facing the Company. Our Corporate Governance Principles and Policies, which are available from the Investor Relations section of our website, are designed to ensure the Board’s continued vitality and excellence. Our Board regularly reviews the specific elements of our corporate governance framework and updates them when doing so would be in the best interests of the Company and our shareholders.</w:t>
      </w:r>
    </w:p>
    <w:p>
      <w:pPr>
        <w:spacing w:after="0" w:line="235" w:lineRule="exact"/>
        <w:rPr>
          <w:sz w:val="20"/>
          <w:szCs w:val="20"/>
          <w:color w:val="auto"/>
        </w:rPr>
      </w:pPr>
    </w:p>
    <w:p>
      <w:pPr>
        <w:ind w:left="5"/>
        <w:spacing w:after="0"/>
        <w:rPr>
          <w:sz w:val="20"/>
          <w:szCs w:val="20"/>
          <w:color w:val="auto"/>
        </w:rPr>
      </w:pPr>
      <w:r>
        <w:rPr>
          <w:rFonts w:ascii="Arial" w:cs="Arial" w:eastAsia="Arial" w:hAnsi="Arial"/>
          <w:sz w:val="26"/>
          <w:szCs w:val="26"/>
          <w:b w:val="1"/>
          <w:bCs w:val="1"/>
          <w:color w:val="auto"/>
        </w:rPr>
        <w:t>BOARD LEADERSHIP STRUCTURE</w:t>
      </w:r>
    </w:p>
    <w:p>
      <w:pPr>
        <w:spacing w:after="0" w:line="309" w:lineRule="exact"/>
        <w:rPr>
          <w:sz w:val="20"/>
          <w:szCs w:val="20"/>
          <w:color w:val="auto"/>
        </w:rPr>
      </w:pPr>
    </w:p>
    <w:p>
      <w:pPr>
        <w:jc w:val="both"/>
        <w:ind w:left="5"/>
        <w:spacing w:after="0" w:line="237" w:lineRule="auto"/>
        <w:rPr>
          <w:sz w:val="20"/>
          <w:szCs w:val="20"/>
          <w:color w:val="auto"/>
        </w:rPr>
      </w:pPr>
      <w:r>
        <w:rPr>
          <w:rFonts w:ascii="Arial" w:cs="Arial" w:eastAsia="Arial" w:hAnsi="Arial"/>
          <w:sz w:val="19"/>
          <w:szCs w:val="19"/>
          <w:color w:val="auto"/>
        </w:rPr>
        <w:t>Our Board believes it is appropriate to divide the roles of Chief Executive Officer and Chair of the Board. The primary responsibility of the Board is to oversee the affairs of the Company for the benefit of shareholders. Our Chief Executive Officer is responsible for the day-to-day management of the Company, while the Board is responsible for overseeing how the Chief Executive Officer performs that function. Having different individuals serve as the Chief Executive Officer and the Chair allows the Chief Executive Officer to focus on operational responsibilities and keeps a measure of independence between operating decisions and the Board’s oversight function. It is also reflective of the division of our risk management oversight between management and our Board, as described below in “—Our Board’s Role in Risk Oversight.”</w:t>
      </w:r>
    </w:p>
    <w:p>
      <w:pPr>
        <w:spacing w:after="0" w:line="130" w:lineRule="exact"/>
        <w:rPr>
          <w:sz w:val="20"/>
          <w:szCs w:val="20"/>
          <w:color w:val="auto"/>
        </w:rPr>
      </w:pPr>
    </w:p>
    <w:p>
      <w:pPr>
        <w:ind w:left="5"/>
        <w:spacing w:after="0"/>
        <w:rPr>
          <w:sz w:val="20"/>
          <w:szCs w:val="20"/>
          <w:color w:val="auto"/>
        </w:rPr>
      </w:pPr>
      <w:r>
        <w:rPr>
          <w:rFonts w:ascii="Arial" w:cs="Arial" w:eastAsia="Arial" w:hAnsi="Arial"/>
          <w:sz w:val="19"/>
          <w:szCs w:val="19"/>
          <w:color w:val="auto"/>
        </w:rPr>
        <w:t>Our independent directors also have appointed a Lead Independent Director, whose duties include:</w:t>
      </w:r>
    </w:p>
    <w:p>
      <w:pPr>
        <w:spacing w:after="0" w:line="138" w:lineRule="exact"/>
        <w:rPr>
          <w:sz w:val="20"/>
          <w:szCs w:val="20"/>
          <w:color w:val="auto"/>
        </w:rPr>
      </w:pPr>
    </w:p>
    <w:p>
      <w:pPr>
        <w:ind w:left="145" w:right="40" w:hanging="145"/>
        <w:spacing w:after="0" w:line="242" w:lineRule="auto"/>
        <w:tabs>
          <w:tab w:leader="none" w:pos="145" w:val="left"/>
        </w:tabs>
        <w:numPr>
          <w:ilvl w:val="0"/>
          <w:numId w:val="45"/>
        </w:numPr>
        <w:rPr>
          <w:rFonts w:ascii="Arial" w:cs="Arial" w:eastAsia="Arial" w:hAnsi="Arial"/>
          <w:sz w:val="19"/>
          <w:szCs w:val="19"/>
          <w:color w:val="125288"/>
        </w:rPr>
      </w:pPr>
      <w:r>
        <w:rPr>
          <w:rFonts w:ascii="Arial" w:cs="Arial" w:eastAsia="Arial" w:hAnsi="Arial"/>
          <w:sz w:val="19"/>
          <w:szCs w:val="19"/>
          <w:color w:val="auto"/>
        </w:rPr>
        <w:t>coordinating the activities of the independent directors, and serving as a liaison between them and the Chief Executive Officer, the Chair, and senior management;</w:t>
      </w:r>
    </w:p>
    <w:p>
      <w:pPr>
        <w:spacing w:after="0" w:line="1" w:lineRule="exact"/>
        <w:rPr>
          <w:rFonts w:ascii="Arial" w:cs="Arial" w:eastAsia="Arial" w:hAnsi="Arial"/>
          <w:sz w:val="19"/>
          <w:szCs w:val="19"/>
          <w:color w:val="125288"/>
        </w:rPr>
      </w:pPr>
    </w:p>
    <w:p>
      <w:pPr>
        <w:ind w:left="145" w:hanging="145"/>
        <w:spacing w:after="0" w:line="195" w:lineRule="auto"/>
        <w:tabs>
          <w:tab w:leader="none" w:pos="145" w:val="left"/>
        </w:tabs>
        <w:numPr>
          <w:ilvl w:val="0"/>
          <w:numId w:val="45"/>
        </w:numPr>
        <w:rPr>
          <w:rFonts w:ascii="Arial" w:cs="Arial" w:eastAsia="Arial" w:hAnsi="Arial"/>
          <w:sz w:val="38"/>
          <w:szCs w:val="38"/>
          <w:color w:val="125288"/>
          <w:vertAlign w:val="subscript"/>
        </w:rPr>
      </w:pPr>
      <w:r>
        <w:rPr>
          <w:rFonts w:ascii="Arial" w:cs="Arial" w:eastAsia="Arial" w:hAnsi="Arial"/>
          <w:sz w:val="19"/>
          <w:szCs w:val="19"/>
          <w:color w:val="auto"/>
        </w:rPr>
        <w:t>presiding at Board meetings in the Chair’s absence;</w:t>
      </w:r>
    </w:p>
    <w:p>
      <w:pPr>
        <w:spacing w:after="0" w:line="130" w:lineRule="exact"/>
        <w:rPr>
          <w:rFonts w:ascii="Arial" w:cs="Arial" w:eastAsia="Arial" w:hAnsi="Arial"/>
          <w:sz w:val="38"/>
          <w:szCs w:val="38"/>
          <w:color w:val="125288"/>
          <w:vertAlign w:val="subscript"/>
        </w:rPr>
      </w:pPr>
    </w:p>
    <w:p>
      <w:pPr>
        <w:ind w:left="145" w:right="40" w:hanging="145"/>
        <w:spacing w:after="0" w:line="245" w:lineRule="auto"/>
        <w:tabs>
          <w:tab w:leader="none" w:pos="145" w:val="left"/>
        </w:tabs>
        <w:numPr>
          <w:ilvl w:val="0"/>
          <w:numId w:val="45"/>
        </w:numPr>
        <w:rPr>
          <w:rFonts w:ascii="Arial" w:cs="Arial" w:eastAsia="Arial" w:hAnsi="Arial"/>
          <w:sz w:val="19"/>
          <w:szCs w:val="19"/>
          <w:color w:val="125288"/>
        </w:rPr>
      </w:pPr>
      <w:r>
        <w:rPr>
          <w:rFonts w:ascii="Arial" w:cs="Arial" w:eastAsia="Arial" w:hAnsi="Arial"/>
          <w:sz w:val="19"/>
          <w:szCs w:val="19"/>
          <w:color w:val="auto"/>
        </w:rPr>
        <w:t>presiding at executive sessions of the independent directors, with the authority to call additional executive sessions or meetings of the independent directors;</w:t>
      </w:r>
    </w:p>
    <w:p>
      <w:pPr>
        <w:spacing w:after="0" w:line="124" w:lineRule="exact"/>
        <w:rPr>
          <w:rFonts w:ascii="Arial" w:cs="Arial" w:eastAsia="Arial" w:hAnsi="Arial"/>
          <w:sz w:val="19"/>
          <w:szCs w:val="19"/>
          <w:color w:val="125288"/>
        </w:rPr>
      </w:pPr>
    </w:p>
    <w:p>
      <w:pPr>
        <w:ind w:left="145" w:hanging="145"/>
        <w:spacing w:after="0"/>
        <w:tabs>
          <w:tab w:leader="none" w:pos="145" w:val="left"/>
        </w:tabs>
        <w:numPr>
          <w:ilvl w:val="0"/>
          <w:numId w:val="45"/>
        </w:numPr>
        <w:rPr>
          <w:rFonts w:ascii="Arial" w:cs="Arial" w:eastAsia="Arial" w:hAnsi="Arial"/>
          <w:sz w:val="19"/>
          <w:szCs w:val="19"/>
          <w:color w:val="125288"/>
        </w:rPr>
      </w:pPr>
      <w:r>
        <w:rPr>
          <w:rFonts w:ascii="Arial" w:cs="Arial" w:eastAsia="Arial" w:hAnsi="Arial"/>
          <w:sz w:val="19"/>
          <w:szCs w:val="19"/>
          <w:color w:val="auto"/>
        </w:rPr>
        <w:t>being available for consultation and direct communication with major shareholders;</w:t>
      </w:r>
    </w:p>
    <w:p>
      <w:pPr>
        <w:spacing w:after="0" w:line="138"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45"/>
        </w:numPr>
        <w:rPr>
          <w:rFonts w:ascii="Arial" w:cs="Arial" w:eastAsia="Arial" w:hAnsi="Arial"/>
          <w:sz w:val="19"/>
          <w:szCs w:val="19"/>
          <w:color w:val="125288"/>
        </w:rPr>
      </w:pPr>
      <w:r>
        <w:rPr>
          <w:rFonts w:ascii="Arial" w:cs="Arial" w:eastAsia="Arial" w:hAnsi="Arial"/>
          <w:sz w:val="19"/>
          <w:szCs w:val="19"/>
          <w:color w:val="auto"/>
        </w:rPr>
        <w:t>assisting the Board, the Chief Executive Officer, and other members of management in promoting implementation of and compliance with the Company’s Corporate Governance Principles and Policies; and</w:t>
      </w:r>
    </w:p>
    <w:p>
      <w:pPr>
        <w:spacing w:after="0" w:line="124"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45"/>
        </w:numPr>
        <w:rPr>
          <w:rFonts w:ascii="Arial" w:cs="Arial" w:eastAsia="Arial" w:hAnsi="Arial"/>
          <w:sz w:val="19"/>
          <w:szCs w:val="19"/>
          <w:color w:val="125288"/>
        </w:rPr>
      </w:pPr>
      <w:r>
        <w:rPr>
          <w:rFonts w:ascii="Arial" w:cs="Arial" w:eastAsia="Arial" w:hAnsi="Arial"/>
          <w:sz w:val="19"/>
          <w:szCs w:val="19"/>
          <w:color w:val="auto"/>
        </w:rPr>
        <w:t>monitoring and evaluating the performance of the Chief Executive Officer, along with the members of the Compensation Committee, and the other independent directors.</w:t>
      </w:r>
    </w:p>
    <w:p>
      <w:pPr>
        <w:spacing w:after="0" w:line="230" w:lineRule="exact"/>
        <w:rPr>
          <w:sz w:val="20"/>
          <w:szCs w:val="20"/>
          <w:color w:val="auto"/>
        </w:rPr>
      </w:pPr>
    </w:p>
    <w:p>
      <w:pPr>
        <w:ind w:left="5"/>
        <w:spacing w:after="0"/>
        <w:rPr>
          <w:sz w:val="20"/>
          <w:szCs w:val="20"/>
          <w:color w:val="auto"/>
        </w:rPr>
      </w:pPr>
      <w:r>
        <w:rPr>
          <w:rFonts w:ascii="Arial" w:cs="Arial" w:eastAsia="Arial" w:hAnsi="Arial"/>
          <w:sz w:val="26"/>
          <w:szCs w:val="26"/>
          <w:b w:val="1"/>
          <w:bCs w:val="1"/>
          <w:color w:val="auto"/>
        </w:rPr>
        <w:t>DIRECTOR INDEPENDENCE</w:t>
      </w:r>
    </w:p>
    <w:p>
      <w:pPr>
        <w:spacing w:after="0" w:line="309" w:lineRule="exact"/>
        <w:rPr>
          <w:sz w:val="20"/>
          <w:szCs w:val="20"/>
          <w:color w:val="auto"/>
        </w:rPr>
      </w:pPr>
    </w:p>
    <w:p>
      <w:pPr>
        <w:jc w:val="both"/>
        <w:ind w:left="5" w:right="20"/>
        <w:spacing w:after="0" w:line="238" w:lineRule="auto"/>
        <w:rPr>
          <w:sz w:val="20"/>
          <w:szCs w:val="20"/>
          <w:color w:val="auto"/>
        </w:rPr>
      </w:pPr>
      <w:r>
        <w:rPr>
          <w:rFonts w:ascii="Arial" w:cs="Arial" w:eastAsia="Arial" w:hAnsi="Arial"/>
          <w:sz w:val="19"/>
          <w:szCs w:val="19"/>
          <w:color w:val="auto"/>
        </w:rPr>
        <w:t>Every year, our Board reviews and discusses all relevant information regarding each director’s relationships, transactions, or arrangements, as required by the rules for companies listed on The Nasdaq Stock Market (the “Nasdaq Rules”). This review includes current and prior relationships that each director or any of their family members has with the Company, our executive management, and our independent accounting firm. To help our Board make independence determinations, each director and director nominee completes a detailed annual questionnaire.</w:t>
      </w:r>
    </w:p>
    <w:p>
      <w:pPr>
        <w:spacing w:after="0" w:line="129" w:lineRule="exact"/>
        <w:rPr>
          <w:sz w:val="20"/>
          <w:szCs w:val="20"/>
          <w:color w:val="auto"/>
        </w:rPr>
      </w:pPr>
    </w:p>
    <w:p>
      <w:pPr>
        <w:jc w:val="both"/>
        <w:ind w:left="5"/>
        <w:spacing w:after="0" w:line="237" w:lineRule="auto"/>
        <w:rPr>
          <w:sz w:val="20"/>
          <w:szCs w:val="20"/>
          <w:color w:val="auto"/>
        </w:rPr>
      </w:pPr>
      <w:r>
        <w:rPr>
          <w:rFonts w:ascii="Arial" w:cs="Arial" w:eastAsia="Arial" w:hAnsi="Arial"/>
          <w:sz w:val="19"/>
          <w:szCs w:val="19"/>
          <w:color w:val="auto"/>
        </w:rPr>
        <w:t>Based on information provided concerning our directors’ background, employment, and affiliations, our Board affirmatively determined that each of Messrs. Corti, Meyer, Morgado, and Nolan and Mses. Bowers, Carr, Meservey and Ostroff, as well as departing directors Messrs. Hartong and Wasserman is, or will be upon election to our Board, an independent director within the meaning of the Nasdaq Rules. Specifically, our Board determined there are no relationships or activities between the Company and any of these directors and/or director nominees that require further review by our Board or that would interfere with the exercise of independent judgment in carrying out the responsibilities of a director.</w:t>
      </w:r>
    </w:p>
    <w:p>
      <w:pPr>
        <w:spacing w:after="0" w:line="157" w:lineRule="exact"/>
        <w:rPr>
          <w:sz w:val="20"/>
          <w:szCs w:val="20"/>
          <w:color w:val="auto"/>
        </w:rPr>
      </w:pPr>
    </w:p>
    <w:p>
      <w:pPr>
        <w:ind w:left="5"/>
        <w:spacing w:after="0"/>
        <w:tabs>
          <w:tab w:leader="none" w:pos="7364" w:val="left"/>
          <w:tab w:leader="none" w:pos="9384" w:val="left"/>
          <w:tab w:leader="none" w:pos="1108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bookmarkStart w:id="29" w:name="page30"/>
    <w:bookmarkEnd w:id="29"/>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35"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In determining that Ms. Ostroff is independent, the Board considered the Company’s relationship with Spotify, where Ms. Ostroff is the Chief Content and Advertising Business Officer. The Company purchases advertising on Spotify’s platform. The Board determined that the relationship was not material and did not impair Ms. Ostroff’s independence since (1) the revenues received by Spotify from the Company were immaterial to either company (less than 0.01% of Spotify’s 2021 revenues and approximately 0.01% of the Company’s 2021 revenues); (2) the advertising sales were conducted in the ordinary course of business, on terms consistent with business done by Spotify with other companies; and (3) Ms. Ostroff has no special interest in the business done between Spotify and the Company.</w:t>
      </w:r>
    </w:p>
    <w:p>
      <w:pPr>
        <w:spacing w:after="0" w:line="236"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BOARD EFFECTIVENESS</w:t>
      </w:r>
    </w:p>
    <w:p>
      <w:pPr>
        <w:spacing w:after="0" w:line="28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How the Board Oversees Our Business</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color w:val="auto"/>
        </w:rPr>
        <w:t>Our Board and its committees are focused on effectively overseeing our business for the benefit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174625</wp:posOffset>
            </wp:positionV>
            <wp:extent cx="6038850" cy="26117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8850" cy="2611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30" w:name="page31"/>
    <w:bookmarkEnd w:id="30"/>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Annual Board, Committee, and Director Self-Evaluations</w:t>
      </w:r>
    </w:p>
    <w:p>
      <w:pPr>
        <w:spacing w:after="0" w:line="142"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We recognize the critical role that Board and committee evaluations play in ensuring the effective functioning of our Board. Accordingly, the Chairman of our Board annually leads an evaluation of the Board’s performance to identify opportunities, if any, for improvement. These evaluations follow a process overseen by our Nominating and Corporate Governance Committee,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170180</wp:posOffset>
            </wp:positionV>
            <wp:extent cx="5382260" cy="43630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382260" cy="4363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rPr>
          <w:sz w:val="20"/>
          <w:szCs w:val="20"/>
          <w:color w:val="auto"/>
        </w:rPr>
      </w:pPr>
      <w:r>
        <w:rPr>
          <w:rFonts w:ascii="Arial" w:cs="Arial" w:eastAsia="Arial" w:hAnsi="Arial"/>
          <w:sz w:val="19"/>
          <w:szCs w:val="19"/>
          <w:color w:val="auto"/>
        </w:rPr>
        <w:t>While this self-evaluation is done formally through the process discussed above on an annual basis, the Board and its committees evaluate their performance throughout the year in numerous one-on-one discussions between the Chairman or the Lead Independent Director and individual board members.</w:t>
      </w:r>
    </w:p>
    <w:p>
      <w:pPr>
        <w:spacing w:after="0" w:line="154"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31" w:name="page32"/>
    <w:bookmarkEnd w:id="31"/>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OUR BOARD’S ROLE IN RISK OVERSIGHT</w:t>
      </w:r>
    </w:p>
    <w:p>
      <w:pPr>
        <w:spacing w:after="0" w:line="15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General Risk Oversight</w:t>
      </w:r>
    </w:p>
    <w:p>
      <w:pPr>
        <w:spacing w:after="0" w:line="142"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Senior management is responsible for developing and implementing the Company’s financial and strategic plans, and identifying, evaluating, managing, and mitigating the risks inherent in those plans. Our Board is responsible for understanding and overseeing those plans, the associated risks, and the steps that senior management is taking to manage and mitigate risk. Our Board, its committees, and senior management exercise this risk oversight function in a variety of ways,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87630</wp:posOffset>
            </wp:positionV>
            <wp:extent cx="5231130" cy="58731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231130" cy="5873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32" w:name="page33"/>
    <w:bookmarkEnd w:id="32"/>
    <w:p>
      <w:pPr>
        <w:ind w:left="5"/>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10" w:lineRule="exact"/>
        <w:rPr>
          <w:sz w:val="20"/>
          <w:szCs w:val="20"/>
          <w:color w:val="auto"/>
        </w:rPr>
      </w:pPr>
    </w:p>
    <w:p>
      <w:pPr>
        <w:ind w:left="5"/>
        <w:spacing w:after="0"/>
        <w:rPr>
          <w:sz w:val="20"/>
          <w:szCs w:val="20"/>
          <w:color w:val="auto"/>
        </w:rPr>
      </w:pPr>
      <w:r>
        <w:rPr>
          <w:rFonts w:ascii="Arial" w:cs="Arial" w:eastAsia="Arial" w:hAnsi="Arial"/>
          <w:sz w:val="24"/>
          <w:szCs w:val="24"/>
          <w:b w:val="1"/>
          <w:bCs w:val="1"/>
          <w:color w:val="auto"/>
        </w:rPr>
        <w:t>Cybersecurity Risk Oversight</w:t>
      </w:r>
    </w:p>
    <w:p>
      <w:pPr>
        <w:spacing w:after="0" w:line="142" w:lineRule="exact"/>
        <w:rPr>
          <w:sz w:val="20"/>
          <w:szCs w:val="20"/>
          <w:color w:val="auto"/>
        </w:rPr>
      </w:pPr>
    </w:p>
    <w:p>
      <w:pPr>
        <w:jc w:val="both"/>
        <w:ind w:left="5"/>
        <w:spacing w:after="0" w:line="236" w:lineRule="auto"/>
        <w:rPr>
          <w:sz w:val="20"/>
          <w:szCs w:val="20"/>
          <w:color w:val="auto"/>
        </w:rPr>
      </w:pPr>
      <w:r>
        <w:rPr>
          <w:rFonts w:ascii="Arial" w:cs="Arial" w:eastAsia="Arial" w:hAnsi="Arial"/>
          <w:sz w:val="19"/>
          <w:szCs w:val="19"/>
          <w:color w:val="auto"/>
        </w:rPr>
        <w:t>Our Audit Committee oversees the identification and mitigation of potential cybersecurity risk, with the goals of protecting our intellectual property, maintaining consumer confidence, preserving employee data confidentiality, and minimizing information security threats to the Company and the users of our products and services. As part of this oversight, the Audit Committee receives updates at least quarterly from members of management with information security responsibilities with respect to the threats we face, and our risk mitigation plans to address those threats. These updates include results of information security maturity assessments and recommendations that are informed, in part, by third-party independent reviews of our information security control environment and operating effectiveness. As part of the Audit Committee’s oversight, the Chair met with cybersecurity risk experts from the Company’s independent registered public accounting firm, PricewaterhouseCoopers LLP (“PwC”), to better understand the current cybersecurity risk environment, leading board governance practices, strategic cyber reporting, and cyber resiliency.</w:t>
      </w:r>
    </w:p>
    <w:p>
      <w:pPr>
        <w:spacing w:after="0" w:line="240" w:lineRule="exact"/>
        <w:rPr>
          <w:sz w:val="20"/>
          <w:szCs w:val="20"/>
          <w:color w:val="auto"/>
        </w:rPr>
      </w:pPr>
    </w:p>
    <w:p>
      <w:pPr>
        <w:ind w:left="5"/>
        <w:spacing w:after="0"/>
        <w:rPr>
          <w:sz w:val="20"/>
          <w:szCs w:val="20"/>
          <w:color w:val="auto"/>
        </w:rPr>
      </w:pPr>
      <w:r>
        <w:rPr>
          <w:rFonts w:ascii="Arial" w:cs="Arial" w:eastAsia="Arial" w:hAnsi="Arial"/>
          <w:sz w:val="24"/>
          <w:szCs w:val="24"/>
          <w:b w:val="1"/>
          <w:bCs w:val="1"/>
          <w:color w:val="auto"/>
        </w:rPr>
        <w:t>Compensation Risk Management</w:t>
      </w:r>
    </w:p>
    <w:p>
      <w:pPr>
        <w:spacing w:after="0" w:line="142" w:lineRule="exact"/>
        <w:rPr>
          <w:sz w:val="20"/>
          <w:szCs w:val="20"/>
          <w:color w:val="auto"/>
        </w:rPr>
      </w:pPr>
    </w:p>
    <w:p>
      <w:pPr>
        <w:jc w:val="both"/>
        <w:ind w:left="5"/>
        <w:spacing w:after="0" w:line="236" w:lineRule="auto"/>
        <w:rPr>
          <w:sz w:val="20"/>
          <w:szCs w:val="20"/>
          <w:color w:val="auto"/>
        </w:rPr>
      </w:pPr>
      <w:r>
        <w:rPr>
          <w:rFonts w:ascii="Arial" w:cs="Arial" w:eastAsia="Arial" w:hAnsi="Arial"/>
          <w:sz w:val="19"/>
          <w:szCs w:val="19"/>
          <w:color w:val="auto"/>
        </w:rPr>
        <w:t>The Compensation Committee, together with its independent compensation consultant, its legal counsel, and members of our human resources team, reviews the Company’s incentive compensation plans and practices annually to determine whether they encourage employees to take risks that are reasonably likely to have a material adverse effect on the Company. In 2021, as in previous years, this review consisted of an analysis of each of our incentive compensation programs for our executives and other employees, including eligibility, performance measures, payment targets and maximum payments, payment timing, and governance (including the applicable approval process). The Compensation Committee concluded that our compensation programs do not incentivize employees to take such risks. One notable item considered in the 2021 assessment was the way annual bonuses for employees below the executive officer level were measured. Given the challenging year, the Compensation Committee decided that financial performance metrics underlying cash bonuses for these employees would be deemed to be achieved at the higher of target and actual performance. The Compensation Committee and its advisors determined this assurance of at least a target payout on the financial portion of the bonuses did not result in excessive risk-taking since it was not a change to plan design. Further, the Compensation Committee continually reviews the Company’s overall compensation structure and philosophy. As a result, we began implementing changes to our compensation payments for 2021, primarily to enhance employee equity ownership and bring our employee equity compensation in line with current industry practice. As an aspect of this change, we settled amounts not yet paid as of December 31, 2021, under our annual performance plans in stock rather than cash, and those bonuses were generally paid at an approximate 10% premium to the cash amount.</w:t>
      </w:r>
    </w:p>
    <w:p>
      <w:pPr>
        <w:spacing w:after="0" w:line="129" w:lineRule="exact"/>
        <w:rPr>
          <w:sz w:val="20"/>
          <w:szCs w:val="20"/>
          <w:color w:val="auto"/>
        </w:rPr>
      </w:pPr>
    </w:p>
    <w:p>
      <w:pPr>
        <w:jc w:val="both"/>
        <w:ind w:left="5"/>
        <w:spacing w:after="0"/>
        <w:rPr>
          <w:sz w:val="20"/>
          <w:szCs w:val="20"/>
          <w:color w:val="auto"/>
        </w:rPr>
      </w:pPr>
      <w:r>
        <w:rPr>
          <w:rFonts w:ascii="Arial" w:cs="Arial" w:eastAsia="Arial" w:hAnsi="Arial"/>
          <w:sz w:val="19"/>
          <w:szCs w:val="19"/>
          <w:color w:val="auto"/>
        </w:rPr>
        <w:t>The incentive compensation plans for our employees are designed to encourage achievement of challenging targets aligned with shareholder interests and our overall corporate strategy. These plans provide upside opportunity for higher levels of performance, while the following features help mitigate risk:</w:t>
      </w:r>
    </w:p>
    <w:p>
      <w:pPr>
        <w:spacing w:after="0" w:line="129" w:lineRule="exact"/>
        <w:rPr>
          <w:sz w:val="20"/>
          <w:szCs w:val="20"/>
          <w:color w:val="auto"/>
        </w:rPr>
      </w:pPr>
    </w:p>
    <w:p>
      <w:pPr>
        <w:ind w:left="145" w:right="40" w:hanging="145"/>
        <w:spacing w:after="0" w:line="245" w:lineRule="auto"/>
        <w:tabs>
          <w:tab w:leader="none" w:pos="145" w:val="left"/>
        </w:tabs>
        <w:numPr>
          <w:ilvl w:val="0"/>
          <w:numId w:val="46"/>
        </w:numPr>
        <w:rPr>
          <w:rFonts w:ascii="Arial" w:cs="Arial" w:eastAsia="Arial" w:hAnsi="Arial"/>
          <w:sz w:val="19"/>
          <w:szCs w:val="19"/>
          <w:color w:val="125288"/>
        </w:rPr>
      </w:pPr>
      <w:r>
        <w:rPr>
          <w:rFonts w:ascii="Arial" w:cs="Arial" w:eastAsia="Arial" w:hAnsi="Arial"/>
          <w:sz w:val="19"/>
          <w:szCs w:val="19"/>
          <w:color w:val="auto"/>
        </w:rPr>
        <w:t>performance objectives underlying awards generally focus on long-term shareholder value creation and include an appropriate mix of financial and strategic targets and short- and long-term time horizons;</w:t>
      </w:r>
    </w:p>
    <w:p>
      <w:pPr>
        <w:spacing w:after="0" w:line="124" w:lineRule="exact"/>
        <w:rPr>
          <w:rFonts w:ascii="Arial" w:cs="Arial" w:eastAsia="Arial" w:hAnsi="Arial"/>
          <w:sz w:val="19"/>
          <w:szCs w:val="19"/>
          <w:color w:val="125288"/>
        </w:rPr>
      </w:pPr>
    </w:p>
    <w:p>
      <w:pPr>
        <w:ind w:left="145" w:hanging="145"/>
        <w:spacing w:after="0"/>
        <w:tabs>
          <w:tab w:leader="none" w:pos="145" w:val="left"/>
        </w:tabs>
        <w:numPr>
          <w:ilvl w:val="0"/>
          <w:numId w:val="46"/>
        </w:numPr>
        <w:rPr>
          <w:rFonts w:ascii="Arial" w:cs="Arial" w:eastAsia="Arial" w:hAnsi="Arial"/>
          <w:sz w:val="19"/>
          <w:szCs w:val="19"/>
          <w:color w:val="125288"/>
        </w:rPr>
      </w:pPr>
      <w:r>
        <w:rPr>
          <w:rFonts w:ascii="Arial" w:cs="Arial" w:eastAsia="Arial" w:hAnsi="Arial"/>
          <w:sz w:val="19"/>
          <w:szCs w:val="19"/>
          <w:color w:val="auto"/>
        </w:rPr>
        <w:t>cash bonuses represent just one element of our employees’ total compensation;</w:t>
      </w:r>
    </w:p>
    <w:p>
      <w:pPr>
        <w:spacing w:after="0" w:line="138"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46"/>
        </w:numPr>
        <w:rPr>
          <w:rFonts w:ascii="Arial" w:cs="Arial" w:eastAsia="Arial" w:hAnsi="Arial"/>
          <w:sz w:val="19"/>
          <w:szCs w:val="19"/>
          <w:color w:val="125288"/>
        </w:rPr>
      </w:pPr>
      <w:r>
        <w:rPr>
          <w:rFonts w:ascii="Arial" w:cs="Arial" w:eastAsia="Arial" w:hAnsi="Arial"/>
          <w:sz w:val="19"/>
          <w:szCs w:val="19"/>
          <w:color w:val="auto"/>
        </w:rPr>
        <w:t>other than the exception cited above, cash bonuses are paid only if established performance metrics are achieved and/or the underlying business unit is profitable;</w:t>
      </w:r>
    </w:p>
    <w:p>
      <w:pPr>
        <w:spacing w:after="0" w:line="124"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46"/>
        </w:numPr>
        <w:rPr>
          <w:rFonts w:ascii="Arial" w:cs="Arial" w:eastAsia="Arial" w:hAnsi="Arial"/>
          <w:sz w:val="19"/>
          <w:szCs w:val="19"/>
          <w:color w:val="125288"/>
        </w:rPr>
      </w:pPr>
      <w:r>
        <w:rPr>
          <w:rFonts w:ascii="Arial" w:cs="Arial" w:eastAsia="Arial" w:hAnsi="Arial"/>
          <w:sz w:val="19"/>
          <w:szCs w:val="19"/>
          <w:color w:val="auto"/>
        </w:rPr>
        <w:t>our shareholder-approved incentive plan limits the size and value of the short- and long-term incentive awards that any individual may receive for a given year;</w:t>
      </w:r>
    </w:p>
    <w:p>
      <w:pPr>
        <w:spacing w:after="0" w:line="124"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46"/>
        </w:numPr>
        <w:rPr>
          <w:rFonts w:ascii="Arial" w:cs="Arial" w:eastAsia="Arial" w:hAnsi="Arial"/>
          <w:sz w:val="19"/>
          <w:szCs w:val="19"/>
          <w:color w:val="125288"/>
        </w:rPr>
      </w:pPr>
      <w:r>
        <w:rPr>
          <w:rFonts w:ascii="Arial" w:cs="Arial" w:eastAsia="Arial" w:hAnsi="Arial"/>
          <w:sz w:val="19"/>
          <w:szCs w:val="19"/>
          <w:color w:val="auto"/>
        </w:rPr>
        <w:t>equity awards, which represent a meaningful portion of the compensation paid to our executive officers, generally are subject to multi-year vesting schedules, and awards are capped, even if the Company exceeds the underlying performance goals; and</w:t>
      </w:r>
    </w:p>
    <w:p>
      <w:pPr>
        <w:spacing w:after="0" w:line="124"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46"/>
        </w:numPr>
        <w:rPr>
          <w:rFonts w:ascii="Arial" w:cs="Arial" w:eastAsia="Arial" w:hAnsi="Arial"/>
          <w:sz w:val="19"/>
          <w:szCs w:val="19"/>
          <w:color w:val="125288"/>
        </w:rPr>
      </w:pPr>
      <w:r>
        <w:rPr>
          <w:rFonts w:ascii="Arial" w:cs="Arial" w:eastAsia="Arial" w:hAnsi="Arial"/>
          <w:sz w:val="19"/>
          <w:szCs w:val="19"/>
          <w:color w:val="auto"/>
        </w:rPr>
        <w:t>incentive awards for our executive officers are tied to an array of performance metrics, which reduces the incentive to place undue focus on any individual performance goal.</w:t>
      </w:r>
    </w:p>
    <w:p>
      <w:pPr>
        <w:spacing w:after="0" w:line="125" w:lineRule="exact"/>
        <w:rPr>
          <w:sz w:val="20"/>
          <w:szCs w:val="20"/>
          <w:color w:val="auto"/>
        </w:rPr>
      </w:pPr>
    </w:p>
    <w:p>
      <w:pPr>
        <w:ind w:left="5"/>
        <w:spacing w:after="0"/>
        <w:rPr>
          <w:sz w:val="20"/>
          <w:szCs w:val="20"/>
          <w:color w:val="auto"/>
        </w:rPr>
      </w:pPr>
      <w:r>
        <w:rPr>
          <w:rFonts w:ascii="Arial" w:cs="Arial" w:eastAsia="Arial" w:hAnsi="Arial"/>
          <w:sz w:val="19"/>
          <w:szCs w:val="19"/>
          <w:color w:val="auto"/>
        </w:rPr>
        <w:t>We also follow a number of governance policies that mitigate compensation-related risks, including:</w:t>
      </w:r>
    </w:p>
    <w:p>
      <w:pPr>
        <w:spacing w:after="0" w:line="138" w:lineRule="exact"/>
        <w:rPr>
          <w:sz w:val="20"/>
          <w:szCs w:val="20"/>
          <w:color w:val="auto"/>
        </w:rPr>
      </w:pPr>
    </w:p>
    <w:p>
      <w:pPr>
        <w:ind w:left="145" w:right="40" w:hanging="145"/>
        <w:spacing w:after="0" w:line="245" w:lineRule="auto"/>
        <w:tabs>
          <w:tab w:leader="none" w:pos="145" w:val="left"/>
        </w:tabs>
        <w:numPr>
          <w:ilvl w:val="0"/>
          <w:numId w:val="47"/>
        </w:numPr>
        <w:rPr>
          <w:rFonts w:ascii="Arial" w:cs="Arial" w:eastAsia="Arial" w:hAnsi="Arial"/>
          <w:sz w:val="19"/>
          <w:szCs w:val="19"/>
          <w:color w:val="125288"/>
        </w:rPr>
      </w:pPr>
      <w:r>
        <w:rPr>
          <w:rFonts w:ascii="Arial" w:cs="Arial" w:eastAsia="Arial" w:hAnsi="Arial"/>
          <w:sz w:val="19"/>
          <w:szCs w:val="19"/>
          <w:color w:val="auto"/>
        </w:rPr>
        <w:t>cash-based incentive awards for executive officers generally require two levels of approval—from the Compensation Committee and, except for awards to the Chief Executive Officer, from the Chief Executive Officer;</w:t>
      </w:r>
    </w:p>
    <w:p>
      <w:pPr>
        <w:spacing w:after="0" w:line="292" w:lineRule="exact"/>
        <w:rPr>
          <w:sz w:val="20"/>
          <w:szCs w:val="20"/>
          <w:color w:val="auto"/>
        </w:rPr>
      </w:pPr>
    </w:p>
    <w:p>
      <w:pPr>
        <w:ind w:left="5"/>
        <w:spacing w:after="0"/>
        <w:tabs>
          <w:tab w:leader="none" w:pos="7364" w:val="left"/>
          <w:tab w:leader="none" w:pos="9384" w:val="left"/>
          <w:tab w:leader="none" w:pos="1108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bookmarkStart w:id="33" w:name="page34"/>
    <w:bookmarkEnd w:id="33"/>
    <w:p>
      <w:pPr>
        <w:ind w:left="5"/>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35" w:lineRule="exact"/>
        <w:rPr>
          <w:sz w:val="20"/>
          <w:szCs w:val="20"/>
          <w:color w:val="auto"/>
        </w:rPr>
      </w:pPr>
    </w:p>
    <w:p>
      <w:pPr>
        <w:ind w:left="145" w:hanging="145"/>
        <w:spacing w:after="0"/>
        <w:tabs>
          <w:tab w:leader="none" w:pos="145" w:val="left"/>
        </w:tabs>
        <w:numPr>
          <w:ilvl w:val="0"/>
          <w:numId w:val="48"/>
        </w:numPr>
        <w:rPr>
          <w:rFonts w:ascii="Arial" w:cs="Arial" w:eastAsia="Arial" w:hAnsi="Arial"/>
          <w:sz w:val="19"/>
          <w:szCs w:val="19"/>
          <w:color w:val="125288"/>
        </w:rPr>
      </w:pPr>
      <w:r>
        <w:rPr>
          <w:rFonts w:ascii="Arial" w:cs="Arial" w:eastAsia="Arial" w:hAnsi="Arial"/>
          <w:sz w:val="19"/>
          <w:szCs w:val="19"/>
          <w:color w:val="auto"/>
        </w:rPr>
        <w:t>all equity-based awards to any employee require Compensation Committee approval, in addition to management-level approval;</w:t>
      </w:r>
    </w:p>
    <w:p>
      <w:pPr>
        <w:spacing w:after="0" w:line="138"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48"/>
        </w:numPr>
        <w:rPr>
          <w:rFonts w:ascii="Arial" w:cs="Arial" w:eastAsia="Arial" w:hAnsi="Arial"/>
          <w:sz w:val="19"/>
          <w:szCs w:val="19"/>
          <w:color w:val="125288"/>
        </w:rPr>
      </w:pPr>
      <w:r>
        <w:rPr>
          <w:rFonts w:ascii="Arial" w:cs="Arial" w:eastAsia="Arial" w:hAnsi="Arial"/>
          <w:sz w:val="19"/>
          <w:szCs w:val="19"/>
          <w:color w:val="auto"/>
        </w:rPr>
        <w:t>we require written documentation of the terms and conditions underlying the cash-based incentive programs for our principal business units;</w:t>
      </w:r>
    </w:p>
    <w:p>
      <w:pPr>
        <w:spacing w:after="0" w:line="124" w:lineRule="exact"/>
        <w:rPr>
          <w:rFonts w:ascii="Arial" w:cs="Arial" w:eastAsia="Arial" w:hAnsi="Arial"/>
          <w:sz w:val="19"/>
          <w:szCs w:val="19"/>
          <w:color w:val="125288"/>
        </w:rPr>
      </w:pPr>
    </w:p>
    <w:p>
      <w:pPr>
        <w:ind w:left="145" w:hanging="145"/>
        <w:spacing w:after="0"/>
        <w:tabs>
          <w:tab w:leader="none" w:pos="145" w:val="left"/>
        </w:tabs>
        <w:numPr>
          <w:ilvl w:val="0"/>
          <w:numId w:val="48"/>
        </w:numPr>
        <w:rPr>
          <w:rFonts w:ascii="Arial" w:cs="Arial" w:eastAsia="Arial" w:hAnsi="Arial"/>
          <w:sz w:val="19"/>
          <w:szCs w:val="19"/>
          <w:color w:val="125288"/>
        </w:rPr>
      </w:pPr>
      <w:r>
        <w:rPr>
          <w:rFonts w:ascii="Arial" w:cs="Arial" w:eastAsia="Arial" w:hAnsi="Arial"/>
          <w:sz w:val="19"/>
          <w:szCs w:val="19"/>
          <w:color w:val="auto"/>
        </w:rPr>
        <w:t>our Compensation Committee annually reviews and approves the equity award guidelines for all eligible employees;</w:t>
      </w:r>
    </w:p>
    <w:p>
      <w:pPr>
        <w:spacing w:after="0" w:line="138" w:lineRule="exact"/>
        <w:rPr>
          <w:rFonts w:ascii="Arial" w:cs="Arial" w:eastAsia="Arial" w:hAnsi="Arial"/>
          <w:sz w:val="19"/>
          <w:szCs w:val="19"/>
          <w:color w:val="125288"/>
        </w:rPr>
      </w:pPr>
    </w:p>
    <w:p>
      <w:pPr>
        <w:jc w:val="both"/>
        <w:ind w:left="145" w:right="40" w:hanging="145"/>
        <w:spacing w:after="0"/>
        <w:tabs>
          <w:tab w:leader="none" w:pos="145" w:val="left"/>
        </w:tabs>
        <w:numPr>
          <w:ilvl w:val="0"/>
          <w:numId w:val="48"/>
        </w:numPr>
        <w:rPr>
          <w:rFonts w:ascii="Arial" w:cs="Arial" w:eastAsia="Arial" w:hAnsi="Arial"/>
          <w:sz w:val="19"/>
          <w:szCs w:val="19"/>
          <w:color w:val="125288"/>
        </w:rPr>
      </w:pPr>
      <w:r>
        <w:rPr>
          <w:rFonts w:ascii="Arial" w:cs="Arial" w:eastAsia="Arial" w:hAnsi="Arial"/>
          <w:sz w:val="19"/>
          <w:szCs w:val="19"/>
          <w:color w:val="auto"/>
        </w:rPr>
        <w:t>we have a “clawback policy,” pursuant to which performance-based compensation to an executive officer may be recovered in the event of an earnings restatement attributable to the executive’s misconduct to the extent the amount paid exceeded the amount that would have been paid based on the correct numbers;</w:t>
      </w:r>
    </w:p>
    <w:p>
      <w:pPr>
        <w:spacing w:after="0" w:line="129"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48"/>
        </w:numPr>
        <w:rPr>
          <w:rFonts w:ascii="Arial" w:cs="Arial" w:eastAsia="Arial" w:hAnsi="Arial"/>
          <w:sz w:val="19"/>
          <w:szCs w:val="19"/>
          <w:color w:val="125288"/>
        </w:rPr>
      </w:pPr>
      <w:r>
        <w:rPr>
          <w:rFonts w:ascii="Arial" w:cs="Arial" w:eastAsia="Arial" w:hAnsi="Arial"/>
          <w:sz w:val="19"/>
          <w:szCs w:val="19"/>
          <w:color w:val="auto"/>
        </w:rPr>
        <w:t>our equity award agreements provide that the Company may recover certain realized gains from any employee who breaches their employment agreement with the Company, including post-termination obligations;</w:t>
      </w:r>
    </w:p>
    <w:p>
      <w:pPr>
        <w:spacing w:after="0" w:line="124"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48"/>
        </w:numPr>
        <w:rPr>
          <w:rFonts w:ascii="Arial" w:cs="Arial" w:eastAsia="Arial" w:hAnsi="Arial"/>
          <w:sz w:val="19"/>
          <w:szCs w:val="19"/>
          <w:color w:val="125288"/>
        </w:rPr>
      </w:pPr>
      <w:r>
        <w:rPr>
          <w:rFonts w:ascii="Arial" w:cs="Arial" w:eastAsia="Arial" w:hAnsi="Arial"/>
          <w:sz w:val="19"/>
          <w:szCs w:val="19"/>
          <w:color w:val="auto"/>
        </w:rPr>
        <w:t>we have stock ownership guidelines for our executive officers and the President of each of Activision Publishing, Inc. (“Activision Publishing”), Blizzard Entertainment, Inc. (“Blizzard”), and King Digital Entertainment Limited (“King”);</w:t>
      </w:r>
    </w:p>
    <w:p>
      <w:pPr>
        <w:spacing w:after="0" w:line="124" w:lineRule="exact"/>
        <w:rPr>
          <w:rFonts w:ascii="Arial" w:cs="Arial" w:eastAsia="Arial" w:hAnsi="Arial"/>
          <w:sz w:val="19"/>
          <w:szCs w:val="19"/>
          <w:color w:val="125288"/>
        </w:rPr>
      </w:pPr>
    </w:p>
    <w:p>
      <w:pPr>
        <w:jc w:val="both"/>
        <w:ind w:left="145" w:right="40" w:hanging="145"/>
        <w:spacing w:after="0" w:line="238" w:lineRule="auto"/>
        <w:tabs>
          <w:tab w:leader="none" w:pos="145" w:val="left"/>
        </w:tabs>
        <w:numPr>
          <w:ilvl w:val="0"/>
          <w:numId w:val="48"/>
        </w:numPr>
        <w:rPr>
          <w:rFonts w:ascii="Arial" w:cs="Arial" w:eastAsia="Arial" w:hAnsi="Arial"/>
          <w:sz w:val="19"/>
          <w:szCs w:val="19"/>
          <w:color w:val="125288"/>
        </w:rPr>
      </w:pPr>
      <w:r>
        <w:rPr>
          <w:rFonts w:ascii="Arial" w:cs="Arial" w:eastAsia="Arial" w:hAnsi="Arial"/>
          <w:sz w:val="19"/>
          <w:szCs w:val="19"/>
          <w:color w:val="auto"/>
        </w:rPr>
        <w:t>our insider trading policies prohibit “shorting” our securities, engaging in “puts,” “calls,” or other hedging transactions involving our securities, or using margin accounts with our securities and our anti-pledging policy prohibits directors, NEOs, other Section 16 officers, and the President of each of Activision Publishing, Blizzard, and King from otherwise pledging Company securities as collateral for any type of loan; and</w:t>
      </w:r>
    </w:p>
    <w:p>
      <w:pPr>
        <w:spacing w:after="0" w:line="131"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48"/>
        </w:numPr>
        <w:rPr>
          <w:rFonts w:ascii="Arial" w:cs="Arial" w:eastAsia="Arial" w:hAnsi="Arial"/>
          <w:sz w:val="19"/>
          <w:szCs w:val="19"/>
          <w:color w:val="125288"/>
        </w:rPr>
      </w:pPr>
      <w:r>
        <w:rPr>
          <w:rFonts w:ascii="Arial" w:cs="Arial" w:eastAsia="Arial" w:hAnsi="Arial"/>
          <w:sz w:val="19"/>
          <w:szCs w:val="19"/>
          <w:color w:val="auto"/>
        </w:rPr>
        <w:t>every employee—whether full-time, part-time or temporary, and including the CEO—must acknowledge our Code of Conduct on an annual basis.</w:t>
      </w:r>
    </w:p>
    <w:p>
      <w:pPr>
        <w:spacing w:after="0" w:line="230" w:lineRule="exact"/>
        <w:rPr>
          <w:sz w:val="20"/>
          <w:szCs w:val="20"/>
          <w:color w:val="auto"/>
        </w:rPr>
      </w:pPr>
    </w:p>
    <w:p>
      <w:pPr>
        <w:ind w:left="5"/>
        <w:spacing w:after="0"/>
        <w:rPr>
          <w:sz w:val="20"/>
          <w:szCs w:val="20"/>
          <w:color w:val="auto"/>
        </w:rPr>
      </w:pPr>
      <w:r>
        <w:rPr>
          <w:rFonts w:ascii="Arial" w:cs="Arial" w:eastAsia="Arial" w:hAnsi="Arial"/>
          <w:sz w:val="26"/>
          <w:szCs w:val="26"/>
          <w:b w:val="1"/>
          <w:bCs w:val="1"/>
          <w:color w:val="auto"/>
        </w:rPr>
        <w:t>EXECUTIVE SUCCESSION PLANNING</w:t>
      </w:r>
    </w:p>
    <w:p>
      <w:pPr>
        <w:spacing w:after="0" w:line="309" w:lineRule="exact"/>
        <w:rPr>
          <w:sz w:val="20"/>
          <w:szCs w:val="20"/>
          <w:color w:val="auto"/>
        </w:rPr>
      </w:pPr>
    </w:p>
    <w:p>
      <w:pPr>
        <w:jc w:val="both"/>
        <w:ind w:left="5"/>
        <w:spacing w:after="0" w:line="238" w:lineRule="auto"/>
        <w:rPr>
          <w:sz w:val="20"/>
          <w:szCs w:val="20"/>
          <w:color w:val="auto"/>
        </w:rPr>
      </w:pPr>
      <w:r>
        <w:rPr>
          <w:rFonts w:ascii="Arial" w:cs="Arial" w:eastAsia="Arial" w:hAnsi="Arial"/>
          <w:sz w:val="19"/>
          <w:szCs w:val="19"/>
          <w:color w:val="auto"/>
        </w:rPr>
        <w:t>Our Board’s goals are to have a process for effective executive development and succession and to be prepared for both the unexpected loss of a key leader and planned changes to our management team. As a part of various sessions during the year, our Board focuses on human capital, including by engaging in succession planning for our chief executive officer and our other most senior officers. In these sessions, among other things, our Board:</w:t>
      </w:r>
    </w:p>
    <w:p>
      <w:pPr>
        <w:spacing w:after="0" w:line="132" w:lineRule="exact"/>
        <w:rPr>
          <w:sz w:val="20"/>
          <w:szCs w:val="20"/>
          <w:color w:val="auto"/>
        </w:rPr>
      </w:pPr>
    </w:p>
    <w:p>
      <w:pPr>
        <w:ind w:left="145" w:right="40" w:hanging="145"/>
        <w:spacing w:after="0" w:line="245" w:lineRule="auto"/>
        <w:tabs>
          <w:tab w:leader="none" w:pos="145" w:val="left"/>
        </w:tabs>
        <w:numPr>
          <w:ilvl w:val="0"/>
          <w:numId w:val="49"/>
        </w:numPr>
        <w:rPr>
          <w:rFonts w:ascii="Arial" w:cs="Arial" w:eastAsia="Arial" w:hAnsi="Arial"/>
          <w:sz w:val="19"/>
          <w:szCs w:val="19"/>
          <w:color w:val="125288"/>
        </w:rPr>
      </w:pPr>
      <w:r>
        <w:rPr>
          <w:rFonts w:ascii="Arial" w:cs="Arial" w:eastAsia="Arial" w:hAnsi="Arial"/>
          <w:sz w:val="19"/>
          <w:szCs w:val="19"/>
          <w:color w:val="auto"/>
        </w:rPr>
        <w:t>reviews the assumptions, processes, and strategy for expected and unexpected events that may necessitate changes to our executive team;</w:t>
      </w:r>
    </w:p>
    <w:p>
      <w:pPr>
        <w:spacing w:after="0" w:line="124"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49"/>
        </w:numPr>
        <w:rPr>
          <w:rFonts w:ascii="Arial" w:cs="Arial" w:eastAsia="Arial" w:hAnsi="Arial"/>
          <w:sz w:val="19"/>
          <w:szCs w:val="19"/>
          <w:color w:val="125288"/>
        </w:rPr>
      </w:pPr>
      <w:r>
        <w:rPr>
          <w:rFonts w:ascii="Arial" w:cs="Arial" w:eastAsia="Arial" w:hAnsi="Arial"/>
          <w:sz w:val="19"/>
          <w:szCs w:val="19"/>
          <w:color w:val="auto"/>
        </w:rPr>
        <w:t>evaluates the Company’s organizational and operational needs and the overall qualifications, tenure, and experience of our executive team;</w:t>
      </w:r>
    </w:p>
    <w:p>
      <w:pPr>
        <w:spacing w:after="0" w:line="124"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49"/>
        </w:numPr>
        <w:rPr>
          <w:rFonts w:ascii="Arial" w:cs="Arial" w:eastAsia="Arial" w:hAnsi="Arial"/>
          <w:sz w:val="19"/>
          <w:szCs w:val="19"/>
          <w:color w:val="125288"/>
        </w:rPr>
      </w:pPr>
      <w:r>
        <w:rPr>
          <w:rFonts w:ascii="Arial" w:cs="Arial" w:eastAsia="Arial" w:hAnsi="Arial"/>
          <w:sz w:val="19"/>
          <w:szCs w:val="19"/>
          <w:color w:val="auto"/>
        </w:rPr>
        <w:t>considers the experience, performance, and skills of, and development opportunities for, possible internal successors to our chief executive officer and other executives; and</w:t>
      </w:r>
    </w:p>
    <w:p>
      <w:pPr>
        <w:spacing w:after="0" w:line="124" w:lineRule="exact"/>
        <w:rPr>
          <w:rFonts w:ascii="Arial" w:cs="Arial" w:eastAsia="Arial" w:hAnsi="Arial"/>
          <w:sz w:val="19"/>
          <w:szCs w:val="19"/>
          <w:color w:val="125288"/>
        </w:rPr>
      </w:pPr>
    </w:p>
    <w:p>
      <w:pPr>
        <w:ind w:left="145" w:hanging="145"/>
        <w:spacing w:after="0"/>
        <w:tabs>
          <w:tab w:leader="none" w:pos="145" w:val="left"/>
        </w:tabs>
        <w:numPr>
          <w:ilvl w:val="0"/>
          <w:numId w:val="49"/>
        </w:numPr>
        <w:rPr>
          <w:rFonts w:ascii="Arial" w:cs="Arial" w:eastAsia="Arial" w:hAnsi="Arial"/>
          <w:sz w:val="19"/>
          <w:szCs w:val="19"/>
          <w:color w:val="125288"/>
        </w:rPr>
      </w:pPr>
      <w:r>
        <w:rPr>
          <w:rFonts w:ascii="Arial" w:cs="Arial" w:eastAsia="Arial" w:hAnsi="Arial"/>
          <w:sz w:val="19"/>
          <w:szCs w:val="19"/>
          <w:color w:val="auto"/>
        </w:rPr>
        <w:t>discusses potential external successors to our Chief Executive Officer and other executives.</w:t>
      </w:r>
    </w:p>
    <w:p>
      <w:pPr>
        <w:spacing w:after="0" w:line="244" w:lineRule="exact"/>
        <w:rPr>
          <w:sz w:val="20"/>
          <w:szCs w:val="20"/>
          <w:color w:val="auto"/>
        </w:rPr>
      </w:pPr>
    </w:p>
    <w:p>
      <w:pPr>
        <w:ind w:left="5"/>
        <w:spacing w:after="0"/>
        <w:rPr>
          <w:sz w:val="20"/>
          <w:szCs w:val="20"/>
          <w:color w:val="auto"/>
        </w:rPr>
      </w:pPr>
      <w:r>
        <w:rPr>
          <w:rFonts w:ascii="Arial" w:cs="Arial" w:eastAsia="Arial" w:hAnsi="Arial"/>
          <w:sz w:val="26"/>
          <w:szCs w:val="26"/>
          <w:b w:val="1"/>
          <w:bCs w:val="1"/>
          <w:color w:val="auto"/>
        </w:rPr>
        <w:t>BOARD MEETINGS</w:t>
      </w:r>
    </w:p>
    <w:p>
      <w:pPr>
        <w:spacing w:after="0" w:line="309" w:lineRule="exact"/>
        <w:rPr>
          <w:sz w:val="20"/>
          <w:szCs w:val="20"/>
          <w:color w:val="auto"/>
        </w:rPr>
      </w:pPr>
    </w:p>
    <w:p>
      <w:pPr>
        <w:jc w:val="both"/>
        <w:ind w:left="5"/>
        <w:spacing w:after="0" w:line="237" w:lineRule="auto"/>
        <w:rPr>
          <w:sz w:val="20"/>
          <w:szCs w:val="20"/>
          <w:color w:val="auto"/>
        </w:rPr>
      </w:pPr>
      <w:r>
        <w:rPr>
          <w:rFonts w:ascii="Arial" w:cs="Arial" w:eastAsia="Arial" w:hAnsi="Arial"/>
          <w:sz w:val="19"/>
          <w:szCs w:val="19"/>
          <w:color w:val="auto"/>
        </w:rPr>
        <w:t>Our Board generally meets at least quarterly, as well as in conjunction with the annual meeting of our shareholders. Our Board met 19 times during 2021, and also convened to receive five compliance updates from management. Meetings were held at least once per quarter and in conjunction with the 2021 annual meeting of our shareholders. Fifteen of the 19 meetings and all the compliance updates were held in the second half of 2021. Everyone who served on our Board during 2021 attended at least 90% of the aggregate of (1) the total number of meetings held by the Board, and (2) the total number of meetings held by each standing committee on which they served.</w:t>
      </w:r>
    </w:p>
    <w:p>
      <w:pPr>
        <w:spacing w:after="0" w:line="132" w:lineRule="exact"/>
        <w:rPr>
          <w:sz w:val="20"/>
          <w:szCs w:val="20"/>
          <w:color w:val="auto"/>
        </w:rPr>
      </w:pPr>
    </w:p>
    <w:p>
      <w:pPr>
        <w:jc w:val="both"/>
        <w:ind w:left="5" w:right="20"/>
        <w:spacing w:after="0" w:line="245" w:lineRule="auto"/>
        <w:rPr>
          <w:sz w:val="20"/>
          <w:szCs w:val="20"/>
          <w:color w:val="auto"/>
        </w:rPr>
      </w:pPr>
      <w:r>
        <w:rPr>
          <w:rFonts w:ascii="Arial" w:cs="Arial" w:eastAsia="Arial" w:hAnsi="Arial"/>
          <w:sz w:val="19"/>
          <w:szCs w:val="19"/>
          <w:color w:val="auto"/>
        </w:rPr>
        <w:t>All directors are expected to attend annual meetings of our shareholders. All ten directors who were then serving on the Board attended the 2021 annual meeting.</w:t>
      </w:r>
    </w:p>
    <w:p>
      <w:pPr>
        <w:spacing w:after="0" w:line="125" w:lineRule="exact"/>
        <w:rPr>
          <w:sz w:val="20"/>
          <w:szCs w:val="20"/>
          <w:color w:val="auto"/>
        </w:rPr>
      </w:pPr>
    </w:p>
    <w:p>
      <w:pPr>
        <w:jc w:val="both"/>
        <w:ind w:left="5" w:right="20"/>
        <w:spacing w:after="0" w:line="245" w:lineRule="auto"/>
        <w:rPr>
          <w:sz w:val="20"/>
          <w:szCs w:val="20"/>
          <w:color w:val="auto"/>
        </w:rPr>
      </w:pPr>
      <w:r>
        <w:rPr>
          <w:rFonts w:ascii="Arial" w:cs="Arial" w:eastAsia="Arial" w:hAnsi="Arial"/>
          <w:sz w:val="19"/>
          <w:szCs w:val="19"/>
          <w:color w:val="auto"/>
        </w:rPr>
        <w:t>The independent directors meet in executive session outside the presence of management at least twice each year. Two such executive sessions took place during 2021.</w:t>
      </w:r>
    </w:p>
    <w:p>
      <w:pPr>
        <w:spacing w:after="0" w:line="150" w:lineRule="exact"/>
        <w:rPr>
          <w:sz w:val="20"/>
          <w:szCs w:val="20"/>
          <w:color w:val="auto"/>
        </w:rPr>
      </w:pPr>
    </w:p>
    <w:p>
      <w:pPr>
        <w:ind w:left="5"/>
        <w:spacing w:after="0"/>
        <w:tabs>
          <w:tab w:leader="none" w:pos="7364" w:val="left"/>
          <w:tab w:leader="none" w:pos="9384" w:val="left"/>
          <w:tab w:leader="none" w:pos="1108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bookmarkStart w:id="34" w:name="page35"/>
    <w:bookmarkEnd w:id="34"/>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BOARD COMMITTEES</w:t>
      </w:r>
    </w:p>
    <w:p>
      <w:pPr>
        <w:spacing w:after="0" w:line="28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Standing Committees</w:t>
      </w:r>
    </w:p>
    <w:p>
      <w:pPr>
        <w:spacing w:after="0" w:line="142"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Our Board has three standing committees—the Audit Committee, the Compensation Committee, and the Nominating and Corporate Governance Committee—each of which operates under a written charter approved by our Board. The charters for each of the three standing committees are available on our website at http://investor.activision.com/corporate-governance.cfm. From time to time, our Board also forms special or ad hoc committees, typically to address discrete issues. For example, in 2021, the Board formed the Workplace Responsibility Committee, which is described below.</w:t>
      </w:r>
    </w:p>
    <w:p>
      <w:pPr>
        <w:spacing w:after="0" w:line="260"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Set forth below is a summary of the purpose and key responsibilities of the three standing Board committees. Each current committee member served in the role shown below through 2021 and continues to serve in that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165735</wp:posOffset>
            </wp:positionV>
            <wp:extent cx="7148830" cy="2038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8830" cy="203835"/>
                    </a:xfrm>
                    <a:prstGeom prst="rect">
                      <a:avLst/>
                    </a:prstGeom>
                    <a:noFill/>
                  </pic:spPr>
                </pic:pic>
              </a:graphicData>
            </a:graphic>
          </wp:anchor>
        </w:drawing>
      </w:r>
    </w:p>
    <w:p>
      <w:pPr>
        <w:spacing w:after="0" w:line="247"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AUDIT COMMITTEE</w:t>
      </w:r>
    </w:p>
    <w:p>
      <w:pPr>
        <w:spacing w:after="0" w:line="93" w:lineRule="exact"/>
        <w:rPr>
          <w:sz w:val="20"/>
          <w:szCs w:val="20"/>
          <w:color w:val="auto"/>
        </w:rPr>
      </w:pPr>
    </w:p>
    <w:p>
      <w:pPr>
        <w:ind w:left="60"/>
        <w:spacing w:after="0"/>
        <w:tabs>
          <w:tab w:leader="none" w:pos="5660" w:val="left"/>
        </w:tabs>
        <w:rPr>
          <w:sz w:val="20"/>
          <w:szCs w:val="20"/>
          <w:color w:val="auto"/>
        </w:rPr>
      </w:pPr>
      <w:r>
        <w:rPr>
          <w:rFonts w:ascii="Arial" w:cs="Arial" w:eastAsia="Arial" w:hAnsi="Arial"/>
          <w:sz w:val="15"/>
          <w:szCs w:val="15"/>
          <w:b w:val="1"/>
          <w:bCs w:val="1"/>
          <w:color w:val="125288"/>
        </w:rPr>
        <w:t xml:space="preserve">Current Members: </w:t>
      </w:r>
      <w:r>
        <w:rPr>
          <w:rFonts w:ascii="Arial" w:cs="Arial" w:eastAsia="Arial" w:hAnsi="Arial"/>
          <w:sz w:val="15"/>
          <w:szCs w:val="15"/>
          <w:b w:val="1"/>
          <w:bCs w:val="1"/>
          <w:color w:val="000000"/>
        </w:rPr>
        <w:t>Robert Corti (Chair), Hendrik Hartong III, Peter Nolan</w:t>
      </w:r>
      <w:r>
        <w:rPr>
          <w:sz w:val="20"/>
          <w:szCs w:val="20"/>
          <w:color w:val="auto"/>
        </w:rPr>
        <w:tab/>
      </w:r>
      <w:r>
        <w:rPr>
          <w:rFonts w:ascii="Arial" w:cs="Arial" w:eastAsia="Arial" w:hAnsi="Arial"/>
          <w:sz w:val="15"/>
          <w:szCs w:val="15"/>
          <w:b w:val="1"/>
          <w:bCs w:val="1"/>
          <w:color w:val="125288"/>
        </w:rPr>
        <w:t xml:space="preserve">Meetings Held in 2021: </w:t>
      </w:r>
      <w:r>
        <w:rPr>
          <w:rFonts w:ascii="Arial" w:cs="Arial" w:eastAsia="Arial" w:hAnsi="Arial"/>
          <w:sz w:val="15"/>
          <w:szCs w:val="15"/>
          <w:b w:val="1"/>
          <w:bCs w:val="1"/>
          <w:color w:val="000000"/>
        </w:rPr>
        <w:t>Six, including at least once per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50800</wp:posOffset>
            </wp:positionV>
            <wp:extent cx="7148830" cy="55257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8830" cy="5525770"/>
                    </a:xfrm>
                    <a:prstGeom prst="rect">
                      <a:avLst/>
                    </a:prstGeom>
                    <a:noFill/>
                  </pic:spPr>
                </pic:pic>
              </a:graphicData>
            </a:graphic>
          </wp:anchor>
        </w:drawing>
      </w:r>
    </w:p>
    <w:p>
      <w:pPr>
        <w:spacing w:after="0" w:line="9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125288"/>
        </w:rPr>
        <w:t>Purposes &amp; Key Responsibilities</w:t>
      </w:r>
    </w:p>
    <w:p>
      <w:pPr>
        <w:spacing w:after="0" w:line="50" w:lineRule="exact"/>
        <w:rPr>
          <w:sz w:val="20"/>
          <w:szCs w:val="20"/>
          <w:color w:val="auto"/>
        </w:rPr>
      </w:pPr>
    </w:p>
    <w:p>
      <w:pPr>
        <w:ind w:left="220" w:right="220" w:hanging="154"/>
        <w:spacing w:after="0" w:line="239" w:lineRule="auto"/>
        <w:tabs>
          <w:tab w:leader="none" w:pos="220" w:val="left"/>
        </w:tabs>
        <w:numPr>
          <w:ilvl w:val="0"/>
          <w:numId w:val="50"/>
        </w:numPr>
        <w:rPr>
          <w:rFonts w:ascii="Arial" w:cs="Arial" w:eastAsia="Arial" w:hAnsi="Arial"/>
          <w:sz w:val="17"/>
          <w:szCs w:val="17"/>
          <w:color w:val="125288"/>
        </w:rPr>
      </w:pPr>
      <w:r>
        <w:rPr>
          <w:rFonts w:ascii="Arial" w:cs="Arial" w:eastAsia="Arial" w:hAnsi="Arial"/>
          <w:sz w:val="17"/>
          <w:szCs w:val="17"/>
          <w:color w:val="auto"/>
        </w:rPr>
        <w:t>Selecting, evaluating, and overseeing our independent registered public accounting firm, including determining that firm’s compensation, evaluating that firm’s independence, and otherwise monitoring that firm’s compliance with rules and regulations promulgated by the SEC</w:t>
      </w:r>
    </w:p>
    <w:p>
      <w:pPr>
        <w:spacing w:after="0" w:line="26" w:lineRule="exact"/>
        <w:rPr>
          <w:rFonts w:ascii="Arial" w:cs="Arial" w:eastAsia="Arial" w:hAnsi="Arial"/>
          <w:sz w:val="17"/>
          <w:szCs w:val="17"/>
          <w:color w:val="125288"/>
        </w:rPr>
      </w:pPr>
    </w:p>
    <w:p>
      <w:pPr>
        <w:ind w:left="380"/>
        <w:spacing w:after="0"/>
        <w:rPr>
          <w:rFonts w:ascii="Arial" w:cs="Arial" w:eastAsia="Arial" w:hAnsi="Arial"/>
          <w:sz w:val="17"/>
          <w:szCs w:val="17"/>
          <w:color w:val="125288"/>
        </w:rPr>
      </w:pPr>
      <w:r>
        <w:rPr>
          <w:rFonts w:ascii="Arial" w:cs="Arial" w:eastAsia="Arial" w:hAnsi="Arial"/>
          <w:sz w:val="17"/>
          <w:szCs w:val="17"/>
          <w:color w:val="auto"/>
        </w:rPr>
        <w:t>– Our independent registered public accounting firm reports directly to the Audit Committee</w:t>
      </w:r>
    </w:p>
    <w:p>
      <w:pPr>
        <w:spacing w:after="0" w:line="30" w:lineRule="exact"/>
        <w:rPr>
          <w:rFonts w:ascii="Arial" w:cs="Arial" w:eastAsia="Arial" w:hAnsi="Arial"/>
          <w:sz w:val="17"/>
          <w:szCs w:val="17"/>
          <w:color w:val="125288"/>
        </w:rPr>
      </w:pPr>
    </w:p>
    <w:p>
      <w:pPr>
        <w:ind w:left="540" w:right="320" w:hanging="155"/>
        <w:spacing w:after="0" w:line="239" w:lineRule="auto"/>
        <w:rPr>
          <w:rFonts w:ascii="Arial" w:cs="Arial" w:eastAsia="Arial" w:hAnsi="Arial"/>
          <w:sz w:val="17"/>
          <w:szCs w:val="17"/>
          <w:color w:val="125288"/>
        </w:rPr>
      </w:pPr>
      <w:r>
        <w:rPr>
          <w:rFonts w:ascii="Arial" w:cs="Arial" w:eastAsia="Arial" w:hAnsi="Arial"/>
          <w:sz w:val="17"/>
          <w:szCs w:val="17"/>
          <w:color w:val="auto"/>
        </w:rPr>
        <w:t>– Before we or any of our subsidiaries engage our independent registered public accounting firm to render audit or non-audit services, the Audit Committee must pre-approve the engagement (see “Audit-Related Matters—Pre-Approval Policies and Procedures” below)</w:t>
      </w:r>
    </w:p>
    <w:p>
      <w:pPr>
        <w:spacing w:after="0" w:line="26" w:lineRule="exact"/>
        <w:rPr>
          <w:rFonts w:ascii="Arial" w:cs="Arial" w:eastAsia="Arial" w:hAnsi="Arial"/>
          <w:sz w:val="17"/>
          <w:szCs w:val="17"/>
          <w:color w:val="125288"/>
        </w:rPr>
      </w:pPr>
    </w:p>
    <w:p>
      <w:pPr>
        <w:ind w:left="220" w:right="300" w:hanging="154"/>
        <w:spacing w:after="0" w:line="239" w:lineRule="auto"/>
        <w:tabs>
          <w:tab w:leader="none" w:pos="220" w:val="left"/>
        </w:tabs>
        <w:numPr>
          <w:ilvl w:val="0"/>
          <w:numId w:val="50"/>
        </w:numPr>
        <w:rPr>
          <w:rFonts w:ascii="Arial" w:cs="Arial" w:eastAsia="Arial" w:hAnsi="Arial"/>
          <w:sz w:val="17"/>
          <w:szCs w:val="17"/>
          <w:color w:val="125288"/>
        </w:rPr>
      </w:pPr>
      <w:r>
        <w:rPr>
          <w:rFonts w:ascii="Arial" w:cs="Arial" w:eastAsia="Arial" w:hAnsi="Arial"/>
          <w:sz w:val="17"/>
          <w:szCs w:val="17"/>
          <w:color w:val="auto"/>
        </w:rPr>
        <w:t>Overseeing the annual audits and quarterly reviews of our financial statements and our internal control over financial reporting by our independent registered public accounting firm</w:t>
      </w:r>
    </w:p>
    <w:p>
      <w:pPr>
        <w:spacing w:after="0" w:line="26" w:lineRule="exact"/>
        <w:rPr>
          <w:rFonts w:ascii="Arial" w:cs="Arial" w:eastAsia="Arial" w:hAnsi="Arial"/>
          <w:sz w:val="17"/>
          <w:szCs w:val="17"/>
          <w:color w:val="125288"/>
        </w:rPr>
      </w:pPr>
    </w:p>
    <w:p>
      <w:pPr>
        <w:ind w:left="220" w:hanging="154"/>
        <w:spacing w:after="0"/>
        <w:tabs>
          <w:tab w:leader="none" w:pos="220" w:val="left"/>
        </w:tabs>
        <w:numPr>
          <w:ilvl w:val="0"/>
          <w:numId w:val="50"/>
        </w:numPr>
        <w:rPr>
          <w:rFonts w:ascii="Arial" w:cs="Arial" w:eastAsia="Arial" w:hAnsi="Arial"/>
          <w:sz w:val="17"/>
          <w:szCs w:val="17"/>
          <w:color w:val="125288"/>
        </w:rPr>
      </w:pPr>
      <w:r>
        <w:rPr>
          <w:rFonts w:ascii="Arial" w:cs="Arial" w:eastAsia="Arial" w:hAnsi="Arial"/>
          <w:sz w:val="17"/>
          <w:szCs w:val="17"/>
          <w:color w:val="auto"/>
        </w:rPr>
        <w:t>Overseeing our financial reporting process and internal control, including:</w:t>
      </w:r>
    </w:p>
    <w:p>
      <w:pPr>
        <w:spacing w:after="0" w:line="30" w:lineRule="exact"/>
        <w:rPr>
          <w:rFonts w:ascii="Arial" w:cs="Arial" w:eastAsia="Arial" w:hAnsi="Arial"/>
          <w:sz w:val="17"/>
          <w:szCs w:val="17"/>
          <w:color w:val="125288"/>
        </w:rPr>
      </w:pPr>
    </w:p>
    <w:p>
      <w:pPr>
        <w:ind w:left="540" w:right="300" w:hanging="155"/>
        <w:spacing w:after="0" w:line="239" w:lineRule="auto"/>
        <w:rPr>
          <w:rFonts w:ascii="Arial" w:cs="Arial" w:eastAsia="Arial" w:hAnsi="Arial"/>
          <w:sz w:val="17"/>
          <w:szCs w:val="17"/>
          <w:color w:val="125288"/>
        </w:rPr>
      </w:pPr>
      <w:r>
        <w:rPr>
          <w:rFonts w:ascii="Arial" w:cs="Arial" w:eastAsia="Arial" w:hAnsi="Arial"/>
          <w:sz w:val="17"/>
          <w:szCs w:val="17"/>
          <w:color w:val="auto"/>
        </w:rPr>
        <w:t>– reviewing and evaluating the adequacy and effectiveness of our internal control over financial reporting and management’s assessment of the same</w:t>
      </w:r>
    </w:p>
    <w:p>
      <w:pPr>
        <w:spacing w:after="0" w:line="26" w:lineRule="exact"/>
        <w:rPr>
          <w:rFonts w:ascii="Arial" w:cs="Arial" w:eastAsia="Arial" w:hAnsi="Arial"/>
          <w:sz w:val="17"/>
          <w:szCs w:val="17"/>
          <w:color w:val="125288"/>
        </w:rPr>
      </w:pPr>
    </w:p>
    <w:p>
      <w:pPr>
        <w:ind w:left="540" w:right="220" w:hanging="155"/>
        <w:spacing w:after="0" w:line="237" w:lineRule="auto"/>
        <w:rPr>
          <w:rFonts w:ascii="Arial" w:cs="Arial" w:eastAsia="Arial" w:hAnsi="Arial"/>
          <w:sz w:val="17"/>
          <w:szCs w:val="17"/>
          <w:color w:val="125288"/>
        </w:rPr>
      </w:pPr>
      <w:r>
        <w:rPr>
          <w:rFonts w:ascii="Arial" w:cs="Arial" w:eastAsia="Arial" w:hAnsi="Arial"/>
          <w:sz w:val="17"/>
          <w:szCs w:val="17"/>
          <w:color w:val="auto"/>
        </w:rPr>
        <w:t>– reviewing, and discussing with the independent registered public accounting firm, the results of the annual audit of our financial statements, including that firm’s comments or recommendations, and recommending to our Board whether those financial statements should be included in our Annual Reports on Form 10-K</w:t>
      </w:r>
    </w:p>
    <w:p>
      <w:pPr>
        <w:spacing w:after="0" w:line="27" w:lineRule="exact"/>
        <w:rPr>
          <w:rFonts w:ascii="Arial" w:cs="Arial" w:eastAsia="Arial" w:hAnsi="Arial"/>
          <w:sz w:val="17"/>
          <w:szCs w:val="17"/>
          <w:color w:val="125288"/>
        </w:rPr>
      </w:pPr>
    </w:p>
    <w:p>
      <w:pPr>
        <w:ind w:left="380"/>
        <w:spacing w:after="0"/>
        <w:rPr>
          <w:rFonts w:ascii="Arial" w:cs="Arial" w:eastAsia="Arial" w:hAnsi="Arial"/>
          <w:sz w:val="17"/>
          <w:szCs w:val="17"/>
          <w:color w:val="125288"/>
        </w:rPr>
      </w:pPr>
      <w:r>
        <w:rPr>
          <w:rFonts w:ascii="Arial" w:cs="Arial" w:eastAsia="Arial" w:hAnsi="Arial"/>
          <w:sz w:val="17"/>
          <w:szCs w:val="17"/>
          <w:color w:val="auto"/>
        </w:rPr>
        <w:t>– reviewing and discussing with management our internal audit projects and the performance of our internal audit function</w:t>
      </w:r>
    </w:p>
    <w:p>
      <w:pPr>
        <w:spacing w:after="0" w:line="30" w:lineRule="exact"/>
        <w:rPr>
          <w:rFonts w:ascii="Arial" w:cs="Arial" w:eastAsia="Arial" w:hAnsi="Arial"/>
          <w:sz w:val="17"/>
          <w:szCs w:val="17"/>
          <w:color w:val="125288"/>
        </w:rPr>
      </w:pPr>
    </w:p>
    <w:p>
      <w:pPr>
        <w:ind w:left="540" w:right="460" w:hanging="155"/>
        <w:spacing w:after="0" w:line="239" w:lineRule="auto"/>
        <w:rPr>
          <w:rFonts w:ascii="Arial" w:cs="Arial" w:eastAsia="Arial" w:hAnsi="Arial"/>
          <w:sz w:val="17"/>
          <w:szCs w:val="17"/>
          <w:color w:val="125288"/>
        </w:rPr>
      </w:pPr>
      <w:r>
        <w:rPr>
          <w:rFonts w:ascii="Arial" w:cs="Arial" w:eastAsia="Arial" w:hAnsi="Arial"/>
          <w:sz w:val="17"/>
          <w:szCs w:val="17"/>
          <w:color w:val="auto"/>
        </w:rPr>
        <w:t>– discussing with management the Company’s process for assessing and managing our exposure to risk, including overall enterprise risk and insurance</w:t>
      </w:r>
    </w:p>
    <w:p>
      <w:pPr>
        <w:spacing w:after="0" w:line="26" w:lineRule="exact"/>
        <w:rPr>
          <w:rFonts w:ascii="Arial" w:cs="Arial" w:eastAsia="Arial" w:hAnsi="Arial"/>
          <w:sz w:val="17"/>
          <w:szCs w:val="17"/>
          <w:color w:val="125288"/>
        </w:rPr>
      </w:pPr>
    </w:p>
    <w:p>
      <w:pPr>
        <w:ind w:left="540" w:right="300" w:hanging="155"/>
        <w:spacing w:after="0" w:line="239" w:lineRule="auto"/>
        <w:rPr>
          <w:rFonts w:ascii="Arial" w:cs="Arial" w:eastAsia="Arial" w:hAnsi="Arial"/>
          <w:sz w:val="17"/>
          <w:szCs w:val="17"/>
          <w:color w:val="125288"/>
        </w:rPr>
      </w:pPr>
      <w:r>
        <w:rPr>
          <w:rFonts w:ascii="Arial" w:cs="Arial" w:eastAsia="Arial" w:hAnsi="Arial"/>
          <w:sz w:val="17"/>
          <w:szCs w:val="17"/>
          <w:color w:val="auto"/>
        </w:rPr>
        <w:t>– discussing our earnings, press releases (including the use of “pro forma” or “adjusted” information), and the financial information and earnings guidance we provide to analysts and rating agencies</w:t>
      </w:r>
    </w:p>
    <w:p>
      <w:pPr>
        <w:spacing w:after="0" w:line="26" w:lineRule="exact"/>
        <w:rPr>
          <w:rFonts w:ascii="Arial" w:cs="Arial" w:eastAsia="Arial" w:hAnsi="Arial"/>
          <w:sz w:val="17"/>
          <w:szCs w:val="17"/>
          <w:color w:val="125288"/>
        </w:rPr>
      </w:pPr>
    </w:p>
    <w:p>
      <w:pPr>
        <w:ind w:left="540" w:right="160" w:hanging="155"/>
        <w:spacing w:after="0" w:line="237" w:lineRule="auto"/>
        <w:rPr>
          <w:rFonts w:ascii="Arial" w:cs="Arial" w:eastAsia="Arial" w:hAnsi="Arial"/>
          <w:sz w:val="17"/>
          <w:szCs w:val="17"/>
          <w:color w:val="125288"/>
        </w:rPr>
      </w:pPr>
      <w:r>
        <w:rPr>
          <w:rFonts w:ascii="Arial" w:cs="Arial" w:eastAsia="Arial" w:hAnsi="Arial"/>
          <w:sz w:val="17"/>
          <w:szCs w:val="17"/>
          <w:color w:val="auto"/>
        </w:rPr>
        <w:t>– meeting periodically with management, including our Chief Financial Officer, our Chief Accounting Officer, our chief internal audit executive, and our independent registered public accounting firm in separate executive sessions, to discuss any matters that the Audit Committee or any of the above persons or firms believe warrant Audit Committee attention</w:t>
      </w:r>
    </w:p>
    <w:p>
      <w:pPr>
        <w:spacing w:after="0" w:line="27" w:lineRule="exact"/>
        <w:rPr>
          <w:rFonts w:ascii="Arial" w:cs="Arial" w:eastAsia="Arial" w:hAnsi="Arial"/>
          <w:sz w:val="17"/>
          <w:szCs w:val="17"/>
          <w:color w:val="125288"/>
        </w:rPr>
      </w:pPr>
    </w:p>
    <w:p>
      <w:pPr>
        <w:ind w:left="220" w:hanging="154"/>
        <w:spacing w:after="0"/>
        <w:tabs>
          <w:tab w:leader="none" w:pos="220" w:val="left"/>
        </w:tabs>
        <w:numPr>
          <w:ilvl w:val="0"/>
          <w:numId w:val="50"/>
        </w:numPr>
        <w:rPr>
          <w:rFonts w:ascii="Arial" w:cs="Arial" w:eastAsia="Arial" w:hAnsi="Arial"/>
          <w:sz w:val="17"/>
          <w:szCs w:val="17"/>
          <w:color w:val="125288"/>
        </w:rPr>
      </w:pPr>
      <w:r>
        <w:rPr>
          <w:rFonts w:ascii="Arial" w:cs="Arial" w:eastAsia="Arial" w:hAnsi="Arial"/>
          <w:sz w:val="17"/>
          <w:szCs w:val="17"/>
          <w:color w:val="auto"/>
        </w:rPr>
        <w:t>Overseeing policies regarding hiring employees from our independent registered public accounting firm</w:t>
      </w:r>
    </w:p>
    <w:p>
      <w:pPr>
        <w:spacing w:after="0" w:line="30" w:lineRule="exact"/>
        <w:rPr>
          <w:rFonts w:ascii="Arial" w:cs="Arial" w:eastAsia="Arial" w:hAnsi="Arial"/>
          <w:sz w:val="17"/>
          <w:szCs w:val="17"/>
          <w:color w:val="125288"/>
        </w:rPr>
      </w:pPr>
    </w:p>
    <w:p>
      <w:pPr>
        <w:ind w:left="220" w:hanging="154"/>
        <w:spacing w:after="0"/>
        <w:tabs>
          <w:tab w:leader="none" w:pos="220" w:val="left"/>
        </w:tabs>
        <w:numPr>
          <w:ilvl w:val="0"/>
          <w:numId w:val="50"/>
        </w:numPr>
        <w:rPr>
          <w:rFonts w:ascii="Arial" w:cs="Arial" w:eastAsia="Arial" w:hAnsi="Arial"/>
          <w:sz w:val="17"/>
          <w:szCs w:val="17"/>
          <w:color w:val="125288"/>
        </w:rPr>
      </w:pPr>
      <w:r>
        <w:rPr>
          <w:rFonts w:ascii="Arial" w:cs="Arial" w:eastAsia="Arial" w:hAnsi="Arial"/>
          <w:sz w:val="17"/>
          <w:szCs w:val="17"/>
          <w:color w:val="auto"/>
        </w:rPr>
        <w:t>Establishing procedures to receive and retain accounting-related complaints and concerns</w:t>
      </w:r>
    </w:p>
    <w:p>
      <w:pPr>
        <w:spacing w:after="0" w:line="30" w:lineRule="exact"/>
        <w:rPr>
          <w:rFonts w:ascii="Arial" w:cs="Arial" w:eastAsia="Arial" w:hAnsi="Arial"/>
          <w:sz w:val="17"/>
          <w:szCs w:val="17"/>
          <w:color w:val="125288"/>
        </w:rPr>
      </w:pPr>
    </w:p>
    <w:p>
      <w:pPr>
        <w:ind w:left="220" w:right="180" w:hanging="154"/>
        <w:spacing w:after="0" w:line="237" w:lineRule="auto"/>
        <w:tabs>
          <w:tab w:leader="none" w:pos="220" w:val="left"/>
        </w:tabs>
        <w:numPr>
          <w:ilvl w:val="0"/>
          <w:numId w:val="50"/>
        </w:numPr>
        <w:rPr>
          <w:rFonts w:ascii="Arial" w:cs="Arial" w:eastAsia="Arial" w:hAnsi="Arial"/>
          <w:sz w:val="17"/>
          <w:szCs w:val="17"/>
          <w:color w:val="125288"/>
        </w:rPr>
      </w:pPr>
      <w:r>
        <w:rPr>
          <w:rFonts w:ascii="Arial" w:cs="Arial" w:eastAsia="Arial" w:hAnsi="Arial"/>
          <w:sz w:val="17"/>
          <w:szCs w:val="17"/>
          <w:color w:val="auto"/>
        </w:rPr>
        <w:t>Monitoring the adequacy of the Company’s ethics &amp; compliance program, including compliance with the Company’s Code of Conduct, and receiving periodic updates from management regarding ongoing projects, training programs, compliance issues, and other matters managed by the Chief Compliance Officer</w:t>
      </w:r>
    </w:p>
    <w:p>
      <w:pPr>
        <w:spacing w:after="0" w:line="27" w:lineRule="exact"/>
        <w:rPr>
          <w:rFonts w:ascii="Arial" w:cs="Arial" w:eastAsia="Arial" w:hAnsi="Arial"/>
          <w:sz w:val="17"/>
          <w:szCs w:val="17"/>
          <w:color w:val="125288"/>
        </w:rPr>
      </w:pPr>
    </w:p>
    <w:p>
      <w:pPr>
        <w:ind w:left="220" w:right="400" w:hanging="154"/>
        <w:spacing w:after="0" w:line="239" w:lineRule="auto"/>
        <w:tabs>
          <w:tab w:leader="none" w:pos="220" w:val="left"/>
        </w:tabs>
        <w:numPr>
          <w:ilvl w:val="0"/>
          <w:numId w:val="50"/>
        </w:numPr>
        <w:rPr>
          <w:rFonts w:ascii="Arial" w:cs="Arial" w:eastAsia="Arial" w:hAnsi="Arial"/>
          <w:sz w:val="17"/>
          <w:szCs w:val="17"/>
          <w:color w:val="125288"/>
        </w:rPr>
      </w:pPr>
      <w:r>
        <w:rPr>
          <w:rFonts w:ascii="Arial" w:cs="Arial" w:eastAsia="Arial" w:hAnsi="Arial"/>
          <w:sz w:val="17"/>
          <w:szCs w:val="17"/>
          <w:color w:val="auto"/>
        </w:rPr>
        <w:t>Overseeing our policies relating to the ethical handling of conflicts of interest, including related party transactions (see “Certain Relationships and Related Person Transactions—Policies and Procedures Regarding Transactions with Related Parties” below)</w:t>
      </w:r>
    </w:p>
    <w:p>
      <w:pPr>
        <w:spacing w:after="0" w:line="26" w:lineRule="exact"/>
        <w:rPr>
          <w:rFonts w:ascii="Arial" w:cs="Arial" w:eastAsia="Arial" w:hAnsi="Arial"/>
          <w:sz w:val="17"/>
          <w:szCs w:val="17"/>
          <w:color w:val="125288"/>
        </w:rPr>
      </w:pPr>
    </w:p>
    <w:p>
      <w:pPr>
        <w:ind w:left="220" w:right="320" w:hanging="154"/>
        <w:spacing w:after="0" w:line="237" w:lineRule="auto"/>
        <w:tabs>
          <w:tab w:leader="none" w:pos="220" w:val="left"/>
        </w:tabs>
        <w:numPr>
          <w:ilvl w:val="0"/>
          <w:numId w:val="50"/>
        </w:numPr>
        <w:rPr>
          <w:rFonts w:ascii="Arial" w:cs="Arial" w:eastAsia="Arial" w:hAnsi="Arial"/>
          <w:sz w:val="17"/>
          <w:szCs w:val="17"/>
          <w:color w:val="125288"/>
        </w:rPr>
      </w:pPr>
      <w:r>
        <w:rPr>
          <w:rFonts w:ascii="Arial" w:cs="Arial" w:eastAsia="Arial" w:hAnsi="Arial"/>
          <w:sz w:val="17"/>
          <w:szCs w:val="17"/>
          <w:color w:val="auto"/>
        </w:rPr>
        <w:t>Overseeing our cybersecurity risk management programs and receiving periodic updates from management regarding cybersecurity, data privacy, data security, and other risks relevant to the Company’s information technology (see”—Our Board’s Role in Risk Oversight—Cybersecurity Risk Oversight” above)</w:t>
      </w:r>
    </w:p>
    <w:p>
      <w:pPr>
        <w:spacing w:after="0" w:line="6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125288"/>
        </w:rPr>
        <w:t>Membership</w:t>
      </w:r>
    </w:p>
    <w:p>
      <w:pPr>
        <w:spacing w:after="0" w:line="50" w:lineRule="exact"/>
        <w:rPr>
          <w:sz w:val="20"/>
          <w:szCs w:val="20"/>
          <w:color w:val="auto"/>
        </w:rPr>
      </w:pPr>
    </w:p>
    <w:p>
      <w:pPr>
        <w:ind w:left="60" w:right="160"/>
        <w:spacing w:after="0" w:line="237" w:lineRule="auto"/>
        <w:rPr>
          <w:sz w:val="20"/>
          <w:szCs w:val="20"/>
          <w:color w:val="auto"/>
        </w:rPr>
      </w:pPr>
      <w:r>
        <w:rPr>
          <w:rFonts w:ascii="Arial" w:cs="Arial" w:eastAsia="Arial" w:hAnsi="Arial"/>
          <w:sz w:val="17"/>
          <w:szCs w:val="17"/>
          <w:color w:val="auto"/>
        </w:rPr>
        <w:t>All Audit Committee members satisfy the independence and additional requirements for audit committee membership prescribed by the Nasdaq Rules and SEC rules. In particular, our Board has determined that each Audit Committee member is an “audit committee financial expert” as defined in the SEC rules and that each is “financially sophisticated” within the meaning of the Nasdaq Rules</w:t>
      </w:r>
    </w:p>
    <w:p>
      <w:pPr>
        <w:spacing w:after="0" w:line="6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125288"/>
        </w:rPr>
        <w:t>Meetings</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7"/>
          <w:szCs w:val="17"/>
          <w:color w:val="auto"/>
        </w:rPr>
        <w:t>Must meet at least quarterly</w:t>
      </w:r>
    </w:p>
    <w:p>
      <w:pPr>
        <w:spacing w:after="0" w:line="7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125288"/>
        </w:rPr>
        <w:t>Engagement of Outside Consultants</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Audit Committee’s charter authorizes it to engage independent counsel or other consultants or advisors, as it deems appropriate</w:t>
      </w:r>
    </w:p>
    <w:p>
      <w:pPr>
        <w:spacing w:after="0" w:line="367"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35" w:name="page36"/>
    <w:bookmarkEnd w:id="35"/>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280035</wp:posOffset>
            </wp:positionV>
            <wp:extent cx="7148830" cy="2038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8830" cy="20383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COMPENSATION COMMITTEE</w:t>
      </w:r>
    </w:p>
    <w:p>
      <w:pPr>
        <w:spacing w:after="0" w:line="105" w:lineRule="exact"/>
        <w:rPr>
          <w:sz w:val="20"/>
          <w:szCs w:val="20"/>
          <w:color w:val="auto"/>
        </w:rPr>
      </w:pPr>
    </w:p>
    <w:p>
      <w:pPr>
        <w:ind w:left="60"/>
        <w:spacing w:after="0"/>
        <w:tabs>
          <w:tab w:leader="none" w:pos="5660" w:val="left"/>
        </w:tabs>
        <w:rPr>
          <w:sz w:val="20"/>
          <w:szCs w:val="20"/>
          <w:color w:val="auto"/>
        </w:rPr>
      </w:pPr>
      <w:r>
        <w:rPr>
          <w:rFonts w:ascii="Arial" w:cs="Arial" w:eastAsia="Arial" w:hAnsi="Arial"/>
          <w:sz w:val="15"/>
          <w:szCs w:val="15"/>
          <w:b w:val="1"/>
          <w:bCs w:val="1"/>
          <w:color w:val="125288"/>
        </w:rPr>
        <w:t xml:space="preserve">Current Members: </w:t>
      </w:r>
      <w:r>
        <w:rPr>
          <w:rFonts w:ascii="Arial" w:cs="Arial" w:eastAsia="Arial" w:hAnsi="Arial"/>
          <w:sz w:val="15"/>
          <w:szCs w:val="15"/>
          <w:b w:val="1"/>
          <w:bCs w:val="1"/>
          <w:color w:val="000000"/>
        </w:rPr>
        <w:t>Robert Morgado (Chair), Reveta Bowers, Dawn Ostroff</w:t>
      </w:r>
      <w:r>
        <w:rPr>
          <w:rFonts w:ascii="Arial" w:cs="Arial" w:eastAsia="Arial" w:hAnsi="Arial"/>
          <w:sz w:val="15"/>
          <w:szCs w:val="15"/>
          <w:b w:val="1"/>
          <w:bCs w:val="1"/>
          <w:color w:val="125288"/>
        </w:rPr>
        <w:tab/>
        <w:t xml:space="preserve">Meetings Held in 2021: </w:t>
      </w:r>
      <w:r>
        <w:rPr>
          <w:rFonts w:ascii="Arial" w:cs="Arial" w:eastAsia="Arial" w:hAnsi="Arial"/>
          <w:sz w:val="15"/>
          <w:szCs w:val="15"/>
          <w:b w:val="1"/>
          <w:bCs w:val="1"/>
          <w:color w:val="000000"/>
        </w:rPr>
        <w:t>Fourteen, including at least once per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43815</wp:posOffset>
            </wp:positionV>
            <wp:extent cx="7148830" cy="53219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8830" cy="5321935"/>
                    </a:xfrm>
                    <a:prstGeom prst="rect">
                      <a:avLst/>
                    </a:prstGeom>
                    <a:noFill/>
                  </pic:spPr>
                </pic:pic>
              </a:graphicData>
            </a:graphic>
          </wp:anchor>
        </w:drawing>
      </w:r>
    </w:p>
    <w:p>
      <w:pPr>
        <w:spacing w:after="0" w:line="8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125288"/>
        </w:rPr>
        <w:t>Purposes &amp; Key Responsibilities</w:t>
      </w:r>
    </w:p>
    <w:p>
      <w:pPr>
        <w:spacing w:after="0" w:line="50" w:lineRule="exact"/>
        <w:rPr>
          <w:sz w:val="20"/>
          <w:szCs w:val="20"/>
          <w:color w:val="auto"/>
        </w:rPr>
      </w:pPr>
    </w:p>
    <w:p>
      <w:pPr>
        <w:ind w:left="220" w:right="1140" w:hanging="154"/>
        <w:spacing w:after="0" w:line="239" w:lineRule="auto"/>
        <w:tabs>
          <w:tab w:leader="none" w:pos="220" w:val="left"/>
        </w:tabs>
        <w:numPr>
          <w:ilvl w:val="0"/>
          <w:numId w:val="51"/>
        </w:numPr>
        <w:rPr>
          <w:rFonts w:ascii="Arial" w:cs="Arial" w:eastAsia="Arial" w:hAnsi="Arial"/>
          <w:sz w:val="17"/>
          <w:szCs w:val="17"/>
          <w:color w:val="125288"/>
        </w:rPr>
      </w:pPr>
      <w:r>
        <w:rPr>
          <w:rFonts w:ascii="Arial" w:cs="Arial" w:eastAsia="Arial" w:hAnsi="Arial"/>
          <w:sz w:val="17"/>
          <w:szCs w:val="17"/>
          <w:color w:val="auto"/>
        </w:rPr>
        <w:t>Discharging our Board’s responsibilities relating to compensation paid to our directors and executive officers and overseeing employee compensation, including equity, incentive, and other compensation policies, programs, agreements, and arrangements</w:t>
      </w:r>
    </w:p>
    <w:p>
      <w:pPr>
        <w:spacing w:after="0" w:line="26" w:lineRule="exact"/>
        <w:rPr>
          <w:rFonts w:ascii="Arial" w:cs="Arial" w:eastAsia="Arial" w:hAnsi="Arial"/>
          <w:sz w:val="17"/>
          <w:szCs w:val="17"/>
          <w:color w:val="125288"/>
        </w:rPr>
      </w:pPr>
    </w:p>
    <w:p>
      <w:pPr>
        <w:ind w:left="500" w:right="600" w:hanging="155"/>
        <w:spacing w:after="0" w:line="233" w:lineRule="auto"/>
        <w:rPr>
          <w:rFonts w:ascii="Arial" w:cs="Arial" w:eastAsia="Arial" w:hAnsi="Arial"/>
          <w:sz w:val="17"/>
          <w:szCs w:val="17"/>
          <w:color w:val="125288"/>
        </w:rPr>
      </w:pPr>
      <w:r>
        <w:rPr>
          <w:rFonts w:ascii="Arial" w:cs="Arial" w:eastAsia="Arial" w:hAnsi="Arial"/>
          <w:sz w:val="17"/>
          <w:szCs w:val="17"/>
          <w:color w:val="auto"/>
        </w:rPr>
        <w:t>– The Compensation Committee consults with management in formulating compensation plans, but ultimately the Compensation Committee exercises independent judgment in approving the compensation of our executive officers</w:t>
      </w:r>
    </w:p>
    <w:p>
      <w:pPr>
        <w:ind w:left="500" w:right="80" w:hanging="155"/>
        <w:spacing w:after="0" w:line="237" w:lineRule="auto"/>
        <w:rPr>
          <w:rFonts w:ascii="Arial" w:cs="Arial" w:eastAsia="Arial" w:hAnsi="Arial"/>
          <w:sz w:val="17"/>
          <w:szCs w:val="17"/>
          <w:color w:val="125288"/>
        </w:rPr>
      </w:pPr>
      <w:r>
        <w:rPr>
          <w:rFonts w:ascii="Arial" w:cs="Arial" w:eastAsia="Arial" w:hAnsi="Arial"/>
          <w:sz w:val="17"/>
          <w:szCs w:val="17"/>
          <w:color w:val="auto"/>
        </w:rPr>
        <w:t>– Please see “Executive Compensation—Compensation Discussion and Analysis—How We Make Decisions About Executive Compensation—Key Participants in the Executive Compensation Decision-Making Process” below and “—Our Board’s Role in Risk Oversight—Compensation Risk Management” above for a further description of such responsibilities</w:t>
      </w:r>
    </w:p>
    <w:p>
      <w:pPr>
        <w:spacing w:after="0" w:line="15" w:lineRule="exact"/>
        <w:rPr>
          <w:rFonts w:ascii="Arial" w:cs="Arial" w:eastAsia="Arial" w:hAnsi="Arial"/>
          <w:sz w:val="17"/>
          <w:szCs w:val="17"/>
          <w:color w:val="125288"/>
        </w:rPr>
      </w:pPr>
    </w:p>
    <w:p>
      <w:pPr>
        <w:ind w:left="220" w:right="320" w:hanging="154"/>
        <w:spacing w:after="0" w:line="239" w:lineRule="auto"/>
        <w:tabs>
          <w:tab w:leader="none" w:pos="220" w:val="left"/>
        </w:tabs>
        <w:numPr>
          <w:ilvl w:val="0"/>
          <w:numId w:val="51"/>
        </w:numPr>
        <w:rPr>
          <w:rFonts w:ascii="Arial" w:cs="Arial" w:eastAsia="Arial" w:hAnsi="Arial"/>
          <w:sz w:val="17"/>
          <w:szCs w:val="17"/>
          <w:color w:val="125288"/>
        </w:rPr>
      </w:pPr>
      <w:r>
        <w:rPr>
          <w:rFonts w:ascii="Arial" w:cs="Arial" w:eastAsia="Arial" w:hAnsi="Arial"/>
          <w:sz w:val="17"/>
          <w:szCs w:val="17"/>
          <w:color w:val="auto"/>
        </w:rPr>
        <w:t>Reviewing, and discussing with management, the compensation-related disclosure included in our proxy statements and Annual Reports on Form 10-K</w:t>
      </w:r>
    </w:p>
    <w:p>
      <w:pPr>
        <w:spacing w:after="0" w:line="26" w:lineRule="exact"/>
        <w:rPr>
          <w:rFonts w:ascii="Arial" w:cs="Arial" w:eastAsia="Arial" w:hAnsi="Arial"/>
          <w:sz w:val="17"/>
          <w:szCs w:val="17"/>
          <w:color w:val="125288"/>
        </w:rPr>
      </w:pPr>
    </w:p>
    <w:p>
      <w:pPr>
        <w:ind w:left="220" w:hanging="154"/>
        <w:spacing w:after="0"/>
        <w:tabs>
          <w:tab w:leader="none" w:pos="220" w:val="left"/>
        </w:tabs>
        <w:numPr>
          <w:ilvl w:val="0"/>
          <w:numId w:val="51"/>
        </w:numPr>
        <w:rPr>
          <w:rFonts w:ascii="Arial" w:cs="Arial" w:eastAsia="Arial" w:hAnsi="Arial"/>
          <w:sz w:val="17"/>
          <w:szCs w:val="17"/>
          <w:color w:val="125288"/>
        </w:rPr>
      </w:pPr>
      <w:r>
        <w:rPr>
          <w:rFonts w:ascii="Arial" w:cs="Arial" w:eastAsia="Arial" w:hAnsi="Arial"/>
          <w:sz w:val="17"/>
          <w:szCs w:val="17"/>
          <w:color w:val="auto"/>
        </w:rPr>
        <w:t>Reviewing and overseeing matters related to human capital management, including how the Company attracts, retains, and develops talent</w:t>
      </w:r>
    </w:p>
    <w:p>
      <w:pPr>
        <w:spacing w:after="0" w:line="30" w:lineRule="exact"/>
        <w:rPr>
          <w:rFonts w:ascii="Arial" w:cs="Arial" w:eastAsia="Arial" w:hAnsi="Arial"/>
          <w:sz w:val="17"/>
          <w:szCs w:val="17"/>
          <w:color w:val="125288"/>
        </w:rPr>
      </w:pPr>
    </w:p>
    <w:p>
      <w:pPr>
        <w:ind w:left="220" w:right="220" w:hanging="154"/>
        <w:spacing w:after="0" w:line="239" w:lineRule="auto"/>
        <w:tabs>
          <w:tab w:leader="none" w:pos="220" w:val="left"/>
        </w:tabs>
        <w:numPr>
          <w:ilvl w:val="0"/>
          <w:numId w:val="51"/>
        </w:numPr>
        <w:rPr>
          <w:rFonts w:ascii="Arial" w:cs="Arial" w:eastAsia="Arial" w:hAnsi="Arial"/>
          <w:sz w:val="17"/>
          <w:szCs w:val="17"/>
          <w:color w:val="125288"/>
        </w:rPr>
      </w:pPr>
      <w:r>
        <w:rPr>
          <w:rFonts w:ascii="Arial" w:cs="Arial" w:eastAsia="Arial" w:hAnsi="Arial"/>
          <w:sz w:val="17"/>
          <w:szCs w:val="17"/>
          <w:color w:val="auto"/>
        </w:rPr>
        <w:t>Overseeing any proposals we submit to our shareholders on matters relating to executive compensation, including advisory votes on compensation and the frequency of such votes and approval of compensatory plans and any amendments to such plans</w:t>
      </w:r>
    </w:p>
    <w:p>
      <w:pPr>
        <w:spacing w:after="0" w:line="6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125288"/>
        </w:rPr>
        <w:t>Engagement of Outside Consultants</w:t>
      </w:r>
    </w:p>
    <w:p>
      <w:pPr>
        <w:spacing w:after="0" w:line="50" w:lineRule="exact"/>
        <w:rPr>
          <w:sz w:val="20"/>
          <w:szCs w:val="20"/>
          <w:color w:val="auto"/>
        </w:rPr>
      </w:pPr>
    </w:p>
    <w:p>
      <w:pPr>
        <w:ind w:left="220" w:right="140" w:hanging="154"/>
        <w:spacing w:after="0" w:line="237" w:lineRule="auto"/>
        <w:tabs>
          <w:tab w:leader="none" w:pos="220" w:val="left"/>
        </w:tabs>
        <w:numPr>
          <w:ilvl w:val="0"/>
          <w:numId w:val="52"/>
        </w:numPr>
        <w:rPr>
          <w:rFonts w:ascii="Arial" w:cs="Arial" w:eastAsia="Arial" w:hAnsi="Arial"/>
          <w:sz w:val="17"/>
          <w:szCs w:val="17"/>
          <w:color w:val="125288"/>
        </w:rPr>
      </w:pPr>
      <w:r>
        <w:rPr>
          <w:rFonts w:ascii="Arial" w:cs="Arial" w:eastAsia="Arial" w:hAnsi="Arial"/>
          <w:sz w:val="17"/>
          <w:szCs w:val="17"/>
          <w:color w:val="auto"/>
        </w:rPr>
        <w:t>Our Compensation Committee’s charter authorizes it to engage independent counsel or other consultants or advisors, including compensation consultants, to advise the Compensation Committee with respect to compensation and benefits for our directors and our executive officers and other employees</w:t>
      </w:r>
    </w:p>
    <w:p>
      <w:pPr>
        <w:spacing w:after="0" w:line="27" w:lineRule="exact"/>
        <w:rPr>
          <w:rFonts w:ascii="Arial" w:cs="Arial" w:eastAsia="Arial" w:hAnsi="Arial"/>
          <w:sz w:val="17"/>
          <w:szCs w:val="17"/>
          <w:color w:val="125288"/>
        </w:rPr>
      </w:pPr>
    </w:p>
    <w:p>
      <w:pPr>
        <w:ind w:left="500" w:right="320" w:hanging="155"/>
        <w:spacing w:after="0" w:line="233" w:lineRule="auto"/>
        <w:rPr>
          <w:rFonts w:ascii="Arial" w:cs="Arial" w:eastAsia="Arial" w:hAnsi="Arial"/>
          <w:sz w:val="17"/>
          <w:szCs w:val="17"/>
          <w:color w:val="125288"/>
        </w:rPr>
      </w:pPr>
      <w:r>
        <w:rPr>
          <w:rFonts w:ascii="Arial" w:cs="Arial" w:eastAsia="Arial" w:hAnsi="Arial"/>
          <w:sz w:val="17"/>
          <w:szCs w:val="17"/>
          <w:color w:val="auto"/>
        </w:rPr>
        <w:t>– Since October 2013, the Compensation Committee has engaged Exequity LLP (“Exequity”) to act as its independent compensation consultant and to advise on issues related to executive compensation and benefits</w:t>
      </w:r>
    </w:p>
    <w:p>
      <w:pPr>
        <w:ind w:left="500" w:right="700" w:hanging="155"/>
        <w:spacing w:after="0" w:line="233" w:lineRule="auto"/>
        <w:rPr>
          <w:rFonts w:ascii="Arial" w:cs="Arial" w:eastAsia="Arial" w:hAnsi="Arial"/>
          <w:sz w:val="17"/>
          <w:szCs w:val="17"/>
          <w:color w:val="125288"/>
        </w:rPr>
      </w:pPr>
      <w:r>
        <w:rPr>
          <w:rFonts w:ascii="Arial" w:cs="Arial" w:eastAsia="Arial" w:hAnsi="Arial"/>
          <w:sz w:val="17"/>
          <w:szCs w:val="17"/>
          <w:color w:val="auto"/>
        </w:rPr>
        <w:t>– Exequity reports directly to the Compensation Committee and does not provide any services to us other than the services provided to the Compensation Committee</w:t>
      </w:r>
    </w:p>
    <w:p>
      <w:pPr>
        <w:ind w:left="340"/>
        <w:spacing w:after="0"/>
        <w:rPr>
          <w:rFonts w:ascii="Arial" w:cs="Arial" w:eastAsia="Arial" w:hAnsi="Arial"/>
          <w:sz w:val="17"/>
          <w:szCs w:val="17"/>
          <w:color w:val="125288"/>
        </w:rPr>
      </w:pPr>
      <w:r>
        <w:rPr>
          <w:rFonts w:ascii="Arial" w:cs="Arial" w:eastAsia="Arial" w:hAnsi="Arial"/>
          <w:sz w:val="17"/>
          <w:szCs w:val="17"/>
          <w:color w:val="auto"/>
        </w:rPr>
        <w:t>– The Compensation Committee has also retained the law firm of Paul Hastings LLP (“Paul Hastings”) as its legal advisor</w:t>
      </w:r>
    </w:p>
    <w:p>
      <w:pPr>
        <w:spacing w:after="0" w:line="30" w:lineRule="exact"/>
        <w:rPr>
          <w:rFonts w:ascii="Arial" w:cs="Arial" w:eastAsia="Arial" w:hAnsi="Arial"/>
          <w:sz w:val="17"/>
          <w:szCs w:val="17"/>
          <w:color w:val="125288"/>
        </w:rPr>
      </w:pPr>
    </w:p>
    <w:p>
      <w:pPr>
        <w:ind w:left="200" w:right="80" w:hanging="134"/>
        <w:spacing w:after="0" w:line="239" w:lineRule="auto"/>
        <w:tabs>
          <w:tab w:leader="none" w:pos="200" w:val="left"/>
        </w:tabs>
        <w:numPr>
          <w:ilvl w:val="0"/>
          <w:numId w:val="52"/>
        </w:numPr>
        <w:rPr>
          <w:rFonts w:ascii="Arial" w:cs="Arial" w:eastAsia="Arial" w:hAnsi="Arial"/>
          <w:sz w:val="17"/>
          <w:szCs w:val="17"/>
          <w:color w:val="125288"/>
        </w:rPr>
      </w:pPr>
      <w:r>
        <w:rPr>
          <w:rFonts w:ascii="Arial" w:cs="Arial" w:eastAsia="Arial" w:hAnsi="Arial"/>
          <w:sz w:val="17"/>
          <w:szCs w:val="17"/>
          <w:color w:val="auto"/>
        </w:rPr>
        <w:t>Our Compensation Committee assessed its engagement of each of Exequity and Paul Hastings, including on the basis of information provided by the two firms, and does not believe the services of either firm to the Compensation Committee raise any conflicts of interest</w:t>
      </w:r>
    </w:p>
    <w:p>
      <w:pPr>
        <w:spacing w:after="0" w:line="14" w:lineRule="exact"/>
        <w:rPr>
          <w:rFonts w:ascii="Arial" w:cs="Arial" w:eastAsia="Arial" w:hAnsi="Arial"/>
          <w:sz w:val="17"/>
          <w:szCs w:val="17"/>
          <w:color w:val="125288"/>
        </w:rPr>
      </w:pPr>
    </w:p>
    <w:p>
      <w:pPr>
        <w:ind w:left="220" w:right="280" w:hanging="154"/>
        <w:spacing w:after="0" w:line="239" w:lineRule="auto"/>
        <w:tabs>
          <w:tab w:leader="none" w:pos="220" w:val="left"/>
        </w:tabs>
        <w:numPr>
          <w:ilvl w:val="0"/>
          <w:numId w:val="52"/>
        </w:numPr>
        <w:rPr>
          <w:rFonts w:ascii="Arial" w:cs="Arial" w:eastAsia="Arial" w:hAnsi="Arial"/>
          <w:sz w:val="17"/>
          <w:szCs w:val="17"/>
          <w:color w:val="125288"/>
        </w:rPr>
      </w:pPr>
      <w:r>
        <w:rPr>
          <w:rFonts w:ascii="Arial" w:cs="Arial" w:eastAsia="Arial" w:hAnsi="Arial"/>
          <w:sz w:val="17"/>
          <w:szCs w:val="17"/>
          <w:color w:val="auto"/>
        </w:rPr>
        <w:t>For additional information regarding the Compensation Committee, including its use of consultants, see “Executive Compensation—Compensation Discussion and Analysis” below</w:t>
      </w:r>
    </w:p>
    <w:p>
      <w:pPr>
        <w:spacing w:after="0" w:line="6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125288"/>
        </w:rPr>
        <w:t>Membership</w:t>
      </w:r>
    </w:p>
    <w:p>
      <w:pPr>
        <w:spacing w:after="0" w:line="50" w:lineRule="exact"/>
        <w:rPr>
          <w:sz w:val="20"/>
          <w:szCs w:val="20"/>
          <w:color w:val="auto"/>
        </w:rPr>
      </w:pPr>
    </w:p>
    <w:p>
      <w:pPr>
        <w:ind w:left="220" w:right="380" w:hanging="154"/>
        <w:spacing w:after="0" w:line="243" w:lineRule="auto"/>
        <w:tabs>
          <w:tab w:leader="none" w:pos="220" w:val="left"/>
        </w:tabs>
        <w:numPr>
          <w:ilvl w:val="0"/>
          <w:numId w:val="53"/>
        </w:numPr>
        <w:rPr>
          <w:rFonts w:ascii="Arial" w:cs="Arial" w:eastAsia="Arial" w:hAnsi="Arial"/>
          <w:sz w:val="17"/>
          <w:szCs w:val="17"/>
          <w:color w:val="125288"/>
        </w:rPr>
      </w:pPr>
      <w:r>
        <w:rPr>
          <w:rFonts w:ascii="Arial" w:cs="Arial" w:eastAsia="Arial" w:hAnsi="Arial"/>
          <w:sz w:val="17"/>
          <w:szCs w:val="17"/>
          <w:color w:val="auto"/>
        </w:rPr>
        <w:t>The Board has determined that all members of the Compensation Committee satisfy the independence and other requirements for compensation committee members prescribed by the Nasdaq Rules and SEC rules, and are “outside directors” as defined under Section 162(m) of the Internal Revenue Code, as amended</w:t>
      </w:r>
    </w:p>
    <w:p>
      <w:pPr>
        <w:spacing w:after="0" w:line="24" w:lineRule="exact"/>
        <w:rPr>
          <w:rFonts w:ascii="Arial" w:cs="Arial" w:eastAsia="Arial" w:hAnsi="Arial"/>
          <w:sz w:val="17"/>
          <w:szCs w:val="17"/>
          <w:color w:val="125288"/>
        </w:rPr>
      </w:pPr>
    </w:p>
    <w:p>
      <w:pPr>
        <w:ind w:left="220" w:right="80" w:hanging="154"/>
        <w:spacing w:after="0" w:line="239" w:lineRule="auto"/>
        <w:tabs>
          <w:tab w:leader="none" w:pos="220" w:val="left"/>
        </w:tabs>
        <w:numPr>
          <w:ilvl w:val="0"/>
          <w:numId w:val="53"/>
        </w:numPr>
        <w:rPr>
          <w:rFonts w:ascii="Arial" w:cs="Arial" w:eastAsia="Arial" w:hAnsi="Arial"/>
          <w:sz w:val="17"/>
          <w:szCs w:val="17"/>
          <w:color w:val="125288"/>
        </w:rPr>
      </w:pPr>
      <w:r>
        <w:rPr>
          <w:rFonts w:ascii="Arial" w:cs="Arial" w:eastAsia="Arial" w:hAnsi="Arial"/>
          <w:sz w:val="17"/>
          <w:szCs w:val="17"/>
          <w:color w:val="auto"/>
        </w:rPr>
        <w:t>Our Board has also determined that no member of the Compensation Committee has a relationship to the Company that is material to such director’s ability to be independent of management in connection with the duties of a Compensation Committee member</w:t>
      </w:r>
    </w:p>
    <w:p>
      <w:pPr>
        <w:spacing w:after="0" w:line="6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125288"/>
        </w:rPr>
        <w:t>Meetings</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7"/>
          <w:szCs w:val="17"/>
          <w:color w:val="auto"/>
        </w:rPr>
        <w:t>Must meet at least four times annually</w:t>
      </w:r>
    </w:p>
    <w:p>
      <w:pPr>
        <w:spacing w:after="0" w:line="7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125288"/>
        </w:rPr>
        <w:t>Compensation Committee Interlocks and Insider Participation</w:t>
      </w:r>
    </w:p>
    <w:p>
      <w:pPr>
        <w:spacing w:after="0" w:line="50" w:lineRule="exact"/>
        <w:rPr>
          <w:sz w:val="20"/>
          <w:szCs w:val="20"/>
          <w:color w:val="auto"/>
        </w:rPr>
      </w:pPr>
    </w:p>
    <w:p>
      <w:pPr>
        <w:ind w:left="60" w:right="280"/>
        <w:spacing w:after="0" w:line="236" w:lineRule="auto"/>
        <w:rPr>
          <w:sz w:val="20"/>
          <w:szCs w:val="20"/>
          <w:color w:val="auto"/>
        </w:rPr>
      </w:pPr>
      <w:r>
        <w:rPr>
          <w:rFonts w:ascii="Arial" w:cs="Arial" w:eastAsia="Arial" w:hAnsi="Arial"/>
          <w:sz w:val="17"/>
          <w:szCs w:val="17"/>
          <w:color w:val="auto"/>
        </w:rPr>
        <w:t>During 2021, Robert Morgado, Reveta Bowers, and Dawn Ostroff served as members of our Compensation Committee. No member of our Compensation Committee is or has been an executive officer or other employee of the Company. Additionally, in 2021, none of our executive officers served on the board of directors or compensation committee (or other committee serving an equivalent function) of any entity that had an executive officer serving on our Board or Compensation Committee</w:t>
      </w:r>
    </w:p>
    <w:p>
      <w:pPr>
        <w:spacing w:after="0" w:line="364"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36" w:name="page37"/>
    <w:bookmarkEnd w:id="36"/>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280035</wp:posOffset>
            </wp:positionV>
            <wp:extent cx="7148830" cy="2038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8830" cy="20383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FFFFFF"/>
        </w:rPr>
        <w:t>NOMINATING AND CORPORATE GOVERNANCE COMMITTEE</w:t>
      </w:r>
    </w:p>
    <w:p>
      <w:pPr>
        <w:sectPr>
          <w:pgSz w:w="11900" w:h="16838" w:orient="portrait"/>
          <w:cols w:equalWidth="0" w:num="1">
            <w:col w:w="11260"/>
          </w:cols>
          <w:pgMar w:left="320" w:top="144" w:right="319" w:bottom="1440" w:gutter="0" w:footer="0" w:header="0"/>
        </w:sectPr>
      </w:pPr>
    </w:p>
    <w:p>
      <w:pPr>
        <w:spacing w:after="0" w:line="117" w:lineRule="exact"/>
        <w:rPr>
          <w:sz w:val="20"/>
          <w:szCs w:val="20"/>
          <w:color w:val="auto"/>
        </w:rPr>
      </w:pPr>
    </w:p>
    <w:p>
      <w:pPr>
        <w:ind w:left="60" w:right="780"/>
        <w:spacing w:after="0" w:line="291" w:lineRule="auto"/>
        <w:rPr>
          <w:sz w:val="20"/>
          <w:szCs w:val="20"/>
          <w:color w:val="auto"/>
        </w:rPr>
      </w:pPr>
      <w:r>
        <w:rPr>
          <w:rFonts w:ascii="Arial" w:cs="Arial" w:eastAsia="Arial" w:hAnsi="Arial"/>
          <w:sz w:val="15"/>
          <w:szCs w:val="15"/>
          <w:b w:val="1"/>
          <w:bCs w:val="1"/>
          <w:color w:val="125288"/>
        </w:rPr>
        <w:t xml:space="preserve">Current Members: </w:t>
      </w:r>
      <w:r>
        <w:rPr>
          <w:rFonts w:ascii="Arial" w:cs="Arial" w:eastAsia="Arial" w:hAnsi="Arial"/>
          <w:sz w:val="15"/>
          <w:szCs w:val="15"/>
          <w:b w:val="1"/>
          <w:bCs w:val="1"/>
          <w:color w:val="000000"/>
        </w:rPr>
        <w:t>Robert Morgado (Chair), Barry Meyer,</w:t>
      </w:r>
      <w:r>
        <w:rPr>
          <w:rFonts w:ascii="Arial" w:cs="Arial" w:eastAsia="Arial" w:hAnsi="Arial"/>
          <w:sz w:val="15"/>
          <w:szCs w:val="15"/>
          <w:b w:val="1"/>
          <w:bCs w:val="1"/>
          <w:color w:val="125288"/>
        </w:rPr>
        <w:t xml:space="preserve"> </w:t>
      </w:r>
      <w:r>
        <w:rPr>
          <w:rFonts w:ascii="Arial" w:cs="Arial" w:eastAsia="Arial" w:hAnsi="Arial"/>
          <w:sz w:val="15"/>
          <w:szCs w:val="15"/>
          <w:b w:val="1"/>
          <w:bCs w:val="1"/>
          <w:color w:val="000000"/>
        </w:rPr>
        <w:t>Casey Wasserman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125288"/>
        </w:rPr>
        <w:t xml:space="preserve">Meetings Held in 2021: </w:t>
      </w:r>
      <w:r>
        <w:rPr>
          <w:rFonts w:ascii="Arial" w:cs="Arial" w:eastAsia="Arial" w:hAnsi="Arial"/>
          <w:sz w:val="15"/>
          <w:szCs w:val="15"/>
          <w:b w:val="1"/>
          <w:bCs w:val="1"/>
          <w:color w:val="000000"/>
        </w:rPr>
        <w:t>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-3609340</wp:posOffset>
            </wp:positionH>
            <wp:positionV relativeFrom="paragraph">
              <wp:posOffset>156845</wp:posOffset>
            </wp:positionV>
            <wp:extent cx="7148830" cy="31705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8830" cy="3170555"/>
                    </a:xfrm>
                    <a:prstGeom prst="rect">
                      <a:avLst/>
                    </a:prstGeom>
                    <a:noFill/>
                  </pic:spPr>
                </pic:pic>
              </a:graphicData>
            </a:graphic>
          </wp:anchor>
        </w:drawing>
      </w:r>
    </w:p>
    <w:p>
      <w:pPr>
        <w:spacing w:after="0" w:line="278" w:lineRule="exact"/>
        <w:rPr>
          <w:sz w:val="20"/>
          <w:szCs w:val="20"/>
          <w:color w:val="auto"/>
        </w:rPr>
      </w:pPr>
    </w:p>
    <w:p>
      <w:pPr>
        <w:sectPr>
          <w:pgSz w:w="11900" w:h="16838" w:orient="portrait"/>
          <w:cols w:equalWidth="0" w:num="2">
            <w:col w:w="4960" w:space="720"/>
            <w:col w:w="5580"/>
          </w:cols>
          <w:pgMar w:left="320" w:top="144" w:right="319" w:bottom="1440" w:gutter="0" w:footer="0" w:header="0"/>
          <w:type w:val="continuous"/>
        </w:sectPr>
      </w:pPr>
    </w:p>
    <w:p>
      <w:pPr>
        <w:ind w:left="60"/>
        <w:spacing w:after="0"/>
        <w:rPr>
          <w:sz w:val="20"/>
          <w:szCs w:val="20"/>
          <w:color w:val="auto"/>
        </w:rPr>
      </w:pPr>
      <w:r>
        <w:rPr>
          <w:rFonts w:ascii="Arial" w:cs="Arial" w:eastAsia="Arial" w:hAnsi="Arial"/>
          <w:sz w:val="17"/>
          <w:szCs w:val="17"/>
          <w:b w:val="1"/>
          <w:bCs w:val="1"/>
          <w:color w:val="125288"/>
        </w:rPr>
        <w:t>Purposes &amp; Key Responsibilities</w:t>
      </w:r>
    </w:p>
    <w:p>
      <w:pPr>
        <w:spacing w:after="0" w:line="50" w:lineRule="exact"/>
        <w:rPr>
          <w:sz w:val="20"/>
          <w:szCs w:val="20"/>
          <w:color w:val="auto"/>
        </w:rPr>
      </w:pPr>
    </w:p>
    <w:p>
      <w:pPr>
        <w:ind w:left="220" w:right="120" w:hanging="154"/>
        <w:spacing w:after="0" w:line="239" w:lineRule="auto"/>
        <w:tabs>
          <w:tab w:leader="none" w:pos="220" w:val="left"/>
        </w:tabs>
        <w:numPr>
          <w:ilvl w:val="0"/>
          <w:numId w:val="54"/>
        </w:numPr>
        <w:rPr>
          <w:rFonts w:ascii="Arial" w:cs="Arial" w:eastAsia="Arial" w:hAnsi="Arial"/>
          <w:sz w:val="17"/>
          <w:szCs w:val="17"/>
          <w:color w:val="125288"/>
        </w:rPr>
      </w:pPr>
      <w:r>
        <w:rPr>
          <w:rFonts w:ascii="Arial" w:cs="Arial" w:eastAsia="Arial" w:hAnsi="Arial"/>
          <w:sz w:val="17"/>
          <w:szCs w:val="17"/>
          <w:color w:val="auto"/>
        </w:rPr>
        <w:t>Assisting in identifying and recruiting director nominees, and ensuring that the pool from which any new independent director nominee is chosen and the pool created in any external search for a new chief executive officer include qualified women and racially/ethnically diverse candidates</w:t>
      </w:r>
    </w:p>
    <w:p>
      <w:pPr>
        <w:spacing w:after="0" w:line="26" w:lineRule="exact"/>
        <w:rPr>
          <w:rFonts w:ascii="Arial" w:cs="Arial" w:eastAsia="Arial" w:hAnsi="Arial"/>
          <w:sz w:val="17"/>
          <w:szCs w:val="17"/>
          <w:color w:val="125288"/>
        </w:rPr>
      </w:pPr>
    </w:p>
    <w:p>
      <w:pPr>
        <w:ind w:left="220" w:hanging="154"/>
        <w:spacing w:after="0"/>
        <w:tabs>
          <w:tab w:leader="none" w:pos="220" w:val="left"/>
        </w:tabs>
        <w:numPr>
          <w:ilvl w:val="0"/>
          <w:numId w:val="54"/>
        </w:numPr>
        <w:rPr>
          <w:rFonts w:ascii="Arial" w:cs="Arial" w:eastAsia="Arial" w:hAnsi="Arial"/>
          <w:sz w:val="17"/>
          <w:szCs w:val="17"/>
          <w:color w:val="125288"/>
        </w:rPr>
      </w:pPr>
      <w:r>
        <w:rPr>
          <w:rFonts w:ascii="Arial" w:cs="Arial" w:eastAsia="Arial" w:hAnsi="Arial"/>
          <w:sz w:val="17"/>
          <w:szCs w:val="17"/>
          <w:color w:val="auto"/>
        </w:rPr>
        <w:t>Periodically evaluating the size of our Board and recommending any appropriate increase or decrease</w:t>
      </w:r>
    </w:p>
    <w:p>
      <w:pPr>
        <w:spacing w:after="0" w:line="30" w:lineRule="exact"/>
        <w:rPr>
          <w:rFonts w:ascii="Arial" w:cs="Arial" w:eastAsia="Arial" w:hAnsi="Arial"/>
          <w:sz w:val="17"/>
          <w:szCs w:val="17"/>
          <w:color w:val="125288"/>
        </w:rPr>
      </w:pPr>
    </w:p>
    <w:p>
      <w:pPr>
        <w:ind w:left="220" w:hanging="154"/>
        <w:spacing w:after="0"/>
        <w:tabs>
          <w:tab w:leader="none" w:pos="220" w:val="left"/>
        </w:tabs>
        <w:numPr>
          <w:ilvl w:val="0"/>
          <w:numId w:val="54"/>
        </w:numPr>
        <w:rPr>
          <w:rFonts w:ascii="Arial" w:cs="Arial" w:eastAsia="Arial" w:hAnsi="Arial"/>
          <w:sz w:val="17"/>
          <w:szCs w:val="17"/>
          <w:color w:val="125288"/>
        </w:rPr>
      </w:pPr>
      <w:r>
        <w:rPr>
          <w:rFonts w:ascii="Arial" w:cs="Arial" w:eastAsia="Arial" w:hAnsi="Arial"/>
          <w:sz w:val="17"/>
          <w:szCs w:val="17"/>
          <w:color w:val="auto"/>
        </w:rPr>
        <w:t>Making recommendations regarding the size and composition of the Board’s committees</w:t>
      </w:r>
    </w:p>
    <w:p>
      <w:pPr>
        <w:spacing w:after="0" w:line="30" w:lineRule="exact"/>
        <w:rPr>
          <w:rFonts w:ascii="Arial" w:cs="Arial" w:eastAsia="Arial" w:hAnsi="Arial"/>
          <w:sz w:val="17"/>
          <w:szCs w:val="17"/>
          <w:color w:val="125288"/>
        </w:rPr>
      </w:pPr>
    </w:p>
    <w:p>
      <w:pPr>
        <w:ind w:left="220" w:hanging="154"/>
        <w:spacing w:after="0"/>
        <w:tabs>
          <w:tab w:leader="none" w:pos="220" w:val="left"/>
        </w:tabs>
        <w:numPr>
          <w:ilvl w:val="0"/>
          <w:numId w:val="54"/>
        </w:numPr>
        <w:rPr>
          <w:rFonts w:ascii="Arial" w:cs="Arial" w:eastAsia="Arial" w:hAnsi="Arial"/>
          <w:sz w:val="17"/>
          <w:szCs w:val="17"/>
          <w:color w:val="125288"/>
        </w:rPr>
      </w:pPr>
      <w:r>
        <w:rPr>
          <w:rFonts w:ascii="Arial" w:cs="Arial" w:eastAsia="Arial" w:hAnsi="Arial"/>
          <w:sz w:val="17"/>
          <w:szCs w:val="17"/>
          <w:color w:val="auto"/>
        </w:rPr>
        <w:t>Overseeing the evaluation of our Board and its committees</w:t>
      </w:r>
    </w:p>
    <w:p>
      <w:pPr>
        <w:spacing w:after="0" w:line="30" w:lineRule="exact"/>
        <w:rPr>
          <w:rFonts w:ascii="Arial" w:cs="Arial" w:eastAsia="Arial" w:hAnsi="Arial"/>
          <w:sz w:val="17"/>
          <w:szCs w:val="17"/>
          <w:color w:val="125288"/>
        </w:rPr>
      </w:pPr>
    </w:p>
    <w:p>
      <w:pPr>
        <w:ind w:left="220" w:hanging="154"/>
        <w:spacing w:after="0"/>
        <w:tabs>
          <w:tab w:leader="none" w:pos="220" w:val="left"/>
        </w:tabs>
        <w:numPr>
          <w:ilvl w:val="0"/>
          <w:numId w:val="54"/>
        </w:numPr>
        <w:rPr>
          <w:rFonts w:ascii="Arial" w:cs="Arial" w:eastAsia="Arial" w:hAnsi="Arial"/>
          <w:sz w:val="17"/>
          <w:szCs w:val="17"/>
          <w:color w:val="125288"/>
        </w:rPr>
      </w:pPr>
      <w:r>
        <w:rPr>
          <w:rFonts w:ascii="Arial" w:cs="Arial" w:eastAsia="Arial" w:hAnsi="Arial"/>
          <w:sz w:val="17"/>
          <w:szCs w:val="17"/>
          <w:color w:val="auto"/>
        </w:rPr>
        <w:t>Overseeing our corporate governance affairs and the structure, policies, and practices of our Board</w:t>
      </w:r>
    </w:p>
    <w:p>
      <w:pPr>
        <w:spacing w:after="0" w:line="30" w:lineRule="exact"/>
        <w:rPr>
          <w:rFonts w:ascii="Arial" w:cs="Arial" w:eastAsia="Arial" w:hAnsi="Arial"/>
          <w:sz w:val="17"/>
          <w:szCs w:val="17"/>
          <w:color w:val="125288"/>
        </w:rPr>
      </w:pPr>
    </w:p>
    <w:p>
      <w:pPr>
        <w:ind w:left="220" w:right="940" w:hanging="154"/>
        <w:spacing w:after="0" w:line="239" w:lineRule="auto"/>
        <w:tabs>
          <w:tab w:leader="none" w:pos="220" w:val="left"/>
        </w:tabs>
        <w:numPr>
          <w:ilvl w:val="0"/>
          <w:numId w:val="54"/>
        </w:numPr>
        <w:rPr>
          <w:rFonts w:ascii="Arial" w:cs="Arial" w:eastAsia="Arial" w:hAnsi="Arial"/>
          <w:sz w:val="17"/>
          <w:szCs w:val="17"/>
          <w:color w:val="125288"/>
        </w:rPr>
      </w:pPr>
      <w:r>
        <w:rPr>
          <w:rFonts w:ascii="Arial" w:cs="Arial" w:eastAsia="Arial" w:hAnsi="Arial"/>
          <w:sz w:val="17"/>
          <w:szCs w:val="17"/>
          <w:color w:val="auto"/>
        </w:rPr>
        <w:t>In consultation with the Board and each of the other Board committees, as needed, overseeing the Company’s environmental, social, and governance (“ESG”) strategy, practices, and policies, including the Company’s reporting on ESG matters</w:t>
      </w:r>
    </w:p>
    <w:p>
      <w:pPr>
        <w:spacing w:after="0" w:line="26" w:lineRule="exact"/>
        <w:rPr>
          <w:rFonts w:ascii="Arial" w:cs="Arial" w:eastAsia="Arial" w:hAnsi="Arial"/>
          <w:sz w:val="17"/>
          <w:szCs w:val="17"/>
          <w:color w:val="125288"/>
        </w:rPr>
      </w:pPr>
    </w:p>
    <w:p>
      <w:pPr>
        <w:ind w:left="220" w:right="560" w:hanging="154"/>
        <w:spacing w:after="0" w:line="239" w:lineRule="auto"/>
        <w:tabs>
          <w:tab w:leader="none" w:pos="220" w:val="left"/>
        </w:tabs>
        <w:numPr>
          <w:ilvl w:val="0"/>
          <w:numId w:val="54"/>
        </w:numPr>
        <w:rPr>
          <w:rFonts w:ascii="Arial" w:cs="Arial" w:eastAsia="Arial" w:hAnsi="Arial"/>
          <w:sz w:val="17"/>
          <w:szCs w:val="17"/>
          <w:color w:val="125288"/>
        </w:rPr>
      </w:pPr>
      <w:r>
        <w:rPr>
          <w:rFonts w:ascii="Arial" w:cs="Arial" w:eastAsia="Arial" w:hAnsi="Arial"/>
          <w:sz w:val="17"/>
          <w:szCs w:val="17"/>
          <w:color w:val="auto"/>
        </w:rPr>
        <w:t>Determining the appropriate engagement with shareholder groups and proxy advisory firms on our submissions to our shareholders (which, for matters relating to executive compensation, is done in conjunction with the Compensation Committee)</w:t>
      </w:r>
    </w:p>
    <w:p>
      <w:pPr>
        <w:spacing w:after="0" w:line="26" w:lineRule="exact"/>
        <w:rPr>
          <w:rFonts w:ascii="Arial" w:cs="Arial" w:eastAsia="Arial" w:hAnsi="Arial"/>
          <w:sz w:val="17"/>
          <w:szCs w:val="17"/>
          <w:color w:val="125288"/>
        </w:rPr>
      </w:pPr>
    </w:p>
    <w:p>
      <w:pPr>
        <w:ind w:left="220" w:right="280" w:hanging="154"/>
        <w:spacing w:after="0" w:line="237" w:lineRule="auto"/>
        <w:tabs>
          <w:tab w:leader="none" w:pos="220" w:val="left"/>
        </w:tabs>
        <w:numPr>
          <w:ilvl w:val="0"/>
          <w:numId w:val="54"/>
        </w:numPr>
        <w:rPr>
          <w:rFonts w:ascii="Arial" w:cs="Arial" w:eastAsia="Arial" w:hAnsi="Arial"/>
          <w:sz w:val="17"/>
          <w:szCs w:val="17"/>
          <w:color w:val="125288"/>
        </w:rPr>
      </w:pPr>
      <w:r>
        <w:rPr>
          <w:rFonts w:ascii="Arial" w:cs="Arial" w:eastAsia="Arial" w:hAnsi="Arial"/>
          <w:sz w:val="17"/>
          <w:szCs w:val="17"/>
          <w:color w:val="auto"/>
        </w:rPr>
        <w:t>Evaluating any shareholder proposals submitted for inclusion in any proxy statement for, and for consideration at, any meeting of our shareholders (which, for shareholder proposals relating to the compensation of our directors or employees, is done in conjunction with the Compensation Committee)</w:t>
      </w:r>
    </w:p>
    <w:p>
      <w:pPr>
        <w:spacing w:after="0" w:line="6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125288"/>
        </w:rPr>
        <w:t>Membership</w:t>
      </w:r>
    </w:p>
    <w:p>
      <w:pPr>
        <w:spacing w:after="0" w:line="50" w:lineRule="exact"/>
        <w:rPr>
          <w:sz w:val="20"/>
          <w:szCs w:val="20"/>
          <w:color w:val="auto"/>
        </w:rPr>
      </w:pPr>
    </w:p>
    <w:p>
      <w:pPr>
        <w:ind w:left="60" w:right="260"/>
        <w:spacing w:after="0" w:line="239" w:lineRule="auto"/>
        <w:rPr>
          <w:sz w:val="20"/>
          <w:szCs w:val="20"/>
          <w:color w:val="auto"/>
        </w:rPr>
      </w:pPr>
      <w:r>
        <w:rPr>
          <w:rFonts w:ascii="Arial" w:cs="Arial" w:eastAsia="Arial" w:hAnsi="Arial"/>
          <w:sz w:val="17"/>
          <w:szCs w:val="17"/>
          <w:color w:val="auto"/>
        </w:rPr>
        <w:t>Our Board has determined that each member of the Nominating and Corporate Governance Committee is an independent director under the Nasdaq Rules</w:t>
      </w:r>
    </w:p>
    <w:p>
      <w:pPr>
        <w:spacing w:after="0" w:line="6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125288"/>
        </w:rPr>
        <w:t>Meetings</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7"/>
          <w:szCs w:val="17"/>
          <w:color w:val="auto"/>
        </w:rPr>
        <w:t>Must meet at least two times annually</w:t>
      </w:r>
    </w:p>
    <w:p>
      <w:pPr>
        <w:spacing w:after="0" w:line="7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125288"/>
        </w:rPr>
        <w:t>Engagement of Outside Consultants</w:t>
      </w:r>
    </w:p>
    <w:p>
      <w:pPr>
        <w:spacing w:after="0" w:line="50" w:lineRule="exact"/>
        <w:rPr>
          <w:sz w:val="20"/>
          <w:szCs w:val="20"/>
          <w:color w:val="auto"/>
        </w:rPr>
      </w:pPr>
    </w:p>
    <w:p>
      <w:pPr>
        <w:ind w:left="60" w:right="400"/>
        <w:spacing w:after="0" w:line="239" w:lineRule="auto"/>
        <w:rPr>
          <w:sz w:val="20"/>
          <w:szCs w:val="20"/>
          <w:color w:val="auto"/>
        </w:rPr>
      </w:pPr>
      <w:r>
        <w:rPr>
          <w:rFonts w:ascii="Arial" w:cs="Arial" w:eastAsia="Arial" w:hAnsi="Arial"/>
          <w:sz w:val="17"/>
          <w:szCs w:val="17"/>
          <w:color w:val="auto"/>
        </w:rPr>
        <w:t>The Nominating and Corporate Governance Committee’s charter authorizes it to engage independent counsel or other consultants or advisors as it deems appropriate, including a search firm to assist in identifying director candidates</w:t>
      </w:r>
    </w:p>
    <w:p>
      <w:pPr>
        <w:spacing w:after="0" w:line="32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Ad Hoc Committee</w:t>
      </w:r>
    </w:p>
    <w:p>
      <w:pPr>
        <w:spacing w:after="0" w:line="142" w:lineRule="exact"/>
        <w:rPr>
          <w:sz w:val="20"/>
          <w:szCs w:val="20"/>
          <w:color w:val="auto"/>
        </w:rPr>
      </w:pPr>
    </w:p>
    <w:p>
      <w:pPr>
        <w:ind w:right="20"/>
        <w:spacing w:after="0" w:line="245" w:lineRule="auto"/>
        <w:rPr>
          <w:sz w:val="20"/>
          <w:szCs w:val="20"/>
          <w:color w:val="auto"/>
        </w:rPr>
      </w:pPr>
      <w:r>
        <w:rPr>
          <w:rFonts w:ascii="Arial" w:cs="Arial" w:eastAsia="Arial" w:hAnsi="Arial"/>
          <w:sz w:val="19"/>
          <w:szCs w:val="19"/>
          <w:color w:val="auto"/>
        </w:rPr>
        <w:t>In November 2021, our Board formed a Workplace Responsibility Committee. The duration of this committee is at the discretion of the Board and will be reviewed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48830" cy="2038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8830" cy="203835"/>
                    </a:xfrm>
                    <a:prstGeom prst="rect">
                      <a:avLst/>
                    </a:prstGeom>
                    <a:noFill/>
                  </pic:spPr>
                </pic:pic>
              </a:graphicData>
            </a:graphic>
          </wp:anchor>
        </w:drawing>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WORKPLACE RESPONSIBILITY COMMITTEE</w:t>
      </w:r>
    </w:p>
    <w:p>
      <w:pPr>
        <w:spacing w:after="0" w:line="105"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125288"/>
        </w:rPr>
        <w:t xml:space="preserve">Current Members: </w:t>
      </w:r>
      <w:r>
        <w:rPr>
          <w:rFonts w:ascii="Arial" w:cs="Arial" w:eastAsia="Arial" w:hAnsi="Arial"/>
          <w:sz w:val="15"/>
          <w:szCs w:val="15"/>
          <w:b w:val="1"/>
          <w:bCs w:val="1"/>
          <w:color w:val="000000"/>
        </w:rPr>
        <w:t>Dawn Ostroff (Chair), Reveta Bowers,</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Lulu Meservey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148830" cy="17887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8830" cy="1788795"/>
                    </a:xfrm>
                    <a:prstGeom prst="rect">
                      <a:avLst/>
                    </a:prstGeom>
                    <a:noFill/>
                  </pic:spPr>
                </pic:pic>
              </a:graphicData>
            </a:graphic>
          </wp:anchor>
        </w:drawing>
      </w:r>
    </w:p>
    <w:p>
      <w:pPr>
        <w:spacing w:after="0" w:line="6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125288"/>
        </w:rPr>
        <w:t>Purposes &amp; Key Responsibilities</w:t>
      </w:r>
    </w:p>
    <w:p>
      <w:pPr>
        <w:spacing w:after="0" w:line="50" w:lineRule="exact"/>
        <w:rPr>
          <w:sz w:val="20"/>
          <w:szCs w:val="20"/>
          <w:color w:val="auto"/>
        </w:rPr>
      </w:pPr>
    </w:p>
    <w:p>
      <w:pPr>
        <w:ind w:left="220" w:right="80" w:hanging="154"/>
        <w:spacing w:after="0" w:line="237" w:lineRule="auto"/>
        <w:tabs>
          <w:tab w:leader="none" w:pos="220" w:val="left"/>
        </w:tabs>
        <w:numPr>
          <w:ilvl w:val="0"/>
          <w:numId w:val="55"/>
        </w:numPr>
        <w:rPr>
          <w:rFonts w:ascii="Arial" w:cs="Arial" w:eastAsia="Arial" w:hAnsi="Arial"/>
          <w:sz w:val="17"/>
          <w:szCs w:val="17"/>
          <w:color w:val="125288"/>
        </w:rPr>
      </w:pPr>
      <w:r>
        <w:rPr>
          <w:rFonts w:ascii="Arial" w:cs="Arial" w:eastAsia="Arial" w:hAnsi="Arial"/>
          <w:sz w:val="17"/>
          <w:szCs w:val="17"/>
          <w:color w:val="auto"/>
        </w:rPr>
        <w:t>Overseeing the Company’s progress in successfully implementing new and updated workplace policies, procedures and commitments, including commitments made to appropriate regulatory agencies, and working with management in developing such additional enhancements or best practices as the committee deems appropriate</w:t>
      </w:r>
    </w:p>
    <w:p>
      <w:pPr>
        <w:spacing w:after="0" w:line="27" w:lineRule="exact"/>
        <w:rPr>
          <w:rFonts w:ascii="Arial" w:cs="Arial" w:eastAsia="Arial" w:hAnsi="Arial"/>
          <w:sz w:val="17"/>
          <w:szCs w:val="17"/>
          <w:color w:val="125288"/>
        </w:rPr>
      </w:pPr>
    </w:p>
    <w:p>
      <w:pPr>
        <w:ind w:left="220" w:hanging="154"/>
        <w:spacing w:after="0"/>
        <w:tabs>
          <w:tab w:leader="none" w:pos="220" w:val="left"/>
        </w:tabs>
        <w:numPr>
          <w:ilvl w:val="0"/>
          <w:numId w:val="55"/>
        </w:numPr>
        <w:rPr>
          <w:rFonts w:ascii="Arial" w:cs="Arial" w:eastAsia="Arial" w:hAnsi="Arial"/>
          <w:sz w:val="17"/>
          <w:szCs w:val="17"/>
          <w:color w:val="125288"/>
        </w:rPr>
      </w:pPr>
      <w:r>
        <w:rPr>
          <w:rFonts w:ascii="Arial" w:cs="Arial" w:eastAsia="Arial" w:hAnsi="Arial"/>
          <w:sz w:val="17"/>
          <w:szCs w:val="17"/>
          <w:color w:val="auto"/>
        </w:rPr>
        <w:t>In consultation with management, developing key performance indicators and/or other means to measure progress and ensure accountability</w:t>
      </w:r>
    </w:p>
    <w:p>
      <w:pPr>
        <w:spacing w:after="0" w:line="30" w:lineRule="exact"/>
        <w:rPr>
          <w:rFonts w:ascii="Arial" w:cs="Arial" w:eastAsia="Arial" w:hAnsi="Arial"/>
          <w:sz w:val="17"/>
          <w:szCs w:val="17"/>
          <w:color w:val="125288"/>
        </w:rPr>
      </w:pPr>
    </w:p>
    <w:p>
      <w:pPr>
        <w:ind w:left="220" w:hanging="154"/>
        <w:spacing w:after="0"/>
        <w:tabs>
          <w:tab w:leader="none" w:pos="220" w:val="left"/>
        </w:tabs>
        <w:numPr>
          <w:ilvl w:val="0"/>
          <w:numId w:val="55"/>
        </w:numPr>
        <w:rPr>
          <w:rFonts w:ascii="Arial" w:cs="Arial" w:eastAsia="Arial" w:hAnsi="Arial"/>
          <w:sz w:val="17"/>
          <w:szCs w:val="17"/>
          <w:color w:val="125288"/>
        </w:rPr>
      </w:pPr>
      <w:r>
        <w:rPr>
          <w:rFonts w:ascii="Arial" w:cs="Arial" w:eastAsia="Arial" w:hAnsi="Arial"/>
          <w:sz w:val="17"/>
          <w:szCs w:val="17"/>
          <w:color w:val="auto"/>
        </w:rPr>
        <w:t>Receiving progress reports from the Company’s Chief Executive Officer, Chief People Officer, and Chief Compliance Officer</w:t>
      </w:r>
    </w:p>
    <w:p>
      <w:pPr>
        <w:spacing w:after="0" w:line="30" w:lineRule="exact"/>
        <w:rPr>
          <w:sz w:val="20"/>
          <w:szCs w:val="20"/>
          <w:color w:val="auto"/>
        </w:rPr>
      </w:pPr>
    </w:p>
    <w:p>
      <w:pPr>
        <w:ind w:left="60" w:right="400"/>
        <w:spacing w:after="0" w:line="239" w:lineRule="auto"/>
        <w:rPr>
          <w:sz w:val="20"/>
          <w:szCs w:val="20"/>
          <w:color w:val="auto"/>
        </w:rPr>
      </w:pPr>
      <w:r>
        <w:rPr>
          <w:rFonts w:ascii="Arial" w:cs="Arial" w:eastAsia="Arial" w:hAnsi="Arial"/>
          <w:sz w:val="17"/>
          <w:szCs w:val="17"/>
          <w:color w:val="auto"/>
        </w:rPr>
        <w:t>The independent EEO consultant engaged pursuant to the consent decree between the EEOC and the Company and the Company’s internal EEO coordinator will have regular access to the Workplace Responsibility Committee</w:t>
      </w:r>
    </w:p>
    <w:p>
      <w:pPr>
        <w:spacing w:after="0" w:line="6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125288"/>
        </w:rPr>
        <w:t>Membership</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7"/>
          <w:szCs w:val="17"/>
          <w:color w:val="auto"/>
        </w:rPr>
        <w:t>Our Board has determined that each member of the Workplace Responsibility Committee is an independent director under the Nasdaq Rules</w:t>
      </w:r>
    </w:p>
    <w:p>
      <w:pPr>
        <w:spacing w:after="0" w:line="7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125288"/>
        </w:rPr>
        <w:t>Meetings</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7"/>
          <w:szCs w:val="17"/>
          <w:color w:val="auto"/>
        </w:rPr>
        <w:t>No specified number of meetings required, but must report to the Board on at least a quarterly basis</w:t>
      </w:r>
    </w:p>
    <w:p>
      <w:pPr>
        <w:spacing w:after="0" w:line="367"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type w:val="continuous"/>
        </w:sectPr>
      </w:pPr>
    </w:p>
    <w:bookmarkStart w:id="37" w:name="page38"/>
    <w:bookmarkEnd w:id="37"/>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DIRECTOR ORIENTATION AND CONTINUING EDUCATION</w:t>
      </w:r>
    </w:p>
    <w:p>
      <w:pPr>
        <w:spacing w:after="0" w:line="28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Board Orientation</w:t>
      </w:r>
    </w:p>
    <w:p>
      <w:pPr>
        <w:spacing w:after="0" w:line="142" w:lineRule="exact"/>
        <w:rPr>
          <w:sz w:val="20"/>
          <w:szCs w:val="20"/>
          <w:color w:val="auto"/>
        </w:rPr>
      </w:pPr>
    </w:p>
    <w:p>
      <w:pPr>
        <w:jc w:val="both"/>
        <w:spacing w:after="0"/>
        <w:rPr>
          <w:sz w:val="20"/>
          <w:szCs w:val="20"/>
          <w:color w:val="auto"/>
        </w:rPr>
      </w:pPr>
      <w:r>
        <w:rPr>
          <w:rFonts w:ascii="Arial" w:cs="Arial" w:eastAsia="Arial" w:hAnsi="Arial"/>
          <w:sz w:val="19"/>
          <w:szCs w:val="19"/>
          <w:color w:val="auto"/>
        </w:rPr>
        <w:t>New directors receive a director orientation manual that provides them with important information about the Company, our Board, and the general roles and responsibilities of directors of publicly traded companies. Each new director also is invited to attend an “onboarding day,” during which they meet with our executives and other key members of senior management.</w:t>
      </w:r>
    </w:p>
    <w:p>
      <w:pPr>
        <w:spacing w:after="0" w:line="23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Continuing Education</w:t>
      </w:r>
    </w:p>
    <w:p>
      <w:pPr>
        <w:spacing w:after="0" w:line="142"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We recognize the benefit of continuing education for our directors. Our executives and other key members of senior management routinely speak at Board and committee meetings on topics impacting the Company, including emerging risks, industry trends, technological developments, economic forecasts, and competitive challenges. In addition, we may engage third parties to provide in-boardroom education. We also encourage our directors to attend external educational programs and provide financial and administrative support for that purpose.</w:t>
      </w:r>
    </w:p>
    <w:p>
      <w:pPr>
        <w:spacing w:after="0" w:line="235"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LIMITS ON OTHER DIRECTORSHIPS</w:t>
      </w:r>
    </w:p>
    <w:p>
      <w:pPr>
        <w:spacing w:after="0" w:line="309"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Directors must obtain the approval of the Nominating and Corporate Governance Committee before accepting a board membership at another publicly held company. No director may serve on the boards of more than four other publicly held companies. In addition, no director may serve as a member of our Audit Committee if that director serves on the audit committees of more than two other public companies, unless our Board determines that the simultaneous service would not impair the ability of the director to effectively serve on our Audit Committee.</w:t>
      </w:r>
    </w:p>
    <w:p>
      <w:pPr>
        <w:spacing w:after="0" w:line="235"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MANDATORY OFFERS TO RESIGN FROM OUR BOARD</w:t>
      </w:r>
    </w:p>
    <w:p>
      <w:pPr>
        <w:spacing w:after="0" w:line="28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Directors Who Fail to Receive a Majority of “For” Votes</w:t>
      </w:r>
    </w:p>
    <w:p>
      <w:pPr>
        <w:spacing w:after="0" w:line="142"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A director nominee will be elected in an uncontested election only if the number of shares voted “for” that nominee exceeds the number of shares voted “against” that nominee by the holders of shares present in person or by proxy at the meeting and entitled to vote on the election of directors. If a nominee who currently serves as a director is not re-elected, Delaware law and our Bylaws provide that the director will continue to serve on our Board as a “holdover director” (i.e., until a successor has been duly elected and qualified, or until the director’s earlier death, resignation, or removal). However, our Corporate Governance Principles and Policies require a director who fails to receive the required number of votes for re-election to offer to resign from our Board.</w:t>
      </w:r>
    </w:p>
    <w:p>
      <w:pPr>
        <w:spacing w:after="0" w:line="263"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In such an instance, our Board or, at the Board’s discretion, the Nominating and Corporate Governance Committee, without the participation of the “holdover” director, will consider whether the continued service of the director offering to resign is appropriate, based on any factors it deems relevant (e.g., the underlying reasons for the “against” votes, the length of service and qualifications of the director, the director’s contributions to our Company, and the skills and characteristics of the director). If our Board or the Nominating and Corporate Governance Committee, as the case may be, determines that the director continues to contribute significantly to the Company, their membership on our Board may continue.</w:t>
      </w:r>
    </w:p>
    <w:p>
      <w:pPr>
        <w:spacing w:after="0" w:line="157"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38" w:name="page39"/>
    <w:bookmarkEnd w:id="38"/>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Directors Who Change Their Professional Role</w:t>
      </w:r>
    </w:p>
    <w:p>
      <w:pPr>
        <w:spacing w:after="0" w:line="142"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An independent director who retires, changes employment, or otherwise has a significant change in professional role or responsibilities that may reasonably be seen to affect the director’s ability to serve must offer to resign from our Board. Similarly, unless our Board or the Nominating and Corporate Governance Committee determines otherwise, or the director has an agreement with us to the contrary, if a director who is employed by Activision Blizzard retires, resigns, or otherwise has a significant change in professional role or responsibilities, that director must offer to resign from our Board.</w:t>
      </w:r>
    </w:p>
    <w:p>
      <w:pPr>
        <w:spacing w:after="0" w:line="260"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In any such instance, our Board or, at our Board’s discretion, the Nominating and Corporate Governance Committee, without the participation of the director offering to resign, will consider whether the continued service of such director is appropriate in light of such professional change. If our Board or the Nominating and Corporate Governance Committee, as the case may be, determines that the director continues to contribute significantly to the Company, their membership on our Board may continue.</w:t>
      </w:r>
    </w:p>
    <w:p>
      <w:pPr>
        <w:spacing w:after="0" w:line="237"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HOW TO COMMUNICATE WITH OUR BOARD</w:t>
      </w:r>
    </w:p>
    <w:p>
      <w:pPr>
        <w:spacing w:after="0" w:line="309"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We believe that communication with our shareholders is very important. All feedback sent to us from any shareholder, no matter the size of their holdings, is reviewed. Our Corporate Secretary reviews all communications addressed to our Board, any of its committees, or one or more individual directors. Generally, communications that are advertising materials, promotions of a product or service, employment solicitations, or patently offensive will not be forwarded. Communications that relate to our accounting practices, internal accounting controls, or auditing matters will be promptly forwarded to the Chair of the Audit Committee. Communications that relate to any other matter that our Corporate Secretary considers appropriate will be forwarded promptly to the addressee(s).</w:t>
      </w: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918"/>
        </w:trPr>
        <w:tc>
          <w:tcPr>
            <w:tcW w:w="4900" w:type="dxa"/>
            <w:vAlign w:val="bottom"/>
            <w:tcBorders>
              <w:top w:val="single" w:sz="8" w:color="125288"/>
              <w:left w:val="single" w:sz="8" w:color="125288"/>
            </w:tcBorders>
          </w:tcPr>
          <w:p>
            <w:pPr>
              <w:jc w:val="center"/>
              <w:ind w:left="118"/>
              <w:spacing w:after="0"/>
              <w:rPr>
                <w:sz w:val="20"/>
                <w:szCs w:val="20"/>
                <w:color w:val="auto"/>
              </w:rPr>
            </w:pPr>
            <w:r>
              <w:rPr>
                <w:rFonts w:ascii="Arial" w:cs="Arial" w:eastAsia="Arial" w:hAnsi="Arial"/>
                <w:sz w:val="17"/>
                <w:szCs w:val="17"/>
                <w:b w:val="1"/>
                <w:bCs w:val="1"/>
                <w:color w:val="125288"/>
                <w:w w:val="97"/>
              </w:rPr>
              <w:t>By Mail</w:t>
            </w:r>
          </w:p>
        </w:tc>
        <w:tc>
          <w:tcPr>
            <w:tcW w:w="4380" w:type="dxa"/>
            <w:vAlign w:val="bottom"/>
            <w:tcBorders>
              <w:top w:val="single" w:sz="8" w:color="125288"/>
            </w:tcBorders>
          </w:tcPr>
          <w:p>
            <w:pPr>
              <w:jc w:val="center"/>
              <w:ind w:right="1059"/>
              <w:spacing w:after="0"/>
              <w:rPr>
                <w:sz w:val="20"/>
                <w:szCs w:val="20"/>
                <w:color w:val="auto"/>
              </w:rPr>
            </w:pPr>
            <w:r>
              <w:rPr>
                <w:rFonts w:ascii="Arial" w:cs="Arial" w:eastAsia="Arial" w:hAnsi="Arial"/>
                <w:sz w:val="17"/>
                <w:szCs w:val="17"/>
                <w:b w:val="1"/>
                <w:bCs w:val="1"/>
                <w:color w:val="125288"/>
                <w:w w:val="96"/>
              </w:rPr>
              <w:t>Email</w:t>
            </w:r>
          </w:p>
        </w:tc>
        <w:tc>
          <w:tcPr>
            <w:tcW w:w="1680" w:type="dxa"/>
            <w:vAlign w:val="bottom"/>
            <w:tcBorders>
              <w:top w:val="single" w:sz="8" w:color="125288"/>
            </w:tcBorders>
          </w:tcPr>
          <w:p>
            <w:pPr>
              <w:jc w:val="center"/>
              <w:ind w:right="940"/>
              <w:spacing w:after="0"/>
              <w:rPr>
                <w:sz w:val="20"/>
                <w:szCs w:val="20"/>
                <w:color w:val="auto"/>
              </w:rPr>
            </w:pPr>
            <w:r>
              <w:rPr>
                <w:rFonts w:ascii="Arial" w:cs="Arial" w:eastAsia="Arial" w:hAnsi="Arial"/>
                <w:sz w:val="17"/>
                <w:szCs w:val="17"/>
                <w:b w:val="1"/>
                <w:bCs w:val="1"/>
                <w:color w:val="125288"/>
                <w:w w:val="96"/>
              </w:rPr>
              <w:t>Phone</w:t>
            </w:r>
          </w:p>
        </w:tc>
        <w:tc>
          <w:tcPr>
            <w:tcW w:w="300" w:type="dxa"/>
            <w:vAlign w:val="bottom"/>
            <w:tcBorders>
              <w:top w:val="single" w:sz="8" w:color="125288"/>
              <w:right w:val="single" w:sz="8" w:color="125288"/>
            </w:tcBorders>
          </w:tcPr>
          <w:p>
            <w:pPr>
              <w:spacing w:after="0"/>
              <w:rPr>
                <w:sz w:val="24"/>
                <w:szCs w:val="24"/>
                <w:color w:val="auto"/>
              </w:rPr>
            </w:pPr>
          </w:p>
        </w:tc>
      </w:tr>
      <w:tr>
        <w:trPr>
          <w:trHeight w:val="251"/>
        </w:trPr>
        <w:tc>
          <w:tcPr>
            <w:tcW w:w="4900" w:type="dxa"/>
            <w:vAlign w:val="bottom"/>
            <w:tcBorders>
              <w:left w:val="single" w:sz="8" w:color="125288"/>
            </w:tcBorders>
          </w:tcPr>
          <w:p>
            <w:pPr>
              <w:jc w:val="center"/>
              <w:ind w:left="158"/>
              <w:spacing w:after="0"/>
              <w:rPr>
                <w:sz w:val="20"/>
                <w:szCs w:val="20"/>
                <w:color w:val="auto"/>
              </w:rPr>
            </w:pPr>
            <w:r>
              <w:rPr>
                <w:rFonts w:ascii="Arial" w:cs="Arial" w:eastAsia="Arial" w:hAnsi="Arial"/>
                <w:sz w:val="17"/>
                <w:szCs w:val="17"/>
                <w:color w:val="auto"/>
                <w:w w:val="99"/>
              </w:rPr>
              <w:t>mail to</w:t>
            </w:r>
          </w:p>
        </w:tc>
        <w:tc>
          <w:tcPr>
            <w:tcW w:w="4380" w:type="dxa"/>
            <w:vAlign w:val="bottom"/>
          </w:tcPr>
          <w:p>
            <w:pPr>
              <w:jc w:val="center"/>
              <w:ind w:right="1039"/>
              <w:spacing w:after="0"/>
              <w:rPr>
                <w:sz w:val="20"/>
                <w:szCs w:val="20"/>
                <w:color w:val="auto"/>
              </w:rPr>
            </w:pPr>
            <w:r>
              <w:rPr>
                <w:rFonts w:ascii="Arial" w:cs="Arial" w:eastAsia="Arial" w:hAnsi="Arial"/>
                <w:sz w:val="17"/>
                <w:szCs w:val="17"/>
                <w:color w:val="auto"/>
                <w:w w:val="96"/>
              </w:rPr>
              <w:t>send email to</w:t>
            </w:r>
          </w:p>
        </w:tc>
        <w:tc>
          <w:tcPr>
            <w:tcW w:w="1680" w:type="dxa"/>
            <w:vAlign w:val="bottom"/>
          </w:tcPr>
          <w:p>
            <w:pPr>
              <w:jc w:val="center"/>
              <w:ind w:right="940"/>
              <w:spacing w:after="0"/>
              <w:rPr>
                <w:sz w:val="20"/>
                <w:szCs w:val="20"/>
                <w:color w:val="auto"/>
              </w:rPr>
            </w:pPr>
            <w:r>
              <w:rPr>
                <w:rFonts w:ascii="Arial" w:cs="Arial" w:eastAsia="Arial" w:hAnsi="Arial"/>
                <w:sz w:val="17"/>
                <w:szCs w:val="17"/>
                <w:color w:val="auto"/>
                <w:w w:val="95"/>
              </w:rPr>
              <w:t>Investor</w:t>
            </w:r>
          </w:p>
        </w:tc>
        <w:tc>
          <w:tcPr>
            <w:tcW w:w="300" w:type="dxa"/>
            <w:vAlign w:val="bottom"/>
            <w:tcBorders>
              <w:right w:val="single" w:sz="8" w:color="125288"/>
            </w:tcBorders>
          </w:tcPr>
          <w:p>
            <w:pPr>
              <w:spacing w:after="0"/>
              <w:rPr>
                <w:sz w:val="21"/>
                <w:szCs w:val="21"/>
                <w:color w:val="auto"/>
              </w:rPr>
            </w:pPr>
          </w:p>
        </w:tc>
      </w:tr>
      <w:tr>
        <w:trPr>
          <w:trHeight w:val="226"/>
        </w:trPr>
        <w:tc>
          <w:tcPr>
            <w:tcW w:w="4900" w:type="dxa"/>
            <w:vAlign w:val="bottom"/>
            <w:tcBorders>
              <w:left w:val="single" w:sz="8" w:color="125288"/>
            </w:tcBorders>
          </w:tcPr>
          <w:p>
            <w:pPr>
              <w:jc w:val="center"/>
              <w:ind w:left="158"/>
              <w:spacing w:after="0"/>
              <w:rPr>
                <w:sz w:val="20"/>
                <w:szCs w:val="20"/>
                <w:color w:val="auto"/>
              </w:rPr>
            </w:pPr>
            <w:r>
              <w:rPr>
                <w:rFonts w:ascii="Arial" w:cs="Arial" w:eastAsia="Arial" w:hAnsi="Arial"/>
                <w:sz w:val="17"/>
                <w:szCs w:val="17"/>
                <w:color w:val="auto"/>
                <w:w w:val="97"/>
              </w:rPr>
              <w:t>Activision Blizzard, Inc.</w:t>
            </w:r>
          </w:p>
        </w:tc>
        <w:tc>
          <w:tcPr>
            <w:tcW w:w="4380" w:type="dxa"/>
            <w:vAlign w:val="bottom"/>
          </w:tcPr>
          <w:p>
            <w:pPr>
              <w:jc w:val="center"/>
              <w:ind w:right="1039"/>
              <w:spacing w:after="0"/>
              <w:rPr>
                <w:sz w:val="20"/>
                <w:szCs w:val="20"/>
                <w:color w:val="auto"/>
              </w:rPr>
            </w:pPr>
            <w:r>
              <w:rPr>
                <w:rFonts w:ascii="Arial" w:cs="Arial" w:eastAsia="Arial" w:hAnsi="Arial"/>
                <w:sz w:val="17"/>
                <w:szCs w:val="17"/>
                <w:color w:val="auto"/>
                <w:w w:val="97"/>
              </w:rPr>
              <w:t>ir@activision.com</w:t>
            </w:r>
          </w:p>
        </w:tc>
        <w:tc>
          <w:tcPr>
            <w:tcW w:w="1680" w:type="dxa"/>
            <w:vAlign w:val="bottom"/>
          </w:tcPr>
          <w:p>
            <w:pPr>
              <w:jc w:val="center"/>
              <w:ind w:right="900"/>
              <w:spacing w:after="0"/>
              <w:rPr>
                <w:sz w:val="20"/>
                <w:szCs w:val="20"/>
                <w:color w:val="auto"/>
              </w:rPr>
            </w:pPr>
            <w:r>
              <w:rPr>
                <w:rFonts w:ascii="Arial" w:cs="Arial" w:eastAsia="Arial" w:hAnsi="Arial"/>
                <w:sz w:val="17"/>
                <w:szCs w:val="17"/>
                <w:color w:val="auto"/>
                <w:w w:val="98"/>
              </w:rPr>
              <w:t>Relations</w:t>
            </w:r>
          </w:p>
        </w:tc>
        <w:tc>
          <w:tcPr>
            <w:tcW w:w="300" w:type="dxa"/>
            <w:vAlign w:val="bottom"/>
            <w:tcBorders>
              <w:right w:val="single" w:sz="8" w:color="125288"/>
            </w:tcBorders>
          </w:tcPr>
          <w:p>
            <w:pPr>
              <w:spacing w:after="0"/>
              <w:rPr>
                <w:sz w:val="19"/>
                <w:szCs w:val="19"/>
                <w:color w:val="auto"/>
              </w:rPr>
            </w:pPr>
          </w:p>
        </w:tc>
      </w:tr>
      <w:tr>
        <w:trPr>
          <w:trHeight w:val="236"/>
        </w:trPr>
        <w:tc>
          <w:tcPr>
            <w:tcW w:w="4900" w:type="dxa"/>
            <w:vAlign w:val="bottom"/>
            <w:tcBorders>
              <w:left w:val="single" w:sz="8" w:color="125288"/>
            </w:tcBorders>
          </w:tcPr>
          <w:p>
            <w:pPr>
              <w:jc w:val="center"/>
              <w:ind w:left="158"/>
              <w:spacing w:after="0"/>
              <w:rPr>
                <w:sz w:val="20"/>
                <w:szCs w:val="20"/>
                <w:color w:val="auto"/>
              </w:rPr>
            </w:pPr>
            <w:r>
              <w:rPr>
                <w:rFonts w:ascii="Arial" w:cs="Arial" w:eastAsia="Arial" w:hAnsi="Arial"/>
                <w:sz w:val="17"/>
                <w:szCs w:val="17"/>
                <w:color w:val="auto"/>
                <w:w w:val="98"/>
              </w:rPr>
              <w:t>c/o Corporate Secretary</w:t>
            </w:r>
          </w:p>
        </w:tc>
        <w:tc>
          <w:tcPr>
            <w:tcW w:w="6060" w:type="dxa"/>
            <w:vAlign w:val="bottom"/>
            <w:gridSpan w:val="2"/>
          </w:tcPr>
          <w:p>
            <w:pPr>
              <w:jc w:val="right"/>
              <w:ind w:right="680"/>
              <w:spacing w:after="0"/>
              <w:rPr>
                <w:sz w:val="20"/>
                <w:szCs w:val="20"/>
                <w:color w:val="auto"/>
              </w:rPr>
            </w:pPr>
            <w:r>
              <w:rPr>
                <w:rFonts w:ascii="Arial" w:cs="Arial" w:eastAsia="Arial" w:hAnsi="Arial"/>
                <w:sz w:val="17"/>
                <w:szCs w:val="17"/>
                <w:color w:val="auto"/>
              </w:rPr>
              <w:t>(310) 255-2000</w:t>
            </w:r>
          </w:p>
        </w:tc>
        <w:tc>
          <w:tcPr>
            <w:tcW w:w="300" w:type="dxa"/>
            <w:vAlign w:val="bottom"/>
            <w:tcBorders>
              <w:right w:val="single" w:sz="8" w:color="125288"/>
            </w:tcBorders>
          </w:tcPr>
          <w:p>
            <w:pPr>
              <w:spacing w:after="0"/>
              <w:rPr>
                <w:sz w:val="20"/>
                <w:szCs w:val="20"/>
                <w:color w:val="auto"/>
              </w:rPr>
            </w:pPr>
          </w:p>
        </w:tc>
      </w:tr>
      <w:tr>
        <w:trPr>
          <w:trHeight w:val="226"/>
        </w:trPr>
        <w:tc>
          <w:tcPr>
            <w:tcW w:w="4900" w:type="dxa"/>
            <w:vAlign w:val="bottom"/>
            <w:tcBorders>
              <w:left w:val="single" w:sz="8" w:color="125288"/>
            </w:tcBorders>
          </w:tcPr>
          <w:p>
            <w:pPr>
              <w:jc w:val="center"/>
              <w:ind w:left="158"/>
              <w:spacing w:after="0"/>
              <w:rPr>
                <w:sz w:val="20"/>
                <w:szCs w:val="20"/>
                <w:color w:val="auto"/>
              </w:rPr>
            </w:pPr>
            <w:r>
              <w:rPr>
                <w:rFonts w:ascii="Arial" w:cs="Arial" w:eastAsia="Arial" w:hAnsi="Arial"/>
                <w:sz w:val="17"/>
                <w:szCs w:val="17"/>
                <w:color w:val="auto"/>
                <w:w w:val="97"/>
              </w:rPr>
              <w:t>2701 Olympic Boulevard, Building B,</w:t>
            </w:r>
          </w:p>
        </w:tc>
        <w:tc>
          <w:tcPr>
            <w:tcW w:w="4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00" w:type="dxa"/>
            <w:vAlign w:val="bottom"/>
            <w:tcBorders>
              <w:right w:val="single" w:sz="8" w:color="125288"/>
            </w:tcBorders>
          </w:tcPr>
          <w:p>
            <w:pPr>
              <w:spacing w:after="0"/>
              <w:rPr>
                <w:sz w:val="19"/>
                <w:szCs w:val="19"/>
                <w:color w:val="auto"/>
              </w:rPr>
            </w:pPr>
          </w:p>
        </w:tc>
      </w:tr>
      <w:tr>
        <w:trPr>
          <w:trHeight w:val="226"/>
        </w:trPr>
        <w:tc>
          <w:tcPr>
            <w:tcW w:w="4900" w:type="dxa"/>
            <w:vAlign w:val="bottom"/>
            <w:tcBorders>
              <w:left w:val="single" w:sz="8" w:color="125288"/>
            </w:tcBorders>
          </w:tcPr>
          <w:p>
            <w:pPr>
              <w:jc w:val="center"/>
              <w:ind w:left="118"/>
              <w:spacing w:after="0"/>
              <w:rPr>
                <w:sz w:val="20"/>
                <w:szCs w:val="20"/>
                <w:color w:val="auto"/>
              </w:rPr>
            </w:pPr>
            <w:r>
              <w:rPr>
                <w:rFonts w:ascii="Arial" w:cs="Arial" w:eastAsia="Arial" w:hAnsi="Arial"/>
                <w:sz w:val="17"/>
                <w:szCs w:val="17"/>
                <w:color w:val="auto"/>
                <w:w w:val="97"/>
              </w:rPr>
              <w:t>Santa Monica,</w:t>
            </w:r>
          </w:p>
        </w:tc>
        <w:tc>
          <w:tcPr>
            <w:tcW w:w="4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00" w:type="dxa"/>
            <w:vAlign w:val="bottom"/>
            <w:tcBorders>
              <w:right w:val="single" w:sz="8" w:color="125288"/>
            </w:tcBorders>
          </w:tcPr>
          <w:p>
            <w:pPr>
              <w:spacing w:after="0"/>
              <w:rPr>
                <w:sz w:val="19"/>
                <w:szCs w:val="19"/>
                <w:color w:val="auto"/>
              </w:rPr>
            </w:pPr>
          </w:p>
        </w:tc>
      </w:tr>
      <w:tr>
        <w:trPr>
          <w:trHeight w:val="226"/>
        </w:trPr>
        <w:tc>
          <w:tcPr>
            <w:tcW w:w="4900" w:type="dxa"/>
            <w:vAlign w:val="bottom"/>
            <w:tcBorders>
              <w:left w:val="single" w:sz="8" w:color="125288"/>
            </w:tcBorders>
          </w:tcPr>
          <w:p>
            <w:pPr>
              <w:jc w:val="center"/>
              <w:ind w:left="158"/>
              <w:spacing w:after="0"/>
              <w:rPr>
                <w:sz w:val="20"/>
                <w:szCs w:val="20"/>
                <w:color w:val="auto"/>
              </w:rPr>
            </w:pPr>
            <w:r>
              <w:rPr>
                <w:rFonts w:ascii="Arial" w:cs="Arial" w:eastAsia="Arial" w:hAnsi="Arial"/>
                <w:sz w:val="17"/>
                <w:szCs w:val="17"/>
                <w:color w:val="auto"/>
                <w:w w:val="98"/>
              </w:rPr>
              <w:t>California 90404</w:t>
            </w:r>
          </w:p>
        </w:tc>
        <w:tc>
          <w:tcPr>
            <w:tcW w:w="4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00" w:type="dxa"/>
            <w:vAlign w:val="bottom"/>
            <w:tcBorders>
              <w:right w:val="single" w:sz="8" w:color="125288"/>
            </w:tcBorders>
          </w:tcPr>
          <w:p>
            <w:pPr>
              <w:spacing w:after="0"/>
              <w:rPr>
                <w:sz w:val="19"/>
                <w:szCs w:val="19"/>
                <w:color w:val="auto"/>
              </w:rPr>
            </w:pPr>
          </w:p>
        </w:tc>
      </w:tr>
      <w:tr>
        <w:trPr>
          <w:trHeight w:val="37"/>
        </w:trPr>
        <w:tc>
          <w:tcPr>
            <w:tcW w:w="4900" w:type="dxa"/>
            <w:vAlign w:val="bottom"/>
            <w:tcBorders>
              <w:left w:val="single" w:sz="8" w:color="125288"/>
              <w:bottom w:val="single" w:sz="8" w:color="125288"/>
            </w:tcBorders>
          </w:tcPr>
          <w:p>
            <w:pPr>
              <w:spacing w:after="0"/>
              <w:rPr>
                <w:sz w:val="3"/>
                <w:szCs w:val="3"/>
                <w:color w:val="auto"/>
              </w:rPr>
            </w:pPr>
          </w:p>
        </w:tc>
        <w:tc>
          <w:tcPr>
            <w:tcW w:w="4380" w:type="dxa"/>
            <w:vAlign w:val="bottom"/>
            <w:tcBorders>
              <w:bottom w:val="single" w:sz="8" w:color="125288"/>
            </w:tcBorders>
          </w:tcPr>
          <w:p>
            <w:pPr>
              <w:spacing w:after="0"/>
              <w:rPr>
                <w:sz w:val="3"/>
                <w:szCs w:val="3"/>
                <w:color w:val="auto"/>
              </w:rPr>
            </w:pPr>
          </w:p>
        </w:tc>
        <w:tc>
          <w:tcPr>
            <w:tcW w:w="1680" w:type="dxa"/>
            <w:vAlign w:val="bottom"/>
            <w:tcBorders>
              <w:bottom w:val="single" w:sz="8" w:color="125288"/>
            </w:tcBorders>
          </w:tcPr>
          <w:p>
            <w:pPr>
              <w:spacing w:after="0"/>
              <w:rPr>
                <w:sz w:val="3"/>
                <w:szCs w:val="3"/>
                <w:color w:val="auto"/>
              </w:rPr>
            </w:pPr>
          </w:p>
        </w:tc>
        <w:tc>
          <w:tcPr>
            <w:tcW w:w="300" w:type="dxa"/>
            <w:vAlign w:val="bottom"/>
            <w:tcBorders>
              <w:bottom w:val="single" w:sz="8" w:color="125288"/>
              <w:right w:val="single" w:sz="8" w:color="125288"/>
            </w:tcBorders>
          </w:tcPr>
          <w:p>
            <w:pPr>
              <w:spacing w:after="0"/>
              <w:rPr>
                <w:sz w:val="3"/>
                <w:szCs w:val="3"/>
                <w:color w:val="auto"/>
              </w:rPr>
            </w:pPr>
          </w:p>
        </w:tc>
      </w:tr>
      <w:tr>
        <w:trPr>
          <w:trHeight w:val="482"/>
        </w:trPr>
        <w:tc>
          <w:tcPr>
            <w:tcW w:w="4900" w:type="dxa"/>
            <w:vAlign w:val="bottom"/>
          </w:tcPr>
          <w:p>
            <w:pPr>
              <w:spacing w:after="0"/>
              <w:rPr>
                <w:sz w:val="20"/>
                <w:szCs w:val="20"/>
                <w:color w:val="auto"/>
              </w:rPr>
            </w:pPr>
            <w:r>
              <w:rPr>
                <w:rFonts w:ascii="Arial" w:cs="Arial" w:eastAsia="Arial" w:hAnsi="Arial"/>
                <w:sz w:val="14"/>
                <w:szCs w:val="14"/>
                <w:color w:val="706F6F"/>
              </w:rPr>
              <w:t>www.activisionblizzard.com</w:t>
            </w:r>
          </w:p>
        </w:tc>
        <w:tc>
          <w:tcPr>
            <w:tcW w:w="4380" w:type="dxa"/>
            <w:vAlign w:val="bottom"/>
          </w:tcPr>
          <w:p>
            <w:pPr>
              <w:ind w:left="2480"/>
              <w:spacing w:after="0"/>
              <w:rPr>
                <w:sz w:val="20"/>
                <w:szCs w:val="20"/>
                <w:color w:val="auto"/>
              </w:rPr>
            </w:pPr>
            <w:r>
              <w:rPr>
                <w:rFonts w:ascii="Arial" w:cs="Arial" w:eastAsia="Arial" w:hAnsi="Arial"/>
                <w:sz w:val="14"/>
                <w:szCs w:val="14"/>
                <w:color w:val="706F6F"/>
              </w:rPr>
              <w:t>ACTIVISION BLIZZARD, INC.</w:t>
            </w:r>
          </w:p>
        </w:tc>
        <w:tc>
          <w:tcPr>
            <w:tcW w:w="1680" w:type="dxa"/>
            <w:vAlign w:val="bottom"/>
          </w:tcPr>
          <w:p>
            <w:pPr>
              <w:ind w:left="120"/>
              <w:spacing w:after="0"/>
              <w:rPr>
                <w:sz w:val="20"/>
                <w:szCs w:val="20"/>
                <w:color w:val="auto"/>
              </w:rPr>
            </w:pPr>
            <w:r>
              <w:rPr>
                <w:rFonts w:ascii="Arial" w:cs="Arial" w:eastAsia="Arial" w:hAnsi="Arial"/>
                <w:sz w:val="14"/>
                <w:szCs w:val="14"/>
                <w:color w:val="706F6F"/>
              </w:rPr>
              <w:t>2022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706F6F"/>
              </w:rPr>
              <w:t>36</w:t>
            </w:r>
          </w:p>
        </w:tc>
      </w:tr>
      <w:tr>
        <w:trPr>
          <w:trHeight w:val="93"/>
        </w:trPr>
        <w:tc>
          <w:tcPr>
            <w:tcW w:w="4900" w:type="dxa"/>
            <w:vAlign w:val="bottom"/>
            <w:tcBorders>
              <w:bottom w:val="single" w:sz="8" w:color="808080"/>
            </w:tcBorders>
          </w:tcPr>
          <w:p>
            <w:pPr>
              <w:spacing w:after="0"/>
              <w:rPr>
                <w:sz w:val="8"/>
                <w:szCs w:val="8"/>
                <w:color w:val="auto"/>
              </w:rPr>
            </w:pPr>
          </w:p>
        </w:tc>
        <w:tc>
          <w:tcPr>
            <w:tcW w:w="438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1438910</wp:posOffset>
            </wp:positionH>
            <wp:positionV relativeFrom="paragraph">
              <wp:posOffset>-1795780</wp:posOffset>
            </wp:positionV>
            <wp:extent cx="362585" cy="294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62585" cy="294640"/>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-1849120</wp:posOffset>
            </wp:positionV>
            <wp:extent cx="264160" cy="400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64160" cy="40005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-1849120</wp:posOffset>
            </wp:positionV>
            <wp:extent cx="362585" cy="3924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62585" cy="39243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39" w:name="page40"/>
    <w:bookmarkEnd w:id="39"/>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280035</wp:posOffset>
            </wp:positionV>
            <wp:extent cx="6038850" cy="42424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8850" cy="4242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40" w:name="page41"/>
    <w:bookmarkEnd w:id="40"/>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53910" cy="17716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3910" cy="177165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both"/>
        <w:ind w:left="100" w:right="100"/>
        <w:spacing w:after="0" w:line="236" w:lineRule="auto"/>
        <w:rPr>
          <w:sz w:val="20"/>
          <w:szCs w:val="20"/>
          <w:color w:val="auto"/>
        </w:rPr>
      </w:pPr>
      <w:r>
        <w:rPr>
          <w:rFonts w:ascii="Arial" w:cs="Arial" w:eastAsia="Arial" w:hAnsi="Arial"/>
          <w:sz w:val="19"/>
          <w:szCs w:val="19"/>
          <w:color w:val="auto"/>
        </w:rPr>
        <w:t>Following our 2021 annual meeting, we continued our focus on shareholder outreach and extended invitations to shareholders owning 64% of our outstanding shares. Ultimately, we held over 60 meetings with shareholders owning approximately 53% of our outstanding shares (based on shareholding estimates at the outset of our engagement efforts in February 2022). We also identified and engaged with many of the large institutional investors that voted against our 2021 say-on-pay proposal, as well as with proxy advisors Institutional Shareholder Services (ISS) and Glass Lewis. Our Board was directly involved in these conversations. The Chair of our Compensation Committee and Lead Independent Director, Mr. Morgado, or the CEO (and, in many cases, both) personally participated in over 20 meetings with shareholders owning approximately 40% of our outstanding shares (also based on shareholding estimates at the outset of our engagement efforts in February 2022). To ensure candid discussions, the CEO always offered to step away from these calls when CEO or broader NEO compensation was discussed, leaving our non-executive officer participants to conduct discussions on those topics. The institutional investor participants typically included several individuals involved in making proxy voting and investment decisions, including investment stewardship team leads, ESG specialists, analysts, and portfolio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186055</wp:posOffset>
            </wp:positionV>
            <wp:extent cx="6038850" cy="39179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8850" cy="3917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41" w:name="page42"/>
    <w:bookmarkEnd w:id="41"/>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53910" cy="43910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3910" cy="439102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both"/>
        <w:ind w:left="100" w:right="100"/>
        <w:spacing w:after="0" w:line="238" w:lineRule="auto"/>
        <w:rPr>
          <w:sz w:val="20"/>
          <w:szCs w:val="20"/>
          <w:color w:val="auto"/>
        </w:rPr>
      </w:pPr>
      <w:r>
        <w:rPr>
          <w:rFonts w:ascii="Arial" w:cs="Arial" w:eastAsia="Arial" w:hAnsi="Arial"/>
          <w:sz w:val="19"/>
          <w:szCs w:val="19"/>
          <w:color w:val="auto"/>
        </w:rPr>
        <w:t>At these meetings, which were primarily conducted virtually for the safety of all participants, the parties discussed our human capital management initiatives; executive compensation plans and decisions; corporate governance best practices; our commitment to diversity, equity, and inclusion (DE&amp;I); the proposed transaction with Microsoft; and environmental, social, and governance (i.e., ESG) matters more broadly. We also sought input as to any areas about which shareholders would like to see changes or increased disclosure.</w:t>
      </w:r>
    </w:p>
    <w:p>
      <w:pPr>
        <w:spacing w:after="0" w:line="70" w:lineRule="exact"/>
        <w:rPr>
          <w:sz w:val="20"/>
          <w:szCs w:val="20"/>
          <w:color w:val="auto"/>
        </w:rPr>
      </w:pPr>
    </w:p>
    <w:p>
      <w:pPr>
        <w:ind w:left="100"/>
        <w:spacing w:after="0"/>
        <w:rPr>
          <w:sz w:val="20"/>
          <w:szCs w:val="20"/>
          <w:color w:val="auto"/>
        </w:rPr>
      </w:pPr>
      <w:r>
        <w:rPr>
          <w:rFonts w:ascii="Arial" w:cs="Arial" w:eastAsia="Arial" w:hAnsi="Arial"/>
          <w:sz w:val="19"/>
          <w:szCs w:val="19"/>
          <w:color w:val="auto"/>
        </w:rPr>
        <w:t>Shareholder feedback generally fell into four categories:</w:t>
      </w:r>
    </w:p>
    <w:p>
      <w:pPr>
        <w:spacing w:after="0" w:line="55" w:lineRule="exact"/>
        <w:rPr>
          <w:sz w:val="20"/>
          <w:szCs w:val="20"/>
          <w:color w:val="auto"/>
        </w:rPr>
      </w:pPr>
    </w:p>
    <w:p>
      <w:pPr>
        <w:jc w:val="both"/>
        <w:ind w:left="240" w:right="120" w:hanging="150"/>
        <w:spacing w:after="0" w:line="253" w:lineRule="auto"/>
        <w:tabs>
          <w:tab w:leader="none" w:pos="240" w:val="left"/>
        </w:tabs>
        <w:numPr>
          <w:ilvl w:val="0"/>
          <w:numId w:val="56"/>
        </w:numPr>
        <w:rPr>
          <w:rFonts w:ascii="Arial" w:cs="Arial" w:eastAsia="Arial" w:hAnsi="Arial"/>
          <w:sz w:val="19"/>
          <w:szCs w:val="19"/>
          <w:color w:val="125288"/>
        </w:rPr>
      </w:pPr>
      <w:r>
        <w:rPr>
          <w:rFonts w:ascii="Arial" w:cs="Arial" w:eastAsia="Arial" w:hAnsi="Arial"/>
          <w:sz w:val="19"/>
          <w:szCs w:val="19"/>
          <w:b w:val="1"/>
          <w:bCs w:val="1"/>
          <w:color w:val="auto"/>
        </w:rPr>
        <w:t>Human Capital Management</w:t>
      </w:r>
      <w:r>
        <w:rPr>
          <w:rFonts w:ascii="Arial" w:cs="Arial" w:eastAsia="Arial" w:hAnsi="Arial"/>
          <w:sz w:val="19"/>
          <w:szCs w:val="19"/>
          <w:color w:val="auto"/>
        </w:rPr>
        <w:t>—Shareholders asked about our operational initiatives to ensure a safe working environment; our</w:t>
      </w:r>
      <w:r>
        <w:rPr>
          <w:rFonts w:ascii="Arial" w:cs="Arial" w:eastAsia="Arial" w:hAnsi="Arial"/>
          <w:sz w:val="19"/>
          <w:szCs w:val="19"/>
          <w:b w:val="1"/>
          <w:bCs w:val="1"/>
          <w:color w:val="auto"/>
        </w:rPr>
        <w:t xml:space="preserve"> </w:t>
      </w:r>
      <w:r>
        <w:rPr>
          <w:rFonts w:ascii="Arial" w:cs="Arial" w:eastAsia="Arial" w:hAnsi="Arial"/>
          <w:sz w:val="19"/>
          <w:szCs w:val="19"/>
          <w:color w:val="auto"/>
        </w:rPr>
        <w:t>commitments around increasing our workforce diversity; our recruitment and retention of talent; and our Board’s role in overseeing the Company’s progress in successfully implementing its workplace policies, procedures, and commitments.</w:t>
      </w:r>
    </w:p>
    <w:p>
      <w:pPr>
        <w:spacing w:after="0" w:line="93" w:lineRule="exact"/>
        <w:rPr>
          <w:rFonts w:ascii="Arial" w:cs="Arial" w:eastAsia="Arial" w:hAnsi="Arial"/>
          <w:sz w:val="19"/>
          <w:szCs w:val="19"/>
          <w:color w:val="125288"/>
        </w:rPr>
      </w:pPr>
    </w:p>
    <w:p>
      <w:pPr>
        <w:ind w:left="240" w:right="120" w:hanging="150"/>
        <w:spacing w:after="0" w:line="272" w:lineRule="auto"/>
        <w:tabs>
          <w:tab w:leader="none" w:pos="240" w:val="left"/>
        </w:tabs>
        <w:numPr>
          <w:ilvl w:val="0"/>
          <w:numId w:val="56"/>
        </w:numPr>
        <w:rPr>
          <w:rFonts w:ascii="Arial" w:cs="Arial" w:eastAsia="Arial" w:hAnsi="Arial"/>
          <w:sz w:val="19"/>
          <w:szCs w:val="19"/>
          <w:color w:val="125288"/>
        </w:rPr>
      </w:pPr>
      <w:r>
        <w:rPr>
          <w:rFonts w:ascii="Arial" w:cs="Arial" w:eastAsia="Arial" w:hAnsi="Arial"/>
          <w:sz w:val="19"/>
          <w:szCs w:val="19"/>
          <w:b w:val="1"/>
          <w:bCs w:val="1"/>
          <w:color w:val="auto"/>
        </w:rPr>
        <w:t>ESG Disclosures</w:t>
      </w:r>
      <w:r>
        <w:rPr>
          <w:rFonts w:ascii="Arial" w:cs="Arial" w:eastAsia="Arial" w:hAnsi="Arial"/>
          <w:sz w:val="19"/>
          <w:szCs w:val="19"/>
          <w:color w:val="auto"/>
        </w:rPr>
        <w:t>—Shareholders provided feedback on our inaugural ESG Report and detailed their key areas of focus for ESG</w:t>
      </w:r>
      <w:r>
        <w:rPr>
          <w:rFonts w:ascii="Arial" w:cs="Arial" w:eastAsia="Arial" w:hAnsi="Arial"/>
          <w:sz w:val="19"/>
          <w:szCs w:val="19"/>
          <w:b w:val="1"/>
          <w:bCs w:val="1"/>
          <w:color w:val="auto"/>
        </w:rPr>
        <w:t xml:space="preserve"> </w:t>
      </w:r>
      <w:r>
        <w:rPr>
          <w:rFonts w:ascii="Arial" w:cs="Arial" w:eastAsia="Arial" w:hAnsi="Arial"/>
          <w:sz w:val="19"/>
          <w:szCs w:val="19"/>
          <w:color w:val="auto"/>
        </w:rPr>
        <w:t>and their preferred frameworks for ESG reporting.</w:t>
      </w:r>
    </w:p>
    <w:p>
      <w:pPr>
        <w:spacing w:after="0" w:line="75" w:lineRule="exact"/>
        <w:rPr>
          <w:rFonts w:ascii="Arial" w:cs="Arial" w:eastAsia="Arial" w:hAnsi="Arial"/>
          <w:sz w:val="19"/>
          <w:szCs w:val="19"/>
          <w:color w:val="125288"/>
        </w:rPr>
      </w:pPr>
    </w:p>
    <w:p>
      <w:pPr>
        <w:jc w:val="both"/>
        <w:ind w:left="240" w:right="120" w:hanging="150"/>
        <w:spacing w:after="0" w:line="253" w:lineRule="auto"/>
        <w:tabs>
          <w:tab w:leader="none" w:pos="240" w:val="left"/>
        </w:tabs>
        <w:numPr>
          <w:ilvl w:val="0"/>
          <w:numId w:val="56"/>
        </w:numPr>
        <w:rPr>
          <w:rFonts w:ascii="Arial" w:cs="Arial" w:eastAsia="Arial" w:hAnsi="Arial"/>
          <w:sz w:val="19"/>
          <w:szCs w:val="19"/>
          <w:color w:val="125288"/>
        </w:rPr>
      </w:pPr>
      <w:r>
        <w:rPr>
          <w:rFonts w:ascii="Arial" w:cs="Arial" w:eastAsia="Arial" w:hAnsi="Arial"/>
          <w:sz w:val="19"/>
          <w:szCs w:val="19"/>
          <w:b w:val="1"/>
          <w:bCs w:val="1"/>
          <w:color w:val="auto"/>
        </w:rPr>
        <w:t>Executive Compensation</w:t>
      </w:r>
      <w:r>
        <w:rPr>
          <w:rFonts w:ascii="Arial" w:cs="Arial" w:eastAsia="Arial" w:hAnsi="Arial"/>
          <w:sz w:val="19"/>
          <w:szCs w:val="19"/>
          <w:color w:val="auto"/>
        </w:rPr>
        <w:t>—Shareholders provided feedback on our executive compensation program and prior say-on-pay</w:t>
      </w:r>
      <w:r>
        <w:rPr>
          <w:rFonts w:ascii="Arial" w:cs="Arial" w:eastAsia="Arial" w:hAnsi="Arial"/>
          <w:sz w:val="19"/>
          <w:szCs w:val="19"/>
          <w:b w:val="1"/>
          <w:bCs w:val="1"/>
          <w:color w:val="auto"/>
        </w:rPr>
        <w:t xml:space="preserve"> </w:t>
      </w:r>
      <w:r>
        <w:rPr>
          <w:rFonts w:ascii="Arial" w:cs="Arial" w:eastAsia="Arial" w:hAnsi="Arial"/>
          <w:sz w:val="19"/>
          <w:szCs w:val="19"/>
          <w:color w:val="auto"/>
        </w:rPr>
        <w:t>votes. This presented us with an opportunity to further explain the numerous modifications made to our pay program design over the past two years in direct response to shareholder feedback.</w:t>
      </w:r>
    </w:p>
    <w:p>
      <w:pPr>
        <w:spacing w:after="0" w:line="93" w:lineRule="exact"/>
        <w:rPr>
          <w:rFonts w:ascii="Arial" w:cs="Arial" w:eastAsia="Arial" w:hAnsi="Arial"/>
          <w:sz w:val="19"/>
          <w:szCs w:val="19"/>
          <w:color w:val="125288"/>
        </w:rPr>
      </w:pPr>
    </w:p>
    <w:p>
      <w:pPr>
        <w:ind w:left="240" w:right="140" w:hanging="150"/>
        <w:spacing w:after="0" w:line="272" w:lineRule="auto"/>
        <w:tabs>
          <w:tab w:leader="none" w:pos="240" w:val="left"/>
        </w:tabs>
        <w:numPr>
          <w:ilvl w:val="0"/>
          <w:numId w:val="56"/>
        </w:numPr>
        <w:rPr>
          <w:rFonts w:ascii="Arial" w:cs="Arial" w:eastAsia="Arial" w:hAnsi="Arial"/>
          <w:sz w:val="19"/>
          <w:szCs w:val="19"/>
          <w:color w:val="125288"/>
        </w:rPr>
      </w:pPr>
      <w:r>
        <w:rPr>
          <w:rFonts w:ascii="Arial" w:cs="Arial" w:eastAsia="Arial" w:hAnsi="Arial"/>
          <w:sz w:val="19"/>
          <w:szCs w:val="19"/>
          <w:b w:val="1"/>
          <w:bCs w:val="1"/>
          <w:color w:val="auto"/>
        </w:rPr>
        <w:t>The Proposed Transaction with Microsoft</w:t>
      </w:r>
      <w:r>
        <w:rPr>
          <w:rFonts w:ascii="Arial" w:cs="Arial" w:eastAsia="Arial" w:hAnsi="Arial"/>
          <w:sz w:val="19"/>
          <w:szCs w:val="19"/>
          <w:color w:val="auto"/>
        </w:rPr>
        <w:t>—Shareholders inquired about what, if any, impact the proposed transaction with</w:t>
      </w:r>
      <w:r>
        <w:rPr>
          <w:rFonts w:ascii="Arial" w:cs="Arial" w:eastAsia="Arial" w:hAnsi="Arial"/>
          <w:sz w:val="19"/>
          <w:szCs w:val="19"/>
          <w:b w:val="1"/>
          <w:bCs w:val="1"/>
          <w:color w:val="auto"/>
        </w:rPr>
        <w:t xml:space="preserve"> </w:t>
      </w:r>
      <w:r>
        <w:rPr>
          <w:rFonts w:ascii="Arial" w:cs="Arial" w:eastAsia="Arial" w:hAnsi="Arial"/>
          <w:sz w:val="19"/>
          <w:szCs w:val="19"/>
          <w:color w:val="auto"/>
        </w:rPr>
        <w:t>Microsoft would have on our human capital and ESG initiatives.</w:t>
      </w:r>
    </w:p>
    <w:p>
      <w:pPr>
        <w:spacing w:after="0" w:line="99" w:lineRule="exact"/>
        <w:rPr>
          <w:sz w:val="20"/>
          <w:szCs w:val="20"/>
          <w:color w:val="auto"/>
        </w:rPr>
      </w:pPr>
    </w:p>
    <w:p>
      <w:pPr>
        <w:jc w:val="both"/>
        <w:ind w:left="100" w:right="100"/>
        <w:spacing w:after="0"/>
        <w:rPr>
          <w:sz w:val="20"/>
          <w:szCs w:val="20"/>
          <w:color w:val="auto"/>
        </w:rPr>
      </w:pPr>
      <w:r>
        <w:rPr>
          <w:rFonts w:ascii="Arial" w:cs="Arial" w:eastAsia="Arial" w:hAnsi="Arial"/>
          <w:sz w:val="19"/>
          <w:szCs w:val="19"/>
          <w:color w:val="auto"/>
        </w:rPr>
        <w:t>These discussions resulted in extensive feedback, which our Compensation Committee Chair and Lead Independent Director shared with the entire Board. Shareholder feedback continues to be instrumental in shaping our decisions and priorities relating to our human capital management initiatives, corporate governance, executive compensation, and ESG disclosures.</w:t>
      </w:r>
    </w:p>
    <w:p>
      <w:pPr>
        <w:spacing w:after="0" w:line="70" w:lineRule="exact"/>
        <w:rPr>
          <w:sz w:val="20"/>
          <w:szCs w:val="20"/>
          <w:color w:val="auto"/>
        </w:rPr>
      </w:pPr>
    </w:p>
    <w:p>
      <w:pPr>
        <w:jc w:val="both"/>
        <w:ind w:left="100" w:right="100"/>
        <w:spacing w:after="0" w:line="237" w:lineRule="auto"/>
        <w:rPr>
          <w:sz w:val="20"/>
          <w:szCs w:val="20"/>
          <w:color w:val="auto"/>
        </w:rPr>
      </w:pPr>
      <w:r>
        <w:rPr>
          <w:rFonts w:ascii="Arial" w:cs="Arial" w:eastAsia="Arial" w:hAnsi="Arial"/>
          <w:sz w:val="19"/>
          <w:szCs w:val="19"/>
          <w:color w:val="auto"/>
        </w:rPr>
        <w:t>As a result of this feedback process over the past several years, we have implemented changes that we believe are simultaneously responsive to shareholder concerns and appropriate for the Company. For instance, shareholder feedback informed the modifications to our executive pay program implemented in 2021, before the 2021 annual meeting, and shareholder feedback received after the 2021 annual meeting indicated a generally favorable view of the pay program now in place. Please see “Executive Compensation—Compensation Discussion and Analysis—How the Board is Addressing Shareholder Feedback About Our Compensation Program” below for a discussion of how feedback we received in the past two years informed changes to our executive compensation program, our CEO’s employment agreement, and our compensation-related disclosures.</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9"/>
          <w:szCs w:val="19"/>
          <w:color w:val="auto"/>
        </w:rPr>
        <w:t>We will continue to incorporate such feedback into our decision-making processes.</w:t>
      </w:r>
    </w:p>
    <w:p>
      <w:pPr>
        <w:spacing w:after="0" w:line="365"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42" w:name="page43"/>
    <w:bookmarkEnd w:id="42"/>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GOVERNANCE DOCUMENTS</w:t>
      </w:r>
    </w:p>
    <w:p>
      <w:pPr>
        <w:spacing w:after="0" w:line="30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Many of our corporate governance documents, including our Corporate Governance Principles and Policies, Audit Committee Charter, Compensation Committee Charter, Nominating and Corporate Governance Committee Charter, Code of Conduct, and our “clawback” policy (i.e., our Policy on Recoupment of Performance-Based Compensation Related to Certain Financial Restatements), can be found on our website at http://investor.activision.com/corporate-governance.cfm. Please see “Helpful Resources” below for more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Corporate Governance Principles and Policies</w:t>
      </w:r>
    </w:p>
    <w:p>
      <w:pPr>
        <w:spacing w:after="0" w:line="142"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Our Corporate Governance Principles and Policies establish a framework for the Board’s exercise of its duties and responsibilities in service of the best interests of the Company and our shareholders. They address, among other things, the role of our Board, the composition of our Board and that of its standing committees, meetings of the Board and its committees, and director stock ownership requirements.</w:t>
      </w:r>
    </w:p>
    <w:p>
      <w:pPr>
        <w:spacing w:after="0" w:line="23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Code of Conduct</w:t>
      </w:r>
    </w:p>
    <w:p>
      <w:pPr>
        <w:spacing w:after="0" w:line="142"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We have a code of ethics—our Code of Conduct—that applies to all of our directors, executives, and other employees worldwide. The members of our Board and all employees are required to acknowledge our Code of Conduct on an annual basis. We will post any amendments to, or waivers of, the Code of Conduct that apply to our Chief Executive Officer, Chief Financial Officer, Chief Accounting Officer, or any person performing similar functions, and any other related information, on our website. Our Chief Compliance Officer administers our ethics &amp; compliance program.</w:t>
      </w:r>
    </w:p>
    <w:p>
      <w:pPr>
        <w:spacing w:after="0" w:line="23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Forum Selection Bylaws</w:t>
      </w:r>
    </w:p>
    <w:p>
      <w:pPr>
        <w:spacing w:after="0" w:line="142"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On January 17, 2022, in connection with entering into the Microsoft Merger Agreement, we amended our Bylaws to implement a forum selection provision stating that, unless the Company consents in writing to the selection of an alternative forum, the sole and exclusive forum for certain legal actions involving the Company will be the Court of Chancery of the State of Delaware. If the Court of Chancery of the State of Delaware lacks subject matter jurisdiction, the forum for any such action will be another state or federal court located within the State of Delaware or, if no court of the State of Delaware has jurisdiction, the United States District Court for the District of Delaware. The provision further provides that the federal district courts of the U.S. will be the exclusive forum for the resolution of any complaint asserting a cause of action arising under the Securities Act of 1933, as amended, and the rules and regulations promulgated thereunder. Forum selection provisions are commonly adopted so duplicative shareholder lawsuits cannot be filed in multiple forums, which can be costly to the Company and produce inconsistent results, while at the same time ensuring there is an appropriate court available in which shareholders may pursue claims.</w:t>
      </w:r>
    </w:p>
    <w:p>
      <w:pPr>
        <w:spacing w:after="0" w:line="24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OUR EXECUTIVE OFFICERS</w:t>
      </w:r>
    </w:p>
    <w:p>
      <w:pPr>
        <w:spacing w:after="0" w:line="309"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Biographical summaries for our executive officers can be found in Item 1 of our 2021 10-K. Biographical information about Mr. Kotick can also be found under “Proposal 1—Election of Directors” above.</w:t>
      </w:r>
    </w:p>
    <w:p>
      <w:pPr>
        <w:spacing w:after="0" w:line="150"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43" w:name="page44"/>
    <w:bookmarkEnd w:id="43"/>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POLITICAL ACTIVITIES</w:t>
      </w:r>
    </w:p>
    <w:p>
      <w:pPr>
        <w:spacing w:after="0" w:line="309"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Activision Blizzard does not make direct political contributions to individual candidates, parties, committees, or IRS Section 527 entities or to influence the outcome of campaigns or ballot measures, nor do we directly pay for any independent expenditure or electioneering communication (as those are defined by law). Activision Blizzard also does not make payments to 501(c)(4) tax-exempt organizations that the recipient may use for political purposes, and we do not have a political action committee. If we decide, on an exception basis and with the prior approval of our Chief Executive Officer, to make a direct political contribution, we will disclose that contribution in our ESG report.</w:t>
      </w:r>
    </w:p>
    <w:p>
      <w:pPr>
        <w:spacing w:after="0" w:line="263"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Pursuant to our Code of Conduct, our resources may not be used for employees’ personal political activities, and lobbying activities are permitted only in compliance with applicable law and by individuals designated to represent the Company in such capacity.</w:t>
      </w:r>
    </w:p>
    <w:p>
      <w:pPr>
        <w:spacing w:after="0" w:line="255"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Activision Blizzard engages with government officials and policymakers at the federal, state, and local levels on legislation, regulations, and policies that affect our business and operations. We also occasionally retain outside consultants to support our engagement with government officials and policymakers. Activision Blizzard complies with all federal, state and local lobbying regulations that require entities and individuals who engage in public policy advocacy to register and disclose relevant expenditures.</w:t>
      </w:r>
    </w:p>
    <w:p>
      <w:pPr>
        <w:spacing w:after="0" w:line="263"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We belong to several trade associations, including the Entertainment Software Association (the “ESA”) in the United States. These bodies have taken stances on legislative matters and engaged in lobbying on issues affecting the video game industry. Trade associations are independent organizations representing a variety of members; we may not share their political or policy positions. The Company’s membership and participation in these associations is reported annually to the Nominating and Corporate Governance Committee.</w:t>
      </w:r>
    </w:p>
    <w:p>
      <w:pPr>
        <w:spacing w:after="0" w:line="260"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According to the ESA, during the ESA’s 2021 fiscal year, $53,248 of the Company’s membership dues were used for political contributions or expenditure and $635,398 of the Company’s membership dues were used for Section 162 lobbying expenses. No other dues paid by the Company to any other United States trade association or similar tax-exempt organization that received at least $25,000 in dues from us during 2021 were used for political contributions or expenditures. No portion of the Company’s membership dues were used for payments to tax-exempt organizations, such as 501(c)(4)s, that the recipient may use for political purposes.</w:t>
      </w:r>
    </w:p>
    <w:p>
      <w:pPr>
        <w:spacing w:after="0" w:line="260"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You can find more information about how Activision Blizzard participates in public debate in the U.S. through direct and indirect advocacy by accessing the Political Activities Disclosures on our website at http://investor.activision.com/corporate-governance.cfm.</w:t>
      </w:r>
    </w:p>
    <w:p>
      <w:pPr>
        <w:spacing w:after="0" w:line="23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WORKPLACE AND CULTURE</w:t>
      </w:r>
    </w:p>
    <w:p>
      <w:pPr>
        <w:spacing w:after="0" w:line="309"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Talent is the lifeblood of our business. We are fortunate to have what we believe is one of the most talented employee workforces in our industry. Growing our developer base remains one of our strategic priorities, and we increased our developer headcount in 2021, adding hundreds of talented professionals to our teams. We must attract and retain the best talent in order to deliver on our mission to connect and engage the world through epic entertainment, and we are deeply committed to ensuring that Activision Blizzard is a place where everyone feels safe, heard, included, and empowered. We have made significant investments and substantial changes with the goal of creating the most welcoming and inclusive workplace in the industry.</w:t>
      </w:r>
    </w:p>
    <w:p>
      <w:pPr>
        <w:spacing w:after="0" w:line="157"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44" w:name="page45"/>
    <w:bookmarkEnd w:id="44"/>
    <w:p>
      <w:pPr>
        <w:ind w:left="5"/>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10" w:lineRule="exact"/>
        <w:rPr>
          <w:sz w:val="20"/>
          <w:szCs w:val="20"/>
          <w:color w:val="auto"/>
        </w:rPr>
      </w:pPr>
    </w:p>
    <w:p>
      <w:pPr>
        <w:ind w:left="5"/>
        <w:spacing w:after="0"/>
        <w:rPr>
          <w:sz w:val="20"/>
          <w:szCs w:val="20"/>
          <w:color w:val="auto"/>
        </w:rPr>
      </w:pPr>
      <w:r>
        <w:rPr>
          <w:rFonts w:ascii="Arial" w:cs="Arial" w:eastAsia="Arial" w:hAnsi="Arial"/>
          <w:sz w:val="24"/>
          <w:szCs w:val="24"/>
          <w:b w:val="1"/>
          <w:bCs w:val="1"/>
          <w:color w:val="auto"/>
        </w:rPr>
        <w:t>Supporting Employees Through the COVID-19 Pandemic and Return to Office</w:t>
      </w:r>
    </w:p>
    <w:p>
      <w:pPr>
        <w:spacing w:after="0" w:line="142" w:lineRule="exact"/>
        <w:rPr>
          <w:sz w:val="20"/>
          <w:szCs w:val="20"/>
          <w:color w:val="auto"/>
        </w:rPr>
      </w:pPr>
    </w:p>
    <w:p>
      <w:pPr>
        <w:jc w:val="both"/>
        <w:ind w:left="5"/>
        <w:spacing w:after="0" w:line="236" w:lineRule="auto"/>
        <w:rPr>
          <w:sz w:val="20"/>
          <w:szCs w:val="20"/>
          <w:color w:val="auto"/>
        </w:rPr>
      </w:pPr>
      <w:r>
        <w:rPr>
          <w:rFonts w:ascii="Arial" w:cs="Arial" w:eastAsia="Arial" w:hAnsi="Arial"/>
          <w:sz w:val="19"/>
          <w:szCs w:val="19"/>
          <w:color w:val="auto"/>
        </w:rPr>
        <w:t>Since the COVID-19 pandemic began in 2020, we have continually taken action to protect the health and safety of our workforce. At the onset of the pandemic, in order to help ensure that our employees and their families had access to medical advice, we created an enterprise-wide global network of physicians. We have also provided telemedicine and COVID-19 testing services to employees, and hosted vaccination and booster clinics at select sites, including at our Blizzard offices in Irvine, California. These clinics were open to all employees and any members of their households (including roommates) at no extra cost. Beginning in 2020, we increased support and resources to enable our employees to work remotely. We have also offered a variety of mental health resources to support employees, including a global benefit free of charge that pairs employees with therapy providers, and we have shared COVID-19 and remote work guidelines, including frequently asked questions, with all employees.</w:t>
      </w:r>
    </w:p>
    <w:p>
      <w:pPr>
        <w:spacing w:after="0" w:line="267" w:lineRule="exact"/>
        <w:rPr>
          <w:sz w:val="20"/>
          <w:szCs w:val="20"/>
          <w:color w:val="auto"/>
        </w:rPr>
      </w:pPr>
    </w:p>
    <w:p>
      <w:pPr>
        <w:jc w:val="both"/>
        <w:ind w:left="5"/>
        <w:spacing w:after="0" w:line="238" w:lineRule="auto"/>
        <w:rPr>
          <w:sz w:val="20"/>
          <w:szCs w:val="20"/>
          <w:color w:val="auto"/>
        </w:rPr>
      </w:pPr>
      <w:r>
        <w:rPr>
          <w:rFonts w:ascii="Arial" w:cs="Arial" w:eastAsia="Arial" w:hAnsi="Arial"/>
          <w:sz w:val="19"/>
          <w:szCs w:val="19"/>
          <w:color w:val="auto"/>
        </w:rPr>
        <w:t>In 2021, we announced that, due to the differences in policies and medical care across the geographies in which we operate, we could not have a one-size-fits-all approach for returning to the office. Instead, each region, franchise, and business unit will help define the return-to-office approach that works best for them with employee safety continuing as a top priority. We implemented a process for offices to open safely, based on a set of criteria that takes into account the latest local health and safety guidance, and provides sufficient notice to our employees.</w:t>
      </w:r>
    </w:p>
    <w:p>
      <w:pPr>
        <w:spacing w:after="0" w:line="235" w:lineRule="exact"/>
        <w:rPr>
          <w:sz w:val="20"/>
          <w:szCs w:val="20"/>
          <w:color w:val="auto"/>
        </w:rPr>
      </w:pPr>
    </w:p>
    <w:p>
      <w:pPr>
        <w:ind w:left="5"/>
        <w:spacing w:after="0"/>
        <w:rPr>
          <w:sz w:val="20"/>
          <w:szCs w:val="20"/>
          <w:color w:val="auto"/>
        </w:rPr>
      </w:pPr>
      <w:r>
        <w:rPr>
          <w:rFonts w:ascii="Arial" w:cs="Arial" w:eastAsia="Arial" w:hAnsi="Arial"/>
          <w:sz w:val="24"/>
          <w:szCs w:val="24"/>
          <w:b w:val="1"/>
          <w:bCs w:val="1"/>
          <w:color w:val="auto"/>
        </w:rPr>
        <w:t>Transformational Gender-Related Goals and Other Commitments</w:t>
      </w:r>
    </w:p>
    <w:p>
      <w:pPr>
        <w:spacing w:after="0" w:line="142" w:lineRule="exact"/>
        <w:rPr>
          <w:sz w:val="20"/>
          <w:szCs w:val="20"/>
          <w:color w:val="auto"/>
        </w:rPr>
      </w:pPr>
    </w:p>
    <w:p>
      <w:pPr>
        <w:jc w:val="both"/>
        <w:ind w:left="5"/>
        <w:spacing w:after="0" w:line="245" w:lineRule="auto"/>
        <w:rPr>
          <w:sz w:val="20"/>
          <w:szCs w:val="20"/>
          <w:color w:val="auto"/>
        </w:rPr>
      </w:pPr>
      <w:r>
        <w:rPr>
          <w:rFonts w:ascii="Arial" w:cs="Arial" w:eastAsia="Arial" w:hAnsi="Arial"/>
          <w:sz w:val="19"/>
          <w:szCs w:val="19"/>
          <w:color w:val="auto"/>
        </w:rPr>
        <w:t>On October 28, 2021, Mr. Kotick announced the following transformational gender-related goals and other commitments to our employees (collectively, the “Transformational Goals”):</w:t>
      </w:r>
    </w:p>
    <w:p>
      <w:pPr>
        <w:spacing w:after="0" w:line="46" w:lineRule="exact"/>
        <w:rPr>
          <w:sz w:val="20"/>
          <w:szCs w:val="20"/>
          <w:color w:val="auto"/>
        </w:rPr>
      </w:pPr>
    </w:p>
    <w:p>
      <w:pPr>
        <w:ind w:left="145" w:hanging="145"/>
        <w:spacing w:after="0"/>
        <w:tabs>
          <w:tab w:leader="none" w:pos="145" w:val="left"/>
        </w:tabs>
        <w:numPr>
          <w:ilvl w:val="0"/>
          <w:numId w:val="57"/>
        </w:numPr>
        <w:rPr>
          <w:rFonts w:ascii="Arial" w:cs="Arial" w:eastAsia="Arial" w:hAnsi="Arial"/>
          <w:sz w:val="38"/>
          <w:szCs w:val="38"/>
          <w:color w:val="125288"/>
          <w:vertAlign w:val="subscript"/>
        </w:rPr>
      </w:pPr>
      <w:r>
        <w:rPr>
          <w:rFonts w:ascii="Arial" w:cs="Arial" w:eastAsia="Arial" w:hAnsi="Arial"/>
          <w:sz w:val="19"/>
          <w:szCs w:val="19"/>
          <w:color w:val="auto"/>
        </w:rPr>
        <w:t>launching a new zero-tolerance harassment policy;</w:t>
      </w:r>
    </w:p>
    <w:p>
      <w:pPr>
        <w:spacing w:after="0" w:line="128" w:lineRule="exact"/>
        <w:rPr>
          <w:rFonts w:ascii="Arial" w:cs="Arial" w:eastAsia="Arial" w:hAnsi="Arial"/>
          <w:sz w:val="38"/>
          <w:szCs w:val="38"/>
          <w:color w:val="125288"/>
          <w:vertAlign w:val="subscript"/>
        </w:rPr>
      </w:pPr>
    </w:p>
    <w:p>
      <w:pPr>
        <w:ind w:left="145" w:hanging="145"/>
        <w:spacing w:after="0"/>
        <w:tabs>
          <w:tab w:leader="none" w:pos="145" w:val="left"/>
        </w:tabs>
        <w:numPr>
          <w:ilvl w:val="0"/>
          <w:numId w:val="57"/>
        </w:numPr>
        <w:rPr>
          <w:rFonts w:ascii="Arial" w:cs="Arial" w:eastAsia="Arial" w:hAnsi="Arial"/>
          <w:sz w:val="19"/>
          <w:szCs w:val="19"/>
          <w:color w:val="125288"/>
        </w:rPr>
      </w:pPr>
      <w:r>
        <w:rPr>
          <w:rFonts w:ascii="Arial" w:cs="Arial" w:eastAsia="Arial" w:hAnsi="Arial"/>
          <w:sz w:val="19"/>
          <w:szCs w:val="19"/>
          <w:color w:val="auto"/>
        </w:rPr>
        <w:t>increasing the percentage of women and non-binary people in our workforce by 50% over the next five years;</w:t>
      </w:r>
    </w:p>
    <w:p>
      <w:pPr>
        <w:spacing w:after="0" w:line="138" w:lineRule="exact"/>
        <w:rPr>
          <w:rFonts w:ascii="Arial" w:cs="Arial" w:eastAsia="Arial" w:hAnsi="Arial"/>
          <w:sz w:val="19"/>
          <w:szCs w:val="19"/>
          <w:color w:val="125288"/>
        </w:rPr>
      </w:pPr>
    </w:p>
    <w:p>
      <w:pPr>
        <w:ind w:left="145" w:hanging="145"/>
        <w:spacing w:after="0"/>
        <w:tabs>
          <w:tab w:leader="none" w:pos="145" w:val="left"/>
        </w:tabs>
        <w:numPr>
          <w:ilvl w:val="0"/>
          <w:numId w:val="57"/>
        </w:numPr>
        <w:rPr>
          <w:rFonts w:ascii="Arial" w:cs="Arial" w:eastAsia="Arial" w:hAnsi="Arial"/>
          <w:sz w:val="19"/>
          <w:szCs w:val="19"/>
          <w:color w:val="125288"/>
        </w:rPr>
      </w:pPr>
      <w:r>
        <w:rPr>
          <w:rFonts w:ascii="Arial" w:cs="Arial" w:eastAsia="Arial" w:hAnsi="Arial"/>
          <w:sz w:val="19"/>
          <w:szCs w:val="19"/>
          <w:color w:val="auto"/>
        </w:rPr>
        <w:t>investing $250 million over the next 10 years to accelerate opportunities for diverse talent;</w:t>
      </w:r>
    </w:p>
    <w:p>
      <w:pPr>
        <w:spacing w:after="0" w:line="138" w:lineRule="exact"/>
        <w:rPr>
          <w:rFonts w:ascii="Arial" w:cs="Arial" w:eastAsia="Arial" w:hAnsi="Arial"/>
          <w:sz w:val="19"/>
          <w:szCs w:val="19"/>
          <w:color w:val="125288"/>
        </w:rPr>
      </w:pPr>
    </w:p>
    <w:p>
      <w:pPr>
        <w:ind w:left="145" w:right="40" w:hanging="145"/>
        <w:spacing w:after="0" w:line="242" w:lineRule="auto"/>
        <w:tabs>
          <w:tab w:leader="none" w:pos="145" w:val="left"/>
        </w:tabs>
        <w:numPr>
          <w:ilvl w:val="0"/>
          <w:numId w:val="57"/>
        </w:numPr>
        <w:rPr>
          <w:rFonts w:ascii="Arial" w:cs="Arial" w:eastAsia="Arial" w:hAnsi="Arial"/>
          <w:sz w:val="19"/>
          <w:szCs w:val="19"/>
          <w:color w:val="125288"/>
        </w:rPr>
      </w:pPr>
      <w:r>
        <w:rPr>
          <w:rFonts w:ascii="Arial" w:cs="Arial" w:eastAsia="Arial" w:hAnsi="Arial"/>
          <w:sz w:val="19"/>
          <w:szCs w:val="19"/>
          <w:color w:val="auto"/>
        </w:rPr>
        <w:t>waiving arbitration of individual claims of sexual harassment, unlawful discrimination, or related retaliation claims arising after October 28, 2021; and</w:t>
      </w:r>
    </w:p>
    <w:p>
      <w:pPr>
        <w:spacing w:after="0" w:line="1" w:lineRule="exact"/>
        <w:rPr>
          <w:rFonts w:ascii="Arial" w:cs="Arial" w:eastAsia="Arial" w:hAnsi="Arial"/>
          <w:sz w:val="19"/>
          <w:szCs w:val="19"/>
          <w:color w:val="125288"/>
        </w:rPr>
      </w:pPr>
    </w:p>
    <w:p>
      <w:pPr>
        <w:ind w:left="145" w:hanging="145"/>
        <w:spacing w:after="0" w:line="195" w:lineRule="auto"/>
        <w:tabs>
          <w:tab w:leader="none" w:pos="145" w:val="left"/>
        </w:tabs>
        <w:numPr>
          <w:ilvl w:val="0"/>
          <w:numId w:val="57"/>
        </w:numPr>
        <w:rPr>
          <w:rFonts w:ascii="Arial" w:cs="Arial" w:eastAsia="Arial" w:hAnsi="Arial"/>
          <w:sz w:val="38"/>
          <w:szCs w:val="38"/>
          <w:color w:val="125288"/>
          <w:vertAlign w:val="subscript"/>
        </w:rPr>
      </w:pPr>
      <w:r>
        <w:rPr>
          <w:rFonts w:ascii="Arial" w:cs="Arial" w:eastAsia="Arial" w:hAnsi="Arial"/>
          <w:sz w:val="19"/>
          <w:szCs w:val="19"/>
          <w:color w:val="auto"/>
        </w:rPr>
        <w:t>increasing visibility on pay equity.</w:t>
      </w:r>
    </w:p>
    <w:p>
      <w:pPr>
        <w:spacing w:after="0" w:line="261" w:lineRule="exact"/>
        <w:rPr>
          <w:sz w:val="20"/>
          <w:szCs w:val="20"/>
          <w:color w:val="auto"/>
        </w:rPr>
      </w:pPr>
    </w:p>
    <w:p>
      <w:pPr>
        <w:jc w:val="both"/>
        <w:ind w:left="5" w:right="20"/>
        <w:spacing w:after="0" w:line="245" w:lineRule="auto"/>
        <w:rPr>
          <w:sz w:val="20"/>
          <w:szCs w:val="20"/>
          <w:color w:val="auto"/>
        </w:rPr>
      </w:pPr>
      <w:r>
        <w:rPr>
          <w:rFonts w:ascii="Arial" w:cs="Arial" w:eastAsia="Arial" w:hAnsi="Arial"/>
          <w:sz w:val="19"/>
          <w:szCs w:val="19"/>
          <w:color w:val="auto"/>
        </w:rPr>
        <w:t>Mr. Kotick asked that his total compensation be reduced to the lowest amount permitted to be paid to exempt employees under California law until the Company has made appropriate progress toward the achievement of these goals and commitments.</w:t>
      </w:r>
    </w:p>
    <w:p>
      <w:pPr>
        <w:spacing w:after="0" w:line="255" w:lineRule="exact"/>
        <w:rPr>
          <w:sz w:val="20"/>
          <w:szCs w:val="20"/>
          <w:color w:val="auto"/>
        </w:rPr>
      </w:pPr>
    </w:p>
    <w:p>
      <w:pPr>
        <w:jc w:val="both"/>
        <w:ind w:left="5" w:right="20"/>
        <w:spacing w:after="0" w:line="245" w:lineRule="auto"/>
        <w:rPr>
          <w:sz w:val="20"/>
          <w:szCs w:val="20"/>
          <w:color w:val="auto"/>
        </w:rPr>
      </w:pPr>
      <w:r>
        <w:rPr>
          <w:rFonts w:ascii="Arial" w:cs="Arial" w:eastAsia="Arial" w:hAnsi="Arial"/>
          <w:sz w:val="19"/>
          <w:szCs w:val="19"/>
          <w:color w:val="auto"/>
        </w:rPr>
        <w:t>For more information on the Transformational Goals and the progress the Company has made toward achieving them, see “— Enhanced Transparency Regarding Pay Equity” and “—Working to Deliver on Our Commitments” below.</w:t>
      </w:r>
    </w:p>
    <w:p>
      <w:pPr>
        <w:spacing w:after="0" w:line="230" w:lineRule="exact"/>
        <w:rPr>
          <w:sz w:val="20"/>
          <w:szCs w:val="20"/>
          <w:color w:val="auto"/>
        </w:rPr>
      </w:pPr>
    </w:p>
    <w:p>
      <w:pPr>
        <w:ind w:left="5"/>
        <w:spacing w:after="0"/>
        <w:rPr>
          <w:sz w:val="20"/>
          <w:szCs w:val="20"/>
          <w:color w:val="auto"/>
        </w:rPr>
      </w:pPr>
      <w:r>
        <w:rPr>
          <w:rFonts w:ascii="Arial" w:cs="Arial" w:eastAsia="Arial" w:hAnsi="Arial"/>
          <w:sz w:val="24"/>
          <w:szCs w:val="24"/>
          <w:b w:val="1"/>
          <w:bCs w:val="1"/>
          <w:color w:val="auto"/>
        </w:rPr>
        <w:t>Addressing Recent Workplace Concerns</w:t>
      </w:r>
    </w:p>
    <w:p>
      <w:pPr>
        <w:spacing w:after="0" w:line="142" w:lineRule="exact"/>
        <w:rPr>
          <w:sz w:val="20"/>
          <w:szCs w:val="20"/>
          <w:color w:val="auto"/>
        </w:rPr>
      </w:pPr>
    </w:p>
    <w:p>
      <w:pPr>
        <w:jc w:val="both"/>
        <w:ind w:left="5" w:right="20"/>
        <w:spacing w:after="0"/>
        <w:rPr>
          <w:sz w:val="20"/>
          <w:szCs w:val="20"/>
          <w:color w:val="auto"/>
        </w:rPr>
      </w:pPr>
      <w:r>
        <w:rPr>
          <w:rFonts w:ascii="Arial" w:cs="Arial" w:eastAsia="Arial" w:hAnsi="Arial"/>
          <w:sz w:val="19"/>
          <w:szCs w:val="19"/>
          <w:color w:val="auto"/>
        </w:rPr>
        <w:t>In recent years, the Company has faced investigations relating to our workplace, as well as significant media scrutiny. We have responded by working to address employee concerns, cooperating with investigating agencies, and taking action to strengthen our policies and improve our workplace.</w:t>
      </w:r>
    </w:p>
    <w:p>
      <w:pPr>
        <w:spacing w:after="0" w:line="260" w:lineRule="exact"/>
        <w:rPr>
          <w:sz w:val="20"/>
          <w:szCs w:val="20"/>
          <w:color w:val="auto"/>
        </w:rPr>
      </w:pPr>
    </w:p>
    <w:p>
      <w:pPr>
        <w:jc w:val="both"/>
        <w:ind w:left="5" w:right="20"/>
        <w:spacing w:after="0" w:line="237" w:lineRule="auto"/>
        <w:rPr>
          <w:sz w:val="20"/>
          <w:szCs w:val="20"/>
          <w:color w:val="auto"/>
        </w:rPr>
      </w:pPr>
      <w:r>
        <w:rPr>
          <w:rFonts w:ascii="Arial" w:cs="Arial" w:eastAsia="Arial" w:hAnsi="Arial"/>
          <w:sz w:val="19"/>
          <w:szCs w:val="19"/>
          <w:color w:val="auto"/>
        </w:rPr>
        <w:t>In September 2021, the Company and the EEOC agreed to resolve certain claims through a consent decree that was approved by the United States District Court, Central District of California in March 2022. As part of the consent decree, we agreed to create an $18 million fund to satisfy potential claims from eligible participants through a process administered by the EEOC, with undistributed funds to be donated to charitable organizations whose missions involve advancing women in the video game and technology industries or promoting awareness around sexual harassment and gender equality issues, or to our diversity and inclusion efforts. We have engaged an administrator to oversee the claims administration process, who has already established a website and provided claimants the necessary information to file</w:t>
      </w:r>
    </w:p>
    <w:p>
      <w:pPr>
        <w:spacing w:after="0" w:line="155" w:lineRule="exact"/>
        <w:rPr>
          <w:sz w:val="20"/>
          <w:szCs w:val="20"/>
          <w:color w:val="auto"/>
        </w:rPr>
      </w:pPr>
    </w:p>
    <w:p>
      <w:pPr>
        <w:ind w:left="5"/>
        <w:spacing w:after="0"/>
        <w:tabs>
          <w:tab w:leader="none" w:pos="7364" w:val="left"/>
          <w:tab w:leader="none" w:pos="9384" w:val="left"/>
          <w:tab w:leader="none" w:pos="1108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bookmarkStart w:id="45" w:name="page46"/>
    <w:bookmarkEnd w:id="45"/>
    <w:p>
      <w:pPr>
        <w:ind w:left="5"/>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35" w:lineRule="exact"/>
        <w:rPr>
          <w:sz w:val="20"/>
          <w:szCs w:val="20"/>
          <w:color w:val="auto"/>
        </w:rPr>
      </w:pPr>
    </w:p>
    <w:p>
      <w:pPr>
        <w:jc w:val="both"/>
        <w:ind w:left="5"/>
        <w:spacing w:after="0" w:line="238" w:lineRule="auto"/>
        <w:rPr>
          <w:sz w:val="20"/>
          <w:szCs w:val="20"/>
          <w:color w:val="auto"/>
        </w:rPr>
      </w:pPr>
      <w:r>
        <w:rPr>
          <w:rFonts w:ascii="Arial" w:cs="Arial" w:eastAsia="Arial" w:hAnsi="Arial"/>
          <w:sz w:val="19"/>
          <w:szCs w:val="19"/>
          <w:color w:val="auto"/>
        </w:rPr>
        <w:t>their claims. We also agreed to hire an internal EEO coordinator and to engage a third-party equal opportunity consultant to provide ongoing oversight of our compliance with the consent decree—and have already done so. The independent consultant’s findings will be reported directly to the EEOC and provided to our Board of Directors. Additionally, we will continue to enhance our policies, practices, and training to further prevent and eliminate harassment and discrimination from our workplace, and we intend to implement an expanded performance review system with a new equal opportunity component.</w:t>
      </w:r>
    </w:p>
    <w:p>
      <w:pPr>
        <w:spacing w:after="0" w:line="235" w:lineRule="exact"/>
        <w:rPr>
          <w:sz w:val="20"/>
          <w:szCs w:val="20"/>
          <w:color w:val="auto"/>
        </w:rPr>
      </w:pPr>
    </w:p>
    <w:p>
      <w:pPr>
        <w:ind w:left="5"/>
        <w:spacing w:after="0"/>
        <w:rPr>
          <w:sz w:val="20"/>
          <w:szCs w:val="20"/>
          <w:color w:val="auto"/>
        </w:rPr>
      </w:pPr>
      <w:r>
        <w:rPr>
          <w:rFonts w:ascii="Arial" w:cs="Arial" w:eastAsia="Arial" w:hAnsi="Arial"/>
          <w:sz w:val="24"/>
          <w:szCs w:val="24"/>
          <w:b w:val="1"/>
          <w:bCs w:val="1"/>
          <w:color w:val="auto"/>
        </w:rPr>
        <w:t>Enhanced Transparency Regarding Pay Equity</w:t>
      </w:r>
    </w:p>
    <w:p>
      <w:pPr>
        <w:spacing w:after="0" w:line="142" w:lineRule="exact"/>
        <w:rPr>
          <w:sz w:val="20"/>
          <w:szCs w:val="20"/>
          <w:color w:val="auto"/>
        </w:rPr>
      </w:pPr>
    </w:p>
    <w:p>
      <w:pPr>
        <w:jc w:val="both"/>
        <w:ind w:left="5" w:right="20"/>
        <w:spacing w:after="0" w:line="238" w:lineRule="auto"/>
        <w:rPr>
          <w:sz w:val="20"/>
          <w:szCs w:val="20"/>
          <w:color w:val="auto"/>
        </w:rPr>
      </w:pPr>
      <w:r>
        <w:rPr>
          <w:rFonts w:ascii="Arial" w:cs="Arial" w:eastAsia="Arial" w:hAnsi="Arial"/>
          <w:sz w:val="19"/>
          <w:szCs w:val="19"/>
          <w:color w:val="auto"/>
        </w:rPr>
        <w:t>In response to employee requests for further transparency, the Company released a “U.S. Pay Equity Review 2020” in October 2021. That analysis showed that, after accounting for factors that impact pay like role, location, tenure, and job classification, in the U.S., women at the Company on average earned slightly more than men for comparable work in 2020 (women received approximately a dollar and one cent for every dollar received by men).</w:t>
      </w:r>
    </w:p>
    <w:p>
      <w:pPr>
        <w:spacing w:after="0" w:line="263" w:lineRule="exact"/>
        <w:rPr>
          <w:sz w:val="20"/>
          <w:szCs w:val="20"/>
          <w:color w:val="auto"/>
        </w:rPr>
      </w:pPr>
    </w:p>
    <w:p>
      <w:pPr>
        <w:jc w:val="both"/>
        <w:ind w:left="5"/>
        <w:spacing w:after="0" w:line="237" w:lineRule="auto"/>
        <w:rPr>
          <w:sz w:val="20"/>
          <w:szCs w:val="20"/>
          <w:color w:val="auto"/>
        </w:rPr>
      </w:pPr>
      <w:r>
        <w:rPr>
          <w:rFonts w:ascii="Arial" w:cs="Arial" w:eastAsia="Arial" w:hAnsi="Arial"/>
          <w:sz w:val="19"/>
          <w:szCs w:val="19"/>
          <w:color w:val="auto"/>
        </w:rPr>
        <w:t>In 2021, we conducted a global median pay analysis comparing the median pay of male employees to the median pay of employees who are female or who otherwise do not identify as male. A median pay difference reflects the difference between the middle of the distribution of the earnings of all non-male employees compared to all male employees, across the entire Company, regardless of their job. It does not compare the pay of employees performing comparable work, like the pay equity review above. Globally in 2021, the median total compensation for males was 22.8% higher than the median total compensation for those who are female or who otherwise do not identify as male.</w:t>
      </w:r>
    </w:p>
    <w:p>
      <w:pPr>
        <w:spacing w:after="0" w:line="263" w:lineRule="exact"/>
        <w:rPr>
          <w:sz w:val="20"/>
          <w:szCs w:val="20"/>
          <w:color w:val="auto"/>
        </w:rPr>
      </w:pPr>
    </w:p>
    <w:p>
      <w:pPr>
        <w:jc w:val="both"/>
        <w:ind w:left="5"/>
        <w:spacing w:after="0"/>
        <w:rPr>
          <w:sz w:val="20"/>
          <w:szCs w:val="20"/>
          <w:color w:val="auto"/>
        </w:rPr>
      </w:pPr>
      <w:r>
        <w:rPr>
          <w:rFonts w:ascii="Arial" w:cs="Arial" w:eastAsia="Arial" w:hAnsi="Arial"/>
          <w:sz w:val="19"/>
          <w:szCs w:val="19"/>
          <w:color w:val="auto"/>
        </w:rPr>
        <w:t>The 2021 pay equity and median pay difference analyses reflect non-temporary employees. They also reflect employees’ self-selection among the choices “female,” “male,” “other,” and “prefer not to say,” and do not account for employees who selected “prefer not to say.”</w:t>
      </w:r>
    </w:p>
    <w:p>
      <w:pPr>
        <w:spacing w:after="0" w:line="260" w:lineRule="exact"/>
        <w:rPr>
          <w:sz w:val="20"/>
          <w:szCs w:val="20"/>
          <w:color w:val="auto"/>
        </w:rPr>
      </w:pPr>
    </w:p>
    <w:p>
      <w:pPr>
        <w:ind w:left="5"/>
        <w:spacing w:after="0"/>
        <w:rPr>
          <w:sz w:val="20"/>
          <w:szCs w:val="20"/>
          <w:color w:val="auto"/>
        </w:rPr>
      </w:pPr>
      <w:r>
        <w:rPr>
          <w:rFonts w:ascii="Arial" w:cs="Arial" w:eastAsia="Arial" w:hAnsi="Arial"/>
          <w:sz w:val="19"/>
          <w:szCs w:val="19"/>
          <w:color w:val="auto"/>
        </w:rPr>
        <w:t>In addition, we will be making our consolidated 2021 EEO-1 report publicly available.</w:t>
      </w:r>
    </w:p>
    <w:p>
      <w:pPr>
        <w:spacing w:after="0" w:line="243" w:lineRule="exact"/>
        <w:rPr>
          <w:sz w:val="20"/>
          <w:szCs w:val="20"/>
          <w:color w:val="auto"/>
        </w:rPr>
      </w:pPr>
    </w:p>
    <w:p>
      <w:pPr>
        <w:ind w:left="5"/>
        <w:spacing w:after="0"/>
        <w:rPr>
          <w:sz w:val="20"/>
          <w:szCs w:val="20"/>
          <w:color w:val="auto"/>
        </w:rPr>
      </w:pPr>
      <w:r>
        <w:rPr>
          <w:rFonts w:ascii="Arial" w:cs="Arial" w:eastAsia="Arial" w:hAnsi="Arial"/>
          <w:sz w:val="24"/>
          <w:szCs w:val="24"/>
          <w:b w:val="1"/>
          <w:bCs w:val="1"/>
          <w:color w:val="auto"/>
        </w:rPr>
        <w:t>Working to Deliver on Our Commitments</w:t>
      </w:r>
    </w:p>
    <w:p>
      <w:pPr>
        <w:spacing w:after="0" w:line="142" w:lineRule="exact"/>
        <w:rPr>
          <w:sz w:val="20"/>
          <w:szCs w:val="20"/>
          <w:color w:val="auto"/>
        </w:rPr>
      </w:pPr>
    </w:p>
    <w:p>
      <w:pPr>
        <w:jc w:val="both"/>
        <w:ind w:left="5" w:right="20"/>
        <w:spacing w:after="0" w:line="245" w:lineRule="auto"/>
        <w:rPr>
          <w:sz w:val="20"/>
          <w:szCs w:val="20"/>
          <w:color w:val="auto"/>
        </w:rPr>
      </w:pPr>
      <w:r>
        <w:rPr>
          <w:rFonts w:ascii="Arial" w:cs="Arial" w:eastAsia="Arial" w:hAnsi="Arial"/>
          <w:sz w:val="19"/>
          <w:szCs w:val="19"/>
          <w:color w:val="auto"/>
        </w:rPr>
        <w:t>We are continuously working to provide our employees the most welcoming and inclusive workplace in our industry. We have made significant investments and substantial changes, including:</w:t>
      </w:r>
    </w:p>
    <w:p>
      <w:pPr>
        <w:spacing w:after="0" w:line="255" w:lineRule="exact"/>
        <w:rPr>
          <w:sz w:val="20"/>
          <w:szCs w:val="20"/>
          <w:color w:val="auto"/>
        </w:rPr>
      </w:pPr>
    </w:p>
    <w:p>
      <w:pPr>
        <w:ind w:left="145" w:hanging="145"/>
        <w:spacing w:after="0"/>
        <w:tabs>
          <w:tab w:leader="none" w:pos="145" w:val="left"/>
        </w:tabs>
        <w:numPr>
          <w:ilvl w:val="0"/>
          <w:numId w:val="58"/>
        </w:numPr>
        <w:rPr>
          <w:rFonts w:ascii="Arial" w:cs="Arial" w:eastAsia="Arial" w:hAnsi="Arial"/>
          <w:sz w:val="19"/>
          <w:szCs w:val="19"/>
          <w:color w:val="125288"/>
        </w:rPr>
      </w:pPr>
      <w:r>
        <w:rPr>
          <w:rFonts w:ascii="Arial" w:cs="Arial" w:eastAsia="Arial" w:hAnsi="Arial"/>
          <w:sz w:val="19"/>
          <w:szCs w:val="19"/>
          <w:color w:val="auto"/>
        </w:rPr>
        <w:t>Improved transparency to employees by providing regular updates on diversity representation and pay equity.</w:t>
      </w:r>
    </w:p>
    <w:p>
      <w:pPr>
        <w:spacing w:after="0" w:line="138" w:lineRule="exact"/>
        <w:rPr>
          <w:rFonts w:ascii="Arial" w:cs="Arial" w:eastAsia="Arial" w:hAnsi="Arial"/>
          <w:sz w:val="19"/>
          <w:szCs w:val="19"/>
          <w:color w:val="125288"/>
        </w:rPr>
      </w:pPr>
    </w:p>
    <w:p>
      <w:pPr>
        <w:jc w:val="both"/>
        <w:ind w:left="145" w:right="40" w:hanging="145"/>
        <w:spacing w:after="0"/>
        <w:tabs>
          <w:tab w:leader="none" w:pos="145" w:val="left"/>
        </w:tabs>
        <w:numPr>
          <w:ilvl w:val="0"/>
          <w:numId w:val="58"/>
        </w:numPr>
        <w:rPr>
          <w:rFonts w:ascii="Arial" w:cs="Arial" w:eastAsia="Arial" w:hAnsi="Arial"/>
          <w:sz w:val="19"/>
          <w:szCs w:val="19"/>
          <w:color w:val="125288"/>
        </w:rPr>
      </w:pPr>
      <w:r>
        <w:rPr>
          <w:rFonts w:ascii="Arial" w:cs="Arial" w:eastAsia="Arial" w:hAnsi="Arial"/>
          <w:sz w:val="19"/>
          <w:szCs w:val="19"/>
          <w:color w:val="auto"/>
        </w:rPr>
        <w:t>Invested in and launched tools and systems that allow us to better track representation of women and UEG candidates at the applicant, interview, and hiring stages of our recruiting processes, helping to reinforce our goal of having diverse candidate slates for open positions.</w:t>
      </w:r>
    </w:p>
    <w:p>
      <w:pPr>
        <w:spacing w:after="0" w:line="129" w:lineRule="exact"/>
        <w:rPr>
          <w:rFonts w:ascii="Arial" w:cs="Arial" w:eastAsia="Arial" w:hAnsi="Arial"/>
          <w:sz w:val="19"/>
          <w:szCs w:val="19"/>
          <w:color w:val="125288"/>
        </w:rPr>
      </w:pPr>
    </w:p>
    <w:p>
      <w:pPr>
        <w:ind w:left="145" w:hanging="145"/>
        <w:spacing w:after="0"/>
        <w:tabs>
          <w:tab w:leader="none" w:pos="145" w:val="left"/>
        </w:tabs>
        <w:numPr>
          <w:ilvl w:val="0"/>
          <w:numId w:val="58"/>
        </w:numPr>
        <w:rPr>
          <w:rFonts w:ascii="Arial" w:cs="Arial" w:eastAsia="Arial" w:hAnsi="Arial"/>
          <w:sz w:val="19"/>
          <w:szCs w:val="19"/>
          <w:color w:val="125288"/>
        </w:rPr>
      </w:pPr>
      <w:r>
        <w:rPr>
          <w:rFonts w:ascii="Arial" w:cs="Arial" w:eastAsia="Arial" w:hAnsi="Arial"/>
          <w:sz w:val="19"/>
          <w:szCs w:val="19"/>
          <w:color w:val="auto"/>
        </w:rPr>
        <w:t>Expanded employee benefits, including investing in expanded mental health counselling services for employees.</w:t>
      </w:r>
    </w:p>
    <w:p>
      <w:pPr>
        <w:spacing w:after="0" w:line="138" w:lineRule="exact"/>
        <w:rPr>
          <w:rFonts w:ascii="Arial" w:cs="Arial" w:eastAsia="Arial" w:hAnsi="Arial"/>
          <w:sz w:val="19"/>
          <w:szCs w:val="19"/>
          <w:color w:val="125288"/>
        </w:rPr>
      </w:pPr>
    </w:p>
    <w:p>
      <w:pPr>
        <w:jc w:val="both"/>
        <w:ind w:left="145" w:right="40" w:hanging="145"/>
        <w:spacing w:after="0"/>
        <w:tabs>
          <w:tab w:leader="none" w:pos="145" w:val="left"/>
        </w:tabs>
        <w:numPr>
          <w:ilvl w:val="0"/>
          <w:numId w:val="58"/>
        </w:numPr>
        <w:rPr>
          <w:rFonts w:ascii="Arial" w:cs="Arial" w:eastAsia="Arial" w:hAnsi="Arial"/>
          <w:sz w:val="19"/>
          <w:szCs w:val="19"/>
          <w:color w:val="125288"/>
        </w:rPr>
      </w:pPr>
      <w:r>
        <w:rPr>
          <w:rFonts w:ascii="Arial" w:cs="Arial" w:eastAsia="Arial" w:hAnsi="Arial"/>
          <w:sz w:val="19"/>
          <w:szCs w:val="19"/>
          <w:color w:val="auto"/>
        </w:rPr>
        <w:t>Launched “Upward Feedback,” an annual process that gives employees a formal opportunity to share constructive, actionable feedback with their managers through an anonymous survey. This feedback—about each people manager’s inclusive behaviors and commitment to living our values—will be considered in the annual evaluation of each manager’s performance.</w:t>
      </w:r>
    </w:p>
    <w:p>
      <w:pPr>
        <w:spacing w:after="0" w:line="129" w:lineRule="exact"/>
        <w:rPr>
          <w:rFonts w:ascii="Arial" w:cs="Arial" w:eastAsia="Arial" w:hAnsi="Arial"/>
          <w:sz w:val="19"/>
          <w:szCs w:val="19"/>
          <w:color w:val="125288"/>
        </w:rPr>
      </w:pPr>
    </w:p>
    <w:p>
      <w:pPr>
        <w:jc w:val="both"/>
        <w:ind w:left="145" w:right="40" w:hanging="145"/>
        <w:spacing w:after="0"/>
        <w:tabs>
          <w:tab w:leader="none" w:pos="145" w:val="left"/>
        </w:tabs>
        <w:numPr>
          <w:ilvl w:val="0"/>
          <w:numId w:val="58"/>
        </w:numPr>
        <w:rPr>
          <w:rFonts w:ascii="Arial" w:cs="Arial" w:eastAsia="Arial" w:hAnsi="Arial"/>
          <w:sz w:val="19"/>
          <w:szCs w:val="19"/>
          <w:color w:val="125288"/>
        </w:rPr>
      </w:pPr>
      <w:r>
        <w:rPr>
          <w:rFonts w:ascii="Arial" w:cs="Arial" w:eastAsia="Arial" w:hAnsi="Arial"/>
          <w:sz w:val="19"/>
          <w:szCs w:val="19"/>
          <w:color w:val="auto"/>
        </w:rPr>
        <w:t>Formed a Board-level “Workplace Responsibility Committee” to oversee the Company’s progress in successfully implementing new and updated workplace policies, procedures, and commitments (see “Corporate Governance Matters—Board Committees—Ad Hoc Committee”).</w:t>
      </w:r>
    </w:p>
    <w:p>
      <w:pPr>
        <w:spacing w:after="0" w:line="297" w:lineRule="exact"/>
        <w:rPr>
          <w:sz w:val="20"/>
          <w:szCs w:val="20"/>
          <w:color w:val="auto"/>
        </w:rPr>
      </w:pPr>
    </w:p>
    <w:p>
      <w:pPr>
        <w:ind w:left="5"/>
        <w:spacing w:after="0"/>
        <w:tabs>
          <w:tab w:leader="none" w:pos="7364" w:val="left"/>
          <w:tab w:leader="none" w:pos="9384" w:val="left"/>
          <w:tab w:leader="none" w:pos="1108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bookmarkStart w:id="46" w:name="page47"/>
    <w:bookmarkEnd w:id="46"/>
    <w:p>
      <w:pPr>
        <w:ind w:left="5"/>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35" w:lineRule="exact"/>
        <w:rPr>
          <w:sz w:val="20"/>
          <w:szCs w:val="20"/>
          <w:color w:val="auto"/>
        </w:rPr>
      </w:pPr>
    </w:p>
    <w:p>
      <w:pPr>
        <w:jc w:val="both"/>
        <w:ind w:left="145" w:right="40" w:hanging="145"/>
        <w:spacing w:after="0"/>
        <w:tabs>
          <w:tab w:leader="none" w:pos="145" w:val="left"/>
        </w:tabs>
        <w:numPr>
          <w:ilvl w:val="0"/>
          <w:numId w:val="59"/>
        </w:numPr>
        <w:rPr>
          <w:rFonts w:ascii="Arial" w:cs="Arial" w:eastAsia="Arial" w:hAnsi="Arial"/>
          <w:sz w:val="19"/>
          <w:szCs w:val="19"/>
          <w:color w:val="125288"/>
        </w:rPr>
      </w:pPr>
      <w:r>
        <w:rPr>
          <w:rFonts w:ascii="Arial" w:cs="Arial" w:eastAsia="Arial" w:hAnsi="Arial"/>
          <w:sz w:val="19"/>
          <w:szCs w:val="19"/>
          <w:color w:val="auto"/>
        </w:rPr>
        <w:t>Combined our investigations groups into one centralized “investigations unit” within the ethics &amp; compliance team, with expanded resources to increase our ability to conduct prompt investigations and maintain and measure consistency throughout investigations of all types and across the Company.</w:t>
      </w:r>
    </w:p>
    <w:p>
      <w:pPr>
        <w:spacing w:after="0" w:line="129"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59"/>
        </w:numPr>
        <w:rPr>
          <w:rFonts w:ascii="Arial" w:cs="Arial" w:eastAsia="Arial" w:hAnsi="Arial"/>
          <w:sz w:val="19"/>
          <w:szCs w:val="19"/>
          <w:color w:val="125288"/>
        </w:rPr>
      </w:pPr>
      <w:r>
        <w:rPr>
          <w:rFonts w:ascii="Arial" w:cs="Arial" w:eastAsia="Arial" w:hAnsi="Arial"/>
          <w:sz w:val="19"/>
          <w:szCs w:val="19"/>
          <w:color w:val="auto"/>
        </w:rPr>
        <w:t>Redesigned the employee relations team to ensure meaningful outcomes of investigations, support employees throughout investigations, communicate the outcomes of investigations to those involved, and otherwise keep employees informed.</w:t>
      </w:r>
    </w:p>
    <w:p>
      <w:pPr>
        <w:spacing w:after="0" w:line="124" w:lineRule="exact"/>
        <w:rPr>
          <w:rFonts w:ascii="Arial" w:cs="Arial" w:eastAsia="Arial" w:hAnsi="Arial"/>
          <w:sz w:val="19"/>
          <w:szCs w:val="19"/>
          <w:color w:val="125288"/>
        </w:rPr>
      </w:pPr>
    </w:p>
    <w:p>
      <w:pPr>
        <w:jc w:val="both"/>
        <w:ind w:left="145" w:right="40" w:hanging="145"/>
        <w:spacing w:after="0" w:line="238" w:lineRule="auto"/>
        <w:tabs>
          <w:tab w:leader="none" w:pos="145" w:val="left"/>
        </w:tabs>
        <w:numPr>
          <w:ilvl w:val="0"/>
          <w:numId w:val="59"/>
        </w:numPr>
        <w:rPr>
          <w:rFonts w:ascii="Arial" w:cs="Arial" w:eastAsia="Arial" w:hAnsi="Arial"/>
          <w:sz w:val="19"/>
          <w:szCs w:val="19"/>
          <w:color w:val="125288"/>
        </w:rPr>
      </w:pPr>
      <w:r>
        <w:rPr>
          <w:rFonts w:ascii="Arial" w:cs="Arial" w:eastAsia="Arial" w:hAnsi="Arial"/>
          <w:sz w:val="19"/>
          <w:szCs w:val="19"/>
          <w:color w:val="auto"/>
        </w:rPr>
        <w:t>Expanded our “Way2Play Heroes” program, created in 2018, which consists of volunteers who help our other employees understand their reporting options, champion speaking up, and provide feedback and advice on how to strengthen our overall ethics &amp; compliance program. Our Way2Play Heroes are also receiving additional resources and recognition (including an additional personal day each quarter).</w:t>
      </w:r>
    </w:p>
    <w:p>
      <w:pPr>
        <w:spacing w:after="0" w:line="131" w:lineRule="exact"/>
        <w:rPr>
          <w:rFonts w:ascii="Arial" w:cs="Arial" w:eastAsia="Arial" w:hAnsi="Arial"/>
          <w:sz w:val="19"/>
          <w:szCs w:val="19"/>
          <w:color w:val="125288"/>
        </w:rPr>
      </w:pPr>
    </w:p>
    <w:p>
      <w:pPr>
        <w:ind w:left="145" w:hanging="145"/>
        <w:spacing w:after="0"/>
        <w:tabs>
          <w:tab w:leader="none" w:pos="145" w:val="left"/>
        </w:tabs>
        <w:numPr>
          <w:ilvl w:val="0"/>
          <w:numId w:val="59"/>
        </w:numPr>
        <w:rPr>
          <w:rFonts w:ascii="Arial" w:cs="Arial" w:eastAsia="Arial" w:hAnsi="Arial"/>
          <w:sz w:val="19"/>
          <w:szCs w:val="19"/>
          <w:color w:val="125288"/>
        </w:rPr>
      </w:pPr>
      <w:r>
        <w:rPr>
          <w:rFonts w:ascii="Arial" w:cs="Arial" w:eastAsia="Arial" w:hAnsi="Arial"/>
          <w:sz w:val="19"/>
          <w:szCs w:val="19"/>
          <w:color w:val="auto"/>
        </w:rPr>
        <w:t>Announced the launch of a new Company-wide zero-tolerance harassment policy.</w:t>
      </w:r>
    </w:p>
    <w:p>
      <w:pPr>
        <w:spacing w:after="0" w:line="138"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59"/>
        </w:numPr>
        <w:rPr>
          <w:rFonts w:ascii="Arial" w:cs="Arial" w:eastAsia="Arial" w:hAnsi="Arial"/>
          <w:sz w:val="19"/>
          <w:szCs w:val="19"/>
          <w:color w:val="125288"/>
        </w:rPr>
      </w:pPr>
      <w:r>
        <w:rPr>
          <w:rFonts w:ascii="Arial" w:cs="Arial" w:eastAsia="Arial" w:hAnsi="Arial"/>
          <w:sz w:val="19"/>
          <w:szCs w:val="19"/>
          <w:color w:val="auto"/>
        </w:rPr>
        <w:t>Waived arbitration for individual claims of sexual harassment, unlawful discrimination, or related retaliation arising after October 28, 2021.</w:t>
      </w:r>
    </w:p>
    <w:p>
      <w:pPr>
        <w:spacing w:after="0" w:line="124" w:lineRule="exact"/>
        <w:rPr>
          <w:rFonts w:ascii="Arial" w:cs="Arial" w:eastAsia="Arial" w:hAnsi="Arial"/>
          <w:sz w:val="19"/>
          <w:szCs w:val="19"/>
          <w:color w:val="125288"/>
        </w:rPr>
      </w:pPr>
    </w:p>
    <w:p>
      <w:pPr>
        <w:jc w:val="both"/>
        <w:ind w:left="145" w:right="40" w:hanging="145"/>
        <w:spacing w:after="0" w:line="238" w:lineRule="auto"/>
        <w:tabs>
          <w:tab w:leader="none" w:pos="145" w:val="left"/>
        </w:tabs>
        <w:numPr>
          <w:ilvl w:val="0"/>
          <w:numId w:val="59"/>
        </w:numPr>
        <w:rPr>
          <w:rFonts w:ascii="Arial" w:cs="Arial" w:eastAsia="Arial" w:hAnsi="Arial"/>
          <w:sz w:val="19"/>
          <w:szCs w:val="19"/>
          <w:color w:val="125288"/>
        </w:rPr>
      </w:pPr>
      <w:r>
        <w:rPr>
          <w:rFonts w:ascii="Arial" w:cs="Arial" w:eastAsia="Arial" w:hAnsi="Arial"/>
          <w:sz w:val="19"/>
          <w:szCs w:val="19"/>
          <w:color w:val="auto"/>
        </w:rPr>
        <w:t>Revised our forms of equity award agreements to explicitly provide that the right the Company has to recapture certain realized gains from any employee who breaches their employment agreement with the Company applies to a good faith belief, by the Company, after investigation, that the employee has engaged in harassment based on any legally protected category or has retaliated against anyone for reporting a concern or potential misconduct in good faith.</w:t>
      </w:r>
    </w:p>
    <w:p>
      <w:pPr>
        <w:spacing w:after="0" w:line="131"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59"/>
        </w:numPr>
        <w:rPr>
          <w:rFonts w:ascii="Arial" w:cs="Arial" w:eastAsia="Arial" w:hAnsi="Arial"/>
          <w:sz w:val="19"/>
          <w:szCs w:val="19"/>
          <w:color w:val="125288"/>
        </w:rPr>
      </w:pPr>
      <w:r>
        <w:rPr>
          <w:rFonts w:ascii="Arial" w:cs="Arial" w:eastAsia="Arial" w:hAnsi="Arial"/>
          <w:sz w:val="19"/>
          <w:szCs w:val="19"/>
          <w:color w:val="auto"/>
        </w:rPr>
        <w:t>Implemented new policies, including a global drug and alcohol policy for Company-sponsored events and zero tolerance for alcohol consumption in the workplace.</w:t>
      </w:r>
    </w:p>
    <w:p>
      <w:pPr>
        <w:spacing w:after="0" w:line="124" w:lineRule="exact"/>
        <w:rPr>
          <w:rFonts w:ascii="Arial" w:cs="Arial" w:eastAsia="Arial" w:hAnsi="Arial"/>
          <w:sz w:val="19"/>
          <w:szCs w:val="19"/>
          <w:color w:val="125288"/>
        </w:rPr>
      </w:pPr>
    </w:p>
    <w:p>
      <w:pPr>
        <w:jc w:val="both"/>
        <w:ind w:left="145" w:right="40" w:hanging="145"/>
        <w:spacing w:after="0" w:line="238" w:lineRule="auto"/>
        <w:tabs>
          <w:tab w:leader="none" w:pos="145" w:val="left"/>
        </w:tabs>
        <w:numPr>
          <w:ilvl w:val="0"/>
          <w:numId w:val="59"/>
        </w:numPr>
        <w:rPr>
          <w:rFonts w:ascii="Arial" w:cs="Arial" w:eastAsia="Arial" w:hAnsi="Arial"/>
          <w:sz w:val="19"/>
          <w:szCs w:val="19"/>
          <w:color w:val="125288"/>
        </w:rPr>
      </w:pPr>
      <w:r>
        <w:rPr>
          <w:rFonts w:ascii="Arial" w:cs="Arial" w:eastAsia="Arial" w:hAnsi="Arial"/>
          <w:sz w:val="19"/>
          <w:szCs w:val="19"/>
          <w:color w:val="auto"/>
        </w:rPr>
        <w:t>Hired a Senior Director of Equal Employment Opportunity, Equity &amp; Compliance, with relevant experience in gender discrimination, harassment, and related retaliation, to serve as an internal EEO coordinator and assist the Company and the neutral, third-party EEO consultant with implementation of our agreement with the EEOC described above (see “—Addressing Recent Workplace Concerns”).</w:t>
      </w:r>
    </w:p>
    <w:p>
      <w:pPr>
        <w:spacing w:after="0" w:line="3" w:lineRule="exact"/>
        <w:rPr>
          <w:rFonts w:ascii="Arial" w:cs="Arial" w:eastAsia="Arial" w:hAnsi="Arial"/>
          <w:sz w:val="19"/>
          <w:szCs w:val="19"/>
          <w:color w:val="125288"/>
        </w:rPr>
      </w:pPr>
    </w:p>
    <w:p>
      <w:pPr>
        <w:ind w:left="145" w:hanging="145"/>
        <w:spacing w:after="0" w:line="195" w:lineRule="auto"/>
        <w:tabs>
          <w:tab w:leader="none" w:pos="145" w:val="left"/>
        </w:tabs>
        <w:numPr>
          <w:ilvl w:val="0"/>
          <w:numId w:val="59"/>
        </w:numPr>
        <w:rPr>
          <w:rFonts w:ascii="Arial" w:cs="Arial" w:eastAsia="Arial" w:hAnsi="Arial"/>
          <w:sz w:val="38"/>
          <w:szCs w:val="38"/>
          <w:color w:val="125288"/>
          <w:vertAlign w:val="subscript"/>
        </w:rPr>
      </w:pPr>
      <w:r>
        <w:rPr>
          <w:rFonts w:ascii="Arial" w:cs="Arial" w:eastAsia="Arial" w:hAnsi="Arial"/>
          <w:sz w:val="19"/>
          <w:szCs w:val="19"/>
          <w:color w:val="auto"/>
        </w:rPr>
        <w:t>Hired a Chief Diversity, Equity, and Inclusion Officer.</w:t>
      </w:r>
    </w:p>
    <w:p>
      <w:pPr>
        <w:spacing w:after="0" w:line="130" w:lineRule="exact"/>
        <w:rPr>
          <w:rFonts w:ascii="Arial" w:cs="Arial" w:eastAsia="Arial" w:hAnsi="Arial"/>
          <w:sz w:val="38"/>
          <w:szCs w:val="38"/>
          <w:color w:val="125288"/>
          <w:vertAlign w:val="subscript"/>
        </w:rPr>
      </w:pPr>
    </w:p>
    <w:p>
      <w:pPr>
        <w:ind w:left="145" w:hanging="145"/>
        <w:spacing w:after="0"/>
        <w:tabs>
          <w:tab w:leader="none" w:pos="145" w:val="left"/>
        </w:tabs>
        <w:numPr>
          <w:ilvl w:val="0"/>
          <w:numId w:val="59"/>
        </w:numPr>
        <w:rPr>
          <w:rFonts w:ascii="Arial" w:cs="Arial" w:eastAsia="Arial" w:hAnsi="Arial"/>
          <w:sz w:val="19"/>
          <w:szCs w:val="19"/>
          <w:color w:val="125288"/>
        </w:rPr>
      </w:pPr>
      <w:r>
        <w:rPr>
          <w:rFonts w:ascii="Arial" w:cs="Arial" w:eastAsia="Arial" w:hAnsi="Arial"/>
          <w:sz w:val="19"/>
          <w:szCs w:val="19"/>
          <w:color w:val="auto"/>
        </w:rPr>
        <w:t>Removed content from our games that we believe to be inappropriate.</w:t>
      </w:r>
    </w:p>
    <w:p>
      <w:pPr>
        <w:spacing w:after="0" w:line="269" w:lineRule="exact"/>
        <w:rPr>
          <w:sz w:val="20"/>
          <w:szCs w:val="20"/>
          <w:color w:val="auto"/>
        </w:rPr>
      </w:pPr>
    </w:p>
    <w:p>
      <w:pPr>
        <w:jc w:val="both"/>
        <w:ind w:left="5" w:right="20"/>
        <w:spacing w:after="0"/>
        <w:rPr>
          <w:sz w:val="20"/>
          <w:szCs w:val="20"/>
          <w:color w:val="auto"/>
        </w:rPr>
      </w:pPr>
      <w:r>
        <w:rPr>
          <w:rFonts w:ascii="Arial" w:cs="Arial" w:eastAsia="Arial" w:hAnsi="Arial"/>
          <w:sz w:val="19"/>
          <w:szCs w:val="19"/>
          <w:color w:val="auto"/>
        </w:rPr>
        <w:t>We are committed to making additional investments and further improvements to our workplace. Where we can, in light of privacy and other limitations, we expect to share more information with our employees and shareholders as to the outcome of our efforts relating to our workplace environment.</w:t>
      </w:r>
    </w:p>
    <w:p>
      <w:pPr>
        <w:spacing w:after="0" w:line="234" w:lineRule="exact"/>
        <w:rPr>
          <w:sz w:val="20"/>
          <w:szCs w:val="20"/>
          <w:color w:val="auto"/>
        </w:rPr>
      </w:pPr>
    </w:p>
    <w:p>
      <w:pPr>
        <w:ind w:left="5"/>
        <w:spacing w:after="0"/>
        <w:rPr>
          <w:sz w:val="20"/>
          <w:szCs w:val="20"/>
          <w:color w:val="auto"/>
        </w:rPr>
      </w:pPr>
      <w:r>
        <w:rPr>
          <w:rFonts w:ascii="Arial" w:cs="Arial" w:eastAsia="Arial" w:hAnsi="Arial"/>
          <w:sz w:val="24"/>
          <w:szCs w:val="24"/>
          <w:b w:val="1"/>
          <w:bCs w:val="1"/>
          <w:color w:val="auto"/>
        </w:rPr>
        <w:t>Unionization Campaign</w:t>
      </w:r>
    </w:p>
    <w:p>
      <w:pPr>
        <w:spacing w:after="0" w:line="142" w:lineRule="exact"/>
        <w:rPr>
          <w:sz w:val="20"/>
          <w:szCs w:val="20"/>
          <w:color w:val="auto"/>
        </w:rPr>
      </w:pPr>
    </w:p>
    <w:p>
      <w:pPr>
        <w:jc w:val="both"/>
        <w:ind w:left="5"/>
        <w:spacing w:after="0" w:line="236" w:lineRule="auto"/>
        <w:rPr>
          <w:sz w:val="20"/>
          <w:szCs w:val="20"/>
          <w:color w:val="auto"/>
        </w:rPr>
      </w:pPr>
      <w:r>
        <w:rPr>
          <w:rFonts w:ascii="Arial" w:cs="Arial" w:eastAsia="Arial" w:hAnsi="Arial"/>
          <w:sz w:val="19"/>
          <w:szCs w:val="19"/>
          <w:color w:val="auto"/>
        </w:rPr>
        <w:t>Our employees in the U.S. are not covered by collective bargaining agreements. At Raven Software, one of our studios, the Communications Workers of America has filed a petition to represent a unit of employees, and a Regional Director of the National Labor Relations Board (the “NLRB”) has made an initial decision accepting the petitioned-for bargaining unit, which we estimate will consist of fewer than 30 employees. We are reviewing legal options regarding a potential appeal of this decision. The NLRB will now oversee an election process: ballots will be mailed on April 29, 2022 and will be counted on May 23, 2022. We deeply respect the rights of all employees to make their own decisions about whether or not to join a union and to exercise all other National Labor Relations Act rights. Across the Company, we believe that a direct relationship between managers and team members allows us to quickly respond and deliver the strongest results and opportunities for employees.</w:t>
      </w:r>
    </w:p>
    <w:p>
      <w:pPr>
        <w:spacing w:after="0" w:line="161" w:lineRule="exact"/>
        <w:rPr>
          <w:sz w:val="20"/>
          <w:szCs w:val="20"/>
          <w:color w:val="auto"/>
        </w:rPr>
      </w:pPr>
    </w:p>
    <w:p>
      <w:pPr>
        <w:ind w:left="5"/>
        <w:spacing w:after="0"/>
        <w:tabs>
          <w:tab w:leader="none" w:pos="7364" w:val="left"/>
          <w:tab w:leader="none" w:pos="9384" w:val="left"/>
          <w:tab w:leader="none" w:pos="1108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bookmarkStart w:id="47" w:name="page48"/>
    <w:bookmarkEnd w:id="47"/>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ENVIRONMENTAL, SOCIAL, AND GOVERNANCE HIGHLIGHTS</w:t>
      </w:r>
    </w:p>
    <w:p>
      <w:pPr>
        <w:spacing w:after="0" w:line="309"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Our Board and its Nominating and Corporate Governance Committee oversee matters related to our ESG practices, performance, and disclosure and provide management with feedback and guidance on the Company’s ESG efforts. Our management has established an ESG Steering Committee, which is currently chaired by our Chief Administrative Officer and includes several other senior leaders. We also established task-specific cross-functional, enterprise-wide ESG working groups, which include members of our executive management team and employees from across our business units and corporate functions. These working groups support the steering committee by identifying the ESG matters that are most relevant to our business. As part of our long-term strategy, we will continue to expand our internal ESG expertise and advance our reporting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335280</wp:posOffset>
            </wp:positionV>
            <wp:extent cx="6038850" cy="30118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8850" cy="301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Our ESG efforts in 2021 focused on three key areas: championing our people; advancing more diverse and inclusive communities; and protecting the planet.</w:t>
      </w:r>
    </w:p>
    <w:p>
      <w:pPr>
        <w:spacing w:after="0" w:line="23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Championing Our People</w:t>
      </w:r>
    </w:p>
    <w:p>
      <w:pPr>
        <w:spacing w:after="0" w:line="142"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We are committed to becoming the most welcoming, inclusive company in our industry so we can continue to attract and retain the very best talent.</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125288"/>
        </w:rPr>
        <w:t>Developing Our Diverse Talent</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9"/>
          <w:szCs w:val="19"/>
          <w:color w:val="auto"/>
        </w:rPr>
        <w:t>By embedding DE&amp;I practices and programs in the full employee lifecycle, we work to attract, recruit, enable, retain, and develop diverse world-class talent. We also offer leadership and management development opportunities on the topics of unconscious bias and inclusive leadership, and train our recruiting workforce in diverse sourcing strategies.</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125288"/>
        </w:rPr>
        <w:t>Competitive Pay and Benefits</w:t>
      </w:r>
    </w:p>
    <w:p>
      <w:pPr>
        <w:spacing w:after="0" w:line="149"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We believe in linking compensation to overall Company and business unit/franchise performance and each individual’s contribution to those results. The emphasis on overall Company performance is intended to align our employees’ financial interests with the interests of our shareholders.</w:t>
      </w:r>
    </w:p>
    <w:p>
      <w:pPr>
        <w:spacing w:after="0" w:line="154"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48" w:name="page49"/>
    <w:bookmarkEnd w:id="48"/>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35"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We are committed to providing comprehensive benefit options including benefits that allow our employees and their families to live healthier and more secure lives. We frequently upgrade our benefits portfolio by seeking out pioneer partners that can give our employees modern benefit experiences. For example, at the onset of the COVID-19 pandemic when traditional medical services came under heavy demand, we created an enterprise-wide global network of physicians to help ensure that our employees and their families had access to medical advice.</w:t>
      </w:r>
    </w:p>
    <w:p>
      <w:pPr>
        <w:spacing w:after="0" w:line="23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Advancing More Diverse and Inclusive Communities</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125288"/>
        </w:rPr>
        <w:t>Our Diverse Talent Pipeline</w:t>
      </w:r>
    </w:p>
    <w:p>
      <w:pPr>
        <w:spacing w:after="0" w:line="149"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Our overall goal in hiring is to provide an objective and equitable process that helps us recruit the very best creative and technical talent in the world. To meet that goal, we have identified an array of resources to increase the share of women and underrepresented minorities in our workforce and to promote other forms of diversity. Beyond being an equal opportunity employer, we are committed to building and sustaining a culture of DE&amp;I, beginning with the tone set by management and extending throughout the organization.</w:t>
      </w:r>
    </w:p>
    <w:p>
      <w:pPr>
        <w:spacing w:after="0" w:line="263"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We have prioritized and taken meaningful action on a broad portfolio of initiatives, including expanding opportunities in the gaming and technology space for underrepresented communities through mentorship and creating sponsorship programs for our current teammates and future leaders. Since 2016, the number of women that we employ in game development leadership roles has more than doubled. As of December 31, 2021, approximately 24% of our global employee population were females and those who otherwise do not identify as male.</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125288"/>
        </w:rPr>
        <w:t>Our Employee Network Groups</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hard work of many employees who have joined or otherwise engaged with one of our nine employee network groups is an important force behind our Company’s DE&amp;I progress. Our networks foster a sense of belonging and provide a space for employees to engage, educate, and show up to work as their authentic selves. These groups also influence our content to help ensure it is accessible and inclusive for everyone.</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125288"/>
        </w:rPr>
        <w:t>Our In-Game Communities</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Video games have redefined what it means to interact socially—uniting people globally without regard to race, religion, ethnicity, sexual identity, gender, or gender identity. Since players engage with our games for over an hour per day, on average, our games can play an important, consistent, responsible, and positive role in influencing popular culture, eliminating stereotypes, celebrating differences, and encouraging communities to embrace tolerance and understanding.</w:t>
      </w:r>
    </w:p>
    <w:p>
      <w:pPr>
        <w:spacing w:after="0" w:line="263"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We have some of the most diverse games in the world, including characters of color, characters from the LGBTQ+ community, characters of differing abilities, and non-binary characters. Our games increasingly reflect our communities, and we believe that content designed with diversity and inclusion enables these global communities to grow. It also drives deeper engagement, as fans— both new and old—connect with us in new and meaningful ways.</w:t>
      </w:r>
    </w:p>
    <w:p>
      <w:pPr>
        <w:spacing w:after="0" w:line="263" w:lineRule="exact"/>
        <w:rPr>
          <w:sz w:val="20"/>
          <w:szCs w:val="20"/>
          <w:color w:val="auto"/>
        </w:rPr>
      </w:pPr>
    </w:p>
    <w:p>
      <w:pPr>
        <w:jc w:val="both"/>
        <w:ind w:right="20"/>
        <w:spacing w:after="0" w:line="237" w:lineRule="auto"/>
        <w:rPr>
          <w:sz w:val="20"/>
          <w:szCs w:val="20"/>
          <w:color w:val="auto"/>
        </w:rPr>
      </w:pPr>
      <w:r>
        <w:rPr>
          <w:rFonts w:ascii="Arial" w:cs="Arial" w:eastAsia="Arial" w:hAnsi="Arial"/>
          <w:sz w:val="19"/>
          <w:szCs w:val="19"/>
          <w:color w:val="auto"/>
        </w:rPr>
        <w:t xml:space="preserve">Our developers leverage the members of our employee network groups, as well as the Company’s DE&amp;I team, to provide feedback and input on content, ranging from narratives and worlds/levels to characters and more. For example, our Black Employee Network “Representation in Gaming” team reviewed the campaign script for one of the scenes in </w:t>
      </w:r>
      <w:r>
        <w:rPr>
          <w:rFonts w:ascii="Arial" w:cs="Arial" w:eastAsia="Arial" w:hAnsi="Arial"/>
          <w:sz w:val="19"/>
          <w:szCs w:val="19"/>
          <w:i w:val="1"/>
          <w:iCs w:val="1"/>
          <w:color w:val="auto"/>
        </w:rPr>
        <w:t>Call of Duty: Vanguard</w:t>
      </w:r>
      <w:r>
        <w:rPr>
          <w:rFonts w:ascii="Arial" w:cs="Arial" w:eastAsia="Arial" w:hAnsi="Arial"/>
          <w:sz w:val="19"/>
          <w:szCs w:val="19"/>
          <w:color w:val="auto"/>
        </w:rPr>
        <w:t xml:space="preserve"> featuring Arthur Kingsley, the franchise’s first Black leading character. The feedback the group provided on descriptive language used for the character led to a more accurate portrayal of his exemplary qualities. The network also helped with ongoing review of character skins, images, and background biographies to ensure they reflected the authenticity of the characters’ stories.</w:t>
      </w:r>
    </w:p>
    <w:p>
      <w:pPr>
        <w:spacing w:after="0" w:line="263"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 xml:space="preserve">Inclusive design helps create accommodations and rich experiences that are enjoyable for our players with varying needs, abilities, and preferences. As one example, we updated </w:t>
      </w:r>
      <w:r>
        <w:rPr>
          <w:rFonts w:ascii="Arial" w:cs="Arial" w:eastAsia="Arial" w:hAnsi="Arial"/>
          <w:sz w:val="19"/>
          <w:szCs w:val="19"/>
          <w:i w:val="1"/>
          <w:iCs w:val="1"/>
          <w:color w:val="auto"/>
        </w:rPr>
        <w:t>World of Warcraft</w:t>
      </w:r>
      <w:r>
        <w:rPr>
          <w:rFonts w:ascii="Arial" w:cs="Arial" w:eastAsia="Arial" w:hAnsi="Arial"/>
          <w:sz w:val="19"/>
          <w:szCs w:val="19"/>
          <w:color w:val="auto"/>
        </w:rPr>
        <w:t xml:space="preserve"> accessibility, including voice chat transcription, text chat narration, text-to-speech commands, speak for me (synthetic voice), quest text contrast, and specular lighting control. Similarly, we re-launched Diablo</w:t>
      </w:r>
      <w:r>
        <w:rPr>
          <w:rFonts w:ascii="Arial" w:cs="Arial" w:eastAsia="Arial" w:hAnsi="Arial"/>
          <w:sz w:val="21"/>
          <w:szCs w:val="21"/>
          <w:color w:val="auto"/>
          <w:vertAlign w:val="superscript"/>
        </w:rPr>
        <w:t>®</w:t>
      </w:r>
      <w:r>
        <w:rPr>
          <w:rFonts w:ascii="Arial" w:cs="Arial" w:eastAsia="Arial" w:hAnsi="Arial"/>
          <w:sz w:val="19"/>
          <w:szCs w:val="19"/>
          <w:color w:val="auto"/>
        </w:rPr>
        <w:t xml:space="preserve"> II : Resurrected</w:t>
      </w:r>
      <w:r>
        <w:rPr>
          <w:rFonts w:ascii="Arial" w:cs="Arial" w:eastAsia="Arial" w:hAnsi="Arial"/>
          <w:sz w:val="21"/>
          <w:szCs w:val="21"/>
          <w:color w:val="auto"/>
          <w:vertAlign w:val="superscript"/>
        </w:rPr>
        <w:t>™</w:t>
      </w:r>
      <w:r>
        <w:rPr>
          <w:rFonts w:ascii="Arial" w:cs="Arial" w:eastAsia="Arial" w:hAnsi="Arial"/>
          <w:sz w:val="19"/>
          <w:szCs w:val="19"/>
          <w:color w:val="auto"/>
        </w:rPr>
        <w:t>, with an array of new accessibility features that were not present in the original game, including controller configurations to allow players options to play with one hand, new options to prevent prolonged button holds and repetitive actions, and volume sliders for individual sound effects to help with sensory overload.</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color w:val="125288"/>
        </w:rPr>
        <w:t>Communities in Which We Live and Work</w:t>
      </w:r>
    </w:p>
    <w:p>
      <w:pPr>
        <w:spacing w:after="0" w:line="149"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From Company-sponsored programs to grassroots voluntary involvement, our employees love to give back and support programs and charities that are meaningful to them and our communities more broadly.</w:t>
      </w:r>
    </w:p>
    <w:p>
      <w:pPr>
        <w:sectPr>
          <w:pgSz w:w="11900" w:h="16838" w:orient="portrait"/>
          <w:cols w:equalWidth="0" w:num="1">
            <w:col w:w="11260"/>
          </w:cols>
          <w:pgMar w:left="320" w:top="144" w:right="319" w:bottom="1440" w:gutter="0" w:footer="0" w:header="0"/>
        </w:sectPr>
      </w:pPr>
    </w:p>
    <w:p>
      <w:pPr>
        <w:spacing w:after="0" w:line="150"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type w:val="continuous"/>
        </w:sectPr>
      </w:pPr>
    </w:p>
    <w:bookmarkStart w:id="49" w:name="page50"/>
    <w:bookmarkEnd w:id="49"/>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Call of Duty Endowment</w:t>
      </w:r>
    </w:p>
    <w:p>
      <w:pPr>
        <w:spacing w:after="0" w:line="142"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The flagship of our corporate social responsibility efforts is the Call of Duty Endowment (the “Endowment”), which helps veterans find high-quality careers by supporting groups that prepare them for the job market and by raising awareness of the value that veterans bring to the workforce.</w:t>
      </w:r>
    </w:p>
    <w:p>
      <w:pPr>
        <w:spacing w:after="0" w:line="260"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Since its inception in 2009, the Endowment has made more than $62 million in grants and is on track to hit its goal of getting 100,000 veterans back to work by 2024.</w:t>
      </w:r>
    </w:p>
    <w:p>
      <w:pPr>
        <w:spacing w:after="0" w:line="255" w:lineRule="exact"/>
        <w:rPr>
          <w:sz w:val="20"/>
          <w:szCs w:val="20"/>
          <w:color w:val="auto"/>
        </w:rPr>
      </w:pPr>
    </w:p>
    <w:p>
      <w:pPr>
        <w:jc w:val="both"/>
        <w:spacing w:after="0"/>
        <w:rPr>
          <w:sz w:val="20"/>
          <w:szCs w:val="20"/>
          <w:color w:val="auto"/>
        </w:rPr>
      </w:pPr>
      <w:r>
        <w:rPr>
          <w:rFonts w:ascii="Arial" w:cs="Arial" w:eastAsia="Arial" w:hAnsi="Arial"/>
          <w:sz w:val="19"/>
          <w:szCs w:val="19"/>
          <w:color w:val="auto"/>
        </w:rPr>
        <w:t>Despite a volatile job market in 2021, it was the Endowment’s most successful year ever; over 16,000 veterans were placed in high-quality jobs. We are proud that 19% of those veterans were women and 20% were Black, even though those who identify as women and Black compose just 10% and 12%, respectively, of the U.S. veteran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168910</wp:posOffset>
            </wp:positionV>
            <wp:extent cx="6038850" cy="10642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8850" cy="1064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60"/>
        <w:spacing w:after="0" w:line="245" w:lineRule="auto"/>
        <w:rPr>
          <w:sz w:val="20"/>
          <w:szCs w:val="20"/>
          <w:color w:val="auto"/>
        </w:rPr>
      </w:pPr>
      <w:r>
        <w:rPr>
          <w:rFonts w:ascii="Arial" w:cs="Arial" w:eastAsia="Arial" w:hAnsi="Arial"/>
          <w:sz w:val="19"/>
          <w:szCs w:val="19"/>
          <w:color w:val="auto"/>
        </w:rPr>
        <w:t>Please see the Endowment’s most recent annual report, which may be viewed at https://www.callofdutyendowment.org, for more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Giving Back to the Community</w:t>
      </w:r>
    </w:p>
    <w:p>
      <w:pPr>
        <w:spacing w:after="0" w:line="142" w:lineRule="exact"/>
        <w:rPr>
          <w:sz w:val="20"/>
          <w:szCs w:val="20"/>
          <w:color w:val="auto"/>
        </w:rPr>
      </w:pPr>
    </w:p>
    <w:p>
      <w:pPr>
        <w:jc w:val="both"/>
        <w:ind w:right="20"/>
        <w:spacing w:after="0" w:line="237" w:lineRule="auto"/>
        <w:rPr>
          <w:sz w:val="20"/>
          <w:szCs w:val="20"/>
          <w:color w:val="auto"/>
        </w:rPr>
      </w:pPr>
      <w:r>
        <w:rPr>
          <w:rFonts w:ascii="Arial" w:cs="Arial" w:eastAsia="Arial" w:hAnsi="Arial"/>
          <w:sz w:val="19"/>
          <w:szCs w:val="19"/>
          <w:color w:val="auto"/>
        </w:rPr>
        <w:t>There are a number of ways Activision Blizzard empowers its employees to support their communities. For example, on our Veterans Day of Service, Activision Blizzard employees volunteer during the workday, helping charities focused on creating a positive impact for veterans across the globe. Additionally, in December 2021, the Company launched ABK Gives Back, a charitable donation matching program that matches eligible employee contributions, dollar-for-dollar, up to $1,000 (or local equivalent) annually. Activision Blizzard also supports various community programs to promote STEAM learning and foster career opportunities for underrepresented groups in STEAM fields.</w:t>
      </w:r>
    </w:p>
    <w:p>
      <w:pPr>
        <w:spacing w:after="0" w:line="238"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PROTECTING THE PLANET</w:t>
      </w:r>
    </w:p>
    <w:p>
      <w:pPr>
        <w:spacing w:after="0" w:line="309"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We are committed to doing our part to protect the planet for current and future generations. That is why we think about our environmental impact across our operations.</w:t>
      </w:r>
    </w:p>
    <w:p>
      <w:pPr>
        <w:spacing w:after="0" w:line="125"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Digital share of revenue is increasing over time, enabling us to set and achieve important sustainability goals. In 2021, we derived approximately 87% of our revenues via digital channels. As a result, from 2019 to 2021, we reduced packaging waste by 60%, surpassing our original goal of a 50% reduction by 2024.</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Please see our upcoming ESG report for 2021 for additional information about our environmental sustainability goals.</w:t>
      </w:r>
    </w:p>
    <w:p>
      <w:pPr>
        <w:spacing w:after="0" w:line="163"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50" w:name="page51"/>
    <w:bookmarkEnd w:id="50"/>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sz w:val="1"/>
          <w:szCs w:val="1"/>
          <w:color w:val="auto"/>
        </w:rPr>
        <w:drawing>
          <wp:inline distT="0" distB="0" distL="0" distR="0">
            <wp:extent cx="445135" cy="15113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45135" cy="151130"/>
                    </a:xfrm>
                    <a:prstGeom prst="rect">
                      <a:avLst/>
                    </a:prstGeom>
                    <a:noFill/>
                    <a:ln>
                      <a:noFill/>
                    </a:ln>
                  </pic:spPr>
                </pic:pic>
              </a:graphicData>
            </a:graphic>
          </wp:inline>
        </w:drawing>
      </w:r>
      <w:r>
        <w:rPr>
          <w:rFonts w:ascii="Arial" w:cs="Arial" w:eastAsia="Arial" w:hAnsi="Arial"/>
          <w:sz w:val="31"/>
          <w:szCs w:val="31"/>
          <w:b w:val="1"/>
          <w:bCs w:val="1"/>
          <w:color w:val="125288"/>
        </w:rPr>
        <w:t xml:space="preserve"> DIRECTOR COMPENSATION</w:t>
      </w:r>
    </w:p>
    <w:p>
      <w:pPr>
        <w:spacing w:after="0" w:line="311"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OVERVIEW OF OUR DIRECTOR COMPENSATION PROGRAM</w:t>
      </w:r>
    </w:p>
    <w:p>
      <w:pPr>
        <w:spacing w:after="0" w:line="309"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Our non-employee directors receive a mix of cash and equity awards, with most of the compensation in the form of equity. The amount of compensation varies with each director’s role and responsibilities. Mr. Kotick, our Chief Executive Officer and the only employee director, does not receive any additional compensation for his service on our Board.</w:t>
      </w:r>
    </w:p>
    <w:p>
      <w:pPr>
        <w:spacing w:after="0" w:line="260"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The Compensation Committee annually reviews the total compensation paid to our non-employee directors and each element of our director compensation program and makes recommendations to our Board regarding the program as needed. In doing so, our Compensation Committee considers various factors, including our directors’ responsibilities, their experience and skills, and whether the form and amount of our director compensation is competitive as compared to the peer group against which the Compensation Committee benchmarks our executive compensation. (Please see “Executive Compensation—Compensation Discussion and Analysis—How We Make Decisions About Executive Compensation—How We Use Peer Company Data and Compensation Surveys” below for information about our peer group.) The Compensation Committee engages an independent compensation consultant— Exequity—to assist in this review. Our executive officers may assist the Compensation Committee in obtaining benchmarking and other information relevant to determining director compensation, but management has no role in recommending or determining the amount or form of director compensation.</w:t>
      </w:r>
    </w:p>
    <w:p>
      <w:pPr>
        <w:spacing w:after="0" w:line="265"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Although the structure of the director compensation program and the amounts payable thereunder are reviewed annually, the annual cash retainer and the value of the equity granted to our non-employee directors have remained unchanged for over eight years.</w:t>
      </w:r>
    </w:p>
    <w:p>
      <w:pPr>
        <w:spacing w:after="0" w:line="255"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The director compensation program was most recently amended as of November 22, 2021, to provide for compensation for service on our newly-formed Workplace Responsibility Committee.</w:t>
      </w:r>
    </w:p>
    <w:p>
      <w:pPr>
        <w:spacing w:after="0" w:line="23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CASH COMPENSATION</w:t>
      </w:r>
    </w:p>
    <w:p>
      <w:pPr>
        <w:spacing w:after="0" w:line="309"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The following table summarizes the cash elements of our non-employee director compensation program. Directors do not receive any additional payments for attending Board or committee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324485</wp:posOffset>
            </wp:positionV>
            <wp:extent cx="7148830" cy="152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060" w:type="dxa"/>
            <w:vAlign w:val="bottom"/>
          </w:tcPr>
          <w:p>
            <w:pPr>
              <w:ind w:left="40"/>
              <w:spacing w:after="0"/>
              <w:rPr>
                <w:sz w:val="20"/>
                <w:szCs w:val="20"/>
                <w:color w:val="auto"/>
              </w:rPr>
            </w:pPr>
            <w:r>
              <w:rPr>
                <w:rFonts w:ascii="Arial" w:cs="Arial" w:eastAsia="Arial" w:hAnsi="Arial"/>
                <w:sz w:val="17"/>
                <w:szCs w:val="17"/>
                <w:color w:val="auto"/>
              </w:rPr>
              <w:t>Annual Retainer</w:t>
            </w:r>
          </w:p>
        </w:tc>
        <w:tc>
          <w:tcPr>
            <w:tcW w:w="2920" w:type="dxa"/>
            <w:vAlign w:val="bottom"/>
          </w:tcPr>
          <w:p>
            <w:pPr>
              <w:spacing w:after="0"/>
              <w:rPr>
                <w:sz w:val="17"/>
                <w:szCs w:val="17"/>
                <w:color w:val="auto"/>
              </w:rPr>
            </w:pPr>
          </w:p>
        </w:tc>
        <w:tc>
          <w:tcPr>
            <w:tcW w:w="54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90,000</w:t>
            </w:r>
          </w:p>
        </w:tc>
      </w:tr>
      <w:tr>
        <w:trPr>
          <w:trHeight w:val="85"/>
        </w:trPr>
        <w:tc>
          <w:tcPr>
            <w:tcW w:w="7060" w:type="dxa"/>
            <w:vAlign w:val="bottom"/>
            <w:tcBorders>
              <w:bottom w:val="single" w:sz="8" w:color="125288"/>
            </w:tcBorders>
          </w:tcPr>
          <w:p>
            <w:pPr>
              <w:spacing w:after="0"/>
              <w:rPr>
                <w:sz w:val="7"/>
                <w:szCs w:val="7"/>
                <w:color w:val="auto"/>
              </w:rPr>
            </w:pPr>
          </w:p>
        </w:tc>
        <w:tc>
          <w:tcPr>
            <w:tcW w:w="2920" w:type="dxa"/>
            <w:vAlign w:val="bottom"/>
            <w:tcBorders>
              <w:bottom w:val="single" w:sz="8" w:color="125288"/>
            </w:tcBorders>
          </w:tcPr>
          <w:p>
            <w:pPr>
              <w:spacing w:after="0"/>
              <w:rPr>
                <w:sz w:val="7"/>
                <w:szCs w:val="7"/>
                <w:color w:val="auto"/>
              </w:rPr>
            </w:pPr>
          </w:p>
        </w:tc>
        <w:tc>
          <w:tcPr>
            <w:tcW w:w="540" w:type="dxa"/>
            <w:vAlign w:val="bottom"/>
            <w:tcBorders>
              <w:bottom w:val="single" w:sz="8" w:color="125288"/>
            </w:tcBorders>
          </w:tcPr>
          <w:p>
            <w:pPr>
              <w:spacing w:after="0"/>
              <w:rPr>
                <w:sz w:val="7"/>
                <w:szCs w:val="7"/>
                <w:color w:val="auto"/>
              </w:rPr>
            </w:pPr>
          </w:p>
        </w:tc>
        <w:tc>
          <w:tcPr>
            <w:tcW w:w="740" w:type="dxa"/>
            <w:vAlign w:val="bottom"/>
            <w:tcBorders>
              <w:bottom w:val="single" w:sz="8" w:color="125288"/>
            </w:tcBorders>
            <w:gridSpan w:val="2"/>
          </w:tcPr>
          <w:p>
            <w:pPr>
              <w:spacing w:after="0"/>
              <w:rPr>
                <w:sz w:val="7"/>
                <w:szCs w:val="7"/>
                <w:color w:val="auto"/>
              </w:rPr>
            </w:pPr>
          </w:p>
        </w:tc>
      </w:tr>
      <w:tr>
        <w:trPr>
          <w:trHeight w:val="276"/>
        </w:trPr>
        <w:tc>
          <w:tcPr>
            <w:tcW w:w="7060" w:type="dxa"/>
            <w:vAlign w:val="bottom"/>
          </w:tcPr>
          <w:p>
            <w:pPr>
              <w:ind w:left="40"/>
              <w:spacing w:after="0"/>
              <w:rPr>
                <w:sz w:val="20"/>
                <w:szCs w:val="20"/>
                <w:color w:val="auto"/>
              </w:rPr>
            </w:pPr>
            <w:r>
              <w:rPr>
                <w:rFonts w:ascii="Arial" w:cs="Arial" w:eastAsia="Arial" w:hAnsi="Arial"/>
                <w:sz w:val="17"/>
                <w:szCs w:val="17"/>
                <w:color w:val="auto"/>
              </w:rPr>
              <w:t>Add’l. for Serving as Chairperson of the Board of Directors</w:t>
            </w:r>
          </w:p>
        </w:tc>
        <w:tc>
          <w:tcPr>
            <w:tcW w:w="2920" w:type="dxa"/>
            <w:vAlign w:val="bottom"/>
          </w:tcPr>
          <w:p>
            <w:pPr>
              <w:spacing w:after="0"/>
              <w:rPr>
                <w:sz w:val="23"/>
                <w:szCs w:val="23"/>
                <w:color w:val="auto"/>
              </w:rPr>
            </w:pPr>
          </w:p>
        </w:tc>
        <w:tc>
          <w:tcPr>
            <w:tcW w:w="54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150,000</w:t>
            </w:r>
          </w:p>
        </w:tc>
      </w:tr>
      <w:tr>
        <w:trPr>
          <w:trHeight w:val="85"/>
        </w:trPr>
        <w:tc>
          <w:tcPr>
            <w:tcW w:w="7060" w:type="dxa"/>
            <w:vAlign w:val="bottom"/>
            <w:tcBorders>
              <w:bottom w:val="single" w:sz="8" w:color="125288"/>
            </w:tcBorders>
          </w:tcPr>
          <w:p>
            <w:pPr>
              <w:spacing w:after="0"/>
              <w:rPr>
                <w:sz w:val="7"/>
                <w:szCs w:val="7"/>
                <w:color w:val="auto"/>
              </w:rPr>
            </w:pPr>
          </w:p>
        </w:tc>
        <w:tc>
          <w:tcPr>
            <w:tcW w:w="2920" w:type="dxa"/>
            <w:vAlign w:val="bottom"/>
            <w:tcBorders>
              <w:bottom w:val="single" w:sz="8" w:color="125288"/>
            </w:tcBorders>
          </w:tcPr>
          <w:p>
            <w:pPr>
              <w:spacing w:after="0"/>
              <w:rPr>
                <w:sz w:val="7"/>
                <w:szCs w:val="7"/>
                <w:color w:val="auto"/>
              </w:rPr>
            </w:pPr>
          </w:p>
        </w:tc>
        <w:tc>
          <w:tcPr>
            <w:tcW w:w="540" w:type="dxa"/>
            <w:vAlign w:val="bottom"/>
            <w:tcBorders>
              <w:bottom w:val="single" w:sz="8" w:color="125288"/>
            </w:tcBorders>
          </w:tcPr>
          <w:p>
            <w:pPr>
              <w:spacing w:after="0"/>
              <w:rPr>
                <w:sz w:val="7"/>
                <w:szCs w:val="7"/>
                <w:color w:val="auto"/>
              </w:rPr>
            </w:pPr>
          </w:p>
        </w:tc>
        <w:tc>
          <w:tcPr>
            <w:tcW w:w="740" w:type="dxa"/>
            <w:vAlign w:val="bottom"/>
            <w:tcBorders>
              <w:bottom w:val="single" w:sz="8" w:color="125288"/>
            </w:tcBorders>
            <w:gridSpan w:val="2"/>
          </w:tcPr>
          <w:p>
            <w:pPr>
              <w:spacing w:after="0"/>
              <w:rPr>
                <w:sz w:val="7"/>
                <w:szCs w:val="7"/>
                <w:color w:val="auto"/>
              </w:rPr>
            </w:pPr>
          </w:p>
        </w:tc>
      </w:tr>
      <w:tr>
        <w:trPr>
          <w:trHeight w:val="276"/>
        </w:trPr>
        <w:tc>
          <w:tcPr>
            <w:tcW w:w="7060" w:type="dxa"/>
            <w:vAlign w:val="bottom"/>
          </w:tcPr>
          <w:p>
            <w:pPr>
              <w:ind w:left="40"/>
              <w:spacing w:after="0"/>
              <w:rPr>
                <w:sz w:val="20"/>
                <w:szCs w:val="20"/>
                <w:color w:val="auto"/>
              </w:rPr>
            </w:pPr>
            <w:r>
              <w:rPr>
                <w:rFonts w:ascii="Arial" w:cs="Arial" w:eastAsia="Arial" w:hAnsi="Arial"/>
                <w:sz w:val="17"/>
                <w:szCs w:val="17"/>
                <w:color w:val="auto"/>
              </w:rPr>
              <w:t>Add’l. for Serving as Lead Independent Director</w:t>
            </w:r>
          </w:p>
        </w:tc>
        <w:tc>
          <w:tcPr>
            <w:tcW w:w="2920" w:type="dxa"/>
            <w:vAlign w:val="bottom"/>
          </w:tcPr>
          <w:p>
            <w:pPr>
              <w:spacing w:after="0"/>
              <w:rPr>
                <w:sz w:val="23"/>
                <w:szCs w:val="23"/>
                <w:color w:val="auto"/>
              </w:rPr>
            </w:pPr>
          </w:p>
        </w:tc>
        <w:tc>
          <w:tcPr>
            <w:tcW w:w="54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50,000</w:t>
            </w:r>
          </w:p>
        </w:tc>
      </w:tr>
      <w:tr>
        <w:trPr>
          <w:trHeight w:val="85"/>
        </w:trPr>
        <w:tc>
          <w:tcPr>
            <w:tcW w:w="7060" w:type="dxa"/>
            <w:vAlign w:val="bottom"/>
            <w:tcBorders>
              <w:bottom w:val="single" w:sz="8" w:color="125288"/>
            </w:tcBorders>
          </w:tcPr>
          <w:p>
            <w:pPr>
              <w:spacing w:after="0"/>
              <w:rPr>
                <w:sz w:val="7"/>
                <w:szCs w:val="7"/>
                <w:color w:val="auto"/>
              </w:rPr>
            </w:pPr>
          </w:p>
        </w:tc>
        <w:tc>
          <w:tcPr>
            <w:tcW w:w="2920" w:type="dxa"/>
            <w:vAlign w:val="bottom"/>
            <w:tcBorders>
              <w:bottom w:val="single" w:sz="8" w:color="125288"/>
            </w:tcBorders>
          </w:tcPr>
          <w:p>
            <w:pPr>
              <w:spacing w:after="0"/>
              <w:rPr>
                <w:sz w:val="7"/>
                <w:szCs w:val="7"/>
                <w:color w:val="auto"/>
              </w:rPr>
            </w:pPr>
          </w:p>
        </w:tc>
        <w:tc>
          <w:tcPr>
            <w:tcW w:w="540" w:type="dxa"/>
            <w:vAlign w:val="bottom"/>
            <w:tcBorders>
              <w:bottom w:val="single" w:sz="8" w:color="125288"/>
            </w:tcBorders>
          </w:tcPr>
          <w:p>
            <w:pPr>
              <w:spacing w:after="0"/>
              <w:rPr>
                <w:sz w:val="7"/>
                <w:szCs w:val="7"/>
                <w:color w:val="auto"/>
              </w:rPr>
            </w:pPr>
          </w:p>
        </w:tc>
        <w:tc>
          <w:tcPr>
            <w:tcW w:w="740" w:type="dxa"/>
            <w:vAlign w:val="bottom"/>
            <w:tcBorders>
              <w:bottom w:val="single" w:sz="8" w:color="125288"/>
            </w:tcBorders>
            <w:gridSpan w:val="2"/>
          </w:tcPr>
          <w:p>
            <w:pPr>
              <w:spacing w:after="0"/>
              <w:rPr>
                <w:sz w:val="7"/>
                <w:szCs w:val="7"/>
                <w:color w:val="auto"/>
              </w:rPr>
            </w:pPr>
          </w:p>
        </w:tc>
      </w:tr>
      <w:tr>
        <w:trPr>
          <w:trHeight w:val="276"/>
        </w:trPr>
        <w:tc>
          <w:tcPr>
            <w:tcW w:w="7060" w:type="dxa"/>
            <w:vAlign w:val="bottom"/>
          </w:tcPr>
          <w:p>
            <w:pPr>
              <w:ind w:left="40"/>
              <w:spacing w:after="0"/>
              <w:rPr>
                <w:sz w:val="20"/>
                <w:szCs w:val="20"/>
                <w:color w:val="auto"/>
              </w:rPr>
            </w:pPr>
            <w:r>
              <w:rPr>
                <w:rFonts w:ascii="Arial" w:cs="Arial" w:eastAsia="Arial" w:hAnsi="Arial"/>
                <w:sz w:val="17"/>
                <w:szCs w:val="17"/>
                <w:color w:val="auto"/>
              </w:rPr>
              <w:t>Add’l. for Serving as Chairperson of the Audit Committee</w:t>
            </w:r>
          </w:p>
        </w:tc>
        <w:tc>
          <w:tcPr>
            <w:tcW w:w="2920" w:type="dxa"/>
            <w:vAlign w:val="bottom"/>
          </w:tcPr>
          <w:p>
            <w:pPr>
              <w:spacing w:after="0"/>
              <w:rPr>
                <w:sz w:val="23"/>
                <w:szCs w:val="23"/>
                <w:color w:val="auto"/>
              </w:rPr>
            </w:pPr>
          </w:p>
        </w:tc>
        <w:tc>
          <w:tcPr>
            <w:tcW w:w="54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40,000</w:t>
            </w:r>
          </w:p>
        </w:tc>
      </w:tr>
      <w:tr>
        <w:trPr>
          <w:trHeight w:val="85"/>
        </w:trPr>
        <w:tc>
          <w:tcPr>
            <w:tcW w:w="7060" w:type="dxa"/>
            <w:vAlign w:val="bottom"/>
            <w:tcBorders>
              <w:bottom w:val="single" w:sz="8" w:color="125288"/>
            </w:tcBorders>
          </w:tcPr>
          <w:p>
            <w:pPr>
              <w:spacing w:after="0"/>
              <w:rPr>
                <w:sz w:val="7"/>
                <w:szCs w:val="7"/>
                <w:color w:val="auto"/>
              </w:rPr>
            </w:pPr>
          </w:p>
        </w:tc>
        <w:tc>
          <w:tcPr>
            <w:tcW w:w="2920" w:type="dxa"/>
            <w:vAlign w:val="bottom"/>
            <w:tcBorders>
              <w:bottom w:val="single" w:sz="8" w:color="125288"/>
            </w:tcBorders>
          </w:tcPr>
          <w:p>
            <w:pPr>
              <w:spacing w:after="0"/>
              <w:rPr>
                <w:sz w:val="7"/>
                <w:szCs w:val="7"/>
                <w:color w:val="auto"/>
              </w:rPr>
            </w:pPr>
          </w:p>
        </w:tc>
        <w:tc>
          <w:tcPr>
            <w:tcW w:w="540" w:type="dxa"/>
            <w:vAlign w:val="bottom"/>
            <w:tcBorders>
              <w:bottom w:val="single" w:sz="8" w:color="125288"/>
            </w:tcBorders>
          </w:tcPr>
          <w:p>
            <w:pPr>
              <w:spacing w:after="0"/>
              <w:rPr>
                <w:sz w:val="7"/>
                <w:szCs w:val="7"/>
                <w:color w:val="auto"/>
              </w:rPr>
            </w:pPr>
          </w:p>
        </w:tc>
        <w:tc>
          <w:tcPr>
            <w:tcW w:w="740" w:type="dxa"/>
            <w:vAlign w:val="bottom"/>
            <w:tcBorders>
              <w:bottom w:val="single" w:sz="8" w:color="125288"/>
            </w:tcBorders>
            <w:gridSpan w:val="2"/>
          </w:tcPr>
          <w:p>
            <w:pPr>
              <w:spacing w:after="0"/>
              <w:rPr>
                <w:sz w:val="7"/>
                <w:szCs w:val="7"/>
                <w:color w:val="auto"/>
              </w:rPr>
            </w:pPr>
          </w:p>
        </w:tc>
      </w:tr>
      <w:tr>
        <w:trPr>
          <w:trHeight w:val="276"/>
        </w:trPr>
        <w:tc>
          <w:tcPr>
            <w:tcW w:w="7060" w:type="dxa"/>
            <w:vAlign w:val="bottom"/>
          </w:tcPr>
          <w:p>
            <w:pPr>
              <w:ind w:left="40"/>
              <w:spacing w:after="0"/>
              <w:rPr>
                <w:sz w:val="20"/>
                <w:szCs w:val="20"/>
                <w:color w:val="auto"/>
              </w:rPr>
            </w:pPr>
            <w:r>
              <w:rPr>
                <w:rFonts w:ascii="Arial" w:cs="Arial" w:eastAsia="Arial" w:hAnsi="Arial"/>
                <w:sz w:val="17"/>
                <w:szCs w:val="17"/>
                <w:color w:val="auto"/>
              </w:rPr>
              <w:t>Add’l. for Serving as Chairperson of the Compensation Committee</w:t>
            </w:r>
          </w:p>
        </w:tc>
        <w:tc>
          <w:tcPr>
            <w:tcW w:w="2920" w:type="dxa"/>
            <w:vAlign w:val="bottom"/>
          </w:tcPr>
          <w:p>
            <w:pPr>
              <w:spacing w:after="0"/>
              <w:rPr>
                <w:sz w:val="23"/>
                <w:szCs w:val="23"/>
                <w:color w:val="auto"/>
              </w:rPr>
            </w:pPr>
          </w:p>
        </w:tc>
        <w:tc>
          <w:tcPr>
            <w:tcW w:w="54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40,000</w:t>
            </w:r>
          </w:p>
        </w:tc>
      </w:tr>
      <w:tr>
        <w:trPr>
          <w:trHeight w:val="85"/>
        </w:trPr>
        <w:tc>
          <w:tcPr>
            <w:tcW w:w="7060" w:type="dxa"/>
            <w:vAlign w:val="bottom"/>
            <w:tcBorders>
              <w:bottom w:val="single" w:sz="8" w:color="125288"/>
            </w:tcBorders>
          </w:tcPr>
          <w:p>
            <w:pPr>
              <w:spacing w:after="0"/>
              <w:rPr>
                <w:sz w:val="7"/>
                <w:szCs w:val="7"/>
                <w:color w:val="auto"/>
              </w:rPr>
            </w:pPr>
          </w:p>
        </w:tc>
        <w:tc>
          <w:tcPr>
            <w:tcW w:w="2920" w:type="dxa"/>
            <w:vAlign w:val="bottom"/>
            <w:tcBorders>
              <w:bottom w:val="single" w:sz="8" w:color="125288"/>
            </w:tcBorders>
          </w:tcPr>
          <w:p>
            <w:pPr>
              <w:spacing w:after="0"/>
              <w:rPr>
                <w:sz w:val="7"/>
                <w:szCs w:val="7"/>
                <w:color w:val="auto"/>
              </w:rPr>
            </w:pPr>
          </w:p>
        </w:tc>
        <w:tc>
          <w:tcPr>
            <w:tcW w:w="540" w:type="dxa"/>
            <w:vAlign w:val="bottom"/>
            <w:tcBorders>
              <w:bottom w:val="single" w:sz="8" w:color="125288"/>
            </w:tcBorders>
          </w:tcPr>
          <w:p>
            <w:pPr>
              <w:spacing w:after="0"/>
              <w:rPr>
                <w:sz w:val="7"/>
                <w:szCs w:val="7"/>
                <w:color w:val="auto"/>
              </w:rPr>
            </w:pPr>
          </w:p>
        </w:tc>
        <w:tc>
          <w:tcPr>
            <w:tcW w:w="740" w:type="dxa"/>
            <w:vAlign w:val="bottom"/>
            <w:tcBorders>
              <w:bottom w:val="single" w:sz="8" w:color="125288"/>
            </w:tcBorders>
            <w:gridSpan w:val="2"/>
          </w:tcPr>
          <w:p>
            <w:pPr>
              <w:spacing w:after="0"/>
              <w:rPr>
                <w:sz w:val="7"/>
                <w:szCs w:val="7"/>
                <w:color w:val="auto"/>
              </w:rPr>
            </w:pPr>
          </w:p>
        </w:tc>
      </w:tr>
      <w:tr>
        <w:trPr>
          <w:trHeight w:val="276"/>
        </w:trPr>
        <w:tc>
          <w:tcPr>
            <w:tcW w:w="7060" w:type="dxa"/>
            <w:vAlign w:val="bottom"/>
          </w:tcPr>
          <w:p>
            <w:pPr>
              <w:ind w:left="40"/>
              <w:spacing w:after="0"/>
              <w:rPr>
                <w:sz w:val="20"/>
                <w:szCs w:val="20"/>
                <w:color w:val="auto"/>
              </w:rPr>
            </w:pPr>
            <w:r>
              <w:rPr>
                <w:rFonts w:ascii="Arial" w:cs="Arial" w:eastAsia="Arial" w:hAnsi="Arial"/>
                <w:sz w:val="17"/>
                <w:szCs w:val="17"/>
                <w:color w:val="auto"/>
              </w:rPr>
              <w:t>Add’l. for Serving as Chairperson of the Nominating and Corporate Governance Committee</w:t>
            </w:r>
          </w:p>
        </w:tc>
        <w:tc>
          <w:tcPr>
            <w:tcW w:w="2920" w:type="dxa"/>
            <w:vAlign w:val="bottom"/>
          </w:tcPr>
          <w:p>
            <w:pPr>
              <w:spacing w:after="0"/>
              <w:rPr>
                <w:sz w:val="23"/>
                <w:szCs w:val="23"/>
                <w:color w:val="auto"/>
              </w:rPr>
            </w:pPr>
          </w:p>
        </w:tc>
        <w:tc>
          <w:tcPr>
            <w:tcW w:w="54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30,000</w:t>
            </w:r>
          </w:p>
        </w:tc>
      </w:tr>
      <w:tr>
        <w:trPr>
          <w:trHeight w:val="85"/>
        </w:trPr>
        <w:tc>
          <w:tcPr>
            <w:tcW w:w="7060" w:type="dxa"/>
            <w:vAlign w:val="bottom"/>
            <w:tcBorders>
              <w:bottom w:val="single" w:sz="8" w:color="125288"/>
            </w:tcBorders>
          </w:tcPr>
          <w:p>
            <w:pPr>
              <w:spacing w:after="0"/>
              <w:rPr>
                <w:sz w:val="7"/>
                <w:szCs w:val="7"/>
                <w:color w:val="auto"/>
              </w:rPr>
            </w:pPr>
          </w:p>
        </w:tc>
        <w:tc>
          <w:tcPr>
            <w:tcW w:w="2920" w:type="dxa"/>
            <w:vAlign w:val="bottom"/>
            <w:tcBorders>
              <w:bottom w:val="single" w:sz="8" w:color="125288"/>
            </w:tcBorders>
          </w:tcPr>
          <w:p>
            <w:pPr>
              <w:spacing w:after="0"/>
              <w:rPr>
                <w:sz w:val="7"/>
                <w:szCs w:val="7"/>
                <w:color w:val="auto"/>
              </w:rPr>
            </w:pPr>
          </w:p>
        </w:tc>
        <w:tc>
          <w:tcPr>
            <w:tcW w:w="540" w:type="dxa"/>
            <w:vAlign w:val="bottom"/>
            <w:tcBorders>
              <w:bottom w:val="single" w:sz="8" w:color="125288"/>
            </w:tcBorders>
          </w:tcPr>
          <w:p>
            <w:pPr>
              <w:spacing w:after="0"/>
              <w:rPr>
                <w:sz w:val="7"/>
                <w:szCs w:val="7"/>
                <w:color w:val="auto"/>
              </w:rPr>
            </w:pPr>
          </w:p>
        </w:tc>
        <w:tc>
          <w:tcPr>
            <w:tcW w:w="740" w:type="dxa"/>
            <w:vAlign w:val="bottom"/>
            <w:tcBorders>
              <w:bottom w:val="single" w:sz="8" w:color="125288"/>
            </w:tcBorders>
            <w:gridSpan w:val="2"/>
          </w:tcPr>
          <w:p>
            <w:pPr>
              <w:spacing w:after="0"/>
              <w:rPr>
                <w:sz w:val="7"/>
                <w:szCs w:val="7"/>
                <w:color w:val="auto"/>
              </w:rPr>
            </w:pPr>
          </w:p>
        </w:tc>
      </w:tr>
      <w:tr>
        <w:trPr>
          <w:trHeight w:val="276"/>
        </w:trPr>
        <w:tc>
          <w:tcPr>
            <w:tcW w:w="7060" w:type="dxa"/>
            <w:vAlign w:val="bottom"/>
          </w:tcPr>
          <w:p>
            <w:pPr>
              <w:ind w:left="40"/>
              <w:spacing w:after="0"/>
              <w:rPr>
                <w:sz w:val="20"/>
                <w:szCs w:val="20"/>
                <w:color w:val="auto"/>
              </w:rPr>
            </w:pPr>
            <w:r>
              <w:rPr>
                <w:rFonts w:ascii="Arial" w:cs="Arial" w:eastAsia="Arial" w:hAnsi="Arial"/>
                <w:sz w:val="17"/>
                <w:szCs w:val="17"/>
                <w:color w:val="auto"/>
              </w:rPr>
              <w:t>Add’l for Serving as Chairperson of the Workplace Responsibility Committee</w:t>
            </w:r>
          </w:p>
        </w:tc>
        <w:tc>
          <w:tcPr>
            <w:tcW w:w="2920" w:type="dxa"/>
            <w:vAlign w:val="bottom"/>
          </w:tcPr>
          <w:p>
            <w:pPr>
              <w:spacing w:after="0"/>
              <w:rPr>
                <w:sz w:val="23"/>
                <w:szCs w:val="23"/>
                <w:color w:val="auto"/>
              </w:rPr>
            </w:pPr>
          </w:p>
        </w:tc>
        <w:tc>
          <w:tcPr>
            <w:tcW w:w="54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40,000</w:t>
            </w:r>
          </w:p>
        </w:tc>
      </w:tr>
      <w:tr>
        <w:trPr>
          <w:trHeight w:val="85"/>
        </w:trPr>
        <w:tc>
          <w:tcPr>
            <w:tcW w:w="9980" w:type="dxa"/>
            <w:vAlign w:val="bottom"/>
            <w:tcBorders>
              <w:bottom w:val="single" w:sz="8" w:color="125288"/>
            </w:tcBorders>
            <w:gridSpan w:val="2"/>
          </w:tcPr>
          <w:p>
            <w:pPr>
              <w:spacing w:after="0"/>
              <w:rPr>
                <w:sz w:val="7"/>
                <w:szCs w:val="7"/>
                <w:color w:val="auto"/>
              </w:rPr>
            </w:pPr>
          </w:p>
        </w:tc>
        <w:tc>
          <w:tcPr>
            <w:tcW w:w="540" w:type="dxa"/>
            <w:vAlign w:val="bottom"/>
            <w:tcBorders>
              <w:bottom w:val="single" w:sz="8" w:color="125288"/>
            </w:tcBorders>
          </w:tcPr>
          <w:p>
            <w:pPr>
              <w:spacing w:after="0"/>
              <w:rPr>
                <w:sz w:val="7"/>
                <w:szCs w:val="7"/>
                <w:color w:val="auto"/>
              </w:rPr>
            </w:pPr>
          </w:p>
        </w:tc>
        <w:tc>
          <w:tcPr>
            <w:tcW w:w="740" w:type="dxa"/>
            <w:vAlign w:val="bottom"/>
            <w:tcBorders>
              <w:bottom w:val="single" w:sz="8" w:color="125288"/>
            </w:tcBorders>
            <w:gridSpan w:val="2"/>
          </w:tcPr>
          <w:p>
            <w:pPr>
              <w:spacing w:after="0"/>
              <w:rPr>
                <w:sz w:val="7"/>
                <w:szCs w:val="7"/>
                <w:color w:val="auto"/>
              </w:rPr>
            </w:pPr>
          </w:p>
        </w:tc>
      </w:tr>
      <w:tr>
        <w:trPr>
          <w:trHeight w:val="276"/>
        </w:trPr>
        <w:tc>
          <w:tcPr>
            <w:tcW w:w="9980" w:type="dxa"/>
            <w:vAlign w:val="bottom"/>
            <w:gridSpan w:val="2"/>
          </w:tcPr>
          <w:p>
            <w:pPr>
              <w:ind w:left="40"/>
              <w:spacing w:after="0"/>
              <w:rPr>
                <w:sz w:val="20"/>
                <w:szCs w:val="20"/>
                <w:color w:val="auto"/>
              </w:rPr>
            </w:pPr>
            <w:r>
              <w:rPr>
                <w:rFonts w:ascii="Arial" w:cs="Arial" w:eastAsia="Arial" w:hAnsi="Arial"/>
                <w:sz w:val="17"/>
                <w:szCs w:val="17"/>
                <w:color w:val="auto"/>
              </w:rPr>
              <w:t>Add’l. for Serving as an Audit Committee or Workplace Responsibility Committee Member (other than as the Chairperson)</w:t>
            </w:r>
          </w:p>
        </w:tc>
        <w:tc>
          <w:tcPr>
            <w:tcW w:w="54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11,000</w:t>
            </w:r>
          </w:p>
        </w:tc>
      </w:tr>
      <w:tr>
        <w:trPr>
          <w:trHeight w:val="85"/>
        </w:trPr>
        <w:tc>
          <w:tcPr>
            <w:tcW w:w="9980" w:type="dxa"/>
            <w:vAlign w:val="bottom"/>
            <w:tcBorders>
              <w:bottom w:val="single" w:sz="8" w:color="125288"/>
            </w:tcBorders>
            <w:gridSpan w:val="2"/>
          </w:tcPr>
          <w:p>
            <w:pPr>
              <w:spacing w:after="0"/>
              <w:rPr>
                <w:sz w:val="7"/>
                <w:szCs w:val="7"/>
                <w:color w:val="auto"/>
              </w:rPr>
            </w:pPr>
          </w:p>
        </w:tc>
        <w:tc>
          <w:tcPr>
            <w:tcW w:w="540" w:type="dxa"/>
            <w:vAlign w:val="bottom"/>
            <w:tcBorders>
              <w:bottom w:val="single" w:sz="8" w:color="125288"/>
            </w:tcBorders>
          </w:tcPr>
          <w:p>
            <w:pPr>
              <w:spacing w:after="0"/>
              <w:rPr>
                <w:sz w:val="7"/>
                <w:szCs w:val="7"/>
                <w:color w:val="auto"/>
              </w:rPr>
            </w:pPr>
          </w:p>
        </w:tc>
        <w:tc>
          <w:tcPr>
            <w:tcW w:w="740" w:type="dxa"/>
            <w:vAlign w:val="bottom"/>
            <w:tcBorders>
              <w:bottom w:val="single" w:sz="8" w:color="125288"/>
            </w:tcBorders>
            <w:gridSpan w:val="2"/>
          </w:tcPr>
          <w:p>
            <w:pPr>
              <w:spacing w:after="0"/>
              <w:rPr>
                <w:sz w:val="7"/>
                <w:szCs w:val="7"/>
                <w:color w:val="auto"/>
              </w:rPr>
            </w:pPr>
          </w:p>
        </w:tc>
      </w:tr>
      <w:tr>
        <w:trPr>
          <w:trHeight w:val="265"/>
        </w:trPr>
        <w:tc>
          <w:tcPr>
            <w:tcW w:w="9980" w:type="dxa"/>
            <w:vAlign w:val="bottom"/>
            <w:gridSpan w:val="2"/>
          </w:tcPr>
          <w:p>
            <w:pPr>
              <w:ind w:left="40"/>
              <w:spacing w:after="0"/>
              <w:rPr>
                <w:sz w:val="20"/>
                <w:szCs w:val="20"/>
                <w:color w:val="auto"/>
              </w:rPr>
            </w:pPr>
            <w:r>
              <w:rPr>
                <w:rFonts w:ascii="Arial" w:cs="Arial" w:eastAsia="Arial" w:hAnsi="Arial"/>
                <w:sz w:val="17"/>
                <w:szCs w:val="17"/>
                <w:color w:val="auto"/>
              </w:rPr>
              <w:t>Add’l. for Serving as a Compensation Committee or Nominating and Corporate Governance Committee Member (other than as the</w:t>
            </w:r>
          </w:p>
        </w:tc>
        <w:tc>
          <w:tcPr>
            <w:tcW w:w="54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5,500</w:t>
            </w:r>
          </w:p>
        </w:tc>
      </w:tr>
      <w:tr>
        <w:trPr>
          <w:trHeight w:val="201"/>
        </w:trPr>
        <w:tc>
          <w:tcPr>
            <w:tcW w:w="7060" w:type="dxa"/>
            <w:vAlign w:val="bottom"/>
          </w:tcPr>
          <w:p>
            <w:pPr>
              <w:ind w:left="40"/>
              <w:spacing w:after="0"/>
              <w:rPr>
                <w:sz w:val="20"/>
                <w:szCs w:val="20"/>
                <w:color w:val="auto"/>
              </w:rPr>
            </w:pPr>
            <w:r>
              <w:rPr>
                <w:rFonts w:ascii="Arial" w:cs="Arial" w:eastAsia="Arial" w:hAnsi="Arial"/>
                <w:sz w:val="17"/>
                <w:szCs w:val="17"/>
                <w:color w:val="auto"/>
              </w:rPr>
              <w:t>Chairperson)</w:t>
            </w:r>
          </w:p>
        </w:tc>
        <w:tc>
          <w:tcPr>
            <w:tcW w:w="2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85"/>
        </w:trPr>
        <w:tc>
          <w:tcPr>
            <w:tcW w:w="7060" w:type="dxa"/>
            <w:vAlign w:val="bottom"/>
            <w:tcBorders>
              <w:bottom w:val="single" w:sz="8" w:color="125288"/>
            </w:tcBorders>
          </w:tcPr>
          <w:p>
            <w:pPr>
              <w:spacing w:after="0"/>
              <w:rPr>
                <w:sz w:val="7"/>
                <w:szCs w:val="7"/>
                <w:color w:val="auto"/>
              </w:rPr>
            </w:pPr>
          </w:p>
        </w:tc>
        <w:tc>
          <w:tcPr>
            <w:tcW w:w="2920" w:type="dxa"/>
            <w:vAlign w:val="bottom"/>
            <w:tcBorders>
              <w:bottom w:val="single" w:sz="8" w:color="125288"/>
            </w:tcBorders>
          </w:tcPr>
          <w:p>
            <w:pPr>
              <w:spacing w:after="0"/>
              <w:rPr>
                <w:sz w:val="7"/>
                <w:szCs w:val="7"/>
                <w:color w:val="auto"/>
              </w:rPr>
            </w:pPr>
          </w:p>
        </w:tc>
        <w:tc>
          <w:tcPr>
            <w:tcW w:w="540" w:type="dxa"/>
            <w:vAlign w:val="bottom"/>
            <w:tcBorders>
              <w:bottom w:val="single" w:sz="8" w:color="125288"/>
            </w:tcBorders>
          </w:tcPr>
          <w:p>
            <w:pPr>
              <w:spacing w:after="0"/>
              <w:rPr>
                <w:sz w:val="7"/>
                <w:szCs w:val="7"/>
                <w:color w:val="auto"/>
              </w:rPr>
            </w:pPr>
          </w:p>
        </w:tc>
        <w:tc>
          <w:tcPr>
            <w:tcW w:w="740" w:type="dxa"/>
            <w:vAlign w:val="bottom"/>
            <w:tcBorders>
              <w:bottom w:val="single" w:sz="8" w:color="125288"/>
            </w:tcBorders>
            <w:gridSpan w:val="2"/>
          </w:tcPr>
          <w:p>
            <w:pPr>
              <w:spacing w:after="0"/>
              <w:rPr>
                <w:sz w:val="7"/>
                <w:szCs w:val="7"/>
                <w:color w:val="auto"/>
              </w:rPr>
            </w:pPr>
          </w:p>
        </w:tc>
      </w:tr>
      <w:tr>
        <w:trPr>
          <w:trHeight w:val="276"/>
        </w:trPr>
        <w:tc>
          <w:tcPr>
            <w:tcW w:w="7060" w:type="dxa"/>
            <w:vAlign w:val="bottom"/>
          </w:tcPr>
          <w:p>
            <w:pPr>
              <w:ind w:left="40"/>
              <w:spacing w:after="0"/>
              <w:rPr>
                <w:sz w:val="20"/>
                <w:szCs w:val="20"/>
                <w:color w:val="auto"/>
              </w:rPr>
            </w:pPr>
            <w:r>
              <w:rPr>
                <w:rFonts w:ascii="Arial" w:cs="Arial" w:eastAsia="Arial" w:hAnsi="Arial"/>
                <w:sz w:val="17"/>
                <w:szCs w:val="17"/>
                <w:color w:val="auto"/>
              </w:rPr>
              <w:t>Per Day for Special Assignments in connection with Board duties</w:t>
            </w:r>
          </w:p>
        </w:tc>
        <w:tc>
          <w:tcPr>
            <w:tcW w:w="2920" w:type="dxa"/>
            <w:vAlign w:val="bottom"/>
          </w:tcPr>
          <w:p>
            <w:pPr>
              <w:spacing w:after="0"/>
              <w:rPr>
                <w:sz w:val="23"/>
                <w:szCs w:val="23"/>
                <w:color w:val="auto"/>
              </w:rPr>
            </w:pPr>
          </w:p>
        </w:tc>
        <w:tc>
          <w:tcPr>
            <w:tcW w:w="54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5,500</w:t>
            </w:r>
          </w:p>
        </w:tc>
      </w:tr>
      <w:tr>
        <w:trPr>
          <w:trHeight w:val="96"/>
        </w:trPr>
        <w:tc>
          <w:tcPr>
            <w:tcW w:w="7060" w:type="dxa"/>
            <w:vAlign w:val="bottom"/>
            <w:tcBorders>
              <w:bottom w:val="single" w:sz="8" w:color="125288"/>
            </w:tcBorders>
          </w:tcPr>
          <w:p>
            <w:pPr>
              <w:spacing w:after="0"/>
              <w:rPr>
                <w:sz w:val="8"/>
                <w:szCs w:val="8"/>
                <w:color w:val="auto"/>
              </w:rPr>
            </w:pPr>
          </w:p>
        </w:tc>
        <w:tc>
          <w:tcPr>
            <w:tcW w:w="3900" w:type="dxa"/>
            <w:vAlign w:val="bottom"/>
            <w:tcBorders>
              <w:bottom w:val="single" w:sz="8" w:color="125288"/>
            </w:tcBorders>
            <w:gridSpan w:val="3"/>
          </w:tcPr>
          <w:p>
            <w:pPr>
              <w:spacing w:after="0"/>
              <w:rPr>
                <w:sz w:val="8"/>
                <w:szCs w:val="8"/>
                <w:color w:val="auto"/>
              </w:rPr>
            </w:pPr>
          </w:p>
        </w:tc>
        <w:tc>
          <w:tcPr>
            <w:tcW w:w="300" w:type="dxa"/>
            <w:vAlign w:val="bottom"/>
            <w:tcBorders>
              <w:bottom w:val="single" w:sz="8" w:color="125288"/>
            </w:tcBorders>
          </w:tcPr>
          <w:p>
            <w:pPr>
              <w:spacing w:after="0"/>
              <w:rPr>
                <w:sz w:val="8"/>
                <w:szCs w:val="8"/>
                <w:color w:val="auto"/>
              </w:rPr>
            </w:pPr>
          </w:p>
        </w:tc>
      </w:tr>
      <w:tr>
        <w:trPr>
          <w:trHeight w:val="351"/>
        </w:trPr>
        <w:tc>
          <w:tcPr>
            <w:tcW w:w="7060" w:type="dxa"/>
            <w:vAlign w:val="bottom"/>
          </w:tcPr>
          <w:p>
            <w:pPr>
              <w:spacing w:after="0"/>
              <w:rPr>
                <w:sz w:val="20"/>
                <w:szCs w:val="20"/>
                <w:color w:val="auto"/>
              </w:rPr>
            </w:pPr>
            <w:r>
              <w:rPr>
                <w:rFonts w:ascii="Arial" w:cs="Arial" w:eastAsia="Arial" w:hAnsi="Arial"/>
                <w:sz w:val="14"/>
                <w:szCs w:val="14"/>
                <w:color w:val="706F6F"/>
              </w:rPr>
              <w:t>www.activisionblizzard.com</w:t>
            </w:r>
          </w:p>
        </w:tc>
        <w:tc>
          <w:tcPr>
            <w:tcW w:w="3900" w:type="dxa"/>
            <w:vAlign w:val="bottom"/>
            <w:gridSpan w:val="3"/>
          </w:tcPr>
          <w:p>
            <w:pPr>
              <w:ind w:left="320"/>
              <w:spacing w:after="0"/>
              <w:rPr>
                <w:sz w:val="20"/>
                <w:szCs w:val="20"/>
                <w:color w:val="auto"/>
              </w:rPr>
            </w:pPr>
            <w:r>
              <w:rPr>
                <w:rFonts w:ascii="Arial" w:cs="Arial" w:eastAsia="Arial" w:hAnsi="Arial"/>
                <w:sz w:val="14"/>
                <w:szCs w:val="14"/>
                <w:color w:val="706F6F"/>
              </w:rPr>
              <w:t>ACTIVISION BLIZZARD, INC.  2022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706F6F"/>
              </w:rPr>
              <w:t>48</w:t>
            </w:r>
          </w:p>
        </w:tc>
      </w:tr>
      <w:tr>
        <w:trPr>
          <w:trHeight w:val="93"/>
        </w:trPr>
        <w:tc>
          <w:tcPr>
            <w:tcW w:w="7060" w:type="dxa"/>
            <w:vAlign w:val="bottom"/>
            <w:tcBorders>
              <w:bottom w:val="single" w:sz="8" w:color="808080"/>
            </w:tcBorders>
          </w:tcPr>
          <w:p>
            <w:pPr>
              <w:spacing w:after="0"/>
              <w:rPr>
                <w:sz w:val="8"/>
                <w:szCs w:val="8"/>
                <w:color w:val="auto"/>
              </w:rPr>
            </w:pPr>
          </w:p>
        </w:tc>
        <w:tc>
          <w:tcPr>
            <w:tcW w:w="29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r>
    </w:tbl>
    <w:p>
      <w:pPr>
        <w:sectPr>
          <w:pgSz w:w="11900" w:h="16838" w:orient="portrait"/>
          <w:cols w:equalWidth="0" w:num="1">
            <w:col w:w="11260"/>
          </w:cols>
          <w:pgMar w:left="320" w:top="144" w:right="319" w:bottom="1440" w:gutter="0" w:footer="0" w:header="0"/>
        </w:sectPr>
      </w:pPr>
    </w:p>
    <w:bookmarkStart w:id="51" w:name="page52"/>
    <w:bookmarkEnd w:id="51"/>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EQUITY COMPENSATION</w:t>
      </w:r>
    </w:p>
    <w:p>
      <w:pPr>
        <w:spacing w:after="0" w:line="309"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Our Board believes that directors more effectively represent our shareholders if they are shareholders themselves. Each non-employee director is entitled, upon election or appointment to our Board and upon each subsequent re-election, to receive RSUs representing the right to receive shares of our Common Stock. The grant date value of those RSUs is $250,000. The value of the grant to any director who is elected or appointed to our Board at any time other than at the Board meeting immediately following an annual meeting of our shareholders will be pro-rated based on the amount of time from the date of such election or appointment until the then-expected date of our next annual meeting of shareholders. The actual number of shares underlying any such grant of RSUs is determined by dividing the grant date fair value of the award by the closing price of our Common Stock on The Nasdaq Stock Market on the date of grant. Each award vests in four equal installments, on a quarterly basis during the year following the grant date, subject to continued service on our Board.</w:t>
      </w:r>
    </w:p>
    <w:p>
      <w:pPr>
        <w:spacing w:after="0" w:line="266"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On January 18, 2022, we announced that we had entered into the Microsoft Merger Agreement. For details regarding the impact the completion of the proposed transaction with Microsoft would have on the unvested equity awards then held by our non-employee directors, please see the Definitive Proxy Statement on Schedule 14A filed with the SEC on March 21, 2022 (the “Merger Proxy Statement”).</w:t>
      </w:r>
    </w:p>
    <w:p>
      <w:pPr>
        <w:spacing w:after="0" w:line="237"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STOCK OWNERSHIP GUIDELINES</w:t>
      </w:r>
    </w:p>
    <w:p>
      <w:pPr>
        <w:spacing w:after="0" w:line="309"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Non-employee directors are expected, within four years following their initial election to our Board, to beneficially own shares of our Common Stock (including any RSUs representing the right to receive shares of our Common Stock) having an aggregate value at least equal to five times the amount of the annual cash retainer we then pay directors for regular service on our Board. Currently, this equates to beneficially owning shares of our Common Stock with a value of $450,000. The value of shares owned by each non-employee director is calculated as of January 2</w:t>
      </w:r>
      <w:r>
        <w:rPr>
          <w:rFonts w:ascii="Arial" w:cs="Arial" w:eastAsia="Arial" w:hAnsi="Arial"/>
          <w:sz w:val="21"/>
          <w:szCs w:val="21"/>
          <w:color w:val="auto"/>
          <w:vertAlign w:val="superscript"/>
        </w:rPr>
        <w:t>nd</w:t>
      </w:r>
      <w:r>
        <w:rPr>
          <w:rFonts w:ascii="Arial" w:cs="Arial" w:eastAsia="Arial" w:hAnsi="Arial"/>
          <w:sz w:val="19"/>
          <w:szCs w:val="19"/>
          <w:color w:val="auto"/>
        </w:rPr>
        <w:t xml:space="preserve"> of each year (or, if that date is not a trading date, the next trading date), based on the higher of: (a) the closing price of our Common Stock on The Nasdaq Stock Market on that day; and (b) the closing price of our Common Stock on The Nasdaq Stock Market on the date of grant (or, if that date is not a trading date, the next trading date), for any shares we awarded the director, and the actual cost to the director for any other shares (including shares acquired upon exercise of a stock option). As of January 3, 2022, each non-employee director who, as of that date, had been a member of our Board for four or more years was in compliance with these guidelines.</w:t>
      </w:r>
    </w:p>
    <w:p>
      <w:pPr>
        <w:spacing w:after="0" w:line="235"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INDEMNIFICATION</w:t>
      </w:r>
    </w:p>
    <w:p>
      <w:pPr>
        <w:spacing w:after="0" w:line="309"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We maintain a directors and officers insurance policy that covers all our directors with respect to claims arising out of an alleged wrongful act by them in their capacity as directors of Activision Blizzard. Further, our Certificate of Incorporation and our Bylaws require us to indemnify our directors and officers to the fullest extent permitted by the Delaware General Corporation Law.</w:t>
      </w:r>
    </w:p>
    <w:p>
      <w:pPr>
        <w:spacing w:after="0" w:line="26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In addition, we have entered into indemnification agreements with certain of our non-employee directors that require us, among other things, to indemnify those directors against certain liabilities that may arise by reason of their status or service as directors, provided that they acted in good faith and in a manner they reasonably believed to be in, or not opposed to, the Company’s best interests (and, with respect to any criminal action, suit, or proceeding, provided that they had no reasonable cause to believe their conduct was unlawful). The indemnification agreements also require us to advance expenses incurred by our non-employee directors as a result of any proceeding against them as to which they could be indemnified.</w:t>
      </w:r>
    </w:p>
    <w:p>
      <w:pPr>
        <w:spacing w:after="0" w:line="157"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52" w:name="page53"/>
    <w:bookmarkEnd w:id="52"/>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REIMBURSEMENT OF EXPENSES AND LIMITED BENEFITS</w:t>
      </w:r>
    </w:p>
    <w:p>
      <w:pPr>
        <w:spacing w:after="0" w:line="30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We reimburse our directors for expenses incurred in connection with their service on our Board. We also reimburse our directors’ spouses for travel, lodging, and related expenses they incur in attending business-related meetings or events at our request, though such occurrences are uncommon. Our Board may provide our directors with other benefits. For example, on rare occasions, if a director’s spouse joins a business trip other than at our request, that person may receive travel and lodging at our expense when the incremental cost is negligible.</w:t>
      </w:r>
    </w:p>
    <w:p>
      <w:pPr>
        <w:spacing w:after="0" w:line="235"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DIRECTOR COMPENSATION FOR 2021</w:t>
      </w:r>
    </w:p>
    <w:p>
      <w:pPr>
        <w:spacing w:after="0" w:line="309" w:lineRule="exact"/>
        <w:rPr>
          <w:sz w:val="20"/>
          <w:szCs w:val="20"/>
          <w:color w:val="auto"/>
        </w:rPr>
      </w:pPr>
    </w:p>
    <w:p>
      <w:pPr>
        <w:jc w:val="both"/>
        <w:spacing w:after="0"/>
        <w:rPr>
          <w:sz w:val="20"/>
          <w:szCs w:val="20"/>
          <w:color w:val="auto"/>
        </w:rPr>
      </w:pPr>
      <w:r>
        <w:rPr>
          <w:rFonts w:ascii="Arial" w:cs="Arial" w:eastAsia="Arial" w:hAnsi="Arial"/>
          <w:sz w:val="19"/>
          <w:szCs w:val="19"/>
          <w:color w:val="auto"/>
        </w:rPr>
        <w:t>The following table summarizes information regarding the compensation of our directors for 2021, other than Mr. Kotick. The compensation Mr. Kotick received as an employee of the Company is included in the “Summary Compensation Table” below, and he does not receive any additional compensation for his Board service.</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580" w:type="dxa"/>
            <w:vAlign w:val="bottom"/>
          </w:tcPr>
          <w:p>
            <w:pPr>
              <w:spacing w:after="0"/>
              <w:rPr>
                <w:sz w:val="16"/>
                <w:szCs w:val="16"/>
                <w:color w:val="auto"/>
              </w:rPr>
            </w:pPr>
          </w:p>
        </w:tc>
        <w:tc>
          <w:tcPr>
            <w:tcW w:w="2380" w:type="dxa"/>
            <w:vAlign w:val="bottom"/>
          </w:tcPr>
          <w:p>
            <w:pPr>
              <w:jc w:val="right"/>
              <w:ind w:right="358"/>
              <w:spacing w:after="0"/>
              <w:rPr>
                <w:sz w:val="20"/>
                <w:szCs w:val="20"/>
                <w:color w:val="auto"/>
              </w:rPr>
            </w:pPr>
            <w:r>
              <w:rPr>
                <w:rFonts w:ascii="Arial" w:cs="Arial" w:eastAsia="Arial" w:hAnsi="Arial"/>
                <w:sz w:val="15"/>
                <w:szCs w:val="15"/>
                <w:b w:val="1"/>
                <w:bCs w:val="1"/>
                <w:color w:val="125288"/>
              </w:rPr>
              <w:t>Fees Earned</w:t>
            </w:r>
          </w:p>
        </w:tc>
        <w:tc>
          <w:tcPr>
            <w:tcW w:w="1760" w:type="dxa"/>
            <w:vAlign w:val="bottom"/>
          </w:tcPr>
          <w:p>
            <w:pPr>
              <w:jc w:val="right"/>
              <w:ind w:right="420"/>
              <w:spacing w:after="0"/>
              <w:rPr>
                <w:sz w:val="20"/>
                <w:szCs w:val="20"/>
                <w:color w:val="auto"/>
              </w:rPr>
            </w:pPr>
            <w:r>
              <w:rPr>
                <w:rFonts w:ascii="Arial" w:cs="Arial" w:eastAsia="Arial" w:hAnsi="Arial"/>
                <w:sz w:val="15"/>
                <w:szCs w:val="15"/>
                <w:b w:val="1"/>
                <w:bCs w:val="1"/>
                <w:color w:val="125288"/>
              </w:rPr>
              <w:t>Stock</w:t>
            </w:r>
          </w:p>
        </w:tc>
        <w:tc>
          <w:tcPr>
            <w:tcW w:w="1520" w:type="dxa"/>
            <w:vAlign w:val="bottom"/>
          </w:tcPr>
          <w:p>
            <w:pPr>
              <w:jc w:val="right"/>
              <w:ind w:right="259"/>
              <w:spacing w:after="0"/>
              <w:rPr>
                <w:sz w:val="20"/>
                <w:szCs w:val="20"/>
                <w:color w:val="auto"/>
              </w:rPr>
            </w:pPr>
            <w:r>
              <w:rPr>
                <w:rFonts w:ascii="Arial" w:cs="Arial" w:eastAsia="Arial" w:hAnsi="Arial"/>
                <w:sz w:val="15"/>
                <w:szCs w:val="15"/>
                <w:b w:val="1"/>
                <w:bCs w:val="1"/>
                <w:color w:val="125288"/>
              </w:rPr>
              <w:t>Option</w:t>
            </w:r>
          </w:p>
        </w:tc>
        <w:tc>
          <w:tcPr>
            <w:tcW w:w="1880" w:type="dxa"/>
            <w:vAlign w:val="bottom"/>
          </w:tcPr>
          <w:p>
            <w:pPr>
              <w:jc w:val="right"/>
              <w:ind w:right="398"/>
              <w:spacing w:after="0"/>
              <w:rPr>
                <w:sz w:val="20"/>
                <w:szCs w:val="20"/>
                <w:color w:val="auto"/>
              </w:rPr>
            </w:pPr>
            <w:r>
              <w:rPr>
                <w:rFonts w:ascii="Arial" w:cs="Arial" w:eastAsia="Arial" w:hAnsi="Arial"/>
                <w:sz w:val="15"/>
                <w:szCs w:val="15"/>
                <w:b w:val="1"/>
                <w:bCs w:val="1"/>
                <w:color w:val="125288"/>
              </w:rPr>
              <w:t>All Other</w:t>
            </w:r>
          </w:p>
        </w:tc>
        <w:tc>
          <w:tcPr>
            <w:tcW w:w="1140" w:type="dxa"/>
            <w:vAlign w:val="bottom"/>
          </w:tcPr>
          <w:p>
            <w:pPr>
              <w:spacing w:after="0"/>
              <w:rPr>
                <w:sz w:val="16"/>
                <w:szCs w:val="16"/>
                <w:color w:val="auto"/>
              </w:rPr>
            </w:pPr>
          </w:p>
        </w:tc>
      </w:tr>
      <w:tr>
        <w:trPr>
          <w:trHeight w:val="199"/>
        </w:trPr>
        <w:tc>
          <w:tcPr>
            <w:tcW w:w="2580" w:type="dxa"/>
            <w:vAlign w:val="bottom"/>
          </w:tcPr>
          <w:p>
            <w:pPr>
              <w:spacing w:after="0"/>
              <w:rPr>
                <w:sz w:val="17"/>
                <w:szCs w:val="17"/>
                <w:color w:val="auto"/>
              </w:rPr>
            </w:pPr>
          </w:p>
        </w:tc>
        <w:tc>
          <w:tcPr>
            <w:tcW w:w="2380" w:type="dxa"/>
            <w:vAlign w:val="bottom"/>
          </w:tcPr>
          <w:p>
            <w:pPr>
              <w:jc w:val="right"/>
              <w:ind w:right="358"/>
              <w:spacing w:after="0"/>
              <w:rPr>
                <w:sz w:val="20"/>
                <w:szCs w:val="20"/>
                <w:color w:val="auto"/>
              </w:rPr>
            </w:pPr>
            <w:r>
              <w:rPr>
                <w:rFonts w:ascii="Arial" w:cs="Arial" w:eastAsia="Arial" w:hAnsi="Arial"/>
                <w:sz w:val="15"/>
                <w:szCs w:val="15"/>
                <w:b w:val="1"/>
                <w:bCs w:val="1"/>
                <w:color w:val="125288"/>
              </w:rPr>
              <w:t>in Cash</w:t>
            </w:r>
          </w:p>
        </w:tc>
        <w:tc>
          <w:tcPr>
            <w:tcW w:w="1760" w:type="dxa"/>
            <w:vAlign w:val="bottom"/>
          </w:tcPr>
          <w:p>
            <w:pPr>
              <w:jc w:val="right"/>
              <w:ind w:right="420"/>
              <w:spacing w:after="0" w:line="199" w:lineRule="exact"/>
              <w:rPr>
                <w:sz w:val="20"/>
                <w:szCs w:val="20"/>
                <w:color w:val="auto"/>
              </w:rPr>
            </w:pPr>
            <w:r>
              <w:rPr>
                <w:rFonts w:ascii="Arial" w:cs="Arial" w:eastAsia="Arial" w:hAnsi="Arial"/>
                <w:sz w:val="23"/>
                <w:szCs w:val="23"/>
                <w:b w:val="1"/>
                <w:bCs w:val="1"/>
                <w:color w:val="125288"/>
                <w:vertAlign w:val="subscript"/>
              </w:rPr>
              <w:t>Awards</w:t>
            </w:r>
            <w:r>
              <w:rPr>
                <w:rFonts w:ascii="Arial" w:cs="Arial" w:eastAsia="Arial" w:hAnsi="Arial"/>
                <w:sz w:val="11"/>
                <w:szCs w:val="11"/>
                <w:b w:val="1"/>
                <w:bCs w:val="1"/>
                <w:color w:val="125288"/>
              </w:rPr>
              <w:t>(1)(2)</w:t>
            </w:r>
          </w:p>
        </w:tc>
        <w:tc>
          <w:tcPr>
            <w:tcW w:w="1520" w:type="dxa"/>
            <w:vAlign w:val="bottom"/>
          </w:tcPr>
          <w:p>
            <w:pPr>
              <w:jc w:val="right"/>
              <w:ind w:right="259"/>
              <w:spacing w:after="0" w:line="199" w:lineRule="exact"/>
              <w:rPr>
                <w:sz w:val="20"/>
                <w:szCs w:val="20"/>
                <w:color w:val="auto"/>
              </w:rPr>
            </w:pPr>
            <w:r>
              <w:rPr>
                <w:rFonts w:ascii="Arial" w:cs="Arial" w:eastAsia="Arial" w:hAnsi="Arial"/>
                <w:sz w:val="14"/>
                <w:szCs w:val="14"/>
                <w:b w:val="1"/>
                <w:bCs w:val="1"/>
                <w:color w:val="125288"/>
              </w:rPr>
              <w:t>Awards</w:t>
            </w:r>
            <w:r>
              <w:rPr>
                <w:rFonts w:ascii="Arial" w:cs="Arial" w:eastAsia="Arial" w:hAnsi="Arial"/>
                <w:sz w:val="23"/>
                <w:szCs w:val="23"/>
                <w:b w:val="1"/>
                <w:bCs w:val="1"/>
                <w:color w:val="125288"/>
                <w:vertAlign w:val="superscript"/>
              </w:rPr>
              <w:t>(2)</w:t>
            </w:r>
          </w:p>
        </w:tc>
        <w:tc>
          <w:tcPr>
            <w:tcW w:w="1880" w:type="dxa"/>
            <w:vAlign w:val="bottom"/>
          </w:tcPr>
          <w:p>
            <w:pPr>
              <w:jc w:val="right"/>
              <w:ind w:right="438"/>
              <w:spacing w:after="0"/>
              <w:rPr>
                <w:sz w:val="20"/>
                <w:szCs w:val="20"/>
                <w:color w:val="auto"/>
              </w:rPr>
            </w:pPr>
            <w:r>
              <w:rPr>
                <w:rFonts w:ascii="Arial" w:cs="Arial" w:eastAsia="Arial" w:hAnsi="Arial"/>
                <w:sz w:val="15"/>
                <w:szCs w:val="15"/>
                <w:b w:val="1"/>
                <w:bCs w:val="1"/>
                <w:color w:val="125288"/>
              </w:rPr>
              <w:t>Compensation</w:t>
            </w:r>
          </w:p>
        </w:tc>
        <w:tc>
          <w:tcPr>
            <w:tcW w:w="1140" w:type="dxa"/>
            <w:vAlign w:val="bottom"/>
          </w:tcPr>
          <w:p>
            <w:pPr>
              <w:jc w:val="right"/>
              <w:ind w:right="18"/>
              <w:spacing w:after="0"/>
              <w:rPr>
                <w:sz w:val="20"/>
                <w:szCs w:val="20"/>
                <w:color w:val="auto"/>
              </w:rPr>
            </w:pPr>
            <w:r>
              <w:rPr>
                <w:rFonts w:ascii="Arial" w:cs="Arial" w:eastAsia="Arial" w:hAnsi="Arial"/>
                <w:sz w:val="15"/>
                <w:szCs w:val="15"/>
                <w:b w:val="1"/>
                <w:bCs w:val="1"/>
                <w:color w:val="125288"/>
              </w:rPr>
              <w:t>Total</w:t>
            </w:r>
          </w:p>
        </w:tc>
      </w:tr>
      <w:tr>
        <w:trPr>
          <w:trHeight w:val="209"/>
        </w:trPr>
        <w:tc>
          <w:tcPr>
            <w:tcW w:w="2580" w:type="dxa"/>
            <w:vAlign w:val="bottom"/>
            <w:tcBorders>
              <w:bottom w:val="single" w:sz="8" w:color="125288"/>
            </w:tcBorders>
          </w:tcPr>
          <w:p>
            <w:pPr>
              <w:ind w:left="40"/>
              <w:spacing w:after="0"/>
              <w:rPr>
                <w:sz w:val="20"/>
                <w:szCs w:val="20"/>
                <w:color w:val="auto"/>
              </w:rPr>
            </w:pPr>
            <w:r>
              <w:rPr>
                <w:rFonts w:ascii="Arial" w:cs="Arial" w:eastAsia="Arial" w:hAnsi="Arial"/>
                <w:sz w:val="15"/>
                <w:szCs w:val="15"/>
                <w:b w:val="1"/>
                <w:bCs w:val="1"/>
                <w:color w:val="125288"/>
              </w:rPr>
              <w:t>Name</w:t>
            </w:r>
          </w:p>
        </w:tc>
        <w:tc>
          <w:tcPr>
            <w:tcW w:w="2380" w:type="dxa"/>
            <w:vAlign w:val="bottom"/>
            <w:tcBorders>
              <w:bottom w:val="single" w:sz="8" w:color="125288"/>
            </w:tcBorders>
          </w:tcPr>
          <w:p>
            <w:pPr>
              <w:jc w:val="right"/>
              <w:ind w:right="298"/>
              <w:spacing w:after="0"/>
              <w:rPr>
                <w:sz w:val="20"/>
                <w:szCs w:val="20"/>
                <w:color w:val="auto"/>
              </w:rPr>
            </w:pPr>
            <w:r>
              <w:rPr>
                <w:rFonts w:ascii="Arial" w:cs="Arial" w:eastAsia="Arial" w:hAnsi="Arial"/>
                <w:sz w:val="15"/>
                <w:szCs w:val="15"/>
                <w:b w:val="1"/>
                <w:bCs w:val="1"/>
                <w:color w:val="125288"/>
              </w:rPr>
              <w:t>($)</w:t>
            </w:r>
          </w:p>
        </w:tc>
        <w:tc>
          <w:tcPr>
            <w:tcW w:w="1760" w:type="dxa"/>
            <w:vAlign w:val="bottom"/>
            <w:tcBorders>
              <w:bottom w:val="single" w:sz="8" w:color="125288"/>
            </w:tcBorders>
          </w:tcPr>
          <w:p>
            <w:pPr>
              <w:jc w:val="right"/>
              <w:ind w:right="380"/>
              <w:spacing w:after="0"/>
              <w:rPr>
                <w:sz w:val="20"/>
                <w:szCs w:val="20"/>
                <w:color w:val="auto"/>
              </w:rPr>
            </w:pPr>
            <w:r>
              <w:rPr>
                <w:rFonts w:ascii="Arial" w:cs="Arial" w:eastAsia="Arial" w:hAnsi="Arial"/>
                <w:sz w:val="15"/>
                <w:szCs w:val="15"/>
                <w:b w:val="1"/>
                <w:bCs w:val="1"/>
                <w:color w:val="125288"/>
              </w:rPr>
              <w:t>($)</w:t>
            </w:r>
          </w:p>
        </w:tc>
        <w:tc>
          <w:tcPr>
            <w:tcW w:w="1520" w:type="dxa"/>
            <w:vAlign w:val="bottom"/>
            <w:tcBorders>
              <w:bottom w:val="single" w:sz="8" w:color="125288"/>
            </w:tcBorders>
          </w:tcPr>
          <w:p>
            <w:pPr>
              <w:jc w:val="right"/>
              <w:ind w:right="219"/>
              <w:spacing w:after="0"/>
              <w:rPr>
                <w:sz w:val="20"/>
                <w:szCs w:val="20"/>
                <w:color w:val="auto"/>
              </w:rPr>
            </w:pPr>
            <w:r>
              <w:rPr>
                <w:rFonts w:ascii="Arial" w:cs="Arial" w:eastAsia="Arial" w:hAnsi="Arial"/>
                <w:sz w:val="15"/>
                <w:szCs w:val="15"/>
                <w:b w:val="1"/>
                <w:bCs w:val="1"/>
                <w:color w:val="125288"/>
              </w:rPr>
              <w:t>($)</w:t>
            </w:r>
          </w:p>
        </w:tc>
        <w:tc>
          <w:tcPr>
            <w:tcW w:w="1880" w:type="dxa"/>
            <w:vAlign w:val="bottom"/>
            <w:tcBorders>
              <w:bottom w:val="single" w:sz="8" w:color="125288"/>
            </w:tcBorders>
          </w:tcPr>
          <w:p>
            <w:pPr>
              <w:jc w:val="right"/>
              <w:ind w:right="398"/>
              <w:spacing w:after="0"/>
              <w:rPr>
                <w:sz w:val="20"/>
                <w:szCs w:val="20"/>
                <w:color w:val="auto"/>
              </w:rPr>
            </w:pPr>
            <w:r>
              <w:rPr>
                <w:rFonts w:ascii="Arial" w:cs="Arial" w:eastAsia="Arial" w:hAnsi="Arial"/>
                <w:sz w:val="15"/>
                <w:szCs w:val="15"/>
                <w:b w:val="1"/>
                <w:bCs w:val="1"/>
                <w:color w:val="125288"/>
              </w:rPr>
              <w:t>($)</w:t>
            </w:r>
          </w:p>
        </w:tc>
        <w:tc>
          <w:tcPr>
            <w:tcW w:w="1140" w:type="dxa"/>
            <w:vAlign w:val="bottom"/>
            <w:tcBorders>
              <w:bottom w:val="single" w:sz="8" w:color="125288"/>
            </w:tcBorders>
          </w:tcPr>
          <w:p>
            <w:pPr>
              <w:jc w:val="right"/>
              <w:spacing w:after="0"/>
              <w:rPr>
                <w:sz w:val="20"/>
                <w:szCs w:val="20"/>
                <w:color w:val="auto"/>
              </w:rPr>
            </w:pPr>
            <w:r>
              <w:rPr>
                <w:rFonts w:ascii="Arial" w:cs="Arial" w:eastAsia="Arial" w:hAnsi="Arial"/>
                <w:sz w:val="15"/>
                <w:szCs w:val="15"/>
                <w:b w:val="1"/>
                <w:bCs w:val="1"/>
                <w:color w:val="125288"/>
              </w:rPr>
              <w:t>($)</w:t>
            </w:r>
          </w:p>
        </w:tc>
      </w:tr>
      <w:tr>
        <w:trPr>
          <w:trHeight w:val="276"/>
        </w:trPr>
        <w:tc>
          <w:tcPr>
            <w:tcW w:w="2580" w:type="dxa"/>
            <w:vAlign w:val="bottom"/>
          </w:tcPr>
          <w:p>
            <w:pPr>
              <w:ind w:left="40"/>
              <w:spacing w:after="0"/>
              <w:rPr>
                <w:sz w:val="20"/>
                <w:szCs w:val="20"/>
                <w:color w:val="auto"/>
              </w:rPr>
            </w:pPr>
            <w:r>
              <w:rPr>
                <w:rFonts w:ascii="Arial" w:cs="Arial" w:eastAsia="Arial" w:hAnsi="Arial"/>
                <w:sz w:val="17"/>
                <w:szCs w:val="17"/>
                <w:b w:val="1"/>
                <w:bCs w:val="1"/>
                <w:color w:val="auto"/>
              </w:rPr>
              <w:t>Reveta Bowers</w:t>
            </w:r>
          </w:p>
        </w:tc>
        <w:tc>
          <w:tcPr>
            <w:tcW w:w="2380" w:type="dxa"/>
            <w:vAlign w:val="bottom"/>
          </w:tcPr>
          <w:p>
            <w:pPr>
              <w:jc w:val="right"/>
              <w:ind w:right="298"/>
              <w:spacing w:after="0"/>
              <w:rPr>
                <w:sz w:val="20"/>
                <w:szCs w:val="20"/>
                <w:color w:val="auto"/>
              </w:rPr>
            </w:pPr>
            <w:r>
              <w:rPr>
                <w:rFonts w:ascii="Arial" w:cs="Arial" w:eastAsia="Arial" w:hAnsi="Arial"/>
                <w:sz w:val="17"/>
                <w:szCs w:val="17"/>
                <w:color w:val="auto"/>
              </w:rPr>
              <w:t>97,333</w:t>
            </w:r>
          </w:p>
        </w:tc>
        <w:tc>
          <w:tcPr>
            <w:tcW w:w="1760" w:type="dxa"/>
            <w:vAlign w:val="bottom"/>
          </w:tcPr>
          <w:p>
            <w:pPr>
              <w:jc w:val="right"/>
              <w:ind w:right="380"/>
              <w:spacing w:after="0"/>
              <w:rPr>
                <w:sz w:val="20"/>
                <w:szCs w:val="20"/>
                <w:color w:val="auto"/>
              </w:rPr>
            </w:pPr>
            <w:r>
              <w:rPr>
                <w:rFonts w:ascii="Arial" w:cs="Arial" w:eastAsia="Arial" w:hAnsi="Arial"/>
                <w:sz w:val="17"/>
                <w:szCs w:val="17"/>
                <w:color w:val="auto"/>
              </w:rPr>
              <w:t>249,674</w:t>
            </w:r>
          </w:p>
        </w:tc>
        <w:tc>
          <w:tcPr>
            <w:tcW w:w="1520" w:type="dxa"/>
            <w:vAlign w:val="bottom"/>
          </w:tcPr>
          <w:p>
            <w:pPr>
              <w:jc w:val="right"/>
              <w:ind w:right="219"/>
              <w:spacing w:after="0"/>
              <w:rPr>
                <w:sz w:val="20"/>
                <w:szCs w:val="20"/>
                <w:color w:val="auto"/>
              </w:rPr>
            </w:pPr>
            <w:r>
              <w:rPr>
                <w:rFonts w:ascii="Arial" w:cs="Arial" w:eastAsia="Arial" w:hAnsi="Arial"/>
                <w:sz w:val="17"/>
                <w:szCs w:val="17"/>
                <w:color w:val="auto"/>
              </w:rPr>
              <w:t>—</w:t>
            </w:r>
          </w:p>
        </w:tc>
        <w:tc>
          <w:tcPr>
            <w:tcW w:w="1880" w:type="dxa"/>
            <w:vAlign w:val="bottom"/>
          </w:tcPr>
          <w:p>
            <w:pPr>
              <w:jc w:val="right"/>
              <w:ind w:right="398"/>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347,007</w:t>
            </w:r>
          </w:p>
        </w:tc>
      </w:tr>
      <w:tr>
        <w:trPr>
          <w:trHeight w:val="85"/>
        </w:trPr>
        <w:tc>
          <w:tcPr>
            <w:tcW w:w="2580" w:type="dxa"/>
            <w:vAlign w:val="bottom"/>
            <w:tcBorders>
              <w:bottom w:val="single" w:sz="8" w:color="125288"/>
            </w:tcBorders>
          </w:tcPr>
          <w:p>
            <w:pPr>
              <w:spacing w:after="0"/>
              <w:rPr>
                <w:sz w:val="7"/>
                <w:szCs w:val="7"/>
                <w:color w:val="auto"/>
              </w:rPr>
            </w:pPr>
          </w:p>
        </w:tc>
        <w:tc>
          <w:tcPr>
            <w:tcW w:w="2380" w:type="dxa"/>
            <w:vAlign w:val="bottom"/>
            <w:tcBorders>
              <w:bottom w:val="single" w:sz="8" w:color="125288"/>
            </w:tcBorders>
          </w:tcPr>
          <w:p>
            <w:pPr>
              <w:spacing w:after="0"/>
              <w:rPr>
                <w:sz w:val="7"/>
                <w:szCs w:val="7"/>
                <w:color w:val="auto"/>
              </w:rPr>
            </w:pPr>
          </w:p>
        </w:tc>
        <w:tc>
          <w:tcPr>
            <w:tcW w:w="1760" w:type="dxa"/>
            <w:vAlign w:val="bottom"/>
            <w:tcBorders>
              <w:bottom w:val="single" w:sz="8" w:color="125288"/>
            </w:tcBorders>
          </w:tcPr>
          <w:p>
            <w:pPr>
              <w:spacing w:after="0"/>
              <w:rPr>
                <w:sz w:val="7"/>
                <w:szCs w:val="7"/>
                <w:color w:val="auto"/>
              </w:rPr>
            </w:pPr>
          </w:p>
        </w:tc>
        <w:tc>
          <w:tcPr>
            <w:tcW w:w="1520" w:type="dxa"/>
            <w:vAlign w:val="bottom"/>
            <w:tcBorders>
              <w:bottom w:val="single" w:sz="8" w:color="125288"/>
            </w:tcBorders>
          </w:tcPr>
          <w:p>
            <w:pPr>
              <w:spacing w:after="0"/>
              <w:rPr>
                <w:sz w:val="7"/>
                <w:szCs w:val="7"/>
                <w:color w:val="auto"/>
              </w:rPr>
            </w:pPr>
          </w:p>
        </w:tc>
        <w:tc>
          <w:tcPr>
            <w:tcW w:w="1880" w:type="dxa"/>
            <w:vAlign w:val="bottom"/>
            <w:tcBorders>
              <w:bottom w:val="single" w:sz="8" w:color="125288"/>
            </w:tcBorders>
          </w:tcPr>
          <w:p>
            <w:pPr>
              <w:spacing w:after="0"/>
              <w:rPr>
                <w:sz w:val="7"/>
                <w:szCs w:val="7"/>
                <w:color w:val="auto"/>
              </w:rPr>
            </w:pPr>
          </w:p>
        </w:tc>
        <w:tc>
          <w:tcPr>
            <w:tcW w:w="1140" w:type="dxa"/>
            <w:vAlign w:val="bottom"/>
            <w:tcBorders>
              <w:bottom w:val="single" w:sz="8" w:color="125288"/>
            </w:tcBorders>
          </w:tcPr>
          <w:p>
            <w:pPr>
              <w:spacing w:after="0"/>
              <w:rPr>
                <w:sz w:val="7"/>
                <w:szCs w:val="7"/>
                <w:color w:val="auto"/>
              </w:rPr>
            </w:pPr>
          </w:p>
        </w:tc>
      </w:tr>
      <w:tr>
        <w:trPr>
          <w:trHeight w:val="276"/>
        </w:trPr>
        <w:tc>
          <w:tcPr>
            <w:tcW w:w="2580" w:type="dxa"/>
            <w:vAlign w:val="bottom"/>
          </w:tcPr>
          <w:p>
            <w:pPr>
              <w:ind w:left="40"/>
              <w:spacing w:after="0"/>
              <w:rPr>
                <w:sz w:val="20"/>
                <w:szCs w:val="20"/>
                <w:color w:val="auto"/>
              </w:rPr>
            </w:pPr>
            <w:r>
              <w:rPr>
                <w:rFonts w:ascii="Arial" w:cs="Arial" w:eastAsia="Arial" w:hAnsi="Arial"/>
                <w:sz w:val="17"/>
                <w:szCs w:val="17"/>
                <w:b w:val="1"/>
                <w:bCs w:val="1"/>
                <w:color w:val="auto"/>
              </w:rPr>
              <w:t>Robert Corti</w:t>
            </w:r>
          </w:p>
        </w:tc>
        <w:tc>
          <w:tcPr>
            <w:tcW w:w="2380" w:type="dxa"/>
            <w:vAlign w:val="bottom"/>
          </w:tcPr>
          <w:p>
            <w:pPr>
              <w:jc w:val="right"/>
              <w:ind w:right="298"/>
              <w:spacing w:after="0"/>
              <w:rPr>
                <w:sz w:val="20"/>
                <w:szCs w:val="20"/>
                <w:color w:val="auto"/>
              </w:rPr>
            </w:pPr>
            <w:r>
              <w:rPr>
                <w:rFonts w:ascii="Arial" w:cs="Arial" w:eastAsia="Arial" w:hAnsi="Arial"/>
                <w:sz w:val="17"/>
                <w:szCs w:val="17"/>
                <w:color w:val="auto"/>
              </w:rPr>
              <w:t>130,000</w:t>
            </w:r>
          </w:p>
        </w:tc>
        <w:tc>
          <w:tcPr>
            <w:tcW w:w="1760" w:type="dxa"/>
            <w:vAlign w:val="bottom"/>
          </w:tcPr>
          <w:p>
            <w:pPr>
              <w:jc w:val="right"/>
              <w:ind w:right="380"/>
              <w:spacing w:after="0"/>
              <w:rPr>
                <w:sz w:val="20"/>
                <w:szCs w:val="20"/>
                <w:color w:val="auto"/>
              </w:rPr>
            </w:pPr>
            <w:r>
              <w:rPr>
                <w:rFonts w:ascii="Arial" w:cs="Arial" w:eastAsia="Arial" w:hAnsi="Arial"/>
                <w:sz w:val="17"/>
                <w:szCs w:val="17"/>
                <w:color w:val="auto"/>
              </w:rPr>
              <w:t>249,674</w:t>
            </w:r>
          </w:p>
        </w:tc>
        <w:tc>
          <w:tcPr>
            <w:tcW w:w="1520" w:type="dxa"/>
            <w:vAlign w:val="bottom"/>
          </w:tcPr>
          <w:p>
            <w:pPr>
              <w:jc w:val="right"/>
              <w:ind w:right="219"/>
              <w:spacing w:after="0"/>
              <w:rPr>
                <w:sz w:val="20"/>
                <w:szCs w:val="20"/>
                <w:color w:val="auto"/>
              </w:rPr>
            </w:pPr>
            <w:r>
              <w:rPr>
                <w:rFonts w:ascii="Arial" w:cs="Arial" w:eastAsia="Arial" w:hAnsi="Arial"/>
                <w:sz w:val="17"/>
                <w:szCs w:val="17"/>
                <w:color w:val="auto"/>
              </w:rPr>
              <w:t>—</w:t>
            </w:r>
          </w:p>
        </w:tc>
        <w:tc>
          <w:tcPr>
            <w:tcW w:w="1880" w:type="dxa"/>
            <w:vAlign w:val="bottom"/>
          </w:tcPr>
          <w:p>
            <w:pPr>
              <w:jc w:val="right"/>
              <w:ind w:right="398"/>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379,674</w:t>
            </w:r>
          </w:p>
        </w:tc>
      </w:tr>
      <w:tr>
        <w:trPr>
          <w:trHeight w:val="85"/>
        </w:trPr>
        <w:tc>
          <w:tcPr>
            <w:tcW w:w="2580" w:type="dxa"/>
            <w:vAlign w:val="bottom"/>
            <w:tcBorders>
              <w:bottom w:val="single" w:sz="8" w:color="125288"/>
            </w:tcBorders>
          </w:tcPr>
          <w:p>
            <w:pPr>
              <w:spacing w:after="0"/>
              <w:rPr>
                <w:sz w:val="7"/>
                <w:szCs w:val="7"/>
                <w:color w:val="auto"/>
              </w:rPr>
            </w:pPr>
          </w:p>
        </w:tc>
        <w:tc>
          <w:tcPr>
            <w:tcW w:w="2380" w:type="dxa"/>
            <w:vAlign w:val="bottom"/>
            <w:tcBorders>
              <w:bottom w:val="single" w:sz="8" w:color="125288"/>
            </w:tcBorders>
          </w:tcPr>
          <w:p>
            <w:pPr>
              <w:spacing w:after="0"/>
              <w:rPr>
                <w:sz w:val="7"/>
                <w:szCs w:val="7"/>
                <w:color w:val="auto"/>
              </w:rPr>
            </w:pPr>
          </w:p>
        </w:tc>
        <w:tc>
          <w:tcPr>
            <w:tcW w:w="1760" w:type="dxa"/>
            <w:vAlign w:val="bottom"/>
            <w:tcBorders>
              <w:bottom w:val="single" w:sz="8" w:color="125288"/>
            </w:tcBorders>
          </w:tcPr>
          <w:p>
            <w:pPr>
              <w:spacing w:after="0"/>
              <w:rPr>
                <w:sz w:val="7"/>
                <w:szCs w:val="7"/>
                <w:color w:val="auto"/>
              </w:rPr>
            </w:pPr>
          </w:p>
        </w:tc>
        <w:tc>
          <w:tcPr>
            <w:tcW w:w="1520" w:type="dxa"/>
            <w:vAlign w:val="bottom"/>
            <w:tcBorders>
              <w:bottom w:val="single" w:sz="8" w:color="125288"/>
            </w:tcBorders>
          </w:tcPr>
          <w:p>
            <w:pPr>
              <w:spacing w:after="0"/>
              <w:rPr>
                <w:sz w:val="7"/>
                <w:szCs w:val="7"/>
                <w:color w:val="auto"/>
              </w:rPr>
            </w:pPr>
          </w:p>
        </w:tc>
        <w:tc>
          <w:tcPr>
            <w:tcW w:w="1880" w:type="dxa"/>
            <w:vAlign w:val="bottom"/>
            <w:tcBorders>
              <w:bottom w:val="single" w:sz="8" w:color="125288"/>
            </w:tcBorders>
          </w:tcPr>
          <w:p>
            <w:pPr>
              <w:spacing w:after="0"/>
              <w:rPr>
                <w:sz w:val="7"/>
                <w:szCs w:val="7"/>
                <w:color w:val="auto"/>
              </w:rPr>
            </w:pPr>
          </w:p>
        </w:tc>
        <w:tc>
          <w:tcPr>
            <w:tcW w:w="1140" w:type="dxa"/>
            <w:vAlign w:val="bottom"/>
            <w:tcBorders>
              <w:bottom w:val="single" w:sz="8" w:color="125288"/>
            </w:tcBorders>
          </w:tcPr>
          <w:p>
            <w:pPr>
              <w:spacing w:after="0"/>
              <w:rPr>
                <w:sz w:val="7"/>
                <w:szCs w:val="7"/>
                <w:color w:val="auto"/>
              </w:rPr>
            </w:pPr>
          </w:p>
        </w:tc>
      </w:tr>
      <w:tr>
        <w:trPr>
          <w:trHeight w:val="276"/>
        </w:trPr>
        <w:tc>
          <w:tcPr>
            <w:tcW w:w="2580" w:type="dxa"/>
            <w:vAlign w:val="bottom"/>
          </w:tcPr>
          <w:p>
            <w:pPr>
              <w:ind w:left="40"/>
              <w:spacing w:after="0"/>
              <w:rPr>
                <w:sz w:val="20"/>
                <w:szCs w:val="20"/>
                <w:color w:val="auto"/>
              </w:rPr>
            </w:pPr>
            <w:r>
              <w:rPr>
                <w:rFonts w:ascii="Arial" w:cs="Arial" w:eastAsia="Arial" w:hAnsi="Arial"/>
                <w:sz w:val="17"/>
                <w:szCs w:val="17"/>
                <w:b w:val="1"/>
                <w:bCs w:val="1"/>
                <w:color w:val="auto"/>
              </w:rPr>
              <w:t>Hendrik Hartong III</w:t>
            </w:r>
          </w:p>
        </w:tc>
        <w:tc>
          <w:tcPr>
            <w:tcW w:w="2380" w:type="dxa"/>
            <w:vAlign w:val="bottom"/>
          </w:tcPr>
          <w:p>
            <w:pPr>
              <w:jc w:val="right"/>
              <w:ind w:right="298"/>
              <w:spacing w:after="0"/>
              <w:rPr>
                <w:sz w:val="20"/>
                <w:szCs w:val="20"/>
                <w:color w:val="auto"/>
              </w:rPr>
            </w:pPr>
            <w:r>
              <w:rPr>
                <w:rFonts w:ascii="Arial" w:cs="Arial" w:eastAsia="Arial" w:hAnsi="Arial"/>
                <w:sz w:val="17"/>
                <w:szCs w:val="17"/>
                <w:color w:val="auto"/>
              </w:rPr>
              <w:t>101,000</w:t>
            </w:r>
          </w:p>
        </w:tc>
        <w:tc>
          <w:tcPr>
            <w:tcW w:w="1760" w:type="dxa"/>
            <w:vAlign w:val="bottom"/>
          </w:tcPr>
          <w:p>
            <w:pPr>
              <w:jc w:val="right"/>
              <w:ind w:right="380"/>
              <w:spacing w:after="0"/>
              <w:rPr>
                <w:sz w:val="20"/>
                <w:szCs w:val="20"/>
                <w:color w:val="auto"/>
              </w:rPr>
            </w:pPr>
            <w:r>
              <w:rPr>
                <w:rFonts w:ascii="Arial" w:cs="Arial" w:eastAsia="Arial" w:hAnsi="Arial"/>
                <w:sz w:val="17"/>
                <w:szCs w:val="17"/>
                <w:color w:val="auto"/>
              </w:rPr>
              <w:t>249,674</w:t>
            </w:r>
          </w:p>
        </w:tc>
        <w:tc>
          <w:tcPr>
            <w:tcW w:w="1520" w:type="dxa"/>
            <w:vAlign w:val="bottom"/>
          </w:tcPr>
          <w:p>
            <w:pPr>
              <w:jc w:val="right"/>
              <w:ind w:right="219"/>
              <w:spacing w:after="0"/>
              <w:rPr>
                <w:sz w:val="20"/>
                <w:szCs w:val="20"/>
                <w:color w:val="auto"/>
              </w:rPr>
            </w:pPr>
            <w:r>
              <w:rPr>
                <w:rFonts w:ascii="Arial" w:cs="Arial" w:eastAsia="Arial" w:hAnsi="Arial"/>
                <w:sz w:val="17"/>
                <w:szCs w:val="17"/>
                <w:color w:val="auto"/>
              </w:rPr>
              <w:t>—</w:t>
            </w:r>
          </w:p>
        </w:tc>
        <w:tc>
          <w:tcPr>
            <w:tcW w:w="1880" w:type="dxa"/>
            <w:vAlign w:val="bottom"/>
          </w:tcPr>
          <w:p>
            <w:pPr>
              <w:jc w:val="right"/>
              <w:ind w:right="398"/>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350,674</w:t>
            </w:r>
          </w:p>
        </w:tc>
      </w:tr>
      <w:tr>
        <w:trPr>
          <w:trHeight w:val="85"/>
        </w:trPr>
        <w:tc>
          <w:tcPr>
            <w:tcW w:w="2580" w:type="dxa"/>
            <w:vAlign w:val="bottom"/>
            <w:tcBorders>
              <w:bottom w:val="single" w:sz="8" w:color="125288"/>
            </w:tcBorders>
          </w:tcPr>
          <w:p>
            <w:pPr>
              <w:spacing w:after="0"/>
              <w:rPr>
                <w:sz w:val="7"/>
                <w:szCs w:val="7"/>
                <w:color w:val="auto"/>
              </w:rPr>
            </w:pPr>
          </w:p>
        </w:tc>
        <w:tc>
          <w:tcPr>
            <w:tcW w:w="2380" w:type="dxa"/>
            <w:vAlign w:val="bottom"/>
            <w:tcBorders>
              <w:bottom w:val="single" w:sz="8" w:color="125288"/>
            </w:tcBorders>
          </w:tcPr>
          <w:p>
            <w:pPr>
              <w:spacing w:after="0"/>
              <w:rPr>
                <w:sz w:val="7"/>
                <w:szCs w:val="7"/>
                <w:color w:val="auto"/>
              </w:rPr>
            </w:pPr>
          </w:p>
        </w:tc>
        <w:tc>
          <w:tcPr>
            <w:tcW w:w="1760" w:type="dxa"/>
            <w:vAlign w:val="bottom"/>
            <w:tcBorders>
              <w:bottom w:val="single" w:sz="8" w:color="125288"/>
            </w:tcBorders>
          </w:tcPr>
          <w:p>
            <w:pPr>
              <w:spacing w:after="0"/>
              <w:rPr>
                <w:sz w:val="7"/>
                <w:szCs w:val="7"/>
                <w:color w:val="auto"/>
              </w:rPr>
            </w:pPr>
          </w:p>
        </w:tc>
        <w:tc>
          <w:tcPr>
            <w:tcW w:w="1520" w:type="dxa"/>
            <w:vAlign w:val="bottom"/>
            <w:tcBorders>
              <w:bottom w:val="single" w:sz="8" w:color="125288"/>
            </w:tcBorders>
          </w:tcPr>
          <w:p>
            <w:pPr>
              <w:spacing w:after="0"/>
              <w:rPr>
                <w:sz w:val="7"/>
                <w:szCs w:val="7"/>
                <w:color w:val="auto"/>
              </w:rPr>
            </w:pPr>
          </w:p>
        </w:tc>
        <w:tc>
          <w:tcPr>
            <w:tcW w:w="1880" w:type="dxa"/>
            <w:vAlign w:val="bottom"/>
            <w:tcBorders>
              <w:bottom w:val="single" w:sz="8" w:color="125288"/>
            </w:tcBorders>
          </w:tcPr>
          <w:p>
            <w:pPr>
              <w:spacing w:after="0"/>
              <w:rPr>
                <w:sz w:val="7"/>
                <w:szCs w:val="7"/>
                <w:color w:val="auto"/>
              </w:rPr>
            </w:pPr>
          </w:p>
        </w:tc>
        <w:tc>
          <w:tcPr>
            <w:tcW w:w="1140" w:type="dxa"/>
            <w:vAlign w:val="bottom"/>
            <w:tcBorders>
              <w:bottom w:val="single" w:sz="8" w:color="125288"/>
            </w:tcBorders>
          </w:tcPr>
          <w:p>
            <w:pPr>
              <w:spacing w:after="0"/>
              <w:rPr>
                <w:sz w:val="7"/>
                <w:szCs w:val="7"/>
                <w:color w:val="auto"/>
              </w:rPr>
            </w:pPr>
          </w:p>
        </w:tc>
      </w:tr>
      <w:tr>
        <w:trPr>
          <w:trHeight w:val="276"/>
        </w:trPr>
        <w:tc>
          <w:tcPr>
            <w:tcW w:w="2580" w:type="dxa"/>
            <w:vAlign w:val="bottom"/>
          </w:tcPr>
          <w:p>
            <w:pPr>
              <w:ind w:left="40"/>
              <w:spacing w:after="0"/>
              <w:rPr>
                <w:sz w:val="20"/>
                <w:szCs w:val="20"/>
                <w:color w:val="auto"/>
              </w:rPr>
            </w:pPr>
            <w:r>
              <w:rPr>
                <w:rFonts w:ascii="Arial" w:cs="Arial" w:eastAsia="Arial" w:hAnsi="Arial"/>
                <w:sz w:val="17"/>
                <w:szCs w:val="17"/>
                <w:b w:val="1"/>
                <w:bCs w:val="1"/>
                <w:color w:val="auto"/>
              </w:rPr>
              <w:t>Brian Kelly</w:t>
            </w:r>
          </w:p>
        </w:tc>
        <w:tc>
          <w:tcPr>
            <w:tcW w:w="2380" w:type="dxa"/>
            <w:vAlign w:val="bottom"/>
          </w:tcPr>
          <w:p>
            <w:pPr>
              <w:jc w:val="right"/>
              <w:ind w:right="298"/>
              <w:spacing w:after="0"/>
              <w:rPr>
                <w:sz w:val="20"/>
                <w:szCs w:val="20"/>
                <w:color w:val="auto"/>
              </w:rPr>
            </w:pPr>
            <w:r>
              <w:rPr>
                <w:rFonts w:ascii="Arial" w:cs="Arial" w:eastAsia="Arial" w:hAnsi="Arial"/>
                <w:sz w:val="17"/>
                <w:szCs w:val="17"/>
                <w:color w:val="auto"/>
              </w:rPr>
              <w:t>240,000</w:t>
            </w:r>
          </w:p>
        </w:tc>
        <w:tc>
          <w:tcPr>
            <w:tcW w:w="1760" w:type="dxa"/>
            <w:vAlign w:val="bottom"/>
          </w:tcPr>
          <w:p>
            <w:pPr>
              <w:jc w:val="right"/>
              <w:ind w:right="380"/>
              <w:spacing w:after="0"/>
              <w:rPr>
                <w:sz w:val="20"/>
                <w:szCs w:val="20"/>
                <w:color w:val="auto"/>
              </w:rPr>
            </w:pPr>
            <w:r>
              <w:rPr>
                <w:rFonts w:ascii="Arial" w:cs="Arial" w:eastAsia="Arial" w:hAnsi="Arial"/>
                <w:sz w:val="17"/>
                <w:szCs w:val="17"/>
                <w:color w:val="auto"/>
              </w:rPr>
              <w:t>249,674</w:t>
            </w:r>
          </w:p>
        </w:tc>
        <w:tc>
          <w:tcPr>
            <w:tcW w:w="1520" w:type="dxa"/>
            <w:vAlign w:val="bottom"/>
          </w:tcPr>
          <w:p>
            <w:pPr>
              <w:jc w:val="right"/>
              <w:ind w:right="219"/>
              <w:spacing w:after="0"/>
              <w:rPr>
                <w:sz w:val="20"/>
                <w:szCs w:val="20"/>
                <w:color w:val="auto"/>
              </w:rPr>
            </w:pPr>
            <w:r>
              <w:rPr>
                <w:rFonts w:ascii="Arial" w:cs="Arial" w:eastAsia="Arial" w:hAnsi="Arial"/>
                <w:sz w:val="17"/>
                <w:szCs w:val="17"/>
                <w:color w:val="auto"/>
              </w:rPr>
              <w:t>—</w:t>
            </w:r>
          </w:p>
        </w:tc>
        <w:tc>
          <w:tcPr>
            <w:tcW w:w="1880" w:type="dxa"/>
            <w:vAlign w:val="bottom"/>
          </w:tcPr>
          <w:p>
            <w:pPr>
              <w:jc w:val="right"/>
              <w:ind w:right="398"/>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489,674</w:t>
            </w:r>
          </w:p>
        </w:tc>
      </w:tr>
      <w:tr>
        <w:trPr>
          <w:trHeight w:val="85"/>
        </w:trPr>
        <w:tc>
          <w:tcPr>
            <w:tcW w:w="2580" w:type="dxa"/>
            <w:vAlign w:val="bottom"/>
            <w:tcBorders>
              <w:bottom w:val="single" w:sz="8" w:color="125288"/>
            </w:tcBorders>
          </w:tcPr>
          <w:p>
            <w:pPr>
              <w:spacing w:after="0"/>
              <w:rPr>
                <w:sz w:val="7"/>
                <w:szCs w:val="7"/>
                <w:color w:val="auto"/>
              </w:rPr>
            </w:pPr>
          </w:p>
        </w:tc>
        <w:tc>
          <w:tcPr>
            <w:tcW w:w="2380" w:type="dxa"/>
            <w:vAlign w:val="bottom"/>
            <w:tcBorders>
              <w:bottom w:val="single" w:sz="8" w:color="125288"/>
            </w:tcBorders>
          </w:tcPr>
          <w:p>
            <w:pPr>
              <w:spacing w:after="0"/>
              <w:rPr>
                <w:sz w:val="7"/>
                <w:szCs w:val="7"/>
                <w:color w:val="auto"/>
              </w:rPr>
            </w:pPr>
          </w:p>
        </w:tc>
        <w:tc>
          <w:tcPr>
            <w:tcW w:w="1760" w:type="dxa"/>
            <w:vAlign w:val="bottom"/>
            <w:tcBorders>
              <w:bottom w:val="single" w:sz="8" w:color="125288"/>
            </w:tcBorders>
          </w:tcPr>
          <w:p>
            <w:pPr>
              <w:spacing w:after="0"/>
              <w:rPr>
                <w:sz w:val="7"/>
                <w:szCs w:val="7"/>
                <w:color w:val="auto"/>
              </w:rPr>
            </w:pPr>
          </w:p>
        </w:tc>
        <w:tc>
          <w:tcPr>
            <w:tcW w:w="1520" w:type="dxa"/>
            <w:vAlign w:val="bottom"/>
            <w:tcBorders>
              <w:bottom w:val="single" w:sz="8" w:color="125288"/>
            </w:tcBorders>
          </w:tcPr>
          <w:p>
            <w:pPr>
              <w:spacing w:after="0"/>
              <w:rPr>
                <w:sz w:val="7"/>
                <w:szCs w:val="7"/>
                <w:color w:val="auto"/>
              </w:rPr>
            </w:pPr>
          </w:p>
        </w:tc>
        <w:tc>
          <w:tcPr>
            <w:tcW w:w="1880" w:type="dxa"/>
            <w:vAlign w:val="bottom"/>
            <w:tcBorders>
              <w:bottom w:val="single" w:sz="8" w:color="125288"/>
            </w:tcBorders>
          </w:tcPr>
          <w:p>
            <w:pPr>
              <w:spacing w:after="0"/>
              <w:rPr>
                <w:sz w:val="7"/>
                <w:szCs w:val="7"/>
                <w:color w:val="auto"/>
              </w:rPr>
            </w:pPr>
          </w:p>
        </w:tc>
        <w:tc>
          <w:tcPr>
            <w:tcW w:w="1140" w:type="dxa"/>
            <w:vAlign w:val="bottom"/>
            <w:tcBorders>
              <w:bottom w:val="single" w:sz="8" w:color="125288"/>
            </w:tcBorders>
          </w:tcPr>
          <w:p>
            <w:pPr>
              <w:spacing w:after="0"/>
              <w:rPr>
                <w:sz w:val="7"/>
                <w:szCs w:val="7"/>
                <w:color w:val="auto"/>
              </w:rPr>
            </w:pPr>
          </w:p>
        </w:tc>
      </w:tr>
      <w:tr>
        <w:trPr>
          <w:trHeight w:val="276"/>
        </w:trPr>
        <w:tc>
          <w:tcPr>
            <w:tcW w:w="2580" w:type="dxa"/>
            <w:vAlign w:val="bottom"/>
          </w:tcPr>
          <w:p>
            <w:pPr>
              <w:ind w:left="40"/>
              <w:spacing w:after="0"/>
              <w:rPr>
                <w:sz w:val="20"/>
                <w:szCs w:val="20"/>
                <w:color w:val="auto"/>
              </w:rPr>
            </w:pPr>
            <w:r>
              <w:rPr>
                <w:rFonts w:ascii="Arial" w:cs="Arial" w:eastAsia="Arial" w:hAnsi="Arial"/>
                <w:sz w:val="17"/>
                <w:szCs w:val="17"/>
                <w:b w:val="1"/>
                <w:bCs w:val="1"/>
                <w:color w:val="auto"/>
              </w:rPr>
              <w:t>Barry Meyer</w:t>
            </w:r>
          </w:p>
        </w:tc>
        <w:tc>
          <w:tcPr>
            <w:tcW w:w="2380" w:type="dxa"/>
            <w:vAlign w:val="bottom"/>
          </w:tcPr>
          <w:p>
            <w:pPr>
              <w:jc w:val="right"/>
              <w:ind w:right="298"/>
              <w:spacing w:after="0"/>
              <w:rPr>
                <w:sz w:val="20"/>
                <w:szCs w:val="20"/>
                <w:color w:val="auto"/>
              </w:rPr>
            </w:pPr>
            <w:r>
              <w:rPr>
                <w:rFonts w:ascii="Arial" w:cs="Arial" w:eastAsia="Arial" w:hAnsi="Arial"/>
                <w:sz w:val="17"/>
                <w:szCs w:val="17"/>
                <w:color w:val="auto"/>
              </w:rPr>
              <w:t>95,500</w:t>
            </w:r>
          </w:p>
        </w:tc>
        <w:tc>
          <w:tcPr>
            <w:tcW w:w="1760" w:type="dxa"/>
            <w:vAlign w:val="bottom"/>
          </w:tcPr>
          <w:p>
            <w:pPr>
              <w:jc w:val="right"/>
              <w:ind w:right="380"/>
              <w:spacing w:after="0"/>
              <w:rPr>
                <w:sz w:val="20"/>
                <w:szCs w:val="20"/>
                <w:color w:val="auto"/>
              </w:rPr>
            </w:pPr>
            <w:r>
              <w:rPr>
                <w:rFonts w:ascii="Arial" w:cs="Arial" w:eastAsia="Arial" w:hAnsi="Arial"/>
                <w:sz w:val="17"/>
                <w:szCs w:val="17"/>
                <w:color w:val="auto"/>
              </w:rPr>
              <w:t>249,674</w:t>
            </w:r>
          </w:p>
        </w:tc>
        <w:tc>
          <w:tcPr>
            <w:tcW w:w="1520" w:type="dxa"/>
            <w:vAlign w:val="bottom"/>
          </w:tcPr>
          <w:p>
            <w:pPr>
              <w:jc w:val="right"/>
              <w:ind w:right="219"/>
              <w:spacing w:after="0"/>
              <w:rPr>
                <w:sz w:val="20"/>
                <w:szCs w:val="20"/>
                <w:color w:val="auto"/>
              </w:rPr>
            </w:pPr>
            <w:r>
              <w:rPr>
                <w:rFonts w:ascii="Arial" w:cs="Arial" w:eastAsia="Arial" w:hAnsi="Arial"/>
                <w:sz w:val="17"/>
                <w:szCs w:val="17"/>
                <w:color w:val="auto"/>
              </w:rPr>
              <w:t>—</w:t>
            </w:r>
          </w:p>
        </w:tc>
        <w:tc>
          <w:tcPr>
            <w:tcW w:w="1880" w:type="dxa"/>
            <w:vAlign w:val="bottom"/>
          </w:tcPr>
          <w:p>
            <w:pPr>
              <w:jc w:val="right"/>
              <w:ind w:right="398"/>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345,174</w:t>
            </w:r>
          </w:p>
        </w:tc>
      </w:tr>
      <w:tr>
        <w:trPr>
          <w:trHeight w:val="85"/>
        </w:trPr>
        <w:tc>
          <w:tcPr>
            <w:tcW w:w="2580" w:type="dxa"/>
            <w:vAlign w:val="bottom"/>
            <w:tcBorders>
              <w:bottom w:val="single" w:sz="8" w:color="125288"/>
            </w:tcBorders>
          </w:tcPr>
          <w:p>
            <w:pPr>
              <w:spacing w:after="0"/>
              <w:rPr>
                <w:sz w:val="7"/>
                <w:szCs w:val="7"/>
                <w:color w:val="auto"/>
              </w:rPr>
            </w:pPr>
          </w:p>
        </w:tc>
        <w:tc>
          <w:tcPr>
            <w:tcW w:w="2380" w:type="dxa"/>
            <w:vAlign w:val="bottom"/>
            <w:tcBorders>
              <w:bottom w:val="single" w:sz="8" w:color="125288"/>
            </w:tcBorders>
          </w:tcPr>
          <w:p>
            <w:pPr>
              <w:spacing w:after="0"/>
              <w:rPr>
                <w:sz w:val="7"/>
                <w:szCs w:val="7"/>
                <w:color w:val="auto"/>
              </w:rPr>
            </w:pPr>
          </w:p>
        </w:tc>
        <w:tc>
          <w:tcPr>
            <w:tcW w:w="1760" w:type="dxa"/>
            <w:vAlign w:val="bottom"/>
            <w:tcBorders>
              <w:bottom w:val="single" w:sz="8" w:color="125288"/>
            </w:tcBorders>
          </w:tcPr>
          <w:p>
            <w:pPr>
              <w:spacing w:after="0"/>
              <w:rPr>
                <w:sz w:val="7"/>
                <w:szCs w:val="7"/>
                <w:color w:val="auto"/>
              </w:rPr>
            </w:pPr>
          </w:p>
        </w:tc>
        <w:tc>
          <w:tcPr>
            <w:tcW w:w="1520" w:type="dxa"/>
            <w:vAlign w:val="bottom"/>
            <w:tcBorders>
              <w:bottom w:val="single" w:sz="8" w:color="125288"/>
            </w:tcBorders>
          </w:tcPr>
          <w:p>
            <w:pPr>
              <w:spacing w:after="0"/>
              <w:rPr>
                <w:sz w:val="7"/>
                <w:szCs w:val="7"/>
                <w:color w:val="auto"/>
              </w:rPr>
            </w:pPr>
          </w:p>
        </w:tc>
        <w:tc>
          <w:tcPr>
            <w:tcW w:w="1880" w:type="dxa"/>
            <w:vAlign w:val="bottom"/>
            <w:tcBorders>
              <w:bottom w:val="single" w:sz="8" w:color="125288"/>
            </w:tcBorders>
          </w:tcPr>
          <w:p>
            <w:pPr>
              <w:spacing w:after="0"/>
              <w:rPr>
                <w:sz w:val="7"/>
                <w:szCs w:val="7"/>
                <w:color w:val="auto"/>
              </w:rPr>
            </w:pPr>
          </w:p>
        </w:tc>
        <w:tc>
          <w:tcPr>
            <w:tcW w:w="1140" w:type="dxa"/>
            <w:vAlign w:val="bottom"/>
            <w:tcBorders>
              <w:bottom w:val="single" w:sz="8" w:color="125288"/>
            </w:tcBorders>
          </w:tcPr>
          <w:p>
            <w:pPr>
              <w:spacing w:after="0"/>
              <w:rPr>
                <w:sz w:val="7"/>
                <w:szCs w:val="7"/>
                <w:color w:val="auto"/>
              </w:rPr>
            </w:pPr>
          </w:p>
        </w:tc>
      </w:tr>
      <w:tr>
        <w:trPr>
          <w:trHeight w:val="276"/>
        </w:trPr>
        <w:tc>
          <w:tcPr>
            <w:tcW w:w="2580" w:type="dxa"/>
            <w:vAlign w:val="bottom"/>
          </w:tcPr>
          <w:p>
            <w:pPr>
              <w:ind w:left="40"/>
              <w:spacing w:after="0"/>
              <w:rPr>
                <w:sz w:val="20"/>
                <w:szCs w:val="20"/>
                <w:color w:val="auto"/>
              </w:rPr>
            </w:pPr>
            <w:r>
              <w:rPr>
                <w:rFonts w:ascii="Arial" w:cs="Arial" w:eastAsia="Arial" w:hAnsi="Arial"/>
                <w:sz w:val="17"/>
                <w:szCs w:val="17"/>
                <w:b w:val="1"/>
                <w:bCs w:val="1"/>
                <w:color w:val="auto"/>
              </w:rPr>
              <w:t>Robert Morgado</w:t>
            </w:r>
          </w:p>
        </w:tc>
        <w:tc>
          <w:tcPr>
            <w:tcW w:w="2380" w:type="dxa"/>
            <w:vAlign w:val="bottom"/>
          </w:tcPr>
          <w:p>
            <w:pPr>
              <w:jc w:val="right"/>
              <w:ind w:right="298"/>
              <w:spacing w:after="0"/>
              <w:rPr>
                <w:sz w:val="20"/>
                <w:szCs w:val="20"/>
                <w:color w:val="auto"/>
              </w:rPr>
            </w:pPr>
            <w:r>
              <w:rPr>
                <w:rFonts w:ascii="Arial" w:cs="Arial" w:eastAsia="Arial" w:hAnsi="Arial"/>
                <w:sz w:val="17"/>
                <w:szCs w:val="17"/>
                <w:color w:val="auto"/>
              </w:rPr>
              <w:t>210,000</w:t>
            </w:r>
          </w:p>
        </w:tc>
        <w:tc>
          <w:tcPr>
            <w:tcW w:w="1760" w:type="dxa"/>
            <w:vAlign w:val="bottom"/>
          </w:tcPr>
          <w:p>
            <w:pPr>
              <w:jc w:val="right"/>
              <w:ind w:right="380"/>
              <w:spacing w:after="0"/>
              <w:rPr>
                <w:sz w:val="20"/>
                <w:szCs w:val="20"/>
                <w:color w:val="auto"/>
              </w:rPr>
            </w:pPr>
            <w:r>
              <w:rPr>
                <w:rFonts w:ascii="Arial" w:cs="Arial" w:eastAsia="Arial" w:hAnsi="Arial"/>
                <w:sz w:val="17"/>
                <w:szCs w:val="17"/>
                <w:color w:val="auto"/>
              </w:rPr>
              <w:t>249,674</w:t>
            </w:r>
          </w:p>
        </w:tc>
        <w:tc>
          <w:tcPr>
            <w:tcW w:w="1520" w:type="dxa"/>
            <w:vAlign w:val="bottom"/>
          </w:tcPr>
          <w:p>
            <w:pPr>
              <w:jc w:val="right"/>
              <w:ind w:right="219"/>
              <w:spacing w:after="0"/>
              <w:rPr>
                <w:sz w:val="20"/>
                <w:szCs w:val="20"/>
                <w:color w:val="auto"/>
              </w:rPr>
            </w:pPr>
            <w:r>
              <w:rPr>
                <w:rFonts w:ascii="Arial" w:cs="Arial" w:eastAsia="Arial" w:hAnsi="Arial"/>
                <w:sz w:val="17"/>
                <w:szCs w:val="17"/>
                <w:color w:val="auto"/>
              </w:rPr>
              <w:t>—</w:t>
            </w:r>
          </w:p>
        </w:tc>
        <w:tc>
          <w:tcPr>
            <w:tcW w:w="1880" w:type="dxa"/>
            <w:vAlign w:val="bottom"/>
          </w:tcPr>
          <w:p>
            <w:pPr>
              <w:jc w:val="right"/>
              <w:ind w:right="398"/>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459,674</w:t>
            </w:r>
          </w:p>
        </w:tc>
      </w:tr>
      <w:tr>
        <w:trPr>
          <w:trHeight w:val="85"/>
        </w:trPr>
        <w:tc>
          <w:tcPr>
            <w:tcW w:w="2580" w:type="dxa"/>
            <w:vAlign w:val="bottom"/>
            <w:tcBorders>
              <w:bottom w:val="single" w:sz="8" w:color="125288"/>
            </w:tcBorders>
          </w:tcPr>
          <w:p>
            <w:pPr>
              <w:spacing w:after="0"/>
              <w:rPr>
                <w:sz w:val="7"/>
                <w:szCs w:val="7"/>
                <w:color w:val="auto"/>
              </w:rPr>
            </w:pPr>
          </w:p>
        </w:tc>
        <w:tc>
          <w:tcPr>
            <w:tcW w:w="2380" w:type="dxa"/>
            <w:vAlign w:val="bottom"/>
            <w:tcBorders>
              <w:bottom w:val="single" w:sz="8" w:color="125288"/>
            </w:tcBorders>
          </w:tcPr>
          <w:p>
            <w:pPr>
              <w:spacing w:after="0"/>
              <w:rPr>
                <w:sz w:val="7"/>
                <w:szCs w:val="7"/>
                <w:color w:val="auto"/>
              </w:rPr>
            </w:pPr>
          </w:p>
        </w:tc>
        <w:tc>
          <w:tcPr>
            <w:tcW w:w="1760" w:type="dxa"/>
            <w:vAlign w:val="bottom"/>
            <w:tcBorders>
              <w:bottom w:val="single" w:sz="8" w:color="125288"/>
            </w:tcBorders>
          </w:tcPr>
          <w:p>
            <w:pPr>
              <w:spacing w:after="0"/>
              <w:rPr>
                <w:sz w:val="7"/>
                <w:szCs w:val="7"/>
                <w:color w:val="auto"/>
              </w:rPr>
            </w:pPr>
          </w:p>
        </w:tc>
        <w:tc>
          <w:tcPr>
            <w:tcW w:w="1520" w:type="dxa"/>
            <w:vAlign w:val="bottom"/>
            <w:tcBorders>
              <w:bottom w:val="single" w:sz="8" w:color="125288"/>
            </w:tcBorders>
          </w:tcPr>
          <w:p>
            <w:pPr>
              <w:spacing w:after="0"/>
              <w:rPr>
                <w:sz w:val="7"/>
                <w:szCs w:val="7"/>
                <w:color w:val="auto"/>
              </w:rPr>
            </w:pPr>
          </w:p>
        </w:tc>
        <w:tc>
          <w:tcPr>
            <w:tcW w:w="1880" w:type="dxa"/>
            <w:vAlign w:val="bottom"/>
            <w:tcBorders>
              <w:bottom w:val="single" w:sz="8" w:color="125288"/>
            </w:tcBorders>
          </w:tcPr>
          <w:p>
            <w:pPr>
              <w:spacing w:after="0"/>
              <w:rPr>
                <w:sz w:val="7"/>
                <w:szCs w:val="7"/>
                <w:color w:val="auto"/>
              </w:rPr>
            </w:pPr>
          </w:p>
        </w:tc>
        <w:tc>
          <w:tcPr>
            <w:tcW w:w="1140" w:type="dxa"/>
            <w:vAlign w:val="bottom"/>
            <w:tcBorders>
              <w:bottom w:val="single" w:sz="8" w:color="125288"/>
            </w:tcBorders>
          </w:tcPr>
          <w:p>
            <w:pPr>
              <w:spacing w:after="0"/>
              <w:rPr>
                <w:sz w:val="7"/>
                <w:szCs w:val="7"/>
                <w:color w:val="auto"/>
              </w:rPr>
            </w:pPr>
          </w:p>
        </w:tc>
      </w:tr>
      <w:tr>
        <w:trPr>
          <w:trHeight w:val="276"/>
        </w:trPr>
        <w:tc>
          <w:tcPr>
            <w:tcW w:w="2580" w:type="dxa"/>
            <w:vAlign w:val="bottom"/>
          </w:tcPr>
          <w:p>
            <w:pPr>
              <w:ind w:left="40"/>
              <w:spacing w:after="0"/>
              <w:rPr>
                <w:sz w:val="20"/>
                <w:szCs w:val="20"/>
                <w:color w:val="auto"/>
              </w:rPr>
            </w:pPr>
            <w:r>
              <w:rPr>
                <w:rFonts w:ascii="Arial" w:cs="Arial" w:eastAsia="Arial" w:hAnsi="Arial"/>
                <w:sz w:val="17"/>
                <w:szCs w:val="17"/>
                <w:b w:val="1"/>
                <w:bCs w:val="1"/>
                <w:color w:val="auto"/>
              </w:rPr>
              <w:t>Peter Nolan</w:t>
            </w:r>
          </w:p>
        </w:tc>
        <w:tc>
          <w:tcPr>
            <w:tcW w:w="2380" w:type="dxa"/>
            <w:vAlign w:val="bottom"/>
          </w:tcPr>
          <w:p>
            <w:pPr>
              <w:jc w:val="right"/>
              <w:ind w:right="298"/>
              <w:spacing w:after="0"/>
              <w:rPr>
                <w:sz w:val="20"/>
                <w:szCs w:val="20"/>
                <w:color w:val="auto"/>
              </w:rPr>
            </w:pPr>
            <w:r>
              <w:rPr>
                <w:rFonts w:ascii="Arial" w:cs="Arial" w:eastAsia="Arial" w:hAnsi="Arial"/>
                <w:sz w:val="17"/>
                <w:szCs w:val="17"/>
                <w:color w:val="auto"/>
              </w:rPr>
              <w:t>101,000</w:t>
            </w:r>
          </w:p>
        </w:tc>
        <w:tc>
          <w:tcPr>
            <w:tcW w:w="1760" w:type="dxa"/>
            <w:vAlign w:val="bottom"/>
          </w:tcPr>
          <w:p>
            <w:pPr>
              <w:jc w:val="right"/>
              <w:ind w:right="380"/>
              <w:spacing w:after="0"/>
              <w:rPr>
                <w:sz w:val="20"/>
                <w:szCs w:val="20"/>
                <w:color w:val="auto"/>
              </w:rPr>
            </w:pPr>
            <w:r>
              <w:rPr>
                <w:rFonts w:ascii="Arial" w:cs="Arial" w:eastAsia="Arial" w:hAnsi="Arial"/>
                <w:sz w:val="17"/>
                <w:szCs w:val="17"/>
                <w:color w:val="auto"/>
              </w:rPr>
              <w:t>249,674</w:t>
            </w:r>
          </w:p>
        </w:tc>
        <w:tc>
          <w:tcPr>
            <w:tcW w:w="1520" w:type="dxa"/>
            <w:vAlign w:val="bottom"/>
          </w:tcPr>
          <w:p>
            <w:pPr>
              <w:jc w:val="right"/>
              <w:ind w:right="219"/>
              <w:spacing w:after="0"/>
              <w:rPr>
                <w:sz w:val="20"/>
                <w:szCs w:val="20"/>
                <w:color w:val="auto"/>
              </w:rPr>
            </w:pPr>
            <w:r>
              <w:rPr>
                <w:rFonts w:ascii="Arial" w:cs="Arial" w:eastAsia="Arial" w:hAnsi="Arial"/>
                <w:sz w:val="17"/>
                <w:szCs w:val="17"/>
                <w:color w:val="auto"/>
              </w:rPr>
              <w:t>—</w:t>
            </w:r>
          </w:p>
        </w:tc>
        <w:tc>
          <w:tcPr>
            <w:tcW w:w="1880" w:type="dxa"/>
            <w:vAlign w:val="bottom"/>
          </w:tcPr>
          <w:p>
            <w:pPr>
              <w:jc w:val="right"/>
              <w:ind w:right="398"/>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350,674</w:t>
            </w:r>
          </w:p>
        </w:tc>
      </w:tr>
      <w:tr>
        <w:trPr>
          <w:trHeight w:val="85"/>
        </w:trPr>
        <w:tc>
          <w:tcPr>
            <w:tcW w:w="2580" w:type="dxa"/>
            <w:vAlign w:val="bottom"/>
            <w:tcBorders>
              <w:bottom w:val="single" w:sz="8" w:color="125288"/>
            </w:tcBorders>
          </w:tcPr>
          <w:p>
            <w:pPr>
              <w:spacing w:after="0"/>
              <w:rPr>
                <w:sz w:val="7"/>
                <w:szCs w:val="7"/>
                <w:color w:val="auto"/>
              </w:rPr>
            </w:pPr>
          </w:p>
        </w:tc>
        <w:tc>
          <w:tcPr>
            <w:tcW w:w="2380" w:type="dxa"/>
            <w:vAlign w:val="bottom"/>
            <w:tcBorders>
              <w:bottom w:val="single" w:sz="8" w:color="125288"/>
            </w:tcBorders>
          </w:tcPr>
          <w:p>
            <w:pPr>
              <w:spacing w:after="0"/>
              <w:rPr>
                <w:sz w:val="7"/>
                <w:szCs w:val="7"/>
                <w:color w:val="auto"/>
              </w:rPr>
            </w:pPr>
          </w:p>
        </w:tc>
        <w:tc>
          <w:tcPr>
            <w:tcW w:w="1760" w:type="dxa"/>
            <w:vAlign w:val="bottom"/>
            <w:tcBorders>
              <w:bottom w:val="single" w:sz="8" w:color="125288"/>
            </w:tcBorders>
          </w:tcPr>
          <w:p>
            <w:pPr>
              <w:spacing w:after="0"/>
              <w:rPr>
                <w:sz w:val="7"/>
                <w:szCs w:val="7"/>
                <w:color w:val="auto"/>
              </w:rPr>
            </w:pPr>
          </w:p>
        </w:tc>
        <w:tc>
          <w:tcPr>
            <w:tcW w:w="1520" w:type="dxa"/>
            <w:vAlign w:val="bottom"/>
            <w:tcBorders>
              <w:bottom w:val="single" w:sz="8" w:color="125288"/>
            </w:tcBorders>
          </w:tcPr>
          <w:p>
            <w:pPr>
              <w:spacing w:after="0"/>
              <w:rPr>
                <w:sz w:val="7"/>
                <w:szCs w:val="7"/>
                <w:color w:val="auto"/>
              </w:rPr>
            </w:pPr>
          </w:p>
        </w:tc>
        <w:tc>
          <w:tcPr>
            <w:tcW w:w="1880" w:type="dxa"/>
            <w:vAlign w:val="bottom"/>
            <w:tcBorders>
              <w:bottom w:val="single" w:sz="8" w:color="125288"/>
            </w:tcBorders>
          </w:tcPr>
          <w:p>
            <w:pPr>
              <w:spacing w:after="0"/>
              <w:rPr>
                <w:sz w:val="7"/>
                <w:szCs w:val="7"/>
                <w:color w:val="auto"/>
              </w:rPr>
            </w:pPr>
          </w:p>
        </w:tc>
        <w:tc>
          <w:tcPr>
            <w:tcW w:w="1140" w:type="dxa"/>
            <w:vAlign w:val="bottom"/>
            <w:tcBorders>
              <w:bottom w:val="single" w:sz="8" w:color="125288"/>
            </w:tcBorders>
          </w:tcPr>
          <w:p>
            <w:pPr>
              <w:spacing w:after="0"/>
              <w:rPr>
                <w:sz w:val="7"/>
                <w:szCs w:val="7"/>
                <w:color w:val="auto"/>
              </w:rPr>
            </w:pPr>
          </w:p>
        </w:tc>
      </w:tr>
      <w:tr>
        <w:trPr>
          <w:trHeight w:val="276"/>
        </w:trPr>
        <w:tc>
          <w:tcPr>
            <w:tcW w:w="2580" w:type="dxa"/>
            <w:vAlign w:val="bottom"/>
          </w:tcPr>
          <w:p>
            <w:pPr>
              <w:ind w:left="40"/>
              <w:spacing w:after="0"/>
              <w:rPr>
                <w:sz w:val="20"/>
                <w:szCs w:val="20"/>
                <w:color w:val="auto"/>
              </w:rPr>
            </w:pPr>
            <w:r>
              <w:rPr>
                <w:rFonts w:ascii="Arial" w:cs="Arial" w:eastAsia="Arial" w:hAnsi="Arial"/>
                <w:sz w:val="17"/>
                <w:szCs w:val="17"/>
                <w:b w:val="1"/>
                <w:bCs w:val="1"/>
                <w:color w:val="auto"/>
              </w:rPr>
              <w:t>Dawn Ostroff</w:t>
            </w:r>
          </w:p>
        </w:tc>
        <w:tc>
          <w:tcPr>
            <w:tcW w:w="2380" w:type="dxa"/>
            <w:vAlign w:val="bottom"/>
          </w:tcPr>
          <w:p>
            <w:pPr>
              <w:jc w:val="right"/>
              <w:ind w:right="298"/>
              <w:spacing w:after="0"/>
              <w:rPr>
                <w:sz w:val="20"/>
                <w:szCs w:val="20"/>
                <w:color w:val="auto"/>
              </w:rPr>
            </w:pPr>
            <w:r>
              <w:rPr>
                <w:rFonts w:ascii="Arial" w:cs="Arial" w:eastAsia="Arial" w:hAnsi="Arial"/>
                <w:sz w:val="17"/>
                <w:szCs w:val="17"/>
                <w:color w:val="auto"/>
              </w:rPr>
              <w:t>102,167</w:t>
            </w:r>
          </w:p>
        </w:tc>
        <w:tc>
          <w:tcPr>
            <w:tcW w:w="1760" w:type="dxa"/>
            <w:vAlign w:val="bottom"/>
          </w:tcPr>
          <w:p>
            <w:pPr>
              <w:jc w:val="right"/>
              <w:ind w:right="380"/>
              <w:spacing w:after="0"/>
              <w:rPr>
                <w:sz w:val="20"/>
                <w:szCs w:val="20"/>
                <w:color w:val="auto"/>
              </w:rPr>
            </w:pPr>
            <w:r>
              <w:rPr>
                <w:rFonts w:ascii="Arial" w:cs="Arial" w:eastAsia="Arial" w:hAnsi="Arial"/>
                <w:sz w:val="17"/>
                <w:szCs w:val="17"/>
                <w:color w:val="auto"/>
              </w:rPr>
              <w:t>249,674</w:t>
            </w:r>
          </w:p>
        </w:tc>
        <w:tc>
          <w:tcPr>
            <w:tcW w:w="15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351,841</w:t>
            </w:r>
          </w:p>
        </w:tc>
      </w:tr>
      <w:tr>
        <w:trPr>
          <w:trHeight w:val="85"/>
        </w:trPr>
        <w:tc>
          <w:tcPr>
            <w:tcW w:w="2580" w:type="dxa"/>
            <w:vAlign w:val="bottom"/>
            <w:tcBorders>
              <w:bottom w:val="single" w:sz="8" w:color="125288"/>
            </w:tcBorders>
          </w:tcPr>
          <w:p>
            <w:pPr>
              <w:spacing w:after="0"/>
              <w:rPr>
                <w:sz w:val="7"/>
                <w:szCs w:val="7"/>
                <w:color w:val="auto"/>
              </w:rPr>
            </w:pPr>
          </w:p>
        </w:tc>
        <w:tc>
          <w:tcPr>
            <w:tcW w:w="2380" w:type="dxa"/>
            <w:vAlign w:val="bottom"/>
            <w:tcBorders>
              <w:bottom w:val="single" w:sz="8" w:color="125288"/>
            </w:tcBorders>
          </w:tcPr>
          <w:p>
            <w:pPr>
              <w:spacing w:after="0"/>
              <w:rPr>
                <w:sz w:val="7"/>
                <w:szCs w:val="7"/>
                <w:color w:val="auto"/>
              </w:rPr>
            </w:pPr>
          </w:p>
        </w:tc>
        <w:tc>
          <w:tcPr>
            <w:tcW w:w="1760" w:type="dxa"/>
            <w:vAlign w:val="bottom"/>
            <w:tcBorders>
              <w:bottom w:val="single" w:sz="8" w:color="125288"/>
            </w:tcBorders>
          </w:tcPr>
          <w:p>
            <w:pPr>
              <w:spacing w:after="0"/>
              <w:rPr>
                <w:sz w:val="7"/>
                <w:szCs w:val="7"/>
                <w:color w:val="auto"/>
              </w:rPr>
            </w:pPr>
          </w:p>
        </w:tc>
        <w:tc>
          <w:tcPr>
            <w:tcW w:w="1520" w:type="dxa"/>
            <w:vAlign w:val="bottom"/>
            <w:tcBorders>
              <w:bottom w:val="single" w:sz="8" w:color="125288"/>
            </w:tcBorders>
          </w:tcPr>
          <w:p>
            <w:pPr>
              <w:spacing w:after="0"/>
              <w:rPr>
                <w:sz w:val="7"/>
                <w:szCs w:val="7"/>
                <w:color w:val="auto"/>
              </w:rPr>
            </w:pPr>
          </w:p>
        </w:tc>
        <w:tc>
          <w:tcPr>
            <w:tcW w:w="1880" w:type="dxa"/>
            <w:vAlign w:val="bottom"/>
            <w:tcBorders>
              <w:bottom w:val="single" w:sz="8" w:color="125288"/>
            </w:tcBorders>
          </w:tcPr>
          <w:p>
            <w:pPr>
              <w:spacing w:after="0"/>
              <w:rPr>
                <w:sz w:val="7"/>
                <w:szCs w:val="7"/>
                <w:color w:val="auto"/>
              </w:rPr>
            </w:pPr>
          </w:p>
        </w:tc>
        <w:tc>
          <w:tcPr>
            <w:tcW w:w="1140" w:type="dxa"/>
            <w:vAlign w:val="bottom"/>
            <w:tcBorders>
              <w:bottom w:val="single" w:sz="8" w:color="125288"/>
            </w:tcBorders>
          </w:tcPr>
          <w:p>
            <w:pPr>
              <w:spacing w:after="0"/>
              <w:rPr>
                <w:sz w:val="7"/>
                <w:szCs w:val="7"/>
                <w:color w:val="auto"/>
              </w:rPr>
            </w:pPr>
          </w:p>
        </w:tc>
      </w:tr>
      <w:tr>
        <w:trPr>
          <w:trHeight w:val="276"/>
        </w:trPr>
        <w:tc>
          <w:tcPr>
            <w:tcW w:w="2580" w:type="dxa"/>
            <w:vAlign w:val="bottom"/>
          </w:tcPr>
          <w:p>
            <w:pPr>
              <w:ind w:left="40"/>
              <w:spacing w:after="0"/>
              <w:rPr>
                <w:sz w:val="20"/>
                <w:szCs w:val="20"/>
                <w:color w:val="auto"/>
              </w:rPr>
            </w:pPr>
            <w:r>
              <w:rPr>
                <w:rFonts w:ascii="Arial" w:cs="Arial" w:eastAsia="Arial" w:hAnsi="Arial"/>
                <w:sz w:val="17"/>
                <w:szCs w:val="17"/>
                <w:b w:val="1"/>
                <w:bCs w:val="1"/>
                <w:color w:val="auto"/>
              </w:rPr>
              <w:t>Casey Wasserman</w:t>
            </w:r>
          </w:p>
        </w:tc>
        <w:tc>
          <w:tcPr>
            <w:tcW w:w="2380" w:type="dxa"/>
            <w:vAlign w:val="bottom"/>
          </w:tcPr>
          <w:p>
            <w:pPr>
              <w:jc w:val="right"/>
              <w:ind w:right="298"/>
              <w:spacing w:after="0"/>
              <w:rPr>
                <w:sz w:val="20"/>
                <w:szCs w:val="20"/>
                <w:color w:val="auto"/>
              </w:rPr>
            </w:pPr>
            <w:r>
              <w:rPr>
                <w:rFonts w:ascii="Arial" w:cs="Arial" w:eastAsia="Arial" w:hAnsi="Arial"/>
                <w:sz w:val="17"/>
                <w:szCs w:val="17"/>
                <w:color w:val="auto"/>
              </w:rPr>
              <w:t>95,500</w:t>
            </w:r>
          </w:p>
        </w:tc>
        <w:tc>
          <w:tcPr>
            <w:tcW w:w="1760" w:type="dxa"/>
            <w:vAlign w:val="bottom"/>
          </w:tcPr>
          <w:p>
            <w:pPr>
              <w:jc w:val="right"/>
              <w:ind w:right="380"/>
              <w:spacing w:after="0"/>
              <w:rPr>
                <w:sz w:val="20"/>
                <w:szCs w:val="20"/>
                <w:color w:val="auto"/>
              </w:rPr>
            </w:pPr>
            <w:r>
              <w:rPr>
                <w:rFonts w:ascii="Arial" w:cs="Arial" w:eastAsia="Arial" w:hAnsi="Arial"/>
                <w:sz w:val="17"/>
                <w:szCs w:val="17"/>
                <w:color w:val="auto"/>
              </w:rPr>
              <w:t>249,674</w:t>
            </w:r>
          </w:p>
        </w:tc>
        <w:tc>
          <w:tcPr>
            <w:tcW w:w="1520" w:type="dxa"/>
            <w:vAlign w:val="bottom"/>
          </w:tcPr>
          <w:p>
            <w:pPr>
              <w:jc w:val="right"/>
              <w:ind w:right="219"/>
              <w:spacing w:after="0"/>
              <w:rPr>
                <w:sz w:val="20"/>
                <w:szCs w:val="20"/>
                <w:color w:val="auto"/>
              </w:rPr>
            </w:pPr>
            <w:r>
              <w:rPr>
                <w:rFonts w:ascii="Arial" w:cs="Arial" w:eastAsia="Arial" w:hAnsi="Arial"/>
                <w:sz w:val="17"/>
                <w:szCs w:val="17"/>
                <w:color w:val="auto"/>
              </w:rPr>
              <w:t>—</w:t>
            </w:r>
          </w:p>
        </w:tc>
        <w:tc>
          <w:tcPr>
            <w:tcW w:w="1880" w:type="dxa"/>
            <w:vAlign w:val="bottom"/>
          </w:tcPr>
          <w:p>
            <w:pPr>
              <w:jc w:val="right"/>
              <w:ind w:right="398"/>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345,174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148830" cy="228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8830" cy="22860"/>
                    </a:xfrm>
                    <a:prstGeom prst="rect">
                      <a:avLst/>
                    </a:prstGeom>
                    <a:noFill/>
                  </pic:spPr>
                </pic:pic>
              </a:graphicData>
            </a:graphic>
          </wp:anchor>
        </w:drawing>
      </w:r>
    </w:p>
    <w:p>
      <w:pPr>
        <w:spacing w:after="0" w:line="147" w:lineRule="exact"/>
        <w:rPr>
          <w:sz w:val="20"/>
          <w:szCs w:val="20"/>
          <w:color w:val="auto"/>
        </w:rPr>
      </w:pPr>
    </w:p>
    <w:p>
      <w:pPr>
        <w:jc w:val="both"/>
        <w:ind w:left="320" w:right="80" w:hanging="277"/>
        <w:spacing w:after="0" w:line="254" w:lineRule="auto"/>
        <w:tabs>
          <w:tab w:leader="none" w:pos="3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Each person who served on our Board during 2021 other than Mr. Kotick received 2,683 restricted share units in 2021. The amounts in the Stock Awards column represent the aggregate grant date fair value of those restricted share units (computed in accordance with ASC Topic 718). Assumptions and key variables used in the calculation of these grant date fair values are discussed in Note 16 of the notes to our audited consolidated financial statements included in Part II, Item 8 of our 2021 10-K.</w:t>
      </w:r>
    </w:p>
    <w:p>
      <w:pPr>
        <w:spacing w:after="0" w:line="18" w:lineRule="exact"/>
        <w:rPr>
          <w:rFonts w:ascii="Arial" w:cs="Arial" w:eastAsia="Arial" w:hAnsi="Arial"/>
          <w:sz w:val="15"/>
          <w:szCs w:val="15"/>
          <w:color w:val="auto"/>
        </w:rPr>
      </w:pPr>
    </w:p>
    <w:p>
      <w:pPr>
        <w:ind w:left="320" w:right="80" w:hanging="277"/>
        <w:spacing w:after="0" w:line="266" w:lineRule="auto"/>
        <w:tabs>
          <w:tab w:leader="none" w:pos="3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following table presents, as of December 31, 2021, the number of shares underlying outstanding stock options and stock awards (which consist of RSUs) held by each director who served in 2021 other than Mr. Kotick.</w:t>
      </w:r>
    </w:p>
    <w:p>
      <w:pPr>
        <w:spacing w:after="0" w:line="276"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53" w:name="page54"/>
    <w:bookmarkEnd w:id="53"/>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49" w:lineRule="exact"/>
        <w:rPr>
          <w:sz w:val="20"/>
          <w:szCs w:val="20"/>
          <w:color w:val="auto"/>
        </w:rPr>
      </w:pPr>
    </w:p>
    <w:tbl>
      <w:tblPr>
        <w:tblLayout w:type="fixed"/>
        <w:tblInd w:w="440" w:type="dxa"/>
        <w:tblCellMar>
          <w:top w:w="0" w:type="dxa"/>
          <w:left w:w="0" w:type="dxa"/>
          <w:bottom w:w="0" w:type="dxa"/>
          <w:right w:w="0" w:type="dxa"/>
        </w:tblCellMar>
      </w:tblPr>
      <w:tr>
        <w:trPr>
          <w:trHeight w:val="178"/>
        </w:trPr>
        <w:tc>
          <w:tcPr>
            <w:tcW w:w="306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840" w:type="dxa"/>
            <w:vAlign w:val="bottom"/>
          </w:tcPr>
          <w:p>
            <w:pPr>
              <w:jc w:val="right"/>
              <w:ind w:right="179"/>
              <w:spacing w:after="0"/>
              <w:rPr>
                <w:sz w:val="20"/>
                <w:szCs w:val="20"/>
                <w:color w:val="auto"/>
              </w:rPr>
            </w:pPr>
            <w:r>
              <w:rPr>
                <w:rFonts w:ascii="Arial" w:cs="Arial" w:eastAsia="Arial" w:hAnsi="Arial"/>
                <w:sz w:val="15"/>
                <w:szCs w:val="15"/>
                <w:b w:val="1"/>
                <w:bCs w:val="1"/>
                <w:color w:val="125288"/>
              </w:rPr>
              <w:t>Number of Shares</w:t>
            </w:r>
          </w:p>
        </w:tc>
      </w:tr>
      <w:tr>
        <w:trPr>
          <w:trHeight w:val="178"/>
        </w:trPr>
        <w:tc>
          <w:tcPr>
            <w:tcW w:w="3060" w:type="dxa"/>
            <w:vAlign w:val="bottom"/>
          </w:tcPr>
          <w:p>
            <w:pPr>
              <w:spacing w:after="0"/>
              <w:rPr>
                <w:sz w:val="15"/>
                <w:szCs w:val="15"/>
                <w:color w:val="auto"/>
              </w:rPr>
            </w:pPr>
          </w:p>
        </w:tc>
        <w:tc>
          <w:tcPr>
            <w:tcW w:w="4460" w:type="dxa"/>
            <w:vAlign w:val="bottom"/>
          </w:tcPr>
          <w:p>
            <w:pPr>
              <w:jc w:val="right"/>
              <w:ind w:right="999"/>
              <w:spacing w:after="0"/>
              <w:rPr>
                <w:sz w:val="20"/>
                <w:szCs w:val="20"/>
                <w:color w:val="auto"/>
              </w:rPr>
            </w:pPr>
            <w:r>
              <w:rPr>
                <w:rFonts w:ascii="Arial" w:cs="Arial" w:eastAsia="Arial" w:hAnsi="Arial"/>
                <w:sz w:val="15"/>
                <w:szCs w:val="15"/>
                <w:b w:val="1"/>
                <w:bCs w:val="1"/>
                <w:color w:val="125288"/>
              </w:rPr>
              <w:t>Number of Shares</w:t>
            </w:r>
          </w:p>
        </w:tc>
        <w:tc>
          <w:tcPr>
            <w:tcW w:w="2840" w:type="dxa"/>
            <w:vAlign w:val="bottom"/>
          </w:tcPr>
          <w:p>
            <w:pPr>
              <w:jc w:val="right"/>
              <w:ind w:right="179"/>
              <w:spacing w:after="0"/>
              <w:rPr>
                <w:sz w:val="20"/>
                <w:szCs w:val="20"/>
                <w:color w:val="auto"/>
              </w:rPr>
            </w:pPr>
            <w:r>
              <w:rPr>
                <w:rFonts w:ascii="Arial" w:cs="Arial" w:eastAsia="Arial" w:hAnsi="Arial"/>
                <w:sz w:val="15"/>
                <w:szCs w:val="15"/>
                <w:b w:val="1"/>
                <w:bCs w:val="1"/>
                <w:color w:val="125288"/>
              </w:rPr>
              <w:t>Underlying Unvested</w:t>
            </w:r>
          </w:p>
        </w:tc>
      </w:tr>
      <w:tr>
        <w:trPr>
          <w:trHeight w:val="178"/>
        </w:trPr>
        <w:tc>
          <w:tcPr>
            <w:tcW w:w="3060" w:type="dxa"/>
            <w:vAlign w:val="bottom"/>
          </w:tcPr>
          <w:p>
            <w:pPr>
              <w:spacing w:after="0"/>
              <w:rPr>
                <w:sz w:val="15"/>
                <w:szCs w:val="15"/>
                <w:color w:val="auto"/>
              </w:rPr>
            </w:pPr>
          </w:p>
        </w:tc>
        <w:tc>
          <w:tcPr>
            <w:tcW w:w="4460" w:type="dxa"/>
            <w:vAlign w:val="bottom"/>
          </w:tcPr>
          <w:p>
            <w:pPr>
              <w:jc w:val="right"/>
              <w:ind w:right="999"/>
              <w:spacing w:after="0"/>
              <w:rPr>
                <w:sz w:val="20"/>
                <w:szCs w:val="20"/>
                <w:color w:val="auto"/>
              </w:rPr>
            </w:pPr>
            <w:r>
              <w:rPr>
                <w:rFonts w:ascii="Arial" w:cs="Arial" w:eastAsia="Arial" w:hAnsi="Arial"/>
                <w:sz w:val="15"/>
                <w:szCs w:val="15"/>
                <w:b w:val="1"/>
                <w:bCs w:val="1"/>
                <w:color w:val="125288"/>
              </w:rPr>
              <w:t>Underlying Options as of</w:t>
            </w:r>
          </w:p>
        </w:tc>
        <w:tc>
          <w:tcPr>
            <w:tcW w:w="2840" w:type="dxa"/>
            <w:vAlign w:val="bottom"/>
          </w:tcPr>
          <w:p>
            <w:pPr>
              <w:jc w:val="right"/>
              <w:ind w:right="179"/>
              <w:spacing w:after="0"/>
              <w:rPr>
                <w:sz w:val="20"/>
                <w:szCs w:val="20"/>
                <w:color w:val="auto"/>
              </w:rPr>
            </w:pPr>
            <w:r>
              <w:rPr>
                <w:rFonts w:ascii="Arial" w:cs="Arial" w:eastAsia="Arial" w:hAnsi="Arial"/>
                <w:sz w:val="15"/>
                <w:szCs w:val="15"/>
                <w:b w:val="1"/>
                <w:bCs w:val="1"/>
                <w:color w:val="125288"/>
              </w:rPr>
              <w:t>Stock Awards as of</w:t>
            </w:r>
          </w:p>
        </w:tc>
      </w:tr>
      <w:tr>
        <w:trPr>
          <w:trHeight w:val="178"/>
        </w:trPr>
        <w:tc>
          <w:tcPr>
            <w:tcW w:w="3060" w:type="dxa"/>
            <w:vAlign w:val="bottom"/>
          </w:tcPr>
          <w:p>
            <w:pPr>
              <w:spacing w:after="0"/>
              <w:rPr>
                <w:sz w:val="15"/>
                <w:szCs w:val="15"/>
                <w:color w:val="auto"/>
              </w:rPr>
            </w:pPr>
          </w:p>
        </w:tc>
        <w:tc>
          <w:tcPr>
            <w:tcW w:w="4460" w:type="dxa"/>
            <w:vAlign w:val="bottom"/>
          </w:tcPr>
          <w:p>
            <w:pPr>
              <w:jc w:val="right"/>
              <w:ind w:right="999"/>
              <w:spacing w:after="0"/>
              <w:rPr>
                <w:sz w:val="20"/>
                <w:szCs w:val="20"/>
                <w:color w:val="auto"/>
              </w:rPr>
            </w:pPr>
            <w:r>
              <w:rPr>
                <w:rFonts w:ascii="Arial" w:cs="Arial" w:eastAsia="Arial" w:hAnsi="Arial"/>
                <w:sz w:val="15"/>
                <w:szCs w:val="15"/>
                <w:b w:val="1"/>
                <w:bCs w:val="1"/>
                <w:color w:val="125288"/>
              </w:rPr>
              <w:t>December 31, 2021</w:t>
            </w:r>
          </w:p>
        </w:tc>
        <w:tc>
          <w:tcPr>
            <w:tcW w:w="2840" w:type="dxa"/>
            <w:vAlign w:val="bottom"/>
          </w:tcPr>
          <w:p>
            <w:pPr>
              <w:jc w:val="right"/>
              <w:ind w:right="179"/>
              <w:spacing w:after="0"/>
              <w:rPr>
                <w:sz w:val="20"/>
                <w:szCs w:val="20"/>
                <w:color w:val="auto"/>
              </w:rPr>
            </w:pPr>
            <w:r>
              <w:rPr>
                <w:rFonts w:ascii="Arial" w:cs="Arial" w:eastAsia="Arial" w:hAnsi="Arial"/>
                <w:sz w:val="15"/>
                <w:szCs w:val="15"/>
                <w:b w:val="1"/>
                <w:bCs w:val="1"/>
                <w:color w:val="125288"/>
              </w:rPr>
              <w:t>December 31, 2021</w:t>
            </w:r>
          </w:p>
        </w:tc>
      </w:tr>
      <w:tr>
        <w:trPr>
          <w:trHeight w:val="209"/>
        </w:trPr>
        <w:tc>
          <w:tcPr>
            <w:tcW w:w="3060" w:type="dxa"/>
            <w:vAlign w:val="bottom"/>
            <w:tcBorders>
              <w:bottom w:val="single" w:sz="8" w:color="125288"/>
            </w:tcBorders>
          </w:tcPr>
          <w:p>
            <w:pPr>
              <w:ind w:left="60"/>
              <w:spacing w:after="0"/>
              <w:rPr>
                <w:sz w:val="20"/>
                <w:szCs w:val="20"/>
                <w:color w:val="auto"/>
              </w:rPr>
            </w:pPr>
            <w:r>
              <w:rPr>
                <w:rFonts w:ascii="Arial" w:cs="Arial" w:eastAsia="Arial" w:hAnsi="Arial"/>
                <w:sz w:val="15"/>
                <w:szCs w:val="15"/>
                <w:b w:val="1"/>
                <w:bCs w:val="1"/>
                <w:color w:val="125288"/>
              </w:rPr>
              <w:t>Name</w:t>
            </w:r>
          </w:p>
        </w:tc>
        <w:tc>
          <w:tcPr>
            <w:tcW w:w="4460" w:type="dxa"/>
            <w:vAlign w:val="bottom"/>
            <w:tcBorders>
              <w:bottom w:val="single" w:sz="8" w:color="125288"/>
            </w:tcBorders>
          </w:tcPr>
          <w:p>
            <w:pPr>
              <w:jc w:val="right"/>
              <w:ind w:right="959"/>
              <w:spacing w:after="0"/>
              <w:rPr>
                <w:sz w:val="20"/>
                <w:szCs w:val="20"/>
                <w:color w:val="auto"/>
              </w:rPr>
            </w:pPr>
            <w:r>
              <w:rPr>
                <w:rFonts w:ascii="Arial" w:cs="Arial" w:eastAsia="Arial" w:hAnsi="Arial"/>
                <w:sz w:val="15"/>
                <w:szCs w:val="15"/>
                <w:b w:val="1"/>
                <w:bCs w:val="1"/>
                <w:color w:val="125288"/>
              </w:rPr>
              <w:t>(#)</w:t>
            </w:r>
          </w:p>
        </w:tc>
        <w:tc>
          <w:tcPr>
            <w:tcW w:w="2840" w:type="dxa"/>
            <w:vAlign w:val="bottom"/>
            <w:tcBorders>
              <w:bottom w:val="single" w:sz="8" w:color="125288"/>
            </w:tcBorders>
          </w:tcPr>
          <w:p>
            <w:pPr>
              <w:jc w:val="right"/>
              <w:ind w:right="139"/>
              <w:spacing w:after="0"/>
              <w:rPr>
                <w:sz w:val="20"/>
                <w:szCs w:val="20"/>
                <w:color w:val="auto"/>
              </w:rPr>
            </w:pPr>
            <w:r>
              <w:rPr>
                <w:rFonts w:ascii="Arial" w:cs="Arial" w:eastAsia="Arial" w:hAnsi="Arial"/>
                <w:sz w:val="15"/>
                <w:szCs w:val="15"/>
                <w:b w:val="1"/>
                <w:bCs w:val="1"/>
                <w:color w:val="125288"/>
              </w:rPr>
              <w:t>(#)</w:t>
            </w:r>
          </w:p>
        </w:tc>
      </w:tr>
      <w:tr>
        <w:trPr>
          <w:trHeight w:val="360"/>
        </w:trPr>
        <w:tc>
          <w:tcPr>
            <w:tcW w:w="3060" w:type="dxa"/>
            <w:vAlign w:val="bottom"/>
            <w:tcBorders>
              <w:bottom w:val="single" w:sz="8" w:color="125288"/>
            </w:tcBorders>
          </w:tcPr>
          <w:p>
            <w:pPr>
              <w:ind w:left="60"/>
              <w:spacing w:after="0"/>
              <w:rPr>
                <w:sz w:val="20"/>
                <w:szCs w:val="20"/>
                <w:color w:val="auto"/>
              </w:rPr>
            </w:pPr>
            <w:r>
              <w:rPr>
                <w:rFonts w:ascii="Arial" w:cs="Arial" w:eastAsia="Arial" w:hAnsi="Arial"/>
                <w:sz w:val="17"/>
                <w:szCs w:val="17"/>
                <w:b w:val="1"/>
                <w:bCs w:val="1"/>
                <w:color w:val="auto"/>
              </w:rPr>
              <w:t>Reveta Bowers</w:t>
            </w:r>
          </w:p>
        </w:tc>
        <w:tc>
          <w:tcPr>
            <w:tcW w:w="4460" w:type="dxa"/>
            <w:vAlign w:val="bottom"/>
            <w:tcBorders>
              <w:bottom w:val="single" w:sz="8" w:color="125288"/>
            </w:tcBorders>
          </w:tcPr>
          <w:p>
            <w:pPr>
              <w:jc w:val="right"/>
              <w:ind w:right="959"/>
              <w:spacing w:after="0"/>
              <w:rPr>
                <w:sz w:val="20"/>
                <w:szCs w:val="20"/>
                <w:color w:val="auto"/>
              </w:rPr>
            </w:pPr>
            <w:r>
              <w:rPr>
                <w:rFonts w:ascii="Arial" w:cs="Arial" w:eastAsia="Arial" w:hAnsi="Arial"/>
                <w:sz w:val="17"/>
                <w:szCs w:val="17"/>
                <w:color w:val="auto"/>
              </w:rPr>
              <w:t>—</w:t>
            </w:r>
          </w:p>
        </w:tc>
        <w:tc>
          <w:tcPr>
            <w:tcW w:w="2840" w:type="dxa"/>
            <w:vAlign w:val="bottom"/>
            <w:tcBorders>
              <w:bottom w:val="single" w:sz="8" w:color="125288"/>
            </w:tcBorders>
          </w:tcPr>
          <w:p>
            <w:pPr>
              <w:ind w:left="2200"/>
              <w:spacing w:after="0"/>
              <w:rPr>
                <w:sz w:val="20"/>
                <w:szCs w:val="20"/>
                <w:color w:val="auto"/>
              </w:rPr>
            </w:pPr>
            <w:r>
              <w:rPr>
                <w:rFonts w:ascii="Arial" w:cs="Arial" w:eastAsia="Arial" w:hAnsi="Arial"/>
                <w:sz w:val="17"/>
                <w:szCs w:val="17"/>
                <w:color w:val="auto"/>
                <w:w w:val="96"/>
              </w:rPr>
              <w:t>1,341</w:t>
            </w:r>
            <w:r>
              <w:rPr>
                <w:rFonts w:ascii="Arial" w:cs="Arial" w:eastAsia="Arial" w:hAnsi="Arial"/>
                <w:sz w:val="27"/>
                <w:szCs w:val="27"/>
                <w:color w:val="auto"/>
                <w:w w:val="96"/>
                <w:vertAlign w:val="superscript"/>
              </w:rPr>
              <w:t>(a)</w:t>
            </w:r>
          </w:p>
        </w:tc>
      </w:tr>
      <w:tr>
        <w:trPr>
          <w:trHeight w:val="276"/>
        </w:trPr>
        <w:tc>
          <w:tcPr>
            <w:tcW w:w="3060" w:type="dxa"/>
            <w:vAlign w:val="bottom"/>
          </w:tcPr>
          <w:p>
            <w:pPr>
              <w:ind w:left="60"/>
              <w:spacing w:after="0"/>
              <w:rPr>
                <w:sz w:val="20"/>
                <w:szCs w:val="20"/>
                <w:color w:val="auto"/>
              </w:rPr>
            </w:pPr>
            <w:r>
              <w:rPr>
                <w:rFonts w:ascii="Arial" w:cs="Arial" w:eastAsia="Arial" w:hAnsi="Arial"/>
                <w:sz w:val="17"/>
                <w:szCs w:val="17"/>
                <w:b w:val="1"/>
                <w:bCs w:val="1"/>
                <w:color w:val="auto"/>
              </w:rPr>
              <w:t>Robert Corti</w:t>
            </w:r>
          </w:p>
        </w:tc>
        <w:tc>
          <w:tcPr>
            <w:tcW w:w="4460" w:type="dxa"/>
            <w:vAlign w:val="bottom"/>
          </w:tcPr>
          <w:p>
            <w:pPr>
              <w:jc w:val="right"/>
              <w:ind w:right="959"/>
              <w:spacing w:after="0"/>
              <w:rPr>
                <w:sz w:val="20"/>
                <w:szCs w:val="20"/>
                <w:color w:val="auto"/>
              </w:rPr>
            </w:pPr>
            <w:r>
              <w:rPr>
                <w:rFonts w:ascii="Arial" w:cs="Arial" w:eastAsia="Arial" w:hAnsi="Arial"/>
                <w:sz w:val="17"/>
                <w:szCs w:val="17"/>
                <w:color w:val="auto"/>
              </w:rPr>
              <w:t>—</w:t>
            </w:r>
          </w:p>
        </w:tc>
        <w:tc>
          <w:tcPr>
            <w:tcW w:w="2840" w:type="dxa"/>
            <w:vAlign w:val="bottom"/>
          </w:tcPr>
          <w:p>
            <w:pPr>
              <w:jc w:val="right"/>
              <w:ind w:right="139"/>
              <w:spacing w:after="0"/>
              <w:rPr>
                <w:sz w:val="20"/>
                <w:szCs w:val="20"/>
                <w:color w:val="auto"/>
              </w:rPr>
            </w:pPr>
            <w:r>
              <w:rPr>
                <w:rFonts w:ascii="Arial" w:cs="Arial" w:eastAsia="Arial" w:hAnsi="Arial"/>
                <w:sz w:val="17"/>
                <w:szCs w:val="17"/>
                <w:color w:val="auto"/>
              </w:rPr>
              <w:t>1,341</w:t>
            </w:r>
          </w:p>
        </w:tc>
      </w:tr>
      <w:tr>
        <w:trPr>
          <w:trHeight w:val="85"/>
        </w:trPr>
        <w:tc>
          <w:tcPr>
            <w:tcW w:w="3060" w:type="dxa"/>
            <w:vAlign w:val="bottom"/>
            <w:tcBorders>
              <w:bottom w:val="single" w:sz="8" w:color="125288"/>
            </w:tcBorders>
          </w:tcPr>
          <w:p>
            <w:pPr>
              <w:spacing w:after="0"/>
              <w:rPr>
                <w:sz w:val="7"/>
                <w:szCs w:val="7"/>
                <w:color w:val="auto"/>
              </w:rPr>
            </w:pPr>
          </w:p>
        </w:tc>
        <w:tc>
          <w:tcPr>
            <w:tcW w:w="4460" w:type="dxa"/>
            <w:vAlign w:val="bottom"/>
            <w:tcBorders>
              <w:bottom w:val="single" w:sz="8" w:color="125288"/>
            </w:tcBorders>
          </w:tcPr>
          <w:p>
            <w:pPr>
              <w:spacing w:after="0"/>
              <w:rPr>
                <w:sz w:val="7"/>
                <w:szCs w:val="7"/>
                <w:color w:val="auto"/>
              </w:rPr>
            </w:pPr>
          </w:p>
        </w:tc>
        <w:tc>
          <w:tcPr>
            <w:tcW w:w="2840" w:type="dxa"/>
            <w:vAlign w:val="bottom"/>
            <w:tcBorders>
              <w:bottom w:val="single" w:sz="8" w:color="125288"/>
            </w:tcBorders>
          </w:tcPr>
          <w:p>
            <w:pPr>
              <w:spacing w:after="0"/>
              <w:rPr>
                <w:sz w:val="7"/>
                <w:szCs w:val="7"/>
                <w:color w:val="auto"/>
              </w:rPr>
            </w:pPr>
          </w:p>
        </w:tc>
      </w:tr>
      <w:tr>
        <w:trPr>
          <w:trHeight w:val="276"/>
        </w:trPr>
        <w:tc>
          <w:tcPr>
            <w:tcW w:w="3060" w:type="dxa"/>
            <w:vAlign w:val="bottom"/>
          </w:tcPr>
          <w:p>
            <w:pPr>
              <w:ind w:left="60"/>
              <w:spacing w:after="0"/>
              <w:rPr>
                <w:sz w:val="20"/>
                <w:szCs w:val="20"/>
                <w:color w:val="auto"/>
              </w:rPr>
            </w:pPr>
            <w:r>
              <w:rPr>
                <w:rFonts w:ascii="Arial" w:cs="Arial" w:eastAsia="Arial" w:hAnsi="Arial"/>
                <w:sz w:val="17"/>
                <w:szCs w:val="17"/>
                <w:b w:val="1"/>
                <w:bCs w:val="1"/>
                <w:color w:val="auto"/>
              </w:rPr>
              <w:t>Hendrik Hartong III</w:t>
            </w:r>
          </w:p>
        </w:tc>
        <w:tc>
          <w:tcPr>
            <w:tcW w:w="4460" w:type="dxa"/>
            <w:vAlign w:val="bottom"/>
          </w:tcPr>
          <w:p>
            <w:pPr>
              <w:jc w:val="right"/>
              <w:ind w:right="959"/>
              <w:spacing w:after="0"/>
              <w:rPr>
                <w:sz w:val="20"/>
                <w:szCs w:val="20"/>
                <w:color w:val="auto"/>
              </w:rPr>
            </w:pPr>
            <w:r>
              <w:rPr>
                <w:rFonts w:ascii="Arial" w:cs="Arial" w:eastAsia="Arial" w:hAnsi="Arial"/>
                <w:sz w:val="17"/>
                <w:szCs w:val="17"/>
                <w:color w:val="auto"/>
              </w:rPr>
              <w:t>—</w:t>
            </w:r>
          </w:p>
        </w:tc>
        <w:tc>
          <w:tcPr>
            <w:tcW w:w="2840" w:type="dxa"/>
            <w:vAlign w:val="bottom"/>
          </w:tcPr>
          <w:p>
            <w:pPr>
              <w:jc w:val="right"/>
              <w:ind w:right="139"/>
              <w:spacing w:after="0"/>
              <w:rPr>
                <w:sz w:val="20"/>
                <w:szCs w:val="20"/>
                <w:color w:val="auto"/>
              </w:rPr>
            </w:pPr>
            <w:r>
              <w:rPr>
                <w:rFonts w:ascii="Arial" w:cs="Arial" w:eastAsia="Arial" w:hAnsi="Arial"/>
                <w:sz w:val="17"/>
                <w:szCs w:val="17"/>
                <w:color w:val="auto"/>
              </w:rPr>
              <w:t>1,341</w:t>
            </w:r>
          </w:p>
        </w:tc>
      </w:tr>
      <w:tr>
        <w:trPr>
          <w:trHeight w:val="85"/>
        </w:trPr>
        <w:tc>
          <w:tcPr>
            <w:tcW w:w="3060" w:type="dxa"/>
            <w:vAlign w:val="bottom"/>
            <w:tcBorders>
              <w:bottom w:val="single" w:sz="8" w:color="125288"/>
            </w:tcBorders>
          </w:tcPr>
          <w:p>
            <w:pPr>
              <w:spacing w:after="0"/>
              <w:rPr>
                <w:sz w:val="7"/>
                <w:szCs w:val="7"/>
                <w:color w:val="auto"/>
              </w:rPr>
            </w:pPr>
          </w:p>
        </w:tc>
        <w:tc>
          <w:tcPr>
            <w:tcW w:w="4460" w:type="dxa"/>
            <w:vAlign w:val="bottom"/>
            <w:tcBorders>
              <w:bottom w:val="single" w:sz="8" w:color="125288"/>
            </w:tcBorders>
          </w:tcPr>
          <w:p>
            <w:pPr>
              <w:spacing w:after="0"/>
              <w:rPr>
                <w:sz w:val="7"/>
                <w:szCs w:val="7"/>
                <w:color w:val="auto"/>
              </w:rPr>
            </w:pPr>
          </w:p>
        </w:tc>
        <w:tc>
          <w:tcPr>
            <w:tcW w:w="2840" w:type="dxa"/>
            <w:vAlign w:val="bottom"/>
            <w:tcBorders>
              <w:bottom w:val="single" w:sz="8" w:color="125288"/>
            </w:tcBorders>
          </w:tcPr>
          <w:p>
            <w:pPr>
              <w:spacing w:after="0"/>
              <w:rPr>
                <w:sz w:val="7"/>
                <w:szCs w:val="7"/>
                <w:color w:val="auto"/>
              </w:rPr>
            </w:pPr>
          </w:p>
        </w:tc>
      </w:tr>
      <w:tr>
        <w:trPr>
          <w:trHeight w:val="276"/>
        </w:trPr>
        <w:tc>
          <w:tcPr>
            <w:tcW w:w="3060" w:type="dxa"/>
            <w:vAlign w:val="bottom"/>
          </w:tcPr>
          <w:p>
            <w:pPr>
              <w:ind w:left="60"/>
              <w:spacing w:after="0"/>
              <w:rPr>
                <w:sz w:val="20"/>
                <w:szCs w:val="20"/>
                <w:color w:val="auto"/>
              </w:rPr>
            </w:pPr>
            <w:r>
              <w:rPr>
                <w:rFonts w:ascii="Arial" w:cs="Arial" w:eastAsia="Arial" w:hAnsi="Arial"/>
                <w:sz w:val="17"/>
                <w:szCs w:val="17"/>
                <w:b w:val="1"/>
                <w:bCs w:val="1"/>
                <w:color w:val="auto"/>
              </w:rPr>
              <w:t>Brian Kelly</w:t>
            </w:r>
          </w:p>
        </w:tc>
        <w:tc>
          <w:tcPr>
            <w:tcW w:w="4460" w:type="dxa"/>
            <w:vAlign w:val="bottom"/>
          </w:tcPr>
          <w:p>
            <w:pPr>
              <w:jc w:val="right"/>
              <w:ind w:right="959"/>
              <w:spacing w:after="0"/>
              <w:rPr>
                <w:sz w:val="20"/>
                <w:szCs w:val="20"/>
                <w:color w:val="auto"/>
              </w:rPr>
            </w:pPr>
            <w:r>
              <w:rPr>
                <w:rFonts w:ascii="Arial" w:cs="Arial" w:eastAsia="Arial" w:hAnsi="Arial"/>
                <w:sz w:val="17"/>
                <w:szCs w:val="17"/>
                <w:color w:val="auto"/>
              </w:rPr>
              <w:t>80,676</w:t>
            </w:r>
          </w:p>
        </w:tc>
        <w:tc>
          <w:tcPr>
            <w:tcW w:w="2840" w:type="dxa"/>
            <w:vAlign w:val="bottom"/>
          </w:tcPr>
          <w:p>
            <w:pPr>
              <w:jc w:val="right"/>
              <w:ind w:right="139"/>
              <w:spacing w:after="0"/>
              <w:rPr>
                <w:sz w:val="20"/>
                <w:szCs w:val="20"/>
                <w:color w:val="auto"/>
              </w:rPr>
            </w:pPr>
            <w:r>
              <w:rPr>
                <w:rFonts w:ascii="Arial" w:cs="Arial" w:eastAsia="Arial" w:hAnsi="Arial"/>
                <w:sz w:val="17"/>
                <w:szCs w:val="17"/>
                <w:color w:val="auto"/>
              </w:rPr>
              <w:t>1,341</w:t>
            </w:r>
          </w:p>
        </w:tc>
      </w:tr>
      <w:tr>
        <w:trPr>
          <w:trHeight w:val="85"/>
        </w:trPr>
        <w:tc>
          <w:tcPr>
            <w:tcW w:w="3060" w:type="dxa"/>
            <w:vAlign w:val="bottom"/>
            <w:tcBorders>
              <w:bottom w:val="single" w:sz="8" w:color="125288"/>
            </w:tcBorders>
          </w:tcPr>
          <w:p>
            <w:pPr>
              <w:spacing w:after="0"/>
              <w:rPr>
                <w:sz w:val="7"/>
                <w:szCs w:val="7"/>
                <w:color w:val="auto"/>
              </w:rPr>
            </w:pPr>
          </w:p>
        </w:tc>
        <w:tc>
          <w:tcPr>
            <w:tcW w:w="4460" w:type="dxa"/>
            <w:vAlign w:val="bottom"/>
            <w:tcBorders>
              <w:bottom w:val="single" w:sz="8" w:color="125288"/>
            </w:tcBorders>
          </w:tcPr>
          <w:p>
            <w:pPr>
              <w:spacing w:after="0"/>
              <w:rPr>
                <w:sz w:val="7"/>
                <w:szCs w:val="7"/>
                <w:color w:val="auto"/>
              </w:rPr>
            </w:pPr>
          </w:p>
        </w:tc>
        <w:tc>
          <w:tcPr>
            <w:tcW w:w="2840" w:type="dxa"/>
            <w:vAlign w:val="bottom"/>
            <w:tcBorders>
              <w:bottom w:val="single" w:sz="8" w:color="125288"/>
            </w:tcBorders>
          </w:tcPr>
          <w:p>
            <w:pPr>
              <w:spacing w:after="0"/>
              <w:rPr>
                <w:sz w:val="7"/>
                <w:szCs w:val="7"/>
                <w:color w:val="auto"/>
              </w:rPr>
            </w:pPr>
          </w:p>
        </w:tc>
      </w:tr>
      <w:tr>
        <w:trPr>
          <w:trHeight w:val="360"/>
        </w:trPr>
        <w:tc>
          <w:tcPr>
            <w:tcW w:w="3060" w:type="dxa"/>
            <w:vAlign w:val="bottom"/>
            <w:tcBorders>
              <w:bottom w:val="single" w:sz="8" w:color="125288"/>
            </w:tcBorders>
          </w:tcPr>
          <w:p>
            <w:pPr>
              <w:ind w:left="60"/>
              <w:spacing w:after="0"/>
              <w:rPr>
                <w:sz w:val="20"/>
                <w:szCs w:val="20"/>
                <w:color w:val="auto"/>
              </w:rPr>
            </w:pPr>
            <w:r>
              <w:rPr>
                <w:rFonts w:ascii="Arial" w:cs="Arial" w:eastAsia="Arial" w:hAnsi="Arial"/>
                <w:sz w:val="17"/>
                <w:szCs w:val="17"/>
                <w:b w:val="1"/>
                <w:bCs w:val="1"/>
                <w:color w:val="auto"/>
              </w:rPr>
              <w:t>Barry Meyer</w:t>
            </w:r>
          </w:p>
        </w:tc>
        <w:tc>
          <w:tcPr>
            <w:tcW w:w="4460" w:type="dxa"/>
            <w:vAlign w:val="bottom"/>
            <w:tcBorders>
              <w:bottom w:val="single" w:sz="8" w:color="125288"/>
            </w:tcBorders>
          </w:tcPr>
          <w:p>
            <w:pPr>
              <w:jc w:val="right"/>
              <w:ind w:right="959"/>
              <w:spacing w:after="0"/>
              <w:rPr>
                <w:sz w:val="20"/>
                <w:szCs w:val="20"/>
                <w:color w:val="auto"/>
              </w:rPr>
            </w:pPr>
            <w:r>
              <w:rPr>
                <w:rFonts w:ascii="Arial" w:cs="Arial" w:eastAsia="Arial" w:hAnsi="Arial"/>
                <w:sz w:val="17"/>
                <w:szCs w:val="17"/>
                <w:color w:val="auto"/>
              </w:rPr>
              <w:t>—</w:t>
            </w:r>
          </w:p>
        </w:tc>
        <w:tc>
          <w:tcPr>
            <w:tcW w:w="2840" w:type="dxa"/>
            <w:vAlign w:val="bottom"/>
            <w:tcBorders>
              <w:bottom w:val="single" w:sz="8" w:color="125288"/>
            </w:tcBorders>
          </w:tcPr>
          <w:p>
            <w:pPr>
              <w:ind w:left="2200"/>
              <w:spacing w:after="0"/>
              <w:rPr>
                <w:sz w:val="20"/>
                <w:szCs w:val="20"/>
                <w:color w:val="auto"/>
              </w:rPr>
            </w:pPr>
            <w:r>
              <w:rPr>
                <w:rFonts w:ascii="Arial" w:cs="Arial" w:eastAsia="Arial" w:hAnsi="Arial"/>
                <w:sz w:val="17"/>
                <w:szCs w:val="17"/>
                <w:color w:val="auto"/>
                <w:w w:val="96"/>
              </w:rPr>
              <w:t>1,341</w:t>
            </w:r>
            <w:r>
              <w:rPr>
                <w:rFonts w:ascii="Arial" w:cs="Arial" w:eastAsia="Arial" w:hAnsi="Arial"/>
                <w:sz w:val="27"/>
                <w:szCs w:val="27"/>
                <w:color w:val="auto"/>
                <w:w w:val="96"/>
                <w:vertAlign w:val="superscript"/>
              </w:rPr>
              <w:t>(b)</w:t>
            </w:r>
          </w:p>
        </w:tc>
      </w:tr>
      <w:tr>
        <w:trPr>
          <w:trHeight w:val="276"/>
        </w:trPr>
        <w:tc>
          <w:tcPr>
            <w:tcW w:w="3060" w:type="dxa"/>
            <w:vAlign w:val="bottom"/>
          </w:tcPr>
          <w:p>
            <w:pPr>
              <w:ind w:left="60"/>
              <w:spacing w:after="0"/>
              <w:rPr>
                <w:sz w:val="20"/>
                <w:szCs w:val="20"/>
                <w:color w:val="auto"/>
              </w:rPr>
            </w:pPr>
            <w:r>
              <w:rPr>
                <w:rFonts w:ascii="Arial" w:cs="Arial" w:eastAsia="Arial" w:hAnsi="Arial"/>
                <w:sz w:val="17"/>
                <w:szCs w:val="17"/>
                <w:b w:val="1"/>
                <w:bCs w:val="1"/>
                <w:color w:val="auto"/>
              </w:rPr>
              <w:t>Robert Morgado</w:t>
            </w:r>
          </w:p>
        </w:tc>
        <w:tc>
          <w:tcPr>
            <w:tcW w:w="4460" w:type="dxa"/>
            <w:vAlign w:val="bottom"/>
          </w:tcPr>
          <w:p>
            <w:pPr>
              <w:jc w:val="right"/>
              <w:ind w:right="959"/>
              <w:spacing w:after="0"/>
              <w:rPr>
                <w:sz w:val="20"/>
                <w:szCs w:val="20"/>
                <w:color w:val="auto"/>
              </w:rPr>
            </w:pPr>
            <w:r>
              <w:rPr>
                <w:rFonts w:ascii="Arial" w:cs="Arial" w:eastAsia="Arial" w:hAnsi="Arial"/>
                <w:sz w:val="17"/>
                <w:szCs w:val="17"/>
                <w:color w:val="auto"/>
              </w:rPr>
              <w:t>44,000</w:t>
            </w:r>
          </w:p>
        </w:tc>
        <w:tc>
          <w:tcPr>
            <w:tcW w:w="2840" w:type="dxa"/>
            <w:vAlign w:val="bottom"/>
          </w:tcPr>
          <w:p>
            <w:pPr>
              <w:jc w:val="right"/>
              <w:ind w:right="139"/>
              <w:spacing w:after="0"/>
              <w:rPr>
                <w:sz w:val="20"/>
                <w:szCs w:val="20"/>
                <w:color w:val="auto"/>
              </w:rPr>
            </w:pPr>
            <w:r>
              <w:rPr>
                <w:rFonts w:ascii="Arial" w:cs="Arial" w:eastAsia="Arial" w:hAnsi="Arial"/>
                <w:sz w:val="17"/>
                <w:szCs w:val="17"/>
                <w:color w:val="auto"/>
              </w:rPr>
              <w:t>1,341</w:t>
            </w:r>
          </w:p>
        </w:tc>
      </w:tr>
      <w:tr>
        <w:trPr>
          <w:trHeight w:val="85"/>
        </w:trPr>
        <w:tc>
          <w:tcPr>
            <w:tcW w:w="3060" w:type="dxa"/>
            <w:vAlign w:val="bottom"/>
            <w:tcBorders>
              <w:bottom w:val="single" w:sz="8" w:color="125288"/>
            </w:tcBorders>
          </w:tcPr>
          <w:p>
            <w:pPr>
              <w:spacing w:after="0"/>
              <w:rPr>
                <w:sz w:val="7"/>
                <w:szCs w:val="7"/>
                <w:color w:val="auto"/>
              </w:rPr>
            </w:pPr>
          </w:p>
        </w:tc>
        <w:tc>
          <w:tcPr>
            <w:tcW w:w="4460" w:type="dxa"/>
            <w:vAlign w:val="bottom"/>
            <w:tcBorders>
              <w:bottom w:val="single" w:sz="8" w:color="125288"/>
            </w:tcBorders>
          </w:tcPr>
          <w:p>
            <w:pPr>
              <w:spacing w:after="0"/>
              <w:rPr>
                <w:sz w:val="7"/>
                <w:szCs w:val="7"/>
                <w:color w:val="auto"/>
              </w:rPr>
            </w:pPr>
          </w:p>
        </w:tc>
        <w:tc>
          <w:tcPr>
            <w:tcW w:w="2840" w:type="dxa"/>
            <w:vAlign w:val="bottom"/>
            <w:tcBorders>
              <w:bottom w:val="single" w:sz="8" w:color="125288"/>
            </w:tcBorders>
          </w:tcPr>
          <w:p>
            <w:pPr>
              <w:spacing w:after="0"/>
              <w:rPr>
                <w:sz w:val="7"/>
                <w:szCs w:val="7"/>
                <w:color w:val="auto"/>
              </w:rPr>
            </w:pPr>
          </w:p>
        </w:tc>
      </w:tr>
      <w:tr>
        <w:trPr>
          <w:trHeight w:val="276"/>
        </w:trPr>
        <w:tc>
          <w:tcPr>
            <w:tcW w:w="3060" w:type="dxa"/>
            <w:vAlign w:val="bottom"/>
          </w:tcPr>
          <w:p>
            <w:pPr>
              <w:ind w:left="60"/>
              <w:spacing w:after="0"/>
              <w:rPr>
                <w:sz w:val="20"/>
                <w:szCs w:val="20"/>
                <w:color w:val="auto"/>
              </w:rPr>
            </w:pPr>
            <w:r>
              <w:rPr>
                <w:rFonts w:ascii="Arial" w:cs="Arial" w:eastAsia="Arial" w:hAnsi="Arial"/>
                <w:sz w:val="17"/>
                <w:szCs w:val="17"/>
                <w:b w:val="1"/>
                <w:bCs w:val="1"/>
                <w:color w:val="auto"/>
              </w:rPr>
              <w:t>Peter Nolan</w:t>
            </w:r>
          </w:p>
        </w:tc>
        <w:tc>
          <w:tcPr>
            <w:tcW w:w="4460" w:type="dxa"/>
            <w:vAlign w:val="bottom"/>
          </w:tcPr>
          <w:p>
            <w:pPr>
              <w:jc w:val="right"/>
              <w:ind w:right="959"/>
              <w:spacing w:after="0"/>
              <w:rPr>
                <w:sz w:val="20"/>
                <w:szCs w:val="20"/>
                <w:color w:val="auto"/>
              </w:rPr>
            </w:pPr>
            <w:r>
              <w:rPr>
                <w:rFonts w:ascii="Arial" w:cs="Arial" w:eastAsia="Arial" w:hAnsi="Arial"/>
                <w:sz w:val="17"/>
                <w:szCs w:val="17"/>
                <w:color w:val="auto"/>
              </w:rPr>
              <w:t>—</w:t>
            </w:r>
          </w:p>
        </w:tc>
        <w:tc>
          <w:tcPr>
            <w:tcW w:w="2840" w:type="dxa"/>
            <w:vAlign w:val="bottom"/>
          </w:tcPr>
          <w:p>
            <w:pPr>
              <w:jc w:val="right"/>
              <w:ind w:right="139"/>
              <w:spacing w:after="0"/>
              <w:rPr>
                <w:sz w:val="20"/>
                <w:szCs w:val="20"/>
                <w:color w:val="auto"/>
              </w:rPr>
            </w:pPr>
            <w:r>
              <w:rPr>
                <w:rFonts w:ascii="Arial" w:cs="Arial" w:eastAsia="Arial" w:hAnsi="Arial"/>
                <w:sz w:val="17"/>
                <w:szCs w:val="17"/>
                <w:color w:val="auto"/>
              </w:rPr>
              <w:t>1,341</w:t>
            </w:r>
          </w:p>
        </w:tc>
      </w:tr>
      <w:tr>
        <w:trPr>
          <w:trHeight w:val="85"/>
        </w:trPr>
        <w:tc>
          <w:tcPr>
            <w:tcW w:w="3060" w:type="dxa"/>
            <w:vAlign w:val="bottom"/>
            <w:tcBorders>
              <w:bottom w:val="single" w:sz="8" w:color="125288"/>
            </w:tcBorders>
          </w:tcPr>
          <w:p>
            <w:pPr>
              <w:spacing w:after="0"/>
              <w:rPr>
                <w:sz w:val="7"/>
                <w:szCs w:val="7"/>
                <w:color w:val="auto"/>
              </w:rPr>
            </w:pPr>
          </w:p>
        </w:tc>
        <w:tc>
          <w:tcPr>
            <w:tcW w:w="4460" w:type="dxa"/>
            <w:vAlign w:val="bottom"/>
            <w:tcBorders>
              <w:bottom w:val="single" w:sz="8" w:color="125288"/>
            </w:tcBorders>
          </w:tcPr>
          <w:p>
            <w:pPr>
              <w:spacing w:after="0"/>
              <w:rPr>
                <w:sz w:val="7"/>
                <w:szCs w:val="7"/>
                <w:color w:val="auto"/>
              </w:rPr>
            </w:pPr>
          </w:p>
        </w:tc>
        <w:tc>
          <w:tcPr>
            <w:tcW w:w="2840" w:type="dxa"/>
            <w:vAlign w:val="bottom"/>
            <w:tcBorders>
              <w:bottom w:val="single" w:sz="8" w:color="125288"/>
            </w:tcBorders>
          </w:tcPr>
          <w:p>
            <w:pPr>
              <w:spacing w:after="0"/>
              <w:rPr>
                <w:sz w:val="7"/>
                <w:szCs w:val="7"/>
                <w:color w:val="auto"/>
              </w:rPr>
            </w:pPr>
          </w:p>
        </w:tc>
      </w:tr>
      <w:tr>
        <w:trPr>
          <w:trHeight w:val="276"/>
        </w:trPr>
        <w:tc>
          <w:tcPr>
            <w:tcW w:w="3060" w:type="dxa"/>
            <w:vAlign w:val="bottom"/>
          </w:tcPr>
          <w:p>
            <w:pPr>
              <w:ind w:left="60"/>
              <w:spacing w:after="0"/>
              <w:rPr>
                <w:sz w:val="20"/>
                <w:szCs w:val="20"/>
                <w:color w:val="auto"/>
              </w:rPr>
            </w:pPr>
            <w:r>
              <w:rPr>
                <w:rFonts w:ascii="Arial" w:cs="Arial" w:eastAsia="Arial" w:hAnsi="Arial"/>
                <w:sz w:val="17"/>
                <w:szCs w:val="17"/>
                <w:b w:val="1"/>
                <w:bCs w:val="1"/>
                <w:color w:val="auto"/>
              </w:rPr>
              <w:t>Dawn Ostroff</w:t>
            </w:r>
          </w:p>
        </w:tc>
        <w:tc>
          <w:tcPr>
            <w:tcW w:w="4460" w:type="dxa"/>
            <w:vAlign w:val="bottom"/>
          </w:tcPr>
          <w:p>
            <w:pPr>
              <w:jc w:val="right"/>
              <w:ind w:right="959"/>
              <w:spacing w:after="0"/>
              <w:rPr>
                <w:sz w:val="20"/>
                <w:szCs w:val="20"/>
                <w:color w:val="auto"/>
              </w:rPr>
            </w:pPr>
            <w:r>
              <w:rPr>
                <w:rFonts w:ascii="Arial" w:cs="Arial" w:eastAsia="Arial" w:hAnsi="Arial"/>
                <w:sz w:val="17"/>
                <w:szCs w:val="17"/>
                <w:color w:val="auto"/>
              </w:rPr>
              <w:t>—</w:t>
            </w:r>
          </w:p>
        </w:tc>
        <w:tc>
          <w:tcPr>
            <w:tcW w:w="2840" w:type="dxa"/>
            <w:vAlign w:val="bottom"/>
          </w:tcPr>
          <w:p>
            <w:pPr>
              <w:jc w:val="right"/>
              <w:ind w:right="139"/>
              <w:spacing w:after="0"/>
              <w:rPr>
                <w:sz w:val="20"/>
                <w:szCs w:val="20"/>
                <w:color w:val="auto"/>
              </w:rPr>
            </w:pPr>
            <w:r>
              <w:rPr>
                <w:rFonts w:ascii="Arial" w:cs="Arial" w:eastAsia="Arial" w:hAnsi="Arial"/>
                <w:sz w:val="17"/>
                <w:szCs w:val="17"/>
                <w:color w:val="auto"/>
              </w:rPr>
              <w:t>1,341</w:t>
            </w:r>
          </w:p>
        </w:tc>
      </w:tr>
      <w:tr>
        <w:trPr>
          <w:trHeight w:val="85"/>
        </w:trPr>
        <w:tc>
          <w:tcPr>
            <w:tcW w:w="3060" w:type="dxa"/>
            <w:vAlign w:val="bottom"/>
            <w:tcBorders>
              <w:bottom w:val="single" w:sz="8" w:color="125288"/>
            </w:tcBorders>
          </w:tcPr>
          <w:p>
            <w:pPr>
              <w:spacing w:after="0"/>
              <w:rPr>
                <w:sz w:val="7"/>
                <w:szCs w:val="7"/>
                <w:color w:val="auto"/>
              </w:rPr>
            </w:pPr>
          </w:p>
        </w:tc>
        <w:tc>
          <w:tcPr>
            <w:tcW w:w="4460" w:type="dxa"/>
            <w:vAlign w:val="bottom"/>
            <w:tcBorders>
              <w:bottom w:val="single" w:sz="8" w:color="125288"/>
            </w:tcBorders>
          </w:tcPr>
          <w:p>
            <w:pPr>
              <w:spacing w:after="0"/>
              <w:rPr>
                <w:sz w:val="7"/>
                <w:szCs w:val="7"/>
                <w:color w:val="auto"/>
              </w:rPr>
            </w:pPr>
          </w:p>
        </w:tc>
        <w:tc>
          <w:tcPr>
            <w:tcW w:w="2840" w:type="dxa"/>
            <w:vAlign w:val="bottom"/>
            <w:tcBorders>
              <w:bottom w:val="single" w:sz="8" w:color="125288"/>
            </w:tcBorders>
          </w:tcPr>
          <w:p>
            <w:pPr>
              <w:spacing w:after="0"/>
              <w:rPr>
                <w:sz w:val="7"/>
                <w:szCs w:val="7"/>
                <w:color w:val="auto"/>
              </w:rPr>
            </w:pPr>
          </w:p>
        </w:tc>
      </w:tr>
      <w:tr>
        <w:trPr>
          <w:trHeight w:val="395"/>
        </w:trPr>
        <w:tc>
          <w:tcPr>
            <w:tcW w:w="3060" w:type="dxa"/>
            <w:vAlign w:val="bottom"/>
          </w:tcPr>
          <w:p>
            <w:pPr>
              <w:ind w:left="60"/>
              <w:spacing w:after="0"/>
              <w:rPr>
                <w:sz w:val="20"/>
                <w:szCs w:val="20"/>
                <w:color w:val="auto"/>
              </w:rPr>
            </w:pPr>
            <w:r>
              <w:rPr>
                <w:rFonts w:ascii="Arial" w:cs="Arial" w:eastAsia="Arial" w:hAnsi="Arial"/>
                <w:sz w:val="17"/>
                <w:szCs w:val="17"/>
                <w:b w:val="1"/>
                <w:bCs w:val="1"/>
                <w:color w:val="auto"/>
              </w:rPr>
              <w:t>Casey Wasserman</w:t>
            </w:r>
          </w:p>
        </w:tc>
        <w:tc>
          <w:tcPr>
            <w:tcW w:w="4460" w:type="dxa"/>
            <w:vAlign w:val="bottom"/>
          </w:tcPr>
          <w:p>
            <w:pPr>
              <w:jc w:val="right"/>
              <w:ind w:right="959"/>
              <w:spacing w:after="0"/>
              <w:rPr>
                <w:sz w:val="20"/>
                <w:szCs w:val="20"/>
                <w:color w:val="auto"/>
              </w:rPr>
            </w:pPr>
            <w:r>
              <w:rPr>
                <w:rFonts w:ascii="Arial" w:cs="Arial" w:eastAsia="Arial" w:hAnsi="Arial"/>
                <w:sz w:val="17"/>
                <w:szCs w:val="17"/>
                <w:color w:val="auto"/>
              </w:rPr>
              <w:t>—</w:t>
            </w:r>
          </w:p>
        </w:tc>
        <w:tc>
          <w:tcPr>
            <w:tcW w:w="2840" w:type="dxa"/>
            <w:vAlign w:val="bottom"/>
          </w:tcPr>
          <w:p>
            <w:pPr>
              <w:ind w:left="2200"/>
              <w:spacing w:after="0"/>
              <w:rPr>
                <w:sz w:val="20"/>
                <w:szCs w:val="20"/>
                <w:color w:val="auto"/>
              </w:rPr>
            </w:pPr>
            <w:r>
              <w:rPr>
                <w:rFonts w:ascii="Arial" w:cs="Arial" w:eastAsia="Arial" w:hAnsi="Arial"/>
                <w:sz w:val="17"/>
                <w:szCs w:val="17"/>
                <w:color w:val="auto"/>
                <w:w w:val="97"/>
              </w:rPr>
              <w:t>1,341</w:t>
            </w:r>
            <w:r>
              <w:rPr>
                <w:rFonts w:ascii="Arial" w:cs="Arial" w:eastAsia="Arial" w:hAnsi="Arial"/>
                <w:sz w:val="27"/>
                <w:szCs w:val="27"/>
                <w:color w:val="auto"/>
                <w:w w:val="97"/>
                <w:vertAlign w:val="superscript"/>
              </w:rPr>
              <w:t>(c)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-23495</wp:posOffset>
            </wp:positionV>
            <wp:extent cx="6574790" cy="228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574790" cy="22860"/>
                    </a:xfrm>
                    <a:prstGeom prst="rect">
                      <a:avLst/>
                    </a:prstGeom>
                    <a:noFill/>
                  </pic:spPr>
                </pic:pic>
              </a:graphicData>
            </a:graphic>
          </wp:anchor>
        </w:drawing>
      </w:r>
    </w:p>
    <w:p>
      <w:pPr>
        <w:spacing w:after="0" w:line="28" w:lineRule="exact"/>
        <w:rPr>
          <w:sz w:val="20"/>
          <w:szCs w:val="20"/>
          <w:color w:val="auto"/>
        </w:rPr>
      </w:pPr>
    </w:p>
    <w:p>
      <w:pPr>
        <w:ind w:left="780" w:hanging="286"/>
        <w:spacing w:after="0"/>
        <w:tabs>
          <w:tab w:leader="none" w:pos="7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These RSUs are held in the Bowers Family Trust of 2004.</w:t>
      </w:r>
    </w:p>
    <w:p>
      <w:pPr>
        <w:spacing w:after="0" w:line="41" w:lineRule="exact"/>
        <w:rPr>
          <w:rFonts w:ascii="Arial" w:cs="Arial" w:eastAsia="Arial" w:hAnsi="Arial"/>
          <w:sz w:val="15"/>
          <w:szCs w:val="15"/>
          <w:color w:val="auto"/>
        </w:rPr>
      </w:pPr>
    </w:p>
    <w:p>
      <w:pPr>
        <w:ind w:left="780" w:hanging="286"/>
        <w:spacing w:after="0"/>
        <w:tabs>
          <w:tab w:leader="none" w:pos="7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These RSUs are held in trust—one-half in the Barry Meyer Separate Property Trust and one-half in the Barry and Wendy Meyer Trust.</w:t>
      </w:r>
    </w:p>
    <w:p>
      <w:pPr>
        <w:spacing w:after="0" w:line="41" w:lineRule="exact"/>
        <w:rPr>
          <w:rFonts w:ascii="Arial" w:cs="Arial" w:eastAsia="Arial" w:hAnsi="Arial"/>
          <w:sz w:val="15"/>
          <w:szCs w:val="15"/>
          <w:color w:val="auto"/>
        </w:rPr>
      </w:pPr>
    </w:p>
    <w:p>
      <w:pPr>
        <w:ind w:left="780" w:hanging="286"/>
        <w:spacing w:after="0"/>
        <w:tabs>
          <w:tab w:leader="none" w:pos="7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These RSUs are held in the Casey Wasserman Living Trust.</w:t>
      </w:r>
    </w:p>
    <w:p>
      <w:pPr>
        <w:spacing w:after="0" w:line="308"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54" w:name="page55"/>
    <w:bookmarkEnd w:id="54"/>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20" w:lineRule="exact"/>
        <w:rPr>
          <w:sz w:val="20"/>
          <w:szCs w:val="20"/>
          <w:color w:val="auto"/>
        </w:rPr>
      </w:pPr>
    </w:p>
    <w:p>
      <w:pPr>
        <w:jc w:val="center"/>
        <w:ind w:right="820"/>
        <w:spacing w:after="0" w:line="283" w:lineRule="auto"/>
        <w:rPr>
          <w:sz w:val="20"/>
          <w:szCs w:val="20"/>
          <w:color w:val="auto"/>
        </w:rPr>
      </w:pPr>
      <w:r>
        <w:rPr>
          <w:sz w:val="1"/>
          <w:szCs w:val="1"/>
          <w:color w:val="auto"/>
        </w:rPr>
        <w:drawing>
          <wp:inline distT="0" distB="0" distL="0" distR="0">
            <wp:extent cx="445135" cy="15113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45135" cy="151130"/>
                    </a:xfrm>
                    <a:prstGeom prst="rect">
                      <a:avLst/>
                    </a:prstGeom>
                    <a:noFill/>
                    <a:ln>
                      <a:noFill/>
                    </a:ln>
                  </pic:spPr>
                </pic:pic>
              </a:graphicData>
            </a:graphic>
          </wp:inline>
        </w:drawing>
      </w:r>
      <w:r>
        <w:rPr>
          <w:rFonts w:ascii="Arial" w:cs="Arial" w:eastAsia="Arial" w:hAnsi="Arial"/>
          <w:sz w:val="31"/>
          <w:szCs w:val="31"/>
          <w:b w:val="1"/>
          <w:bCs w:val="1"/>
          <w:color w:val="125288"/>
        </w:rPr>
        <w:t xml:space="preserve"> PROPOSAL 2  ADVISORY VOTE TO APPROVE THE COMPANY’S EXECUTIVE COMPENSATION</w:t>
      </w:r>
    </w:p>
    <w:p>
      <w:pPr>
        <w:spacing w:after="0" w:line="195"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GENERAL</w:t>
      </w:r>
    </w:p>
    <w:p>
      <w:pPr>
        <w:spacing w:after="0" w:line="309" w:lineRule="exact"/>
        <w:rPr>
          <w:sz w:val="20"/>
          <w:szCs w:val="20"/>
          <w:color w:val="auto"/>
        </w:rPr>
      </w:pPr>
    </w:p>
    <w:p>
      <w:pPr>
        <w:jc w:val="both"/>
        <w:spacing w:after="0"/>
        <w:rPr>
          <w:sz w:val="20"/>
          <w:szCs w:val="20"/>
          <w:color w:val="auto"/>
        </w:rPr>
      </w:pPr>
      <w:r>
        <w:rPr>
          <w:rFonts w:ascii="Arial" w:cs="Arial" w:eastAsia="Arial" w:hAnsi="Arial"/>
          <w:sz w:val="19"/>
          <w:szCs w:val="19"/>
          <w:color w:val="auto"/>
        </w:rPr>
        <w:t>In accordance with Section 14A of the Securities Exchange Act of 1934, as amended (the “Exchange Act”), our shareholders are being provided the opportunity to cast a non-binding, advisory vote (commonly known as a “say-on-pay”) on the compensation of the executive officers named in the “Summary Compensation Table” below (i.e., the NEOs).</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We are asking you to approve the following resolution at the Annual Meeting:</w:t>
      </w:r>
    </w:p>
    <w:p>
      <w:pPr>
        <w:spacing w:after="0" w:line="138" w:lineRule="exact"/>
        <w:rPr>
          <w:sz w:val="20"/>
          <w:szCs w:val="20"/>
          <w:color w:val="auto"/>
        </w:rPr>
      </w:pPr>
    </w:p>
    <w:p>
      <w:pPr>
        <w:jc w:val="both"/>
        <w:ind w:left="200"/>
        <w:spacing w:after="0"/>
        <w:rPr>
          <w:sz w:val="20"/>
          <w:szCs w:val="20"/>
          <w:color w:val="auto"/>
        </w:rPr>
      </w:pPr>
      <w:r>
        <w:rPr>
          <w:rFonts w:ascii="Arial" w:cs="Arial" w:eastAsia="Arial" w:hAnsi="Arial"/>
          <w:sz w:val="19"/>
          <w:szCs w:val="19"/>
          <w:color w:val="auto"/>
        </w:rPr>
        <w:t>“Resolved, that the shareholders APPROVE, on an advisory basis, the compensation of the Company’s named executive officers as disclosed pursuant to Item 402 of Regulation S-K, including the Compensation Discussion and Analysis, the compensation tables and related narrative discussion.”</w:t>
      </w:r>
    </w:p>
    <w:p>
      <w:pPr>
        <w:spacing w:after="0" w:line="26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Before you cast your vote, we encourage you to read the “Compensation Discussion and Analysis” section of this proxy statement, which describes our executive compensation policies and practices, including a number of important changes made to them. You should also review the Summary Compensation Table and other compensation tables and related narrative discussions, which provide detailed information on the compensation of our NEOs. Our Compensation Committee and Board believe our compensation policies and practices align with shareholder interests by emphasizing pay for performance and enabling us to attract, retain, and motivate the key executive talent necessary to achieve our financial and strategic goals.</w:t>
      </w:r>
    </w:p>
    <w:p>
      <w:pPr>
        <w:spacing w:after="0" w:line="238"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REQUIRED VOTE AND BOARD RECOMMENDATION</w:t>
      </w:r>
    </w:p>
    <w:p>
      <w:pPr>
        <w:spacing w:after="0" w:line="309" w:lineRule="exact"/>
        <w:rPr>
          <w:sz w:val="20"/>
          <w:szCs w:val="20"/>
          <w:color w:val="auto"/>
        </w:rPr>
      </w:pPr>
    </w:p>
    <w:p>
      <w:pPr>
        <w:jc w:val="both"/>
        <w:ind w:right="20"/>
        <w:spacing w:after="0" w:line="237" w:lineRule="auto"/>
        <w:rPr>
          <w:sz w:val="20"/>
          <w:szCs w:val="20"/>
          <w:color w:val="auto"/>
        </w:rPr>
      </w:pPr>
      <w:r>
        <w:rPr>
          <w:rFonts w:ascii="Arial" w:cs="Arial" w:eastAsia="Arial" w:hAnsi="Arial"/>
          <w:sz w:val="19"/>
          <w:szCs w:val="19"/>
          <w:color w:val="auto"/>
        </w:rPr>
        <w:t>This proposal will be approved if it receives the affirmative vote of the holders of a majority of the voting power of the shares present in person or by proxy and entitled to vote on the matter at the Annual Meeting. As an advisory vote, the proposal is non-binding on the Company, our Board, and our Compensation Committee. However, our Board and its Compensation Committee value the opinions expressed by our shareholders and will carefully consider the outcome of the vote when making future executive compensation decisions. Our Board ultimately has a duty to act in what it believes to be the best interests of the Company and all of its shareholders.</w:t>
      </w:r>
    </w:p>
    <w:p>
      <w:pPr>
        <w:spacing w:after="0" w:line="263"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Board has adopted a policy of providing for annual say-on-pay advisory votes. As such, we expect that the next say-on-pay vote will be held at our 2023 annual meeting (unless the proposed transaction with Microsoft is completed before we would otherwise be holding such meeting, in which case the meeting will not occur). The next say-on-pay frequency vote also will be held at our 2023 annual meeting (again, only if the proposed transaction with Microsoft has not already been completed by the time we would otherwise be holding our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168910</wp:posOffset>
            </wp:positionV>
            <wp:extent cx="6038850" cy="7169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8850" cy="716915"/>
                    </a:xfrm>
                    <a:prstGeom prst="rect">
                      <a:avLst/>
                    </a:prstGeom>
                    <a:noFill/>
                  </pic:spPr>
                </pic:pic>
              </a:graphicData>
            </a:graphic>
          </wp:anchor>
        </w:drawing>
      </w:r>
    </w:p>
    <w:p>
      <w:pPr>
        <w:spacing w:after="0" w:line="370" w:lineRule="exact"/>
        <w:rPr>
          <w:sz w:val="20"/>
          <w:szCs w:val="20"/>
          <w:color w:val="auto"/>
        </w:rPr>
      </w:pPr>
    </w:p>
    <w:p>
      <w:pPr>
        <w:ind w:left="1580" w:right="1140"/>
        <w:spacing w:after="0" w:line="255" w:lineRule="auto"/>
        <w:rPr>
          <w:sz w:val="20"/>
          <w:szCs w:val="20"/>
          <w:color w:val="auto"/>
        </w:rPr>
      </w:pPr>
      <w:r>
        <w:rPr>
          <w:rFonts w:ascii="Arial" w:cs="Arial" w:eastAsia="Arial" w:hAnsi="Arial"/>
          <w:sz w:val="25"/>
          <w:szCs w:val="25"/>
          <w:b w:val="1"/>
          <w:bCs w:val="1"/>
          <w:color w:val="auto"/>
        </w:rPr>
        <w:t xml:space="preserve">YOUR BOARD UNANIMOUSLY RECOMMENDS THAT YOU VOTE </w:t>
      </w:r>
      <w:r>
        <w:rPr>
          <w:rFonts w:ascii="Arial" w:cs="Arial" w:eastAsia="Arial" w:hAnsi="Arial"/>
          <w:sz w:val="25"/>
          <w:szCs w:val="25"/>
          <w:b w:val="1"/>
          <w:bCs w:val="1"/>
          <w:color w:val="125288"/>
        </w:rPr>
        <w:t>FOR</w:t>
      </w:r>
      <w:r>
        <w:rPr>
          <w:rFonts w:ascii="Arial" w:cs="Arial" w:eastAsia="Arial" w:hAnsi="Arial"/>
          <w:sz w:val="25"/>
          <w:szCs w:val="25"/>
          <w:b w:val="1"/>
          <w:bCs w:val="1"/>
          <w:color w:val="auto"/>
        </w:rPr>
        <w:t xml:space="preserve"> THE APPROVAL OF THE COMPANY’S EXECUTIVE COMPENSATION, AS DISCLOSED IN THIS PROXY STATEMENT.</w:t>
      </w:r>
    </w:p>
    <w:p>
      <w:pPr>
        <w:spacing w:after="0" w:line="310"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55" w:name="page56"/>
    <w:bookmarkEnd w:id="55"/>
    <w:p>
      <w:pPr>
        <w:ind w:left="5"/>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08" w:lineRule="exact"/>
        <w:rPr>
          <w:sz w:val="20"/>
          <w:szCs w:val="20"/>
          <w:color w:val="auto"/>
        </w:rPr>
      </w:pPr>
    </w:p>
    <w:p>
      <w:pPr>
        <w:ind w:left="5"/>
        <w:spacing w:after="0"/>
        <w:rPr>
          <w:sz w:val="20"/>
          <w:szCs w:val="20"/>
          <w:color w:val="auto"/>
        </w:rPr>
      </w:pPr>
      <w:r>
        <w:rPr>
          <w:sz w:val="1"/>
          <w:szCs w:val="1"/>
          <w:color w:val="auto"/>
        </w:rPr>
        <w:drawing>
          <wp:inline distT="0" distB="0" distL="0" distR="0">
            <wp:extent cx="445135" cy="15113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45135" cy="151130"/>
                    </a:xfrm>
                    <a:prstGeom prst="rect">
                      <a:avLst/>
                    </a:prstGeom>
                    <a:noFill/>
                    <a:ln>
                      <a:noFill/>
                    </a:ln>
                  </pic:spPr>
                </pic:pic>
              </a:graphicData>
            </a:graphic>
          </wp:inline>
        </w:drawing>
      </w:r>
      <w:r>
        <w:rPr>
          <w:rFonts w:ascii="Arial" w:cs="Arial" w:eastAsia="Arial" w:hAnsi="Arial"/>
          <w:sz w:val="31"/>
          <w:szCs w:val="31"/>
          <w:b w:val="1"/>
          <w:bCs w:val="1"/>
          <w:color w:val="125288"/>
        </w:rPr>
        <w:t xml:space="preserve"> COMPENSATION COMMITTEE LETTER</w:t>
      </w:r>
    </w:p>
    <w:p>
      <w:pPr>
        <w:spacing w:after="0" w:line="324" w:lineRule="exact"/>
        <w:rPr>
          <w:sz w:val="20"/>
          <w:szCs w:val="20"/>
          <w:color w:val="auto"/>
        </w:rPr>
      </w:pPr>
    </w:p>
    <w:p>
      <w:pPr>
        <w:ind w:left="5"/>
        <w:spacing w:after="0"/>
        <w:rPr>
          <w:sz w:val="20"/>
          <w:szCs w:val="20"/>
          <w:color w:val="auto"/>
        </w:rPr>
      </w:pPr>
      <w:r>
        <w:rPr>
          <w:rFonts w:ascii="Arial" w:cs="Arial" w:eastAsia="Arial" w:hAnsi="Arial"/>
          <w:sz w:val="19"/>
          <w:szCs w:val="19"/>
          <w:color w:val="auto"/>
        </w:rPr>
        <w:t>Dear Fellow Shareholders,</w:t>
      </w:r>
    </w:p>
    <w:p>
      <w:pPr>
        <w:spacing w:after="0" w:line="138" w:lineRule="exact"/>
        <w:rPr>
          <w:sz w:val="20"/>
          <w:szCs w:val="20"/>
          <w:color w:val="auto"/>
        </w:rPr>
      </w:pPr>
    </w:p>
    <w:p>
      <w:pPr>
        <w:jc w:val="both"/>
        <w:ind w:left="5" w:right="20"/>
        <w:spacing w:after="0" w:line="238" w:lineRule="auto"/>
        <w:rPr>
          <w:sz w:val="20"/>
          <w:szCs w:val="20"/>
          <w:color w:val="auto"/>
        </w:rPr>
      </w:pPr>
      <w:r>
        <w:rPr>
          <w:rFonts w:ascii="Arial" w:cs="Arial" w:eastAsia="Arial" w:hAnsi="Arial"/>
          <w:sz w:val="19"/>
          <w:szCs w:val="19"/>
          <w:color w:val="auto"/>
        </w:rPr>
        <w:t>In January of 2022, we announced that we had entered into a merger agreement with Microsoft Corporation. This announcement represents an exciting new phase of our Company’s journey to create epic entertainment. The Compensation Committee, along with the other members of Activision Blizzard’s Board of Directors, believes this is the right transaction with the right partner at the right time.</w:t>
      </w:r>
    </w:p>
    <w:p>
      <w:pPr>
        <w:spacing w:after="0" w:line="263" w:lineRule="exact"/>
        <w:rPr>
          <w:sz w:val="20"/>
          <w:szCs w:val="20"/>
          <w:color w:val="auto"/>
        </w:rPr>
      </w:pPr>
    </w:p>
    <w:p>
      <w:pPr>
        <w:jc w:val="both"/>
        <w:ind w:left="5" w:right="20"/>
        <w:spacing w:after="0" w:line="237" w:lineRule="auto"/>
        <w:rPr>
          <w:sz w:val="20"/>
          <w:szCs w:val="20"/>
          <w:color w:val="auto"/>
        </w:rPr>
      </w:pPr>
      <w:r>
        <w:rPr>
          <w:rFonts w:ascii="Arial" w:cs="Arial" w:eastAsia="Arial" w:hAnsi="Arial"/>
          <w:sz w:val="19"/>
          <w:szCs w:val="19"/>
          <w:color w:val="auto"/>
        </w:rPr>
        <w:t>Following blockbuster financial performance in 2020, macroeconomic headwinds in 2021 made it a challenging year for certain aspects of our performance in relation to rigorous objectives established at the beginning of the year. While we did achieve year-over-year growth across many of our key financial metrics, we fell short of the ambitious goals we set for ourselves in early 2021. We remain committed to operational excellence and are working vigorously to ensure that the Company’s management and employees remain properly incentivized and resourced. We believe this is aligned with our goal for Activision Blizzard to become the most welcoming, inclusive company in our industry.</w:t>
      </w:r>
    </w:p>
    <w:p>
      <w:pPr>
        <w:spacing w:after="0" w:line="264" w:lineRule="exact"/>
        <w:rPr>
          <w:sz w:val="20"/>
          <w:szCs w:val="20"/>
          <w:color w:val="auto"/>
        </w:rPr>
      </w:pPr>
    </w:p>
    <w:p>
      <w:pPr>
        <w:ind w:left="5"/>
        <w:spacing w:after="0"/>
        <w:rPr>
          <w:sz w:val="20"/>
          <w:szCs w:val="20"/>
          <w:color w:val="auto"/>
        </w:rPr>
      </w:pPr>
      <w:r>
        <w:rPr>
          <w:rFonts w:ascii="Arial" w:cs="Arial" w:eastAsia="Arial" w:hAnsi="Arial"/>
          <w:sz w:val="20"/>
          <w:szCs w:val="20"/>
          <w:color w:val="125288"/>
        </w:rPr>
        <w:t>2021 Pay-for-Performance Alignment</w:t>
      </w:r>
    </w:p>
    <w:p>
      <w:pPr>
        <w:spacing w:after="0" w:line="149" w:lineRule="exact"/>
        <w:rPr>
          <w:sz w:val="20"/>
          <w:szCs w:val="20"/>
          <w:color w:val="auto"/>
        </w:rPr>
      </w:pPr>
    </w:p>
    <w:p>
      <w:pPr>
        <w:jc w:val="both"/>
        <w:ind w:left="5"/>
        <w:spacing w:after="0" w:line="236" w:lineRule="auto"/>
        <w:rPr>
          <w:sz w:val="20"/>
          <w:szCs w:val="20"/>
          <w:color w:val="auto"/>
        </w:rPr>
      </w:pPr>
      <w:r>
        <w:rPr>
          <w:rFonts w:ascii="Arial" w:cs="Arial" w:eastAsia="Arial" w:hAnsi="Arial"/>
          <w:sz w:val="19"/>
          <w:szCs w:val="19"/>
          <w:color w:val="auto"/>
        </w:rPr>
        <w:t>For many years, we have been focused on ensuring a strong linkage between pay and performance, with incentive compensation payouts directly tied to financial performance and shareholder value creation. For fiscal year 2021, this important compensation philosophy was evident in practice. The Company did not reach all of the applicable financial targets, so some of the compensation opportunities we established for 2021 were not fully achieved. Despite missing the threshold level of the AB Adjusted OI target we established for annual bonuses by 0.7%, we did not adjust either the goals or the determination of performance for the year. As a result, none of our NEOs received an annual bonus payout for 2021, thereby maintaining the direct tie between executive pay and performance. Similarly, the NEOs’ performance-based restricted share units, which were based in whole or in part on 2021 performance, resulted in the delivery of, on average, 41% of the shares that would have been delivered at target.</w:t>
      </w:r>
    </w:p>
    <w:p>
      <w:pPr>
        <w:spacing w:after="0" w:line="268" w:lineRule="exact"/>
        <w:rPr>
          <w:sz w:val="20"/>
          <w:szCs w:val="20"/>
          <w:color w:val="auto"/>
        </w:rPr>
      </w:pPr>
    </w:p>
    <w:p>
      <w:pPr>
        <w:ind w:left="5"/>
        <w:spacing w:after="0"/>
        <w:rPr>
          <w:sz w:val="20"/>
          <w:szCs w:val="20"/>
          <w:color w:val="auto"/>
        </w:rPr>
      </w:pPr>
      <w:r>
        <w:rPr>
          <w:rFonts w:ascii="Arial" w:cs="Arial" w:eastAsia="Arial" w:hAnsi="Arial"/>
          <w:sz w:val="20"/>
          <w:szCs w:val="20"/>
          <w:color w:val="125288"/>
        </w:rPr>
        <w:t>Executing Against Our 2021 Commitments</w:t>
      </w:r>
    </w:p>
    <w:p>
      <w:pPr>
        <w:spacing w:after="0" w:line="149" w:lineRule="exact"/>
        <w:rPr>
          <w:sz w:val="20"/>
          <w:szCs w:val="20"/>
          <w:color w:val="auto"/>
        </w:rPr>
      </w:pPr>
    </w:p>
    <w:p>
      <w:pPr>
        <w:jc w:val="both"/>
        <w:ind w:left="5"/>
        <w:spacing w:after="0" w:line="237" w:lineRule="auto"/>
        <w:rPr>
          <w:sz w:val="20"/>
          <w:szCs w:val="20"/>
          <w:color w:val="auto"/>
        </w:rPr>
      </w:pPr>
      <w:r>
        <w:rPr>
          <w:rFonts w:ascii="Arial" w:cs="Arial" w:eastAsia="Arial" w:hAnsi="Arial"/>
          <w:sz w:val="19"/>
          <w:szCs w:val="19"/>
          <w:color w:val="auto"/>
        </w:rPr>
        <w:t>As we described in our letter to you last year, we made significant changes to our Chief Executive Officer’s compensation in response to feedback we received from our shareholders. We continued our dialogue with shareholders throughout 2021, and heard that many of our investors approved of those changes, which included (a) substantial reductions to our CEO’s target compensation; (b) elimination of the “shareholder value creation incentive,” which created the potential for increased levels of vesting on certain performance-based awards if the Company achieved significant stock price appreciation; and (c) elimination of a provision that had created the potential for an additional payment in the event of a transformative transaction.</w:t>
      </w:r>
    </w:p>
    <w:p>
      <w:pPr>
        <w:spacing w:after="0" w:line="258" w:lineRule="exact"/>
        <w:rPr>
          <w:sz w:val="20"/>
          <w:szCs w:val="20"/>
          <w:color w:val="auto"/>
        </w:rPr>
      </w:pPr>
    </w:p>
    <w:p>
      <w:pPr>
        <w:ind w:left="5"/>
        <w:spacing w:after="0"/>
        <w:rPr>
          <w:sz w:val="20"/>
          <w:szCs w:val="20"/>
          <w:color w:val="auto"/>
        </w:rPr>
      </w:pPr>
      <w:r>
        <w:rPr>
          <w:rFonts w:ascii="Arial" w:cs="Arial" w:eastAsia="Arial" w:hAnsi="Arial"/>
          <w:sz w:val="19"/>
          <w:szCs w:val="19"/>
          <w:color w:val="auto"/>
        </w:rPr>
        <w:t>We are proud to share the outcomes of the commitments we made during 2021 in the following Compensation Discussion and</w:t>
      </w:r>
    </w:p>
    <w:p>
      <w:pPr>
        <w:ind w:left="5"/>
        <w:spacing w:after="0"/>
        <w:rPr>
          <w:sz w:val="20"/>
          <w:szCs w:val="20"/>
          <w:color w:val="auto"/>
        </w:rPr>
      </w:pPr>
      <w:r>
        <w:rPr>
          <w:rFonts w:ascii="Arial" w:cs="Arial" w:eastAsia="Arial" w:hAnsi="Arial"/>
          <w:sz w:val="19"/>
          <w:szCs w:val="19"/>
          <w:color w:val="auto"/>
        </w:rPr>
        <w:t>Analysis, which include:</w:t>
      </w:r>
    </w:p>
    <w:p>
      <w:pPr>
        <w:spacing w:after="0" w:line="269" w:lineRule="exact"/>
        <w:rPr>
          <w:sz w:val="20"/>
          <w:szCs w:val="20"/>
          <w:color w:val="auto"/>
        </w:rPr>
      </w:pPr>
    </w:p>
    <w:p>
      <w:pPr>
        <w:ind w:left="145" w:right="40" w:hanging="145"/>
        <w:spacing w:after="0" w:line="245" w:lineRule="auto"/>
        <w:tabs>
          <w:tab w:leader="none" w:pos="145" w:val="left"/>
        </w:tabs>
        <w:numPr>
          <w:ilvl w:val="0"/>
          <w:numId w:val="62"/>
        </w:numPr>
        <w:rPr>
          <w:rFonts w:ascii="Arial" w:cs="Arial" w:eastAsia="Arial" w:hAnsi="Arial"/>
          <w:sz w:val="19"/>
          <w:szCs w:val="19"/>
          <w:color w:val="125288"/>
        </w:rPr>
      </w:pPr>
      <w:r>
        <w:rPr>
          <w:rFonts w:ascii="Arial" w:cs="Arial" w:eastAsia="Arial" w:hAnsi="Arial"/>
          <w:sz w:val="19"/>
          <w:szCs w:val="19"/>
          <w:color w:val="auto"/>
        </w:rPr>
        <w:t>increasing the weighting of financial goals applicable to performance compensation for the CEO to 80% (versus 60% in 2020) and accelerating the transition to an 80% weighting for all other NEOs from 2022 to 2021;</w:t>
      </w:r>
    </w:p>
    <w:p>
      <w:pPr>
        <w:spacing w:after="0" w:line="124" w:lineRule="exact"/>
        <w:rPr>
          <w:rFonts w:ascii="Arial" w:cs="Arial" w:eastAsia="Arial" w:hAnsi="Arial"/>
          <w:sz w:val="19"/>
          <w:szCs w:val="19"/>
          <w:color w:val="125288"/>
        </w:rPr>
      </w:pPr>
    </w:p>
    <w:p>
      <w:pPr>
        <w:ind w:left="145" w:hanging="145"/>
        <w:spacing w:after="0"/>
        <w:tabs>
          <w:tab w:leader="none" w:pos="145" w:val="left"/>
        </w:tabs>
        <w:numPr>
          <w:ilvl w:val="0"/>
          <w:numId w:val="62"/>
        </w:numPr>
        <w:rPr>
          <w:rFonts w:ascii="Arial" w:cs="Arial" w:eastAsia="Arial" w:hAnsi="Arial"/>
          <w:sz w:val="19"/>
          <w:szCs w:val="19"/>
          <w:color w:val="125288"/>
        </w:rPr>
      </w:pPr>
      <w:r>
        <w:rPr>
          <w:rFonts w:ascii="Arial" w:cs="Arial" w:eastAsia="Arial" w:hAnsi="Arial"/>
          <w:sz w:val="19"/>
          <w:szCs w:val="19"/>
          <w:color w:val="auto"/>
        </w:rPr>
        <w:t>including ESG objectives in incentive design, along with increased disclosure regarding attainment of these objectives; and</w:t>
      </w:r>
    </w:p>
    <w:p>
      <w:pPr>
        <w:spacing w:after="0" w:line="9" w:lineRule="exact"/>
        <w:rPr>
          <w:rFonts w:ascii="Arial" w:cs="Arial" w:eastAsia="Arial" w:hAnsi="Arial"/>
          <w:sz w:val="19"/>
          <w:szCs w:val="19"/>
          <w:color w:val="125288"/>
        </w:rPr>
      </w:pPr>
    </w:p>
    <w:p>
      <w:pPr>
        <w:ind w:left="145" w:hanging="145"/>
        <w:spacing w:after="0" w:line="195" w:lineRule="auto"/>
        <w:tabs>
          <w:tab w:leader="none" w:pos="145" w:val="left"/>
        </w:tabs>
        <w:numPr>
          <w:ilvl w:val="0"/>
          <w:numId w:val="62"/>
        </w:numPr>
        <w:rPr>
          <w:rFonts w:ascii="Arial" w:cs="Arial" w:eastAsia="Arial" w:hAnsi="Arial"/>
          <w:sz w:val="38"/>
          <w:szCs w:val="38"/>
          <w:color w:val="125288"/>
          <w:vertAlign w:val="subscript"/>
        </w:rPr>
      </w:pPr>
      <w:r>
        <w:rPr>
          <w:rFonts w:ascii="Arial" w:cs="Arial" w:eastAsia="Arial" w:hAnsi="Arial"/>
          <w:sz w:val="19"/>
          <w:szCs w:val="19"/>
          <w:color w:val="auto"/>
        </w:rPr>
        <w:t>placing more emphasis on performance-based equity incentive awards.</w:t>
      </w:r>
    </w:p>
    <w:p>
      <w:pPr>
        <w:spacing w:after="0" w:line="250" w:lineRule="exact"/>
        <w:rPr>
          <w:sz w:val="20"/>
          <w:szCs w:val="20"/>
          <w:color w:val="auto"/>
        </w:rPr>
      </w:pPr>
    </w:p>
    <w:p>
      <w:pPr>
        <w:ind w:left="5"/>
        <w:spacing w:after="0"/>
        <w:tabs>
          <w:tab w:leader="none" w:pos="7364" w:val="left"/>
          <w:tab w:leader="none" w:pos="9384" w:val="left"/>
          <w:tab w:leader="none" w:pos="1108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bookmarkStart w:id="56" w:name="page57"/>
    <w:bookmarkEnd w:id="56"/>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35" w:lineRule="exact"/>
        <w:rPr>
          <w:sz w:val="20"/>
          <w:szCs w:val="20"/>
          <w:color w:val="auto"/>
        </w:rPr>
      </w:pPr>
    </w:p>
    <w:p>
      <w:pPr>
        <w:jc w:val="both"/>
        <w:spacing w:after="0"/>
        <w:rPr>
          <w:sz w:val="20"/>
          <w:szCs w:val="20"/>
          <w:color w:val="auto"/>
        </w:rPr>
      </w:pPr>
      <w:r>
        <w:rPr>
          <w:rFonts w:ascii="Arial" w:cs="Arial" w:eastAsia="Arial" w:hAnsi="Arial"/>
          <w:sz w:val="19"/>
          <w:szCs w:val="19"/>
          <w:color w:val="auto"/>
        </w:rPr>
        <w:t>Beyond compensation, the conversations with shareholders have shifted toward ensuring that the Company and our employees have the resources, culture, and dedication from leadership needed to succeed in our collective commitment to be the model workplace in our industry.</w:t>
      </w:r>
    </w:p>
    <w:p>
      <w:pPr>
        <w:spacing w:after="0" w:line="260"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Reflecting his personal commitment to these objectives, Mr. Kotick asked the Board to reduce his total compensation to California’s minimum exempt salary (which is approximately $62,500 for 2022) and that he not be awarded any bonuses or equity grants until the Transformational Goals have been achieved. Mr. Kotick’s pay was adjusted to $62,500 per year, effective October 28, 2021. We have honored Mr. Kotick’s request, and his pay adjustment will remain in effect until such time as the Workplace Responsibility Committee determines the Company has made appropriate progress toward the Transformational Goals.</w:t>
      </w:r>
    </w:p>
    <w:p>
      <w:pPr>
        <w:spacing w:after="0" w:line="260"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We believe the above changes to our executive compensation program illustrate not only our continuing commitment to responding to the input of our shareholders, but also our dedication to making Activision Blizzard an exemplary workplace that not only respects and honors our employees but also continues to demand the performance our shareholders have a right to expect.</w:t>
      </w:r>
    </w:p>
    <w:p>
      <w:pPr>
        <w:spacing w:after="0" w:line="260"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We are truly excited by the future prospects for Activision Blizzard and remain committed to ensuring we follow the best practices in both compensation and governance.</w:t>
      </w: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color w:val="auto"/>
        </w:rPr>
        <w:t>Sincerely,</w:t>
      </w:r>
    </w:p>
    <w:p>
      <w:pPr>
        <w:spacing w:after="0" w:line="269" w:lineRule="exact"/>
        <w:rPr>
          <w:sz w:val="20"/>
          <w:szCs w:val="20"/>
          <w:color w:val="auto"/>
        </w:rPr>
      </w:pPr>
    </w:p>
    <w:p>
      <w:pPr>
        <w:spacing w:after="0"/>
        <w:rPr>
          <w:sz w:val="20"/>
          <w:szCs w:val="20"/>
          <w:color w:val="auto"/>
        </w:rPr>
      </w:pPr>
      <w:r>
        <w:rPr>
          <w:rFonts w:ascii="Arial" w:cs="Arial" w:eastAsia="Arial" w:hAnsi="Arial"/>
          <w:sz w:val="19"/>
          <w:szCs w:val="19"/>
          <w:color w:val="auto"/>
        </w:rPr>
        <w:t>Your Compensation Committee</w:t>
      </w:r>
    </w:p>
    <w:p>
      <w:pPr>
        <w:spacing w:after="0" w:line="269" w:lineRule="exact"/>
        <w:rPr>
          <w:sz w:val="20"/>
          <w:szCs w:val="20"/>
          <w:color w:val="auto"/>
        </w:rPr>
      </w:pPr>
    </w:p>
    <w:p>
      <w:pPr>
        <w:spacing w:after="0"/>
        <w:rPr>
          <w:sz w:val="20"/>
          <w:szCs w:val="20"/>
          <w:color w:val="auto"/>
        </w:rPr>
      </w:pPr>
      <w:r>
        <w:rPr>
          <w:rFonts w:ascii="Arial" w:cs="Arial" w:eastAsia="Arial" w:hAnsi="Arial"/>
          <w:sz w:val="19"/>
          <w:szCs w:val="19"/>
          <w:color w:val="auto"/>
        </w:rPr>
        <w:t>Robert Morgado (Chair), Reveta Bowers, and Dawn Ostroff</w:t>
      </w:r>
    </w:p>
    <w:p>
      <w:pPr>
        <w:spacing w:after="0" w:line="163"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57" w:name="page58"/>
    <w:bookmarkEnd w:id="57"/>
    <w:p>
      <w:pPr>
        <w:ind w:left="5"/>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Back to Contents</w:t>
        </w:r>
      </w:hyperlink>
    </w:p>
    <w:p>
      <w:pPr>
        <w:spacing w:after="0" w:line="200" w:lineRule="exact"/>
        <w:rPr>
          <w:sz w:val="20"/>
          <w:szCs w:val="20"/>
          <w:color w:val="auto"/>
        </w:rPr>
      </w:pPr>
    </w:p>
    <w:p>
      <w:pPr>
        <w:spacing w:after="0" w:line="220" w:lineRule="exact"/>
        <w:rPr>
          <w:sz w:val="20"/>
          <w:szCs w:val="20"/>
          <w:color w:val="auto"/>
        </w:rPr>
      </w:pPr>
    </w:p>
    <w:p>
      <w:pPr>
        <w:ind w:left="5"/>
        <w:spacing w:after="0"/>
        <w:rPr>
          <w:sz w:val="20"/>
          <w:szCs w:val="20"/>
          <w:color w:val="auto"/>
        </w:rPr>
      </w:pPr>
      <w:r>
        <w:rPr>
          <w:sz w:val="1"/>
          <w:szCs w:val="1"/>
          <w:color w:val="auto"/>
        </w:rPr>
        <w:drawing>
          <wp:inline distT="0" distB="0" distL="0" distR="0">
            <wp:extent cx="445135" cy="15113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45135" cy="151130"/>
                    </a:xfrm>
                    <a:prstGeom prst="rect">
                      <a:avLst/>
                    </a:prstGeom>
                    <a:noFill/>
                    <a:ln>
                      <a:noFill/>
                    </a:ln>
                  </pic:spPr>
                </pic:pic>
              </a:graphicData>
            </a:graphic>
          </wp:inline>
        </w:drawing>
      </w:r>
      <w:r>
        <w:rPr>
          <w:rFonts w:ascii="Arial" w:cs="Arial" w:eastAsia="Arial" w:hAnsi="Arial"/>
          <w:sz w:val="31"/>
          <w:szCs w:val="31"/>
          <w:b w:val="1"/>
          <w:bCs w:val="1"/>
          <w:color w:val="125288"/>
        </w:rPr>
        <w:t xml:space="preserve"> COMPENSATION DISCUSSION AND ANALYSIS</w:t>
      </w:r>
    </w:p>
    <w:p>
      <w:pPr>
        <w:spacing w:after="0" w:line="193" w:lineRule="exact"/>
        <w:rPr>
          <w:sz w:val="20"/>
          <w:szCs w:val="20"/>
          <w:color w:val="auto"/>
        </w:rPr>
      </w:pPr>
    </w:p>
    <w:p>
      <w:pPr>
        <w:ind w:left="5"/>
        <w:spacing w:after="0" w:line="245" w:lineRule="auto"/>
        <w:rPr>
          <w:sz w:val="20"/>
          <w:szCs w:val="20"/>
          <w:color w:val="auto"/>
        </w:rPr>
      </w:pPr>
      <w:r>
        <w:rPr>
          <w:rFonts w:ascii="Arial" w:cs="Arial" w:eastAsia="Arial" w:hAnsi="Arial"/>
          <w:sz w:val="19"/>
          <w:szCs w:val="19"/>
          <w:color w:val="auto"/>
        </w:rPr>
        <w:t>This Compensation Discussion and Analysis (“CD&amp;A”) describes the compensation program for the named executive officers set forth in the “Summary Compensation Table” below (i.e., our “named executive officers” or “NEOs”).</w:t>
      </w:r>
    </w:p>
    <w:p>
      <w:pPr>
        <w:spacing w:after="0" w:line="270" w:lineRule="exact"/>
        <w:rPr>
          <w:sz w:val="20"/>
          <w:szCs w:val="20"/>
          <w:color w:val="auto"/>
        </w:rPr>
      </w:pPr>
    </w:p>
    <w:tbl>
      <w:tblPr>
        <w:tblLayout w:type="fixed"/>
        <w:tblInd w:w="5" w:type="dxa"/>
        <w:tblCellMar>
          <w:top w:w="0" w:type="dxa"/>
          <w:left w:w="0" w:type="dxa"/>
          <w:bottom w:w="0" w:type="dxa"/>
          <w:right w:w="0" w:type="dxa"/>
        </w:tblCellMar>
      </w:tblPr>
      <w:tr>
        <w:trPr>
          <w:trHeight w:val="204"/>
        </w:trPr>
        <w:tc>
          <w:tcPr>
            <w:tcW w:w="3300" w:type="dxa"/>
            <w:vAlign w:val="bottom"/>
          </w:tcPr>
          <w:p>
            <w:pPr>
              <w:ind w:left="60"/>
              <w:spacing w:after="0"/>
              <w:rPr>
                <w:sz w:val="20"/>
                <w:szCs w:val="20"/>
                <w:color w:val="auto"/>
              </w:rPr>
            </w:pPr>
            <w:r>
              <w:rPr>
                <w:rFonts w:ascii="Arial" w:cs="Arial" w:eastAsia="Arial" w:hAnsi="Arial"/>
                <w:sz w:val="15"/>
                <w:szCs w:val="15"/>
                <w:b w:val="1"/>
                <w:bCs w:val="1"/>
                <w:color w:val="125288"/>
              </w:rPr>
              <w:t>Name</w:t>
            </w:r>
          </w:p>
        </w:tc>
        <w:tc>
          <w:tcPr>
            <w:tcW w:w="7960" w:type="dxa"/>
            <w:vAlign w:val="bottom"/>
          </w:tcPr>
          <w:p>
            <w:pPr>
              <w:ind w:left="1420"/>
              <w:spacing w:after="0"/>
              <w:rPr>
                <w:sz w:val="20"/>
                <w:szCs w:val="20"/>
                <w:color w:val="auto"/>
              </w:rPr>
            </w:pPr>
            <w:r>
              <w:rPr>
                <w:rFonts w:ascii="Arial" w:cs="Arial" w:eastAsia="Arial" w:hAnsi="Arial"/>
                <w:sz w:val="15"/>
                <w:szCs w:val="15"/>
                <w:b w:val="1"/>
                <w:bCs w:val="1"/>
                <w:color w:val="125288"/>
              </w:rPr>
              <w:t>Position with Activision Blizzard</w:t>
            </w:r>
          </w:p>
        </w:tc>
      </w:tr>
      <w:tr>
        <w:trPr>
          <w:trHeight w:val="41"/>
        </w:trPr>
        <w:tc>
          <w:tcPr>
            <w:tcW w:w="3300" w:type="dxa"/>
            <w:vAlign w:val="bottom"/>
            <w:tcBorders>
              <w:bottom w:val="single" w:sz="8" w:color="125288"/>
            </w:tcBorders>
          </w:tcPr>
          <w:p>
            <w:pPr>
              <w:spacing w:after="0"/>
              <w:rPr>
                <w:sz w:val="3"/>
                <w:szCs w:val="3"/>
                <w:color w:val="auto"/>
              </w:rPr>
            </w:pPr>
          </w:p>
        </w:tc>
        <w:tc>
          <w:tcPr>
            <w:tcW w:w="7960" w:type="dxa"/>
            <w:vAlign w:val="bottom"/>
            <w:tcBorders>
              <w:bottom w:val="single" w:sz="8" w:color="125288"/>
            </w:tcBorders>
          </w:tcPr>
          <w:p>
            <w:pPr>
              <w:spacing w:after="0"/>
              <w:rPr>
                <w:sz w:val="3"/>
                <w:szCs w:val="3"/>
                <w:color w:val="auto"/>
              </w:rPr>
            </w:pPr>
          </w:p>
        </w:tc>
      </w:tr>
      <w:tr>
        <w:trPr>
          <w:trHeight w:val="419"/>
        </w:trPr>
        <w:tc>
          <w:tcPr>
            <w:tcW w:w="3300" w:type="dxa"/>
            <w:vAlign w:val="bottom"/>
          </w:tcPr>
          <w:p>
            <w:pPr>
              <w:ind w:left="740"/>
              <w:spacing w:after="0"/>
              <w:rPr>
                <w:sz w:val="20"/>
                <w:szCs w:val="20"/>
                <w:color w:val="auto"/>
              </w:rPr>
            </w:pPr>
            <w:r>
              <w:rPr>
                <w:rFonts w:ascii="Arial" w:cs="Arial" w:eastAsia="Arial" w:hAnsi="Arial"/>
                <w:sz w:val="17"/>
                <w:szCs w:val="17"/>
                <w:b w:val="1"/>
                <w:bCs w:val="1"/>
                <w:color w:val="auto"/>
              </w:rPr>
              <w:t>Robert Kotick</w:t>
            </w:r>
          </w:p>
        </w:tc>
        <w:tc>
          <w:tcPr>
            <w:tcW w:w="7960" w:type="dxa"/>
            <w:vAlign w:val="bottom"/>
          </w:tcPr>
          <w:p>
            <w:pPr>
              <w:ind w:left="1420"/>
              <w:spacing w:after="0"/>
              <w:rPr>
                <w:sz w:val="20"/>
                <w:szCs w:val="20"/>
                <w:color w:val="auto"/>
              </w:rPr>
            </w:pPr>
            <w:r>
              <w:rPr>
                <w:rFonts w:ascii="Arial" w:cs="Arial" w:eastAsia="Arial" w:hAnsi="Arial"/>
                <w:sz w:val="17"/>
                <w:szCs w:val="17"/>
                <w:color w:val="auto"/>
              </w:rPr>
              <w:t>Chief Executive Officer</w:t>
            </w:r>
          </w:p>
        </w:tc>
      </w:tr>
      <w:tr>
        <w:trPr>
          <w:trHeight w:val="227"/>
        </w:trPr>
        <w:tc>
          <w:tcPr>
            <w:tcW w:w="3300" w:type="dxa"/>
            <w:vAlign w:val="bottom"/>
            <w:tcBorders>
              <w:bottom w:val="single" w:sz="8" w:color="125288"/>
            </w:tcBorders>
          </w:tcPr>
          <w:p>
            <w:pPr>
              <w:spacing w:after="0"/>
              <w:rPr>
                <w:sz w:val="19"/>
                <w:szCs w:val="19"/>
                <w:color w:val="auto"/>
              </w:rPr>
            </w:pPr>
          </w:p>
        </w:tc>
        <w:tc>
          <w:tcPr>
            <w:tcW w:w="7960" w:type="dxa"/>
            <w:vAlign w:val="bottom"/>
            <w:tcBorders>
              <w:bottom w:val="single" w:sz="8" w:color="125288"/>
            </w:tcBorders>
          </w:tcPr>
          <w:p>
            <w:pPr>
              <w:spacing w:after="0"/>
              <w:rPr>
                <w:sz w:val="19"/>
                <w:szCs w:val="19"/>
                <w:color w:val="auto"/>
              </w:rPr>
            </w:pPr>
          </w:p>
        </w:tc>
      </w:tr>
      <w:tr>
        <w:trPr>
          <w:trHeight w:val="419"/>
        </w:trPr>
        <w:tc>
          <w:tcPr>
            <w:tcW w:w="3300" w:type="dxa"/>
            <w:vAlign w:val="bottom"/>
          </w:tcPr>
          <w:p>
            <w:pPr>
              <w:ind w:left="740"/>
              <w:spacing w:after="0"/>
              <w:rPr>
                <w:sz w:val="20"/>
                <w:szCs w:val="20"/>
                <w:color w:val="auto"/>
              </w:rPr>
            </w:pPr>
            <w:r>
              <w:rPr>
                <w:rFonts w:ascii="Arial" w:cs="Arial" w:eastAsia="Arial" w:hAnsi="Arial"/>
                <w:sz w:val="17"/>
                <w:szCs w:val="17"/>
                <w:b w:val="1"/>
                <w:bCs w:val="1"/>
                <w:color w:val="auto"/>
              </w:rPr>
              <w:t>Armin Zerza</w:t>
            </w:r>
          </w:p>
        </w:tc>
        <w:tc>
          <w:tcPr>
            <w:tcW w:w="7960" w:type="dxa"/>
            <w:vAlign w:val="bottom"/>
          </w:tcPr>
          <w:p>
            <w:pPr>
              <w:ind w:left="1420"/>
              <w:spacing w:after="0"/>
              <w:rPr>
                <w:sz w:val="20"/>
                <w:szCs w:val="20"/>
                <w:color w:val="auto"/>
              </w:rPr>
            </w:pPr>
            <w:r>
              <w:rPr>
                <w:rFonts w:ascii="Arial" w:cs="Arial" w:eastAsia="Arial" w:hAnsi="Arial"/>
                <w:sz w:val="17"/>
                <w:szCs w:val="17"/>
                <w:color w:val="auto"/>
              </w:rPr>
              <w:t>Chief Financial Officer</w:t>
            </w:r>
          </w:p>
        </w:tc>
      </w:tr>
      <w:tr>
        <w:trPr>
          <w:trHeight w:val="227"/>
        </w:trPr>
        <w:tc>
          <w:tcPr>
            <w:tcW w:w="3300" w:type="dxa"/>
            <w:vAlign w:val="bottom"/>
            <w:tcBorders>
              <w:bottom w:val="single" w:sz="8" w:color="125288"/>
            </w:tcBorders>
          </w:tcPr>
          <w:p>
            <w:pPr>
              <w:spacing w:after="0"/>
              <w:rPr>
                <w:sz w:val="19"/>
                <w:szCs w:val="19"/>
                <w:color w:val="auto"/>
              </w:rPr>
            </w:pPr>
          </w:p>
        </w:tc>
        <w:tc>
          <w:tcPr>
            <w:tcW w:w="7960" w:type="dxa"/>
            <w:vAlign w:val="bottom"/>
            <w:tcBorders>
              <w:bottom w:val="single" w:sz="8" w:color="125288"/>
            </w:tcBorders>
          </w:tcPr>
          <w:p>
            <w:pPr>
              <w:spacing w:after="0"/>
              <w:rPr>
                <w:sz w:val="19"/>
                <w:szCs w:val="19"/>
                <w:color w:val="auto"/>
              </w:rPr>
            </w:pPr>
          </w:p>
        </w:tc>
      </w:tr>
      <w:tr>
        <w:trPr>
          <w:trHeight w:val="419"/>
        </w:trPr>
        <w:tc>
          <w:tcPr>
            <w:tcW w:w="3300" w:type="dxa"/>
            <w:vAlign w:val="bottom"/>
          </w:tcPr>
          <w:p>
            <w:pPr>
              <w:ind w:left="740"/>
              <w:spacing w:after="0"/>
              <w:rPr>
                <w:sz w:val="20"/>
                <w:szCs w:val="20"/>
                <w:color w:val="auto"/>
              </w:rPr>
            </w:pPr>
            <w:r>
              <w:rPr>
                <w:rFonts w:ascii="Arial" w:cs="Arial" w:eastAsia="Arial" w:hAnsi="Arial"/>
                <w:sz w:val="17"/>
                <w:szCs w:val="17"/>
                <w:b w:val="1"/>
                <w:bCs w:val="1"/>
                <w:color w:val="auto"/>
              </w:rPr>
              <w:t>Dennis Durkin</w:t>
            </w:r>
          </w:p>
        </w:tc>
        <w:tc>
          <w:tcPr>
            <w:tcW w:w="7960" w:type="dxa"/>
            <w:vAlign w:val="bottom"/>
          </w:tcPr>
          <w:p>
            <w:pPr>
              <w:ind w:left="1420"/>
              <w:spacing w:after="0"/>
              <w:rPr>
                <w:sz w:val="20"/>
                <w:szCs w:val="20"/>
                <w:color w:val="auto"/>
              </w:rPr>
            </w:pPr>
            <w:r>
              <w:rPr>
                <w:rFonts w:ascii="Arial" w:cs="Arial" w:eastAsia="Arial" w:hAnsi="Arial"/>
                <w:sz w:val="17"/>
                <w:szCs w:val="17"/>
                <w:color w:val="auto"/>
              </w:rPr>
              <w:t>Former Chief Financial Officer</w:t>
            </w:r>
          </w:p>
        </w:tc>
      </w:tr>
      <w:tr>
        <w:trPr>
          <w:trHeight w:val="227"/>
        </w:trPr>
        <w:tc>
          <w:tcPr>
            <w:tcW w:w="3300" w:type="dxa"/>
            <w:vAlign w:val="bottom"/>
            <w:tcBorders>
              <w:bottom w:val="single" w:sz="8" w:color="125288"/>
            </w:tcBorders>
          </w:tcPr>
          <w:p>
            <w:pPr>
              <w:spacing w:after="0"/>
              <w:rPr>
                <w:sz w:val="19"/>
                <w:szCs w:val="19"/>
                <w:color w:val="auto"/>
              </w:rPr>
            </w:pPr>
          </w:p>
        </w:tc>
        <w:tc>
          <w:tcPr>
            <w:tcW w:w="7960" w:type="dxa"/>
            <w:vAlign w:val="bottom"/>
            <w:tcBorders>
              <w:bottom w:val="single" w:sz="8" w:color="125288"/>
            </w:tcBorders>
          </w:tcPr>
          <w:p>
            <w:pPr>
              <w:spacing w:after="0"/>
              <w:rPr>
                <w:sz w:val="19"/>
                <w:szCs w:val="19"/>
                <w:color w:val="auto"/>
              </w:rPr>
            </w:pPr>
          </w:p>
        </w:tc>
      </w:tr>
      <w:tr>
        <w:trPr>
          <w:trHeight w:val="419"/>
        </w:trPr>
        <w:tc>
          <w:tcPr>
            <w:tcW w:w="3300" w:type="dxa"/>
            <w:vAlign w:val="bottom"/>
          </w:tcPr>
          <w:p>
            <w:pPr>
              <w:ind w:left="740"/>
              <w:spacing w:after="0"/>
              <w:rPr>
                <w:sz w:val="20"/>
                <w:szCs w:val="20"/>
                <w:color w:val="auto"/>
              </w:rPr>
            </w:pPr>
            <w:r>
              <w:rPr>
                <w:rFonts w:ascii="Arial" w:cs="Arial" w:eastAsia="Arial" w:hAnsi="Arial"/>
                <w:sz w:val="17"/>
                <w:szCs w:val="17"/>
                <w:b w:val="1"/>
                <w:bCs w:val="1"/>
                <w:color w:val="auto"/>
              </w:rPr>
              <w:t>Daniel Alegre</w:t>
            </w:r>
          </w:p>
        </w:tc>
        <w:tc>
          <w:tcPr>
            <w:tcW w:w="7960" w:type="dxa"/>
            <w:vAlign w:val="bottom"/>
          </w:tcPr>
          <w:p>
            <w:pPr>
              <w:ind w:left="1420"/>
              <w:spacing w:after="0"/>
              <w:rPr>
                <w:sz w:val="20"/>
                <w:szCs w:val="20"/>
                <w:color w:val="auto"/>
              </w:rPr>
            </w:pPr>
            <w:r>
              <w:rPr>
                <w:rFonts w:ascii="Arial" w:cs="Arial" w:eastAsia="Arial" w:hAnsi="Arial"/>
                <w:sz w:val="17"/>
                <w:szCs w:val="17"/>
                <w:color w:val="auto"/>
              </w:rPr>
              <w:t>President and Chief Operating Officer</w:t>
            </w:r>
          </w:p>
        </w:tc>
      </w:tr>
      <w:tr>
        <w:trPr>
          <w:trHeight w:val="227"/>
        </w:trPr>
        <w:tc>
          <w:tcPr>
            <w:tcW w:w="3300" w:type="dxa"/>
            <w:vAlign w:val="bottom"/>
            <w:tcBorders>
              <w:bottom w:val="single" w:sz="8" w:color="125288"/>
            </w:tcBorders>
          </w:tcPr>
          <w:p>
            <w:pPr>
              <w:spacing w:after="0"/>
              <w:rPr>
                <w:sz w:val="19"/>
                <w:szCs w:val="19"/>
                <w:color w:val="auto"/>
              </w:rPr>
            </w:pPr>
          </w:p>
        </w:tc>
        <w:tc>
          <w:tcPr>
            <w:tcW w:w="7960" w:type="dxa"/>
            <w:vAlign w:val="bottom"/>
            <w:tcBorders>
              <w:bottom w:val="single" w:sz="8" w:color="125288"/>
            </w:tcBorders>
          </w:tcPr>
          <w:p>
            <w:pPr>
              <w:spacing w:after="0"/>
              <w:rPr>
                <w:sz w:val="19"/>
                <w:szCs w:val="19"/>
                <w:color w:val="auto"/>
              </w:rPr>
            </w:pPr>
          </w:p>
        </w:tc>
      </w:tr>
      <w:tr>
        <w:trPr>
          <w:trHeight w:val="419"/>
        </w:trPr>
        <w:tc>
          <w:tcPr>
            <w:tcW w:w="3300" w:type="dxa"/>
            <w:vAlign w:val="bottom"/>
          </w:tcPr>
          <w:p>
            <w:pPr>
              <w:ind w:left="740"/>
              <w:spacing w:after="0"/>
              <w:rPr>
                <w:sz w:val="20"/>
                <w:szCs w:val="20"/>
                <w:color w:val="auto"/>
              </w:rPr>
            </w:pPr>
            <w:r>
              <w:rPr>
                <w:rFonts w:ascii="Arial" w:cs="Arial" w:eastAsia="Arial" w:hAnsi="Arial"/>
                <w:sz w:val="17"/>
                <w:szCs w:val="17"/>
                <w:b w:val="1"/>
                <w:bCs w:val="1"/>
                <w:color w:val="auto"/>
              </w:rPr>
              <w:t>Brian Bulatao</w:t>
            </w:r>
          </w:p>
        </w:tc>
        <w:tc>
          <w:tcPr>
            <w:tcW w:w="7960" w:type="dxa"/>
            <w:vAlign w:val="bottom"/>
          </w:tcPr>
          <w:p>
            <w:pPr>
              <w:ind w:left="1420"/>
              <w:spacing w:after="0"/>
              <w:rPr>
                <w:sz w:val="20"/>
                <w:szCs w:val="20"/>
                <w:color w:val="auto"/>
              </w:rPr>
            </w:pPr>
            <w:r>
              <w:rPr>
                <w:rFonts w:ascii="Arial" w:cs="Arial" w:eastAsia="Arial" w:hAnsi="Arial"/>
                <w:sz w:val="17"/>
                <w:szCs w:val="17"/>
                <w:color w:val="auto"/>
              </w:rPr>
              <w:t>Chief Administrative Officer</w:t>
            </w:r>
          </w:p>
        </w:tc>
      </w:tr>
      <w:tr>
        <w:trPr>
          <w:trHeight w:val="227"/>
        </w:trPr>
        <w:tc>
          <w:tcPr>
            <w:tcW w:w="3300" w:type="dxa"/>
            <w:vAlign w:val="bottom"/>
            <w:tcBorders>
              <w:bottom w:val="single" w:sz="8" w:color="125288"/>
            </w:tcBorders>
          </w:tcPr>
          <w:p>
            <w:pPr>
              <w:spacing w:after="0"/>
              <w:rPr>
                <w:sz w:val="19"/>
                <w:szCs w:val="19"/>
                <w:color w:val="auto"/>
              </w:rPr>
            </w:pPr>
          </w:p>
        </w:tc>
        <w:tc>
          <w:tcPr>
            <w:tcW w:w="7960" w:type="dxa"/>
            <w:vAlign w:val="bottom"/>
            <w:tcBorders>
              <w:bottom w:val="single" w:sz="8" w:color="125288"/>
            </w:tcBorders>
          </w:tcPr>
          <w:p>
            <w:pPr>
              <w:spacing w:after="0"/>
              <w:rPr>
                <w:sz w:val="19"/>
                <w:szCs w:val="19"/>
                <w:color w:val="auto"/>
              </w:rPr>
            </w:pPr>
          </w:p>
        </w:tc>
      </w:tr>
      <w:tr>
        <w:trPr>
          <w:trHeight w:val="419"/>
        </w:trPr>
        <w:tc>
          <w:tcPr>
            <w:tcW w:w="3300" w:type="dxa"/>
            <w:vAlign w:val="bottom"/>
          </w:tcPr>
          <w:p>
            <w:pPr>
              <w:ind w:left="740"/>
              <w:spacing w:after="0"/>
              <w:rPr>
                <w:sz w:val="20"/>
                <w:szCs w:val="20"/>
                <w:color w:val="auto"/>
              </w:rPr>
            </w:pPr>
            <w:r>
              <w:rPr>
                <w:rFonts w:ascii="Arial" w:cs="Arial" w:eastAsia="Arial" w:hAnsi="Arial"/>
                <w:sz w:val="17"/>
                <w:szCs w:val="17"/>
                <w:b w:val="1"/>
                <w:bCs w:val="1"/>
                <w:color w:val="auto"/>
              </w:rPr>
              <w:t>Grant Dixton</w:t>
            </w:r>
          </w:p>
        </w:tc>
        <w:tc>
          <w:tcPr>
            <w:tcW w:w="7960" w:type="dxa"/>
            <w:vAlign w:val="bottom"/>
          </w:tcPr>
          <w:p>
            <w:pPr>
              <w:ind w:left="1420"/>
              <w:spacing w:after="0"/>
              <w:rPr>
                <w:sz w:val="20"/>
                <w:szCs w:val="20"/>
                <w:color w:val="auto"/>
              </w:rPr>
            </w:pPr>
            <w:r>
              <w:rPr>
                <w:rFonts w:ascii="Arial" w:cs="Arial" w:eastAsia="Arial" w:hAnsi="Arial"/>
                <w:sz w:val="17"/>
                <w:szCs w:val="17"/>
                <w:color w:val="auto"/>
              </w:rPr>
              <w:t>Chief Legal Officer</w:t>
            </w:r>
          </w:p>
        </w:tc>
      </w:tr>
      <w:tr>
        <w:trPr>
          <w:trHeight w:val="227"/>
        </w:trPr>
        <w:tc>
          <w:tcPr>
            <w:tcW w:w="3300" w:type="dxa"/>
            <w:vAlign w:val="bottom"/>
            <w:tcBorders>
              <w:bottom w:val="single" w:sz="8" w:color="125288"/>
            </w:tcBorders>
          </w:tcPr>
          <w:p>
            <w:pPr>
              <w:spacing w:after="0"/>
              <w:rPr>
                <w:sz w:val="19"/>
                <w:szCs w:val="19"/>
                <w:color w:val="auto"/>
              </w:rPr>
            </w:pPr>
          </w:p>
        </w:tc>
        <w:tc>
          <w:tcPr>
            <w:tcW w:w="7960" w:type="dxa"/>
            <w:vAlign w:val="bottom"/>
            <w:tcBorders>
              <w:bottom w:val="single" w:sz="8" w:color="125288"/>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-2498090</wp:posOffset>
            </wp:positionV>
            <wp:extent cx="347345" cy="3473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7345" cy="347345"/>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-2075180</wp:posOffset>
            </wp:positionV>
            <wp:extent cx="347345" cy="3473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7345" cy="347345"/>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-1652270</wp:posOffset>
            </wp:positionV>
            <wp:extent cx="347345" cy="3473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7345" cy="347345"/>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-1229995</wp:posOffset>
            </wp:positionV>
            <wp:extent cx="347345" cy="3473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7345" cy="347345"/>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-807085</wp:posOffset>
            </wp:positionV>
            <wp:extent cx="347345" cy="3473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7345" cy="347345"/>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-384175</wp:posOffset>
            </wp:positionV>
            <wp:extent cx="347345" cy="3473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7345" cy="347345"/>
                    </a:xfrm>
                    <a:prstGeom prst="rect">
                      <a:avLst/>
                    </a:prstGeom>
                    <a:noFill/>
                  </pic:spPr>
                </pic:pic>
              </a:graphicData>
            </a:graphic>
          </wp:anchor>
        </w:drawing>
      </w:r>
    </w:p>
    <w:p>
      <w:pPr>
        <w:spacing w:after="0" w:line="307" w:lineRule="exact"/>
        <w:rPr>
          <w:sz w:val="20"/>
          <w:szCs w:val="20"/>
          <w:color w:val="auto"/>
        </w:rPr>
      </w:pPr>
    </w:p>
    <w:p>
      <w:pPr>
        <w:jc w:val="both"/>
        <w:ind w:left="5"/>
        <w:spacing w:after="0" w:line="245" w:lineRule="auto"/>
        <w:rPr>
          <w:sz w:val="20"/>
          <w:szCs w:val="20"/>
          <w:color w:val="auto"/>
        </w:rPr>
      </w:pPr>
      <w:r>
        <w:rPr>
          <w:rFonts w:ascii="Arial" w:cs="Arial" w:eastAsia="Arial" w:hAnsi="Arial"/>
          <w:sz w:val="19"/>
          <w:szCs w:val="19"/>
          <w:color w:val="auto"/>
        </w:rPr>
        <w:t>This CD&amp;A includes a description of the material elements of our compensation and the rationale for our compensation decisions. In particular, we:</w:t>
      </w:r>
    </w:p>
    <w:p>
      <w:pPr>
        <w:spacing w:after="0" w:line="125" w:lineRule="exact"/>
        <w:rPr>
          <w:sz w:val="20"/>
          <w:szCs w:val="20"/>
          <w:color w:val="auto"/>
        </w:rPr>
      </w:pPr>
    </w:p>
    <w:p>
      <w:pPr>
        <w:ind w:left="145" w:hanging="145"/>
        <w:spacing w:after="0"/>
        <w:tabs>
          <w:tab w:leader="none" w:pos="145" w:val="left"/>
        </w:tabs>
        <w:numPr>
          <w:ilvl w:val="0"/>
          <w:numId w:val="63"/>
        </w:numPr>
        <w:rPr>
          <w:rFonts w:ascii="Arial" w:cs="Arial" w:eastAsia="Arial" w:hAnsi="Arial"/>
          <w:sz w:val="19"/>
          <w:szCs w:val="19"/>
          <w:color w:val="125288"/>
        </w:rPr>
      </w:pPr>
      <w:r>
        <w:rPr>
          <w:rFonts w:ascii="Arial" w:cs="Arial" w:eastAsia="Arial" w:hAnsi="Arial"/>
          <w:sz w:val="19"/>
          <w:szCs w:val="19"/>
          <w:color w:val="auto"/>
        </w:rPr>
        <w:t>describe the complex business environment in which we operate and our rigorous requirements for talent;</w:t>
      </w:r>
    </w:p>
    <w:p>
      <w:pPr>
        <w:spacing w:after="0" w:line="138"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63"/>
        </w:numPr>
        <w:rPr>
          <w:rFonts w:ascii="Arial" w:cs="Arial" w:eastAsia="Arial" w:hAnsi="Arial"/>
          <w:sz w:val="19"/>
          <w:szCs w:val="19"/>
          <w:color w:val="125288"/>
        </w:rPr>
      </w:pPr>
      <w:r>
        <w:rPr>
          <w:rFonts w:ascii="Arial" w:cs="Arial" w:eastAsia="Arial" w:hAnsi="Arial"/>
          <w:sz w:val="19"/>
          <w:szCs w:val="19"/>
          <w:color w:val="auto"/>
        </w:rPr>
        <w:t>describe the review of, and adjustments to, our executive compensation program as a direct result of conversations with our shareholders;</w:t>
      </w:r>
    </w:p>
    <w:p>
      <w:pPr>
        <w:spacing w:after="0" w:line="124" w:lineRule="exact"/>
        <w:rPr>
          <w:rFonts w:ascii="Arial" w:cs="Arial" w:eastAsia="Arial" w:hAnsi="Arial"/>
          <w:sz w:val="19"/>
          <w:szCs w:val="19"/>
          <w:color w:val="125288"/>
        </w:rPr>
      </w:pPr>
    </w:p>
    <w:p>
      <w:pPr>
        <w:ind w:left="145" w:hanging="145"/>
        <w:spacing w:after="0"/>
        <w:tabs>
          <w:tab w:leader="none" w:pos="145" w:val="left"/>
        </w:tabs>
        <w:numPr>
          <w:ilvl w:val="0"/>
          <w:numId w:val="63"/>
        </w:numPr>
        <w:rPr>
          <w:rFonts w:ascii="Arial" w:cs="Arial" w:eastAsia="Arial" w:hAnsi="Arial"/>
          <w:sz w:val="19"/>
          <w:szCs w:val="19"/>
          <w:color w:val="125288"/>
        </w:rPr>
      </w:pPr>
      <w:r>
        <w:rPr>
          <w:rFonts w:ascii="Arial" w:cs="Arial" w:eastAsia="Arial" w:hAnsi="Arial"/>
          <w:sz w:val="19"/>
          <w:szCs w:val="19"/>
          <w:color w:val="auto"/>
        </w:rPr>
        <w:t>summarize our performance-focused compensation principles and objectives;</w:t>
      </w:r>
    </w:p>
    <w:p>
      <w:pPr>
        <w:spacing w:after="0" w:line="138" w:lineRule="exact"/>
        <w:rPr>
          <w:rFonts w:ascii="Arial" w:cs="Arial" w:eastAsia="Arial" w:hAnsi="Arial"/>
          <w:sz w:val="19"/>
          <w:szCs w:val="19"/>
          <w:color w:val="125288"/>
        </w:rPr>
      </w:pPr>
    </w:p>
    <w:p>
      <w:pPr>
        <w:ind w:left="145" w:hanging="145"/>
        <w:spacing w:after="0"/>
        <w:tabs>
          <w:tab w:leader="none" w:pos="145" w:val="left"/>
        </w:tabs>
        <w:numPr>
          <w:ilvl w:val="0"/>
          <w:numId w:val="63"/>
        </w:numPr>
        <w:rPr>
          <w:rFonts w:ascii="Arial" w:cs="Arial" w:eastAsia="Arial" w:hAnsi="Arial"/>
          <w:sz w:val="19"/>
          <w:szCs w:val="19"/>
          <w:color w:val="125288"/>
        </w:rPr>
      </w:pPr>
      <w:r>
        <w:rPr>
          <w:rFonts w:ascii="Arial" w:cs="Arial" w:eastAsia="Arial" w:hAnsi="Arial"/>
          <w:sz w:val="19"/>
          <w:szCs w:val="19"/>
          <w:color w:val="auto"/>
        </w:rPr>
        <w:t>outline our decision-making approach related to performance-focused executive compensation;</w:t>
      </w:r>
    </w:p>
    <w:p>
      <w:pPr>
        <w:spacing w:after="0" w:line="138" w:lineRule="exact"/>
        <w:rPr>
          <w:rFonts w:ascii="Arial" w:cs="Arial" w:eastAsia="Arial" w:hAnsi="Arial"/>
          <w:sz w:val="19"/>
          <w:szCs w:val="19"/>
          <w:color w:val="125288"/>
        </w:rPr>
      </w:pPr>
    </w:p>
    <w:p>
      <w:pPr>
        <w:ind w:left="145" w:hanging="145"/>
        <w:spacing w:after="0"/>
        <w:tabs>
          <w:tab w:leader="none" w:pos="145" w:val="left"/>
        </w:tabs>
        <w:numPr>
          <w:ilvl w:val="0"/>
          <w:numId w:val="63"/>
        </w:numPr>
        <w:rPr>
          <w:rFonts w:ascii="Arial" w:cs="Arial" w:eastAsia="Arial" w:hAnsi="Arial"/>
          <w:sz w:val="19"/>
          <w:szCs w:val="19"/>
          <w:color w:val="125288"/>
        </w:rPr>
      </w:pPr>
      <w:r>
        <w:rPr>
          <w:rFonts w:ascii="Arial" w:cs="Arial" w:eastAsia="Arial" w:hAnsi="Arial"/>
          <w:sz w:val="19"/>
          <w:szCs w:val="19"/>
          <w:color w:val="auto"/>
        </w:rPr>
        <w:t>describe the elements and rationale behind our performance-focused compensation programs and awards for 2021; and</w:t>
      </w:r>
    </w:p>
    <w:p>
      <w:pPr>
        <w:spacing w:after="0" w:line="138" w:lineRule="exact"/>
        <w:rPr>
          <w:rFonts w:ascii="Arial" w:cs="Arial" w:eastAsia="Arial" w:hAnsi="Arial"/>
          <w:sz w:val="19"/>
          <w:szCs w:val="19"/>
          <w:color w:val="125288"/>
        </w:rPr>
      </w:pPr>
    </w:p>
    <w:p>
      <w:pPr>
        <w:ind w:left="145" w:hanging="145"/>
        <w:spacing w:after="0"/>
        <w:tabs>
          <w:tab w:leader="none" w:pos="145" w:val="left"/>
        </w:tabs>
        <w:numPr>
          <w:ilvl w:val="0"/>
          <w:numId w:val="63"/>
        </w:numPr>
        <w:rPr>
          <w:rFonts w:ascii="Arial" w:cs="Arial" w:eastAsia="Arial" w:hAnsi="Arial"/>
          <w:sz w:val="19"/>
          <w:szCs w:val="19"/>
          <w:color w:val="125288"/>
        </w:rPr>
      </w:pPr>
      <w:r>
        <w:rPr>
          <w:rFonts w:ascii="Arial" w:cs="Arial" w:eastAsia="Arial" w:hAnsi="Arial"/>
          <w:sz w:val="19"/>
          <w:szCs w:val="19"/>
          <w:color w:val="auto"/>
        </w:rPr>
        <w:t>describe the impact the proposed transaction with Microsoft would have on our executive compensation program.</w:t>
      </w:r>
    </w:p>
    <w:p>
      <w:pPr>
        <w:spacing w:after="0" w:line="138" w:lineRule="exact"/>
        <w:rPr>
          <w:sz w:val="20"/>
          <w:szCs w:val="20"/>
          <w:color w:val="auto"/>
        </w:rPr>
      </w:pPr>
    </w:p>
    <w:p>
      <w:pPr>
        <w:jc w:val="both"/>
        <w:ind w:left="5" w:right="20"/>
        <w:spacing w:after="0"/>
        <w:rPr>
          <w:sz w:val="20"/>
          <w:szCs w:val="20"/>
          <w:color w:val="auto"/>
        </w:rPr>
      </w:pPr>
      <w:r>
        <w:rPr>
          <w:rFonts w:ascii="Arial" w:cs="Arial" w:eastAsia="Arial" w:hAnsi="Arial"/>
          <w:sz w:val="19"/>
          <w:szCs w:val="19"/>
          <w:color w:val="auto"/>
        </w:rPr>
        <w:t>For details on the Transformational Goals discussed throughout this Compensation Discussion and Analysis, please see “Corporate Governance Matters—Workplace and Culture—Transformational Gender-Related Goals and Other Commitments,” which begins on p. 42 of this proxy statement.</w:t>
      </w:r>
    </w:p>
    <w:p>
      <w:pPr>
        <w:spacing w:after="0" w:line="166" w:lineRule="exact"/>
        <w:rPr>
          <w:sz w:val="20"/>
          <w:szCs w:val="20"/>
          <w:color w:val="auto"/>
        </w:rPr>
      </w:pPr>
    </w:p>
    <w:p>
      <w:pPr>
        <w:ind w:left="5"/>
        <w:spacing w:after="0"/>
        <w:tabs>
          <w:tab w:leader="none" w:pos="7364" w:val="left"/>
          <w:tab w:leader="none" w:pos="9384" w:val="left"/>
          <w:tab w:leader="none" w:pos="1108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bookmarkStart w:id="58" w:name="page59"/>
    <w:bookmarkEnd w:id="58"/>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53910" cy="54178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3910" cy="5417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20"/>
          <w:szCs w:val="20"/>
          <w:color w:val="auto"/>
        </w:rPr>
        <w:t>T</w:t>
      </w:r>
      <w:r>
        <w:rPr>
          <w:rFonts w:ascii="Arial" w:cs="Arial" w:eastAsia="Arial" w:hAnsi="Arial"/>
          <w:sz w:val="20"/>
          <w:szCs w:val="20"/>
          <w:b w:val="1"/>
          <w:bCs w:val="1"/>
          <w:color w:val="auto"/>
        </w:rPr>
        <w:t>his CD&amp;A includes:</w:t>
      </w:r>
    </w:p>
    <w:p>
      <w:pPr>
        <w:spacing w:after="0" w:line="161" w:lineRule="exact"/>
        <w:rPr>
          <w:sz w:val="20"/>
          <w:szCs w:val="20"/>
          <w:color w:val="auto"/>
        </w:rPr>
      </w:pPr>
    </w:p>
    <w:tbl>
      <w:tblPr>
        <w:tblLayout w:type="fixed"/>
        <w:tblInd w:w="100" w:type="dxa"/>
        <w:tblCellMar>
          <w:top w:w="0" w:type="dxa"/>
          <w:left w:w="0" w:type="dxa"/>
          <w:bottom w:w="0" w:type="dxa"/>
          <w:right w:w="0" w:type="dxa"/>
        </w:tblCellMar>
      </w:tblPr>
      <w:tr>
        <w:trPr>
          <w:trHeight w:val="252"/>
        </w:trPr>
        <w:tc>
          <w:tcPr>
            <w:tcW w:w="9400" w:type="dxa"/>
            <w:vAlign w:val="bottom"/>
          </w:tcPr>
          <w:p>
            <w:pPr>
              <w:spacing w:after="0"/>
              <w:rPr>
                <w:rFonts w:ascii="Arial" w:cs="Arial" w:eastAsia="Arial" w:hAnsi="Arial"/>
                <w:sz w:val="19"/>
                <w:szCs w:val="19"/>
                <w:b w:val="1"/>
                <w:bCs w:val="1"/>
                <w:color w:val="auto"/>
              </w:rPr>
            </w:pPr>
            <w:hyperlink w:anchor="page59">
              <w:r>
                <w:rPr>
                  <w:rFonts w:ascii="Arial" w:cs="Arial" w:eastAsia="Arial" w:hAnsi="Arial"/>
                  <w:sz w:val="19"/>
                  <w:szCs w:val="19"/>
                  <w:b w:val="1"/>
                  <w:bCs w:val="1"/>
                  <w:color w:val="auto"/>
                </w:rPr>
                <w:t>Executive Summary</w:t>
              </w:r>
            </w:hyperlink>
          </w:p>
        </w:tc>
        <w:tc>
          <w:tcPr>
            <w:tcW w:w="1660" w:type="dxa"/>
            <w:vAlign w:val="bottom"/>
          </w:tcPr>
          <w:p>
            <w:pPr>
              <w:jc w:val="right"/>
              <w:spacing w:after="0"/>
              <w:rPr>
                <w:rFonts w:ascii="Arial" w:cs="Arial" w:eastAsia="Arial" w:hAnsi="Arial"/>
                <w:sz w:val="19"/>
                <w:szCs w:val="19"/>
                <w:b w:val="1"/>
                <w:bCs w:val="1"/>
                <w:color w:val="auto"/>
              </w:rPr>
            </w:pPr>
            <w:hyperlink w:anchor="page59">
              <w:r>
                <w:rPr>
                  <w:rFonts w:ascii="Arial" w:cs="Arial" w:eastAsia="Arial" w:hAnsi="Arial"/>
                  <w:sz w:val="19"/>
                  <w:szCs w:val="19"/>
                  <w:b w:val="1"/>
                  <w:bCs w:val="1"/>
                  <w:color w:val="auto"/>
                </w:rPr>
                <w:t>56</w:t>
              </w:r>
            </w:hyperlink>
          </w:p>
        </w:tc>
      </w:tr>
      <w:tr>
        <w:trPr>
          <w:trHeight w:val="309"/>
        </w:trPr>
        <w:tc>
          <w:tcPr>
            <w:tcW w:w="9400" w:type="dxa"/>
            <w:vAlign w:val="bottom"/>
          </w:tcPr>
          <w:p>
            <w:pPr>
              <w:ind w:left="20"/>
              <w:spacing w:after="0"/>
              <w:rPr>
                <w:rFonts w:ascii="Arial" w:cs="Arial" w:eastAsia="Arial" w:hAnsi="Arial"/>
                <w:sz w:val="19"/>
                <w:szCs w:val="19"/>
                <w:b w:val="1"/>
                <w:bCs w:val="1"/>
                <w:color w:val="125288"/>
              </w:rPr>
            </w:pPr>
            <w:hyperlink w:anchor="page59">
              <w:r>
                <w:rPr>
                  <w:rFonts w:ascii="Arial" w:cs="Arial" w:eastAsia="Arial" w:hAnsi="Arial"/>
                  <w:sz w:val="19"/>
                  <w:szCs w:val="19"/>
                  <w:b w:val="1"/>
                  <w:bCs w:val="1"/>
                  <w:color w:val="125288"/>
                </w:rPr>
                <w:t>Long-Term Company Performance</w:t>
              </w:r>
            </w:hyperlink>
          </w:p>
        </w:tc>
        <w:tc>
          <w:tcPr>
            <w:tcW w:w="1660" w:type="dxa"/>
            <w:vAlign w:val="bottom"/>
          </w:tcPr>
          <w:p>
            <w:pPr>
              <w:jc w:val="right"/>
              <w:spacing w:after="0"/>
              <w:rPr>
                <w:rFonts w:ascii="Arial" w:cs="Arial" w:eastAsia="Arial" w:hAnsi="Arial"/>
                <w:sz w:val="19"/>
                <w:szCs w:val="19"/>
                <w:b w:val="1"/>
                <w:bCs w:val="1"/>
                <w:color w:val="125288"/>
              </w:rPr>
            </w:pPr>
            <w:hyperlink w:anchor="page59">
              <w:r>
                <w:rPr>
                  <w:rFonts w:ascii="Arial" w:cs="Arial" w:eastAsia="Arial" w:hAnsi="Arial"/>
                  <w:sz w:val="19"/>
                  <w:szCs w:val="19"/>
                  <w:b w:val="1"/>
                  <w:bCs w:val="1"/>
                  <w:color w:val="125288"/>
                </w:rPr>
                <w:t>56</w:t>
              </w:r>
            </w:hyperlink>
          </w:p>
        </w:tc>
      </w:tr>
      <w:tr>
        <w:trPr>
          <w:trHeight w:val="273"/>
        </w:trPr>
        <w:tc>
          <w:tcPr>
            <w:tcW w:w="9400" w:type="dxa"/>
            <w:vAlign w:val="bottom"/>
          </w:tcPr>
          <w:p>
            <w:pPr>
              <w:ind w:left="20"/>
              <w:spacing w:after="0"/>
              <w:rPr>
                <w:rFonts w:ascii="Arial" w:cs="Arial" w:eastAsia="Arial" w:hAnsi="Arial"/>
                <w:sz w:val="19"/>
                <w:szCs w:val="19"/>
                <w:b w:val="1"/>
                <w:bCs w:val="1"/>
                <w:color w:val="125288"/>
              </w:rPr>
            </w:pPr>
            <w:hyperlink w:anchor="page60">
              <w:r>
                <w:rPr>
                  <w:rFonts w:ascii="Arial" w:cs="Arial" w:eastAsia="Arial" w:hAnsi="Arial"/>
                  <w:sz w:val="19"/>
                  <w:szCs w:val="19"/>
                  <w:b w:val="1"/>
                  <w:bCs w:val="1"/>
                  <w:color w:val="125288"/>
                </w:rPr>
                <w:t>Our Corporate Strategy</w:t>
              </w:r>
            </w:hyperlink>
          </w:p>
        </w:tc>
        <w:tc>
          <w:tcPr>
            <w:tcW w:w="1660" w:type="dxa"/>
            <w:vAlign w:val="bottom"/>
          </w:tcPr>
          <w:p>
            <w:pPr>
              <w:jc w:val="right"/>
              <w:spacing w:after="0"/>
              <w:rPr>
                <w:rFonts w:ascii="Arial" w:cs="Arial" w:eastAsia="Arial" w:hAnsi="Arial"/>
                <w:sz w:val="19"/>
                <w:szCs w:val="19"/>
                <w:b w:val="1"/>
                <w:bCs w:val="1"/>
                <w:color w:val="125288"/>
              </w:rPr>
            </w:pPr>
            <w:hyperlink w:anchor="page60">
              <w:r>
                <w:rPr>
                  <w:rFonts w:ascii="Arial" w:cs="Arial" w:eastAsia="Arial" w:hAnsi="Arial"/>
                  <w:sz w:val="19"/>
                  <w:szCs w:val="19"/>
                  <w:b w:val="1"/>
                  <w:bCs w:val="1"/>
                  <w:color w:val="125288"/>
                </w:rPr>
                <w:t>57</w:t>
              </w:r>
            </w:hyperlink>
          </w:p>
        </w:tc>
      </w:tr>
      <w:tr>
        <w:trPr>
          <w:trHeight w:val="273"/>
        </w:trPr>
        <w:tc>
          <w:tcPr>
            <w:tcW w:w="9400" w:type="dxa"/>
            <w:vAlign w:val="bottom"/>
          </w:tcPr>
          <w:p>
            <w:pPr>
              <w:ind w:left="20"/>
              <w:spacing w:after="0"/>
              <w:rPr>
                <w:rFonts w:ascii="Arial" w:cs="Arial" w:eastAsia="Arial" w:hAnsi="Arial"/>
                <w:sz w:val="19"/>
                <w:szCs w:val="19"/>
                <w:b w:val="1"/>
                <w:bCs w:val="1"/>
                <w:color w:val="125288"/>
              </w:rPr>
            </w:pPr>
            <w:hyperlink w:anchor="page61">
              <w:r>
                <w:rPr>
                  <w:rFonts w:ascii="Arial" w:cs="Arial" w:eastAsia="Arial" w:hAnsi="Arial"/>
                  <w:sz w:val="19"/>
                  <w:szCs w:val="19"/>
                  <w:b w:val="1"/>
                  <w:bCs w:val="1"/>
                  <w:color w:val="125288"/>
                </w:rPr>
                <w:t>2021 Performance</w:t>
              </w:r>
            </w:hyperlink>
          </w:p>
        </w:tc>
        <w:tc>
          <w:tcPr>
            <w:tcW w:w="1660" w:type="dxa"/>
            <w:vAlign w:val="bottom"/>
          </w:tcPr>
          <w:p>
            <w:pPr>
              <w:jc w:val="right"/>
              <w:spacing w:after="0"/>
              <w:rPr>
                <w:rFonts w:ascii="Arial" w:cs="Arial" w:eastAsia="Arial" w:hAnsi="Arial"/>
                <w:sz w:val="19"/>
                <w:szCs w:val="19"/>
                <w:b w:val="1"/>
                <w:bCs w:val="1"/>
                <w:color w:val="125288"/>
              </w:rPr>
            </w:pPr>
            <w:hyperlink w:anchor="page61">
              <w:r>
                <w:rPr>
                  <w:rFonts w:ascii="Arial" w:cs="Arial" w:eastAsia="Arial" w:hAnsi="Arial"/>
                  <w:sz w:val="19"/>
                  <w:szCs w:val="19"/>
                  <w:b w:val="1"/>
                  <w:bCs w:val="1"/>
                  <w:color w:val="125288"/>
                </w:rPr>
                <w:t>58</w:t>
              </w:r>
            </w:hyperlink>
          </w:p>
        </w:tc>
      </w:tr>
      <w:tr>
        <w:trPr>
          <w:trHeight w:val="273"/>
        </w:trPr>
        <w:tc>
          <w:tcPr>
            <w:tcW w:w="9400" w:type="dxa"/>
            <w:vAlign w:val="bottom"/>
          </w:tcPr>
          <w:p>
            <w:pPr>
              <w:ind w:left="20"/>
              <w:spacing w:after="0"/>
              <w:rPr>
                <w:rFonts w:ascii="Arial" w:cs="Arial" w:eastAsia="Arial" w:hAnsi="Arial"/>
                <w:sz w:val="19"/>
                <w:szCs w:val="19"/>
                <w:b w:val="1"/>
                <w:bCs w:val="1"/>
                <w:color w:val="125288"/>
              </w:rPr>
            </w:pPr>
            <w:hyperlink w:anchor="page62">
              <w:r>
                <w:rPr>
                  <w:rFonts w:ascii="Arial" w:cs="Arial" w:eastAsia="Arial" w:hAnsi="Arial"/>
                  <w:sz w:val="19"/>
                  <w:szCs w:val="19"/>
                  <w:b w:val="1"/>
                  <w:bCs w:val="1"/>
                  <w:color w:val="125288"/>
                </w:rPr>
                <w:t>2021 Pay-for-Performance Alignment</w:t>
              </w:r>
            </w:hyperlink>
          </w:p>
        </w:tc>
        <w:tc>
          <w:tcPr>
            <w:tcW w:w="1660" w:type="dxa"/>
            <w:vAlign w:val="bottom"/>
          </w:tcPr>
          <w:p>
            <w:pPr>
              <w:jc w:val="right"/>
              <w:spacing w:after="0"/>
              <w:rPr>
                <w:rFonts w:ascii="Arial" w:cs="Arial" w:eastAsia="Arial" w:hAnsi="Arial"/>
                <w:sz w:val="19"/>
                <w:szCs w:val="19"/>
                <w:b w:val="1"/>
                <w:bCs w:val="1"/>
                <w:color w:val="125288"/>
              </w:rPr>
            </w:pPr>
            <w:hyperlink w:anchor="page62">
              <w:r>
                <w:rPr>
                  <w:rFonts w:ascii="Arial" w:cs="Arial" w:eastAsia="Arial" w:hAnsi="Arial"/>
                  <w:sz w:val="19"/>
                  <w:szCs w:val="19"/>
                  <w:b w:val="1"/>
                  <w:bCs w:val="1"/>
                  <w:color w:val="125288"/>
                </w:rPr>
                <w:t>59</w:t>
              </w:r>
            </w:hyperlink>
          </w:p>
        </w:tc>
      </w:tr>
      <w:tr>
        <w:trPr>
          <w:trHeight w:val="273"/>
        </w:trPr>
        <w:tc>
          <w:tcPr>
            <w:tcW w:w="9400" w:type="dxa"/>
            <w:vAlign w:val="bottom"/>
          </w:tcPr>
          <w:p>
            <w:pPr>
              <w:spacing w:after="0"/>
              <w:rPr>
                <w:rFonts w:ascii="Arial" w:cs="Arial" w:eastAsia="Arial" w:hAnsi="Arial"/>
                <w:sz w:val="19"/>
                <w:szCs w:val="19"/>
                <w:b w:val="1"/>
                <w:bCs w:val="1"/>
                <w:color w:val="auto"/>
              </w:rPr>
            </w:pPr>
            <w:hyperlink w:anchor="page62">
              <w:r>
                <w:rPr>
                  <w:rFonts w:ascii="Arial" w:cs="Arial" w:eastAsia="Arial" w:hAnsi="Arial"/>
                  <w:sz w:val="19"/>
                  <w:szCs w:val="19"/>
                  <w:b w:val="1"/>
                  <w:bCs w:val="1"/>
                  <w:color w:val="auto"/>
                </w:rPr>
                <w:t>How the Board is Addressing Shareholder Feedback About Our Compensation Program</w:t>
              </w:r>
            </w:hyperlink>
          </w:p>
        </w:tc>
        <w:tc>
          <w:tcPr>
            <w:tcW w:w="1660" w:type="dxa"/>
            <w:vAlign w:val="bottom"/>
          </w:tcPr>
          <w:p>
            <w:pPr>
              <w:jc w:val="right"/>
              <w:spacing w:after="0"/>
              <w:rPr>
                <w:rFonts w:ascii="Arial" w:cs="Arial" w:eastAsia="Arial" w:hAnsi="Arial"/>
                <w:sz w:val="19"/>
                <w:szCs w:val="19"/>
                <w:b w:val="1"/>
                <w:bCs w:val="1"/>
                <w:color w:val="auto"/>
              </w:rPr>
            </w:pPr>
            <w:hyperlink w:anchor="page62">
              <w:r>
                <w:rPr>
                  <w:rFonts w:ascii="Arial" w:cs="Arial" w:eastAsia="Arial" w:hAnsi="Arial"/>
                  <w:sz w:val="19"/>
                  <w:szCs w:val="19"/>
                  <w:b w:val="1"/>
                  <w:bCs w:val="1"/>
                  <w:color w:val="auto"/>
                </w:rPr>
                <w:t>59</w:t>
              </w:r>
            </w:hyperlink>
          </w:p>
        </w:tc>
      </w:tr>
      <w:tr>
        <w:trPr>
          <w:trHeight w:val="309"/>
        </w:trPr>
        <w:tc>
          <w:tcPr>
            <w:tcW w:w="9400" w:type="dxa"/>
            <w:vAlign w:val="bottom"/>
          </w:tcPr>
          <w:p>
            <w:pPr>
              <w:ind w:left="20"/>
              <w:spacing w:after="0"/>
              <w:rPr>
                <w:rFonts w:ascii="Arial" w:cs="Arial" w:eastAsia="Arial" w:hAnsi="Arial"/>
                <w:sz w:val="19"/>
                <w:szCs w:val="19"/>
                <w:b w:val="1"/>
                <w:bCs w:val="1"/>
                <w:color w:val="125288"/>
              </w:rPr>
            </w:pPr>
            <w:hyperlink w:anchor="page63">
              <w:r>
                <w:rPr>
                  <w:rFonts w:ascii="Arial" w:cs="Arial" w:eastAsia="Arial" w:hAnsi="Arial"/>
                  <w:sz w:val="19"/>
                  <w:szCs w:val="19"/>
                  <w:b w:val="1"/>
                  <w:bCs w:val="1"/>
                  <w:color w:val="125288"/>
                </w:rPr>
                <w:t>Pay Program Modifications During 2021</w:t>
              </w:r>
            </w:hyperlink>
          </w:p>
        </w:tc>
        <w:tc>
          <w:tcPr>
            <w:tcW w:w="1660" w:type="dxa"/>
            <w:vAlign w:val="bottom"/>
          </w:tcPr>
          <w:p>
            <w:pPr>
              <w:jc w:val="right"/>
              <w:spacing w:after="0"/>
              <w:rPr>
                <w:rFonts w:ascii="Arial" w:cs="Arial" w:eastAsia="Arial" w:hAnsi="Arial"/>
                <w:sz w:val="19"/>
                <w:szCs w:val="19"/>
                <w:b w:val="1"/>
                <w:bCs w:val="1"/>
                <w:color w:val="125288"/>
              </w:rPr>
            </w:pPr>
            <w:hyperlink w:anchor="page63">
              <w:r>
                <w:rPr>
                  <w:rFonts w:ascii="Arial" w:cs="Arial" w:eastAsia="Arial" w:hAnsi="Arial"/>
                  <w:sz w:val="19"/>
                  <w:szCs w:val="19"/>
                  <w:b w:val="1"/>
                  <w:bCs w:val="1"/>
                  <w:color w:val="125288"/>
                </w:rPr>
                <w:t>60</w:t>
              </w:r>
            </w:hyperlink>
          </w:p>
        </w:tc>
      </w:tr>
      <w:tr>
        <w:trPr>
          <w:trHeight w:val="273"/>
        </w:trPr>
        <w:tc>
          <w:tcPr>
            <w:tcW w:w="9400" w:type="dxa"/>
            <w:vAlign w:val="bottom"/>
          </w:tcPr>
          <w:p>
            <w:pPr>
              <w:spacing w:after="0"/>
              <w:rPr>
                <w:rFonts w:ascii="Arial" w:cs="Arial" w:eastAsia="Arial" w:hAnsi="Arial"/>
                <w:sz w:val="19"/>
                <w:szCs w:val="19"/>
                <w:b w:val="1"/>
                <w:bCs w:val="1"/>
                <w:color w:val="auto"/>
              </w:rPr>
            </w:pPr>
            <w:hyperlink w:anchor="page65">
              <w:r>
                <w:rPr>
                  <w:rFonts w:ascii="Arial" w:cs="Arial" w:eastAsia="Arial" w:hAnsi="Arial"/>
                  <w:sz w:val="19"/>
                  <w:szCs w:val="19"/>
                  <w:b w:val="1"/>
                  <w:bCs w:val="1"/>
                  <w:color w:val="auto"/>
                </w:rPr>
                <w:t>Additional Detail About the CEO’s Employment Agreement</w:t>
              </w:r>
            </w:hyperlink>
          </w:p>
        </w:tc>
        <w:tc>
          <w:tcPr>
            <w:tcW w:w="1660" w:type="dxa"/>
            <w:vAlign w:val="bottom"/>
          </w:tcPr>
          <w:p>
            <w:pPr>
              <w:jc w:val="right"/>
              <w:spacing w:after="0"/>
              <w:rPr>
                <w:rFonts w:ascii="Arial" w:cs="Arial" w:eastAsia="Arial" w:hAnsi="Arial"/>
                <w:sz w:val="19"/>
                <w:szCs w:val="19"/>
                <w:b w:val="1"/>
                <w:bCs w:val="1"/>
                <w:color w:val="auto"/>
              </w:rPr>
            </w:pPr>
            <w:hyperlink w:anchor="page65">
              <w:r>
                <w:rPr>
                  <w:rFonts w:ascii="Arial" w:cs="Arial" w:eastAsia="Arial" w:hAnsi="Arial"/>
                  <w:sz w:val="19"/>
                  <w:szCs w:val="19"/>
                  <w:b w:val="1"/>
                  <w:bCs w:val="1"/>
                  <w:color w:val="auto"/>
                </w:rPr>
                <w:t>62</w:t>
              </w:r>
            </w:hyperlink>
          </w:p>
        </w:tc>
      </w:tr>
      <w:tr>
        <w:trPr>
          <w:trHeight w:val="309"/>
        </w:trPr>
        <w:tc>
          <w:tcPr>
            <w:tcW w:w="9400" w:type="dxa"/>
            <w:vAlign w:val="bottom"/>
          </w:tcPr>
          <w:p>
            <w:pPr>
              <w:spacing w:after="0"/>
              <w:rPr>
                <w:rFonts w:ascii="Arial" w:cs="Arial" w:eastAsia="Arial" w:hAnsi="Arial"/>
                <w:sz w:val="19"/>
                <w:szCs w:val="19"/>
                <w:b w:val="1"/>
                <w:bCs w:val="1"/>
                <w:color w:val="auto"/>
              </w:rPr>
            </w:pPr>
            <w:hyperlink w:anchor="page67">
              <w:r>
                <w:rPr>
                  <w:rFonts w:ascii="Arial" w:cs="Arial" w:eastAsia="Arial" w:hAnsi="Arial"/>
                  <w:sz w:val="19"/>
                  <w:szCs w:val="19"/>
                  <w:b w:val="1"/>
                  <w:bCs w:val="1"/>
                  <w:color w:val="auto"/>
                </w:rPr>
                <w:t>Compensation Philosophy</w:t>
              </w:r>
            </w:hyperlink>
          </w:p>
        </w:tc>
        <w:tc>
          <w:tcPr>
            <w:tcW w:w="1660" w:type="dxa"/>
            <w:vAlign w:val="bottom"/>
          </w:tcPr>
          <w:p>
            <w:pPr>
              <w:jc w:val="right"/>
              <w:spacing w:after="0"/>
              <w:rPr>
                <w:rFonts w:ascii="Arial" w:cs="Arial" w:eastAsia="Arial" w:hAnsi="Arial"/>
                <w:sz w:val="19"/>
                <w:szCs w:val="19"/>
                <w:b w:val="1"/>
                <w:bCs w:val="1"/>
                <w:color w:val="auto"/>
              </w:rPr>
            </w:pPr>
            <w:hyperlink w:anchor="page67">
              <w:r>
                <w:rPr>
                  <w:rFonts w:ascii="Arial" w:cs="Arial" w:eastAsia="Arial" w:hAnsi="Arial"/>
                  <w:sz w:val="19"/>
                  <w:szCs w:val="19"/>
                  <w:b w:val="1"/>
                  <w:bCs w:val="1"/>
                  <w:color w:val="auto"/>
                </w:rPr>
                <w:t>64</w:t>
              </w:r>
            </w:hyperlink>
          </w:p>
        </w:tc>
      </w:tr>
      <w:tr>
        <w:trPr>
          <w:trHeight w:val="309"/>
        </w:trPr>
        <w:tc>
          <w:tcPr>
            <w:tcW w:w="9400" w:type="dxa"/>
            <w:vAlign w:val="bottom"/>
          </w:tcPr>
          <w:p>
            <w:pPr>
              <w:spacing w:after="0"/>
              <w:rPr>
                <w:rFonts w:ascii="Arial" w:cs="Arial" w:eastAsia="Arial" w:hAnsi="Arial"/>
                <w:sz w:val="19"/>
                <w:szCs w:val="19"/>
                <w:b w:val="1"/>
                <w:bCs w:val="1"/>
                <w:color w:val="auto"/>
              </w:rPr>
            </w:pPr>
            <w:hyperlink w:anchor="page69">
              <w:r>
                <w:rPr>
                  <w:rFonts w:ascii="Arial" w:cs="Arial" w:eastAsia="Arial" w:hAnsi="Arial"/>
                  <w:sz w:val="19"/>
                  <w:szCs w:val="19"/>
                  <w:b w:val="1"/>
                  <w:bCs w:val="1"/>
                  <w:color w:val="auto"/>
                </w:rPr>
                <w:t>How We Make Decisions About Executive Compensation</w:t>
              </w:r>
            </w:hyperlink>
          </w:p>
        </w:tc>
        <w:tc>
          <w:tcPr>
            <w:tcW w:w="1660" w:type="dxa"/>
            <w:vAlign w:val="bottom"/>
          </w:tcPr>
          <w:p>
            <w:pPr>
              <w:jc w:val="right"/>
              <w:spacing w:after="0"/>
              <w:rPr>
                <w:rFonts w:ascii="Arial" w:cs="Arial" w:eastAsia="Arial" w:hAnsi="Arial"/>
                <w:sz w:val="19"/>
                <w:szCs w:val="19"/>
                <w:b w:val="1"/>
                <w:bCs w:val="1"/>
                <w:color w:val="auto"/>
              </w:rPr>
            </w:pPr>
            <w:hyperlink w:anchor="page69">
              <w:r>
                <w:rPr>
                  <w:rFonts w:ascii="Arial" w:cs="Arial" w:eastAsia="Arial" w:hAnsi="Arial"/>
                  <w:sz w:val="19"/>
                  <w:szCs w:val="19"/>
                  <w:b w:val="1"/>
                  <w:bCs w:val="1"/>
                  <w:color w:val="auto"/>
                </w:rPr>
                <w:t>66</w:t>
              </w:r>
            </w:hyperlink>
          </w:p>
        </w:tc>
      </w:tr>
      <w:tr>
        <w:trPr>
          <w:trHeight w:val="309"/>
        </w:trPr>
        <w:tc>
          <w:tcPr>
            <w:tcW w:w="9400" w:type="dxa"/>
            <w:vAlign w:val="bottom"/>
          </w:tcPr>
          <w:p>
            <w:pPr>
              <w:ind w:left="20"/>
              <w:spacing w:after="0"/>
              <w:rPr>
                <w:rFonts w:ascii="Arial" w:cs="Arial" w:eastAsia="Arial" w:hAnsi="Arial"/>
                <w:sz w:val="19"/>
                <w:szCs w:val="19"/>
                <w:b w:val="1"/>
                <w:bCs w:val="1"/>
                <w:color w:val="125288"/>
              </w:rPr>
            </w:pPr>
            <w:hyperlink w:anchor="page69">
              <w:r>
                <w:rPr>
                  <w:rFonts w:ascii="Arial" w:cs="Arial" w:eastAsia="Arial" w:hAnsi="Arial"/>
                  <w:sz w:val="19"/>
                  <w:szCs w:val="19"/>
                  <w:b w:val="1"/>
                  <w:bCs w:val="1"/>
                  <w:color w:val="125288"/>
                </w:rPr>
                <w:t>Factors Influencing Compensation Decisions</w:t>
              </w:r>
            </w:hyperlink>
          </w:p>
        </w:tc>
        <w:tc>
          <w:tcPr>
            <w:tcW w:w="1660" w:type="dxa"/>
            <w:vAlign w:val="bottom"/>
          </w:tcPr>
          <w:p>
            <w:pPr>
              <w:jc w:val="right"/>
              <w:spacing w:after="0"/>
              <w:rPr>
                <w:rFonts w:ascii="Arial" w:cs="Arial" w:eastAsia="Arial" w:hAnsi="Arial"/>
                <w:sz w:val="19"/>
                <w:szCs w:val="19"/>
                <w:b w:val="1"/>
                <w:bCs w:val="1"/>
                <w:color w:val="125288"/>
              </w:rPr>
            </w:pPr>
            <w:hyperlink w:anchor="page69">
              <w:r>
                <w:rPr>
                  <w:rFonts w:ascii="Arial" w:cs="Arial" w:eastAsia="Arial" w:hAnsi="Arial"/>
                  <w:sz w:val="19"/>
                  <w:szCs w:val="19"/>
                  <w:b w:val="1"/>
                  <w:bCs w:val="1"/>
                  <w:color w:val="125288"/>
                </w:rPr>
                <w:t>66</w:t>
              </w:r>
            </w:hyperlink>
          </w:p>
        </w:tc>
      </w:tr>
      <w:tr>
        <w:trPr>
          <w:trHeight w:val="273"/>
        </w:trPr>
        <w:tc>
          <w:tcPr>
            <w:tcW w:w="9400" w:type="dxa"/>
            <w:vAlign w:val="bottom"/>
          </w:tcPr>
          <w:p>
            <w:pPr>
              <w:ind w:left="20"/>
              <w:spacing w:after="0"/>
              <w:rPr>
                <w:rFonts w:ascii="Arial" w:cs="Arial" w:eastAsia="Arial" w:hAnsi="Arial"/>
                <w:sz w:val="19"/>
                <w:szCs w:val="19"/>
                <w:b w:val="1"/>
                <w:bCs w:val="1"/>
                <w:color w:val="125288"/>
              </w:rPr>
            </w:pPr>
            <w:hyperlink w:anchor="page70">
              <w:r>
                <w:rPr>
                  <w:rFonts w:ascii="Arial" w:cs="Arial" w:eastAsia="Arial" w:hAnsi="Arial"/>
                  <w:sz w:val="19"/>
                  <w:szCs w:val="19"/>
                  <w:b w:val="1"/>
                  <w:bCs w:val="1"/>
                  <w:color w:val="125288"/>
                </w:rPr>
                <w:t>How the Competitive Business Environment Affects Our Talent Requirements</w:t>
              </w:r>
            </w:hyperlink>
          </w:p>
        </w:tc>
        <w:tc>
          <w:tcPr>
            <w:tcW w:w="1660" w:type="dxa"/>
            <w:vAlign w:val="bottom"/>
          </w:tcPr>
          <w:p>
            <w:pPr>
              <w:jc w:val="right"/>
              <w:spacing w:after="0"/>
              <w:rPr>
                <w:rFonts w:ascii="Arial" w:cs="Arial" w:eastAsia="Arial" w:hAnsi="Arial"/>
                <w:sz w:val="19"/>
                <w:szCs w:val="19"/>
                <w:b w:val="1"/>
                <w:bCs w:val="1"/>
                <w:color w:val="125288"/>
              </w:rPr>
            </w:pPr>
            <w:hyperlink w:anchor="page70">
              <w:r>
                <w:rPr>
                  <w:rFonts w:ascii="Arial" w:cs="Arial" w:eastAsia="Arial" w:hAnsi="Arial"/>
                  <w:sz w:val="19"/>
                  <w:szCs w:val="19"/>
                  <w:b w:val="1"/>
                  <w:bCs w:val="1"/>
                  <w:color w:val="125288"/>
                </w:rPr>
                <w:t>67</w:t>
              </w:r>
            </w:hyperlink>
          </w:p>
        </w:tc>
      </w:tr>
      <w:tr>
        <w:trPr>
          <w:trHeight w:val="273"/>
        </w:trPr>
        <w:tc>
          <w:tcPr>
            <w:tcW w:w="9400" w:type="dxa"/>
            <w:vAlign w:val="bottom"/>
          </w:tcPr>
          <w:p>
            <w:pPr>
              <w:ind w:left="20"/>
              <w:spacing w:after="0"/>
              <w:rPr>
                <w:rFonts w:ascii="Arial" w:cs="Arial" w:eastAsia="Arial" w:hAnsi="Arial"/>
                <w:sz w:val="19"/>
                <w:szCs w:val="19"/>
                <w:b w:val="1"/>
                <w:bCs w:val="1"/>
                <w:color w:val="125288"/>
              </w:rPr>
            </w:pPr>
            <w:hyperlink w:anchor="page70">
              <w:r>
                <w:rPr>
                  <w:rFonts w:ascii="Arial" w:cs="Arial" w:eastAsia="Arial" w:hAnsi="Arial"/>
                  <w:sz w:val="19"/>
                  <w:szCs w:val="19"/>
                  <w:b w:val="1"/>
                  <w:bCs w:val="1"/>
                  <w:color w:val="125288"/>
                </w:rPr>
                <w:t>Why We Use Employment Agreements</w:t>
              </w:r>
            </w:hyperlink>
          </w:p>
        </w:tc>
        <w:tc>
          <w:tcPr>
            <w:tcW w:w="1660" w:type="dxa"/>
            <w:vAlign w:val="bottom"/>
          </w:tcPr>
          <w:p>
            <w:pPr>
              <w:jc w:val="right"/>
              <w:spacing w:after="0"/>
              <w:rPr>
                <w:rFonts w:ascii="Arial" w:cs="Arial" w:eastAsia="Arial" w:hAnsi="Arial"/>
                <w:sz w:val="19"/>
                <w:szCs w:val="19"/>
                <w:b w:val="1"/>
                <w:bCs w:val="1"/>
                <w:color w:val="125288"/>
              </w:rPr>
            </w:pPr>
            <w:hyperlink w:anchor="page70">
              <w:r>
                <w:rPr>
                  <w:rFonts w:ascii="Arial" w:cs="Arial" w:eastAsia="Arial" w:hAnsi="Arial"/>
                  <w:sz w:val="19"/>
                  <w:szCs w:val="19"/>
                  <w:b w:val="1"/>
                  <w:bCs w:val="1"/>
                  <w:color w:val="125288"/>
                </w:rPr>
                <w:t>67</w:t>
              </w:r>
            </w:hyperlink>
          </w:p>
        </w:tc>
      </w:tr>
      <w:tr>
        <w:trPr>
          <w:trHeight w:val="273"/>
        </w:trPr>
        <w:tc>
          <w:tcPr>
            <w:tcW w:w="9400" w:type="dxa"/>
            <w:vAlign w:val="bottom"/>
          </w:tcPr>
          <w:p>
            <w:pPr>
              <w:ind w:left="20"/>
              <w:spacing w:after="0"/>
              <w:rPr>
                <w:rFonts w:ascii="Arial" w:cs="Arial" w:eastAsia="Arial" w:hAnsi="Arial"/>
                <w:sz w:val="19"/>
                <w:szCs w:val="19"/>
                <w:b w:val="1"/>
                <w:bCs w:val="1"/>
                <w:color w:val="125288"/>
              </w:rPr>
            </w:pPr>
            <w:hyperlink w:anchor="page71">
              <w:r>
                <w:rPr>
                  <w:rFonts w:ascii="Arial" w:cs="Arial" w:eastAsia="Arial" w:hAnsi="Arial"/>
                  <w:sz w:val="19"/>
                  <w:szCs w:val="19"/>
                  <w:b w:val="1"/>
                  <w:bCs w:val="1"/>
                  <w:color w:val="125288"/>
                </w:rPr>
                <w:t>How We Use Peer Company Data and Compensation Surveys</w:t>
              </w:r>
            </w:hyperlink>
          </w:p>
        </w:tc>
        <w:tc>
          <w:tcPr>
            <w:tcW w:w="1660" w:type="dxa"/>
            <w:vAlign w:val="bottom"/>
          </w:tcPr>
          <w:p>
            <w:pPr>
              <w:jc w:val="right"/>
              <w:spacing w:after="0"/>
              <w:rPr>
                <w:rFonts w:ascii="Arial" w:cs="Arial" w:eastAsia="Arial" w:hAnsi="Arial"/>
                <w:sz w:val="19"/>
                <w:szCs w:val="19"/>
                <w:b w:val="1"/>
                <w:bCs w:val="1"/>
                <w:color w:val="125288"/>
              </w:rPr>
            </w:pPr>
            <w:hyperlink w:anchor="page71">
              <w:r>
                <w:rPr>
                  <w:rFonts w:ascii="Arial" w:cs="Arial" w:eastAsia="Arial" w:hAnsi="Arial"/>
                  <w:sz w:val="19"/>
                  <w:szCs w:val="19"/>
                  <w:b w:val="1"/>
                  <w:bCs w:val="1"/>
                  <w:color w:val="125288"/>
                </w:rPr>
                <w:t>68</w:t>
              </w:r>
            </w:hyperlink>
          </w:p>
        </w:tc>
      </w:tr>
      <w:tr>
        <w:trPr>
          <w:trHeight w:val="285"/>
        </w:trPr>
        <w:tc>
          <w:tcPr>
            <w:tcW w:w="9400" w:type="dxa"/>
            <w:vAlign w:val="bottom"/>
          </w:tcPr>
          <w:p>
            <w:pPr>
              <w:ind w:left="20"/>
              <w:spacing w:after="0"/>
              <w:rPr>
                <w:rFonts w:ascii="Arial" w:cs="Arial" w:eastAsia="Arial" w:hAnsi="Arial"/>
                <w:sz w:val="19"/>
                <w:szCs w:val="19"/>
                <w:b w:val="1"/>
                <w:bCs w:val="1"/>
                <w:color w:val="125288"/>
              </w:rPr>
            </w:pPr>
            <w:hyperlink w:anchor="page72">
              <w:r>
                <w:rPr>
                  <w:rFonts w:ascii="Arial" w:cs="Arial" w:eastAsia="Arial" w:hAnsi="Arial"/>
                  <w:sz w:val="19"/>
                  <w:szCs w:val="19"/>
                  <w:b w:val="1"/>
                  <w:bCs w:val="1"/>
                  <w:color w:val="125288"/>
                </w:rPr>
                <w:t>Key Participants in the Executive Compensation Decision-Making Process</w:t>
              </w:r>
            </w:hyperlink>
          </w:p>
        </w:tc>
        <w:tc>
          <w:tcPr>
            <w:tcW w:w="1660" w:type="dxa"/>
            <w:vAlign w:val="bottom"/>
          </w:tcPr>
          <w:p>
            <w:pPr>
              <w:jc w:val="right"/>
              <w:spacing w:after="0"/>
              <w:rPr>
                <w:rFonts w:ascii="Arial" w:cs="Arial" w:eastAsia="Arial" w:hAnsi="Arial"/>
                <w:sz w:val="19"/>
                <w:szCs w:val="19"/>
                <w:b w:val="1"/>
                <w:bCs w:val="1"/>
                <w:color w:val="125288"/>
              </w:rPr>
            </w:pPr>
            <w:hyperlink w:anchor="page72">
              <w:r>
                <w:rPr>
                  <w:rFonts w:ascii="Arial" w:cs="Arial" w:eastAsia="Arial" w:hAnsi="Arial"/>
                  <w:sz w:val="19"/>
                  <w:szCs w:val="19"/>
                  <w:b w:val="1"/>
                  <w:bCs w:val="1"/>
                  <w:color w:val="125288"/>
                </w:rPr>
                <w:t>69</w:t>
              </w:r>
            </w:hyperlink>
          </w:p>
        </w:tc>
      </w:tr>
      <w:tr>
        <w:trPr>
          <w:trHeight w:val="273"/>
        </w:trPr>
        <w:tc>
          <w:tcPr>
            <w:tcW w:w="9400" w:type="dxa"/>
            <w:vAlign w:val="bottom"/>
          </w:tcPr>
          <w:p>
            <w:pPr>
              <w:ind w:left="20"/>
              <w:spacing w:after="0"/>
              <w:rPr>
                <w:rFonts w:ascii="Arial" w:cs="Arial" w:eastAsia="Arial" w:hAnsi="Arial"/>
                <w:sz w:val="19"/>
                <w:szCs w:val="19"/>
                <w:b w:val="1"/>
                <w:bCs w:val="1"/>
                <w:color w:val="125288"/>
              </w:rPr>
            </w:pPr>
            <w:hyperlink w:anchor="page74">
              <w:r>
                <w:rPr>
                  <w:rFonts w:ascii="Arial" w:cs="Arial" w:eastAsia="Arial" w:hAnsi="Arial"/>
                  <w:sz w:val="19"/>
                  <w:szCs w:val="19"/>
                  <w:b w:val="1"/>
                  <w:bCs w:val="1"/>
                  <w:color w:val="125288"/>
                </w:rPr>
                <w:t>Compensation Policies that Mitigate Risk</w:t>
              </w:r>
            </w:hyperlink>
          </w:p>
        </w:tc>
        <w:tc>
          <w:tcPr>
            <w:tcW w:w="1660" w:type="dxa"/>
            <w:vAlign w:val="bottom"/>
          </w:tcPr>
          <w:p>
            <w:pPr>
              <w:jc w:val="right"/>
              <w:spacing w:after="0"/>
              <w:rPr>
                <w:rFonts w:ascii="Arial" w:cs="Arial" w:eastAsia="Arial" w:hAnsi="Arial"/>
                <w:sz w:val="19"/>
                <w:szCs w:val="19"/>
                <w:b w:val="1"/>
                <w:bCs w:val="1"/>
                <w:color w:val="125288"/>
              </w:rPr>
            </w:pPr>
            <w:hyperlink w:anchor="page74">
              <w:r>
                <w:rPr>
                  <w:rFonts w:ascii="Arial" w:cs="Arial" w:eastAsia="Arial" w:hAnsi="Arial"/>
                  <w:sz w:val="19"/>
                  <w:szCs w:val="19"/>
                  <w:b w:val="1"/>
                  <w:bCs w:val="1"/>
                  <w:color w:val="125288"/>
                </w:rPr>
                <w:t>71</w:t>
              </w:r>
            </w:hyperlink>
          </w:p>
        </w:tc>
      </w:tr>
      <w:tr>
        <w:trPr>
          <w:trHeight w:val="273"/>
        </w:trPr>
        <w:tc>
          <w:tcPr>
            <w:tcW w:w="9400" w:type="dxa"/>
            <w:vAlign w:val="bottom"/>
          </w:tcPr>
          <w:p>
            <w:pPr>
              <w:spacing w:after="0"/>
              <w:rPr>
                <w:rFonts w:ascii="Arial" w:cs="Arial" w:eastAsia="Arial" w:hAnsi="Arial"/>
                <w:sz w:val="19"/>
                <w:szCs w:val="19"/>
                <w:b w:val="1"/>
                <w:bCs w:val="1"/>
                <w:color w:val="auto"/>
              </w:rPr>
            </w:pPr>
            <w:hyperlink w:anchor="page75">
              <w:r>
                <w:rPr>
                  <w:rFonts w:ascii="Arial" w:cs="Arial" w:eastAsia="Arial" w:hAnsi="Arial"/>
                  <w:sz w:val="19"/>
                  <w:szCs w:val="19"/>
                  <w:b w:val="1"/>
                  <w:bCs w:val="1"/>
                  <w:color w:val="auto"/>
                </w:rPr>
                <w:t>Elements of Our Executive Compensation Program for 2021</w:t>
              </w:r>
            </w:hyperlink>
          </w:p>
        </w:tc>
        <w:tc>
          <w:tcPr>
            <w:tcW w:w="1660" w:type="dxa"/>
            <w:vAlign w:val="bottom"/>
          </w:tcPr>
          <w:p>
            <w:pPr>
              <w:jc w:val="right"/>
              <w:spacing w:after="0"/>
              <w:rPr>
                <w:rFonts w:ascii="Arial" w:cs="Arial" w:eastAsia="Arial" w:hAnsi="Arial"/>
                <w:sz w:val="19"/>
                <w:szCs w:val="19"/>
                <w:b w:val="1"/>
                <w:bCs w:val="1"/>
                <w:color w:val="auto"/>
              </w:rPr>
            </w:pPr>
            <w:hyperlink w:anchor="page75">
              <w:r>
                <w:rPr>
                  <w:rFonts w:ascii="Arial" w:cs="Arial" w:eastAsia="Arial" w:hAnsi="Arial"/>
                  <w:sz w:val="19"/>
                  <w:szCs w:val="19"/>
                  <w:b w:val="1"/>
                  <w:bCs w:val="1"/>
                  <w:color w:val="auto"/>
                </w:rPr>
                <w:t>72</w:t>
              </w:r>
            </w:hyperlink>
          </w:p>
        </w:tc>
      </w:tr>
      <w:tr>
        <w:trPr>
          <w:trHeight w:val="309"/>
        </w:trPr>
        <w:tc>
          <w:tcPr>
            <w:tcW w:w="9400" w:type="dxa"/>
            <w:vAlign w:val="bottom"/>
          </w:tcPr>
          <w:p>
            <w:pPr>
              <w:ind w:left="20"/>
              <w:spacing w:after="0"/>
              <w:rPr>
                <w:rFonts w:ascii="Arial" w:cs="Arial" w:eastAsia="Arial" w:hAnsi="Arial"/>
                <w:sz w:val="19"/>
                <w:szCs w:val="19"/>
                <w:b w:val="1"/>
                <w:bCs w:val="1"/>
                <w:color w:val="125288"/>
              </w:rPr>
            </w:pPr>
            <w:hyperlink w:anchor="page75">
              <w:r>
                <w:rPr>
                  <w:rFonts w:ascii="Arial" w:cs="Arial" w:eastAsia="Arial" w:hAnsi="Arial"/>
                  <w:sz w:val="19"/>
                  <w:szCs w:val="19"/>
                  <w:b w:val="1"/>
                  <w:bCs w:val="1"/>
                  <w:color w:val="125288"/>
                </w:rPr>
                <w:t>Base Salary</w:t>
              </w:r>
            </w:hyperlink>
          </w:p>
        </w:tc>
        <w:tc>
          <w:tcPr>
            <w:tcW w:w="1660" w:type="dxa"/>
            <w:vAlign w:val="bottom"/>
          </w:tcPr>
          <w:p>
            <w:pPr>
              <w:jc w:val="right"/>
              <w:spacing w:after="0"/>
              <w:rPr>
                <w:rFonts w:ascii="Arial" w:cs="Arial" w:eastAsia="Arial" w:hAnsi="Arial"/>
                <w:sz w:val="19"/>
                <w:szCs w:val="19"/>
                <w:b w:val="1"/>
                <w:bCs w:val="1"/>
                <w:color w:val="125288"/>
              </w:rPr>
            </w:pPr>
            <w:hyperlink w:anchor="page75">
              <w:r>
                <w:rPr>
                  <w:rFonts w:ascii="Arial" w:cs="Arial" w:eastAsia="Arial" w:hAnsi="Arial"/>
                  <w:sz w:val="19"/>
                  <w:szCs w:val="19"/>
                  <w:b w:val="1"/>
                  <w:bCs w:val="1"/>
                  <w:color w:val="125288"/>
                </w:rPr>
                <w:t>72</w:t>
              </w:r>
            </w:hyperlink>
          </w:p>
        </w:tc>
      </w:tr>
      <w:tr>
        <w:trPr>
          <w:trHeight w:val="273"/>
        </w:trPr>
        <w:tc>
          <w:tcPr>
            <w:tcW w:w="9400" w:type="dxa"/>
            <w:vAlign w:val="bottom"/>
          </w:tcPr>
          <w:p>
            <w:pPr>
              <w:ind w:left="20"/>
              <w:spacing w:after="0"/>
              <w:rPr>
                <w:rFonts w:ascii="Arial" w:cs="Arial" w:eastAsia="Arial" w:hAnsi="Arial"/>
                <w:sz w:val="19"/>
                <w:szCs w:val="19"/>
                <w:b w:val="1"/>
                <w:bCs w:val="1"/>
                <w:color w:val="125288"/>
              </w:rPr>
            </w:pPr>
            <w:hyperlink w:anchor="page76">
              <w:r>
                <w:rPr>
                  <w:rFonts w:ascii="Arial" w:cs="Arial" w:eastAsia="Arial" w:hAnsi="Arial"/>
                  <w:sz w:val="19"/>
                  <w:szCs w:val="19"/>
                  <w:b w:val="1"/>
                  <w:bCs w:val="1"/>
                  <w:color w:val="125288"/>
                </w:rPr>
                <w:t>Corporate Annual Incentive Plan (CAIP) Bonuses</w:t>
              </w:r>
            </w:hyperlink>
          </w:p>
        </w:tc>
        <w:tc>
          <w:tcPr>
            <w:tcW w:w="1660" w:type="dxa"/>
            <w:vAlign w:val="bottom"/>
          </w:tcPr>
          <w:p>
            <w:pPr>
              <w:jc w:val="right"/>
              <w:spacing w:after="0"/>
              <w:rPr>
                <w:rFonts w:ascii="Arial" w:cs="Arial" w:eastAsia="Arial" w:hAnsi="Arial"/>
                <w:sz w:val="19"/>
                <w:szCs w:val="19"/>
                <w:b w:val="1"/>
                <w:bCs w:val="1"/>
                <w:color w:val="125288"/>
              </w:rPr>
            </w:pPr>
            <w:hyperlink w:anchor="page76">
              <w:r>
                <w:rPr>
                  <w:rFonts w:ascii="Arial" w:cs="Arial" w:eastAsia="Arial" w:hAnsi="Arial"/>
                  <w:sz w:val="19"/>
                  <w:szCs w:val="19"/>
                  <w:b w:val="1"/>
                  <w:bCs w:val="1"/>
                  <w:color w:val="125288"/>
                </w:rPr>
                <w:t>73</w:t>
              </w:r>
            </w:hyperlink>
          </w:p>
        </w:tc>
      </w:tr>
      <w:tr>
        <w:trPr>
          <w:trHeight w:val="273"/>
        </w:trPr>
        <w:tc>
          <w:tcPr>
            <w:tcW w:w="9400" w:type="dxa"/>
            <w:vAlign w:val="bottom"/>
          </w:tcPr>
          <w:p>
            <w:pPr>
              <w:ind w:left="20"/>
              <w:spacing w:after="0"/>
              <w:rPr>
                <w:rFonts w:ascii="Arial" w:cs="Arial" w:eastAsia="Arial" w:hAnsi="Arial"/>
                <w:sz w:val="19"/>
                <w:szCs w:val="19"/>
                <w:b w:val="1"/>
                <w:bCs w:val="1"/>
                <w:color w:val="125288"/>
              </w:rPr>
            </w:pPr>
            <w:hyperlink w:anchor="page81">
              <w:r>
                <w:rPr>
                  <w:rFonts w:ascii="Arial" w:cs="Arial" w:eastAsia="Arial" w:hAnsi="Arial"/>
                  <w:sz w:val="19"/>
                  <w:szCs w:val="19"/>
                  <w:b w:val="1"/>
                  <w:bCs w:val="1"/>
                  <w:color w:val="125288"/>
                </w:rPr>
                <w:t>Other Cash Programs or Awards</w:t>
              </w:r>
            </w:hyperlink>
          </w:p>
        </w:tc>
        <w:tc>
          <w:tcPr>
            <w:tcW w:w="1660" w:type="dxa"/>
            <w:vAlign w:val="bottom"/>
          </w:tcPr>
          <w:p>
            <w:pPr>
              <w:jc w:val="right"/>
              <w:spacing w:after="0"/>
              <w:rPr>
                <w:rFonts w:ascii="Arial" w:cs="Arial" w:eastAsia="Arial" w:hAnsi="Arial"/>
                <w:sz w:val="19"/>
                <w:szCs w:val="19"/>
                <w:b w:val="1"/>
                <w:bCs w:val="1"/>
                <w:color w:val="125288"/>
              </w:rPr>
            </w:pPr>
            <w:hyperlink w:anchor="page81">
              <w:r>
                <w:rPr>
                  <w:rFonts w:ascii="Arial" w:cs="Arial" w:eastAsia="Arial" w:hAnsi="Arial"/>
                  <w:sz w:val="19"/>
                  <w:szCs w:val="19"/>
                  <w:b w:val="1"/>
                  <w:bCs w:val="1"/>
                  <w:color w:val="125288"/>
                </w:rPr>
                <w:t>78</w:t>
              </w:r>
            </w:hyperlink>
          </w:p>
        </w:tc>
      </w:tr>
      <w:tr>
        <w:trPr>
          <w:trHeight w:val="273"/>
        </w:trPr>
        <w:tc>
          <w:tcPr>
            <w:tcW w:w="9400" w:type="dxa"/>
            <w:vAlign w:val="bottom"/>
          </w:tcPr>
          <w:p>
            <w:pPr>
              <w:ind w:left="20"/>
              <w:spacing w:after="0"/>
              <w:rPr>
                <w:rFonts w:ascii="Arial" w:cs="Arial" w:eastAsia="Arial" w:hAnsi="Arial"/>
                <w:sz w:val="19"/>
                <w:szCs w:val="19"/>
                <w:b w:val="1"/>
                <w:bCs w:val="1"/>
                <w:color w:val="125288"/>
              </w:rPr>
            </w:pPr>
            <w:hyperlink w:anchor="page82">
              <w:r>
                <w:rPr>
                  <w:rFonts w:ascii="Arial" w:cs="Arial" w:eastAsia="Arial" w:hAnsi="Arial"/>
                  <w:sz w:val="19"/>
                  <w:szCs w:val="19"/>
                  <w:b w:val="1"/>
                  <w:bCs w:val="1"/>
                  <w:color w:val="125288"/>
                </w:rPr>
                <w:t>Equity Awards</w:t>
              </w:r>
            </w:hyperlink>
          </w:p>
        </w:tc>
        <w:tc>
          <w:tcPr>
            <w:tcW w:w="1660" w:type="dxa"/>
            <w:vAlign w:val="bottom"/>
          </w:tcPr>
          <w:p>
            <w:pPr>
              <w:jc w:val="right"/>
              <w:spacing w:after="0"/>
              <w:rPr>
                <w:rFonts w:ascii="Arial" w:cs="Arial" w:eastAsia="Arial" w:hAnsi="Arial"/>
                <w:sz w:val="19"/>
                <w:szCs w:val="19"/>
                <w:b w:val="1"/>
                <w:bCs w:val="1"/>
                <w:color w:val="125288"/>
              </w:rPr>
            </w:pPr>
            <w:hyperlink w:anchor="page82">
              <w:r>
                <w:rPr>
                  <w:rFonts w:ascii="Arial" w:cs="Arial" w:eastAsia="Arial" w:hAnsi="Arial"/>
                  <w:sz w:val="19"/>
                  <w:szCs w:val="19"/>
                  <w:b w:val="1"/>
                  <w:bCs w:val="1"/>
                  <w:color w:val="125288"/>
                </w:rPr>
                <w:t>79</w:t>
              </w:r>
            </w:hyperlink>
          </w:p>
        </w:tc>
      </w:tr>
      <w:tr>
        <w:trPr>
          <w:trHeight w:val="273"/>
        </w:trPr>
        <w:tc>
          <w:tcPr>
            <w:tcW w:w="9400" w:type="dxa"/>
            <w:vAlign w:val="bottom"/>
          </w:tcPr>
          <w:p>
            <w:pPr>
              <w:ind w:left="20"/>
              <w:spacing w:after="0"/>
              <w:rPr>
                <w:rFonts w:ascii="Arial" w:cs="Arial" w:eastAsia="Arial" w:hAnsi="Arial"/>
                <w:sz w:val="19"/>
                <w:szCs w:val="19"/>
                <w:b w:val="1"/>
                <w:bCs w:val="1"/>
                <w:color w:val="125288"/>
              </w:rPr>
            </w:pPr>
            <w:hyperlink w:anchor="page87">
              <w:r>
                <w:rPr>
                  <w:rFonts w:ascii="Arial" w:cs="Arial" w:eastAsia="Arial" w:hAnsi="Arial"/>
                  <w:sz w:val="19"/>
                  <w:szCs w:val="19"/>
                  <w:b w:val="1"/>
                  <w:bCs w:val="1"/>
                  <w:color w:val="125288"/>
                </w:rPr>
                <w:t>Change-of-Control Arrangements</w:t>
              </w:r>
            </w:hyperlink>
          </w:p>
        </w:tc>
        <w:tc>
          <w:tcPr>
            <w:tcW w:w="1660" w:type="dxa"/>
            <w:vAlign w:val="bottom"/>
          </w:tcPr>
          <w:p>
            <w:pPr>
              <w:jc w:val="right"/>
              <w:spacing w:after="0"/>
              <w:rPr>
                <w:rFonts w:ascii="Arial" w:cs="Arial" w:eastAsia="Arial" w:hAnsi="Arial"/>
                <w:sz w:val="19"/>
                <w:szCs w:val="19"/>
                <w:b w:val="1"/>
                <w:bCs w:val="1"/>
                <w:color w:val="125288"/>
              </w:rPr>
            </w:pPr>
            <w:hyperlink w:anchor="page87">
              <w:r>
                <w:rPr>
                  <w:rFonts w:ascii="Arial" w:cs="Arial" w:eastAsia="Arial" w:hAnsi="Arial"/>
                  <w:sz w:val="19"/>
                  <w:szCs w:val="19"/>
                  <w:b w:val="1"/>
                  <w:bCs w:val="1"/>
                  <w:color w:val="125288"/>
                </w:rPr>
                <w:t>84</w:t>
              </w:r>
            </w:hyperlink>
          </w:p>
        </w:tc>
      </w:tr>
      <w:tr>
        <w:trPr>
          <w:trHeight w:val="285"/>
        </w:trPr>
        <w:tc>
          <w:tcPr>
            <w:tcW w:w="9400" w:type="dxa"/>
            <w:vAlign w:val="bottom"/>
          </w:tcPr>
          <w:p>
            <w:pPr>
              <w:ind w:left="20"/>
              <w:spacing w:after="0"/>
              <w:rPr>
                <w:rFonts w:ascii="Arial" w:cs="Arial" w:eastAsia="Arial" w:hAnsi="Arial"/>
                <w:sz w:val="19"/>
                <w:szCs w:val="19"/>
                <w:b w:val="1"/>
                <w:bCs w:val="1"/>
                <w:color w:val="125288"/>
              </w:rPr>
            </w:pPr>
            <w:hyperlink w:anchor="page87">
              <w:r>
                <w:rPr>
                  <w:rFonts w:ascii="Arial" w:cs="Arial" w:eastAsia="Arial" w:hAnsi="Arial"/>
                  <w:sz w:val="19"/>
                  <w:szCs w:val="19"/>
                  <w:b w:val="1"/>
                  <w:bCs w:val="1"/>
                  <w:color w:val="125288"/>
                </w:rPr>
                <w:t>Limited Retirement Benefits</w:t>
              </w:r>
            </w:hyperlink>
          </w:p>
        </w:tc>
        <w:tc>
          <w:tcPr>
            <w:tcW w:w="1660" w:type="dxa"/>
            <w:vAlign w:val="bottom"/>
          </w:tcPr>
          <w:p>
            <w:pPr>
              <w:jc w:val="right"/>
              <w:spacing w:after="0"/>
              <w:rPr>
                <w:rFonts w:ascii="Arial" w:cs="Arial" w:eastAsia="Arial" w:hAnsi="Arial"/>
                <w:sz w:val="19"/>
                <w:szCs w:val="19"/>
                <w:b w:val="1"/>
                <w:bCs w:val="1"/>
                <w:color w:val="125288"/>
              </w:rPr>
            </w:pPr>
            <w:hyperlink w:anchor="page87">
              <w:r>
                <w:rPr>
                  <w:rFonts w:ascii="Arial" w:cs="Arial" w:eastAsia="Arial" w:hAnsi="Arial"/>
                  <w:sz w:val="19"/>
                  <w:szCs w:val="19"/>
                  <w:b w:val="1"/>
                  <w:bCs w:val="1"/>
                  <w:color w:val="125288"/>
                </w:rPr>
                <w:t>84</w:t>
              </w:r>
            </w:hyperlink>
          </w:p>
        </w:tc>
      </w:tr>
      <w:tr>
        <w:trPr>
          <w:trHeight w:val="273"/>
        </w:trPr>
        <w:tc>
          <w:tcPr>
            <w:tcW w:w="9400" w:type="dxa"/>
            <w:vAlign w:val="bottom"/>
          </w:tcPr>
          <w:p>
            <w:pPr>
              <w:ind w:left="20"/>
              <w:spacing w:after="0"/>
              <w:rPr>
                <w:rFonts w:ascii="Arial" w:cs="Arial" w:eastAsia="Arial" w:hAnsi="Arial"/>
                <w:sz w:val="19"/>
                <w:szCs w:val="19"/>
                <w:b w:val="1"/>
                <w:bCs w:val="1"/>
                <w:color w:val="125288"/>
              </w:rPr>
            </w:pPr>
            <w:hyperlink w:anchor="page87">
              <w:r>
                <w:rPr>
                  <w:rFonts w:ascii="Arial" w:cs="Arial" w:eastAsia="Arial" w:hAnsi="Arial"/>
                  <w:sz w:val="19"/>
                  <w:szCs w:val="19"/>
                  <w:b w:val="1"/>
                  <w:bCs w:val="1"/>
                  <w:color w:val="125288"/>
                </w:rPr>
                <w:t>Standard Health and Welfare Benefits</w:t>
              </w:r>
            </w:hyperlink>
          </w:p>
        </w:tc>
        <w:tc>
          <w:tcPr>
            <w:tcW w:w="1660" w:type="dxa"/>
            <w:vAlign w:val="bottom"/>
          </w:tcPr>
          <w:p>
            <w:pPr>
              <w:jc w:val="right"/>
              <w:spacing w:after="0"/>
              <w:rPr>
                <w:rFonts w:ascii="Arial" w:cs="Arial" w:eastAsia="Arial" w:hAnsi="Arial"/>
                <w:sz w:val="19"/>
                <w:szCs w:val="19"/>
                <w:b w:val="1"/>
                <w:bCs w:val="1"/>
                <w:color w:val="125288"/>
              </w:rPr>
            </w:pPr>
            <w:hyperlink w:anchor="page87">
              <w:r>
                <w:rPr>
                  <w:rFonts w:ascii="Arial" w:cs="Arial" w:eastAsia="Arial" w:hAnsi="Arial"/>
                  <w:sz w:val="19"/>
                  <w:szCs w:val="19"/>
                  <w:b w:val="1"/>
                  <w:bCs w:val="1"/>
                  <w:color w:val="125288"/>
                </w:rPr>
                <w:t>84</w:t>
              </w:r>
            </w:hyperlink>
          </w:p>
        </w:tc>
      </w:tr>
      <w:tr>
        <w:trPr>
          <w:trHeight w:val="273"/>
        </w:trPr>
        <w:tc>
          <w:tcPr>
            <w:tcW w:w="9400" w:type="dxa"/>
            <w:vAlign w:val="bottom"/>
          </w:tcPr>
          <w:p>
            <w:pPr>
              <w:spacing w:after="0"/>
              <w:rPr>
                <w:rFonts w:ascii="Arial" w:cs="Arial" w:eastAsia="Arial" w:hAnsi="Arial"/>
                <w:sz w:val="19"/>
                <w:szCs w:val="19"/>
                <w:b w:val="1"/>
                <w:bCs w:val="1"/>
                <w:color w:val="auto"/>
              </w:rPr>
            </w:pPr>
            <w:hyperlink w:anchor="page88">
              <w:r>
                <w:rPr>
                  <w:rFonts w:ascii="Arial" w:cs="Arial" w:eastAsia="Arial" w:hAnsi="Arial"/>
                  <w:sz w:val="19"/>
                  <w:szCs w:val="19"/>
                  <w:b w:val="1"/>
                  <w:bCs w:val="1"/>
                  <w:color w:val="auto"/>
                </w:rPr>
                <w:t>Impact of Proposed Acquisition by Microsoft</w:t>
              </w:r>
            </w:hyperlink>
          </w:p>
        </w:tc>
        <w:tc>
          <w:tcPr>
            <w:tcW w:w="1660" w:type="dxa"/>
            <w:vAlign w:val="bottom"/>
          </w:tcPr>
          <w:p>
            <w:pPr>
              <w:jc w:val="right"/>
              <w:spacing w:after="0"/>
              <w:rPr>
                <w:rFonts w:ascii="Arial" w:cs="Arial" w:eastAsia="Arial" w:hAnsi="Arial"/>
                <w:sz w:val="19"/>
                <w:szCs w:val="19"/>
                <w:b w:val="1"/>
                <w:bCs w:val="1"/>
                <w:color w:val="auto"/>
              </w:rPr>
            </w:pPr>
            <w:hyperlink w:anchor="page88">
              <w:r>
                <w:rPr>
                  <w:rFonts w:ascii="Arial" w:cs="Arial" w:eastAsia="Arial" w:hAnsi="Arial"/>
                  <w:sz w:val="19"/>
                  <w:szCs w:val="19"/>
                  <w:b w:val="1"/>
                  <w:bCs w:val="1"/>
                  <w:color w:val="auto"/>
                </w:rPr>
                <w:t>85</w:t>
              </w:r>
            </w:hyperlink>
          </w:p>
        </w:tc>
      </w:tr>
      <w:tr>
        <w:trPr>
          <w:trHeight w:val="309"/>
        </w:trPr>
        <w:tc>
          <w:tcPr>
            <w:tcW w:w="9400" w:type="dxa"/>
            <w:vAlign w:val="bottom"/>
          </w:tcPr>
          <w:p>
            <w:pPr>
              <w:spacing w:after="0"/>
              <w:rPr>
                <w:rFonts w:ascii="Arial" w:cs="Arial" w:eastAsia="Arial" w:hAnsi="Arial"/>
                <w:sz w:val="19"/>
                <w:szCs w:val="19"/>
                <w:b w:val="1"/>
                <w:bCs w:val="1"/>
                <w:color w:val="auto"/>
              </w:rPr>
            </w:pPr>
            <w:hyperlink w:anchor="page88">
              <w:r>
                <w:rPr>
                  <w:rFonts w:ascii="Arial" w:cs="Arial" w:eastAsia="Arial" w:hAnsi="Arial"/>
                  <w:sz w:val="19"/>
                  <w:szCs w:val="19"/>
                  <w:b w:val="1"/>
                  <w:bCs w:val="1"/>
                  <w:color w:val="auto"/>
                </w:rPr>
                <w:t>Additional Information</w:t>
              </w:r>
            </w:hyperlink>
          </w:p>
        </w:tc>
        <w:tc>
          <w:tcPr>
            <w:tcW w:w="1660" w:type="dxa"/>
            <w:vAlign w:val="bottom"/>
          </w:tcPr>
          <w:p>
            <w:pPr>
              <w:jc w:val="right"/>
              <w:spacing w:after="0"/>
              <w:rPr>
                <w:rFonts w:ascii="Arial" w:cs="Arial" w:eastAsia="Arial" w:hAnsi="Arial"/>
                <w:sz w:val="19"/>
                <w:szCs w:val="19"/>
                <w:b w:val="1"/>
                <w:bCs w:val="1"/>
                <w:color w:val="auto"/>
              </w:rPr>
            </w:pPr>
            <w:hyperlink w:anchor="page88">
              <w:r>
                <w:rPr>
                  <w:rFonts w:ascii="Arial" w:cs="Arial" w:eastAsia="Arial" w:hAnsi="Arial"/>
                  <w:sz w:val="19"/>
                  <w:szCs w:val="19"/>
                  <w:b w:val="1"/>
                  <w:bCs w:val="1"/>
                  <w:color w:val="auto"/>
                </w:rPr>
                <w:t>85</w:t>
              </w:r>
            </w:hyperlink>
          </w:p>
        </w:tc>
      </w:tr>
      <w:tr>
        <w:trPr>
          <w:trHeight w:val="309"/>
        </w:trPr>
        <w:tc>
          <w:tcPr>
            <w:tcW w:w="9400" w:type="dxa"/>
            <w:vAlign w:val="bottom"/>
          </w:tcPr>
          <w:p>
            <w:pPr>
              <w:ind w:left="20"/>
              <w:spacing w:after="0"/>
              <w:rPr>
                <w:rFonts w:ascii="Arial" w:cs="Arial" w:eastAsia="Arial" w:hAnsi="Arial"/>
                <w:sz w:val="19"/>
                <w:szCs w:val="19"/>
                <w:b w:val="1"/>
                <w:bCs w:val="1"/>
                <w:color w:val="125288"/>
              </w:rPr>
            </w:pPr>
            <w:hyperlink w:anchor="page88">
              <w:r>
                <w:rPr>
                  <w:rFonts w:ascii="Arial" w:cs="Arial" w:eastAsia="Arial" w:hAnsi="Arial"/>
                  <w:sz w:val="19"/>
                  <w:szCs w:val="19"/>
                  <w:b w:val="1"/>
                  <w:bCs w:val="1"/>
                  <w:color w:val="125288"/>
                </w:rPr>
                <w:t>Equity Award Granting Policy</w:t>
              </w:r>
            </w:hyperlink>
          </w:p>
        </w:tc>
        <w:tc>
          <w:tcPr>
            <w:tcW w:w="1660" w:type="dxa"/>
            <w:vAlign w:val="bottom"/>
          </w:tcPr>
          <w:p>
            <w:pPr>
              <w:jc w:val="right"/>
              <w:spacing w:after="0"/>
              <w:rPr>
                <w:rFonts w:ascii="Arial" w:cs="Arial" w:eastAsia="Arial" w:hAnsi="Arial"/>
                <w:sz w:val="19"/>
                <w:szCs w:val="19"/>
                <w:b w:val="1"/>
                <w:bCs w:val="1"/>
                <w:color w:val="125288"/>
              </w:rPr>
            </w:pPr>
            <w:hyperlink w:anchor="page88">
              <w:r>
                <w:rPr>
                  <w:rFonts w:ascii="Arial" w:cs="Arial" w:eastAsia="Arial" w:hAnsi="Arial"/>
                  <w:sz w:val="19"/>
                  <w:szCs w:val="19"/>
                  <w:b w:val="1"/>
                  <w:bCs w:val="1"/>
                  <w:color w:val="125288"/>
                </w:rPr>
                <w:t>85</w:t>
              </w:r>
            </w:hyperlink>
          </w:p>
        </w:tc>
      </w:tr>
      <w:tr>
        <w:trPr>
          <w:trHeight w:val="273"/>
        </w:trPr>
        <w:tc>
          <w:tcPr>
            <w:tcW w:w="9400" w:type="dxa"/>
            <w:vAlign w:val="bottom"/>
          </w:tcPr>
          <w:p>
            <w:pPr>
              <w:ind w:left="20"/>
              <w:spacing w:after="0"/>
              <w:rPr>
                <w:rFonts w:ascii="Arial" w:cs="Arial" w:eastAsia="Arial" w:hAnsi="Arial"/>
                <w:sz w:val="19"/>
                <w:szCs w:val="19"/>
                <w:b w:val="1"/>
                <w:bCs w:val="1"/>
                <w:color w:val="125288"/>
              </w:rPr>
            </w:pPr>
            <w:hyperlink w:anchor="page88">
              <w:r>
                <w:rPr>
                  <w:rFonts w:ascii="Arial" w:cs="Arial" w:eastAsia="Arial" w:hAnsi="Arial"/>
                  <w:sz w:val="19"/>
                  <w:szCs w:val="19"/>
                  <w:b w:val="1"/>
                  <w:bCs w:val="1"/>
                  <w:color w:val="125288"/>
                </w:rPr>
                <w:t>Impact of Tax and Accounting Considerations</w:t>
              </w:r>
            </w:hyperlink>
          </w:p>
        </w:tc>
        <w:tc>
          <w:tcPr>
            <w:tcW w:w="1660" w:type="dxa"/>
            <w:vAlign w:val="bottom"/>
          </w:tcPr>
          <w:p>
            <w:pPr>
              <w:jc w:val="right"/>
              <w:spacing w:after="0"/>
              <w:rPr>
                <w:rFonts w:ascii="Arial" w:cs="Arial" w:eastAsia="Arial" w:hAnsi="Arial"/>
                <w:sz w:val="19"/>
                <w:szCs w:val="19"/>
                <w:b w:val="1"/>
                <w:bCs w:val="1"/>
                <w:color w:val="125288"/>
              </w:rPr>
            </w:pPr>
            <w:hyperlink w:anchor="page88">
              <w:r>
                <w:rPr>
                  <w:rFonts w:ascii="Arial" w:cs="Arial" w:eastAsia="Arial" w:hAnsi="Arial"/>
                  <w:sz w:val="19"/>
                  <w:szCs w:val="19"/>
                  <w:b w:val="1"/>
                  <w:bCs w:val="1"/>
                  <w:color w:val="125288"/>
                </w:rPr>
                <w:t>85</w:t>
              </w:r>
            </w:hyperlink>
          </w:p>
        </w:tc>
      </w:tr>
    </w:tbl>
    <w:p>
      <w:pPr>
        <w:spacing w:after="0" w:line="21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EXECUTIVE SUMMARY</w:t>
      </w:r>
    </w:p>
    <w:p>
      <w:pPr>
        <w:spacing w:after="0" w:line="15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Long-Term Company Performance</w:t>
      </w:r>
    </w:p>
    <w:p>
      <w:pPr>
        <w:spacing w:after="0" w:line="142"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Under the leadership and strategic vision of our founder and long-time CEO, Mr. Kotick, Activision Blizzard has consistently navigated the dynamics of our constantly evolving industry to harness growth opportunities and create exceptional value for our shareholders.</w:t>
      </w:r>
    </w:p>
    <w:p>
      <w:pPr>
        <w:spacing w:after="0" w:line="255"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Company has created substantial value for our shareholders over the long term, outperforming both our peer group median and the S&amp;P 500 over 10 and 20 years. Over the 10 years ended December 31, 2021, we delivered an average annual total shareholder return (“TSR”) of 19%, ahead of the peer group median of 17% and the S&amp;P 500 at 17%. Over the 20 years ended December 31, 2021, the Company’s average annual TSR was 17%, ahead of the peer group median of 11% and the S&amp;P 500 at 10%.</w:t>
      </w:r>
    </w:p>
    <w:p>
      <w:pPr>
        <w:spacing w:after="0" w:line="157"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59" w:name="page60"/>
    <w:bookmarkEnd w:id="59"/>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Total 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1536700</wp:posOffset>
            </wp:positionH>
            <wp:positionV relativeFrom="paragraph">
              <wp:posOffset>59690</wp:posOffset>
            </wp:positionV>
            <wp:extent cx="4076065" cy="22345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076065" cy="2234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47" w:lineRule="auto"/>
        <w:rPr>
          <w:sz w:val="20"/>
          <w:szCs w:val="20"/>
          <w:color w:val="auto"/>
        </w:rPr>
      </w:pPr>
      <w:r>
        <w:rPr>
          <w:rFonts w:ascii="Arial" w:cs="Arial" w:eastAsia="Arial" w:hAnsi="Arial"/>
          <w:sz w:val="19"/>
          <w:szCs w:val="19"/>
          <w:b w:val="1"/>
          <w:bCs w:val="1"/>
          <w:color w:val="auto"/>
        </w:rPr>
        <w:t xml:space="preserve">We believe this long-term sustained performance reflects the Company’s track record of disciplined capital allocation, focus on our largest opportunities, operational excellence, and our commitment to hiring and retaining top talent. </w:t>
      </w:r>
      <w:r>
        <w:rPr>
          <w:rFonts w:ascii="Arial" w:cs="Arial" w:eastAsia="Arial" w:hAnsi="Arial"/>
          <w:sz w:val="19"/>
          <w:szCs w:val="19"/>
          <w:color w:val="auto"/>
        </w:rPr>
        <w:t>This, coupled</w:t>
      </w:r>
      <w:r>
        <w:rPr>
          <w:rFonts w:ascii="Arial" w:cs="Arial" w:eastAsia="Arial" w:hAnsi="Arial"/>
          <w:sz w:val="19"/>
          <w:szCs w:val="19"/>
          <w:b w:val="1"/>
          <w:bCs w:val="1"/>
          <w:color w:val="auto"/>
        </w:rPr>
        <w:t xml:space="preserve"> </w:t>
      </w:r>
      <w:r>
        <w:rPr>
          <w:rFonts w:ascii="Arial" w:cs="Arial" w:eastAsia="Arial" w:hAnsi="Arial"/>
          <w:sz w:val="19"/>
          <w:szCs w:val="19"/>
          <w:color w:val="auto"/>
        </w:rPr>
        <w:t>with our robust pay-for-performance mindset, demonstrates our ability to further enhance the Company’s earnings profile. These have been core tenets for Mr. Kotick and his leadership team for 30 years.</w:t>
      </w:r>
    </w:p>
    <w:p>
      <w:pPr>
        <w:spacing w:after="0" w:line="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Our Corporate Strategy</w:t>
      </w:r>
    </w:p>
    <w:p>
      <w:pPr>
        <w:spacing w:after="0" w:line="142"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Our long-term performance continues to be enabled by our evolving franchise strategy, which is focused on expanding reach, engagement, and player investment for our portfolio of fully-owned franchises as we execute against four key strategic growth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168910</wp:posOffset>
            </wp:positionV>
            <wp:extent cx="5367020" cy="26193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367020" cy="2619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60" w:name="page61"/>
    <w:bookmarkEnd w:id="60"/>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2021 Performance</w:t>
      </w:r>
    </w:p>
    <w:p>
      <w:pPr>
        <w:spacing w:after="0" w:line="142"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Although our performance in 2021 did not meet certain of the aggressive targets we set following an exceptionally strong year in 2020, Activision Blizzard performed well in 2021 across a number of metrics. Among other achievements, we delivered record full-year GAAP results and grew net revenues by 9%, operating profit by 19%, EPS by 22%, and operating cash flow by 7%, in each case year-over-year. Net bookings, which is an operating metric, was broadly consistent at 1% lower year-over-year.</w:t>
      </w:r>
    </w:p>
    <w:p>
      <w:pPr>
        <w:spacing w:after="0" w:line="132"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This strong performance was driven by increased investment in our biggest franchises and opportunities, and by the commitment and focus of our talented employees despite the ongoing challenges of working remotely. Other key highlights over the year are described below.</w:t>
      </w:r>
    </w:p>
    <w:p>
      <w:pPr>
        <w:spacing w:after="0" w:line="129" w:lineRule="exact"/>
        <w:rPr>
          <w:sz w:val="20"/>
          <w:szCs w:val="20"/>
          <w:color w:val="auto"/>
        </w:rPr>
      </w:pPr>
    </w:p>
    <w:p>
      <w:pPr>
        <w:jc w:val="both"/>
        <w:spacing w:after="0"/>
        <w:rPr>
          <w:sz w:val="20"/>
          <w:szCs w:val="20"/>
          <w:color w:val="auto"/>
        </w:rPr>
      </w:pPr>
      <w:r>
        <w:rPr>
          <w:rFonts w:ascii="Arial" w:cs="Arial" w:eastAsia="Arial" w:hAnsi="Arial"/>
          <w:sz w:val="19"/>
          <w:szCs w:val="19"/>
          <w:color w:val="auto"/>
        </w:rPr>
        <w:t>The King business passed the $1 billion annual segment operating income milestone for the first time, with +19% year-over-year segment revenue growth. In-game net-bookings grew strongly in 2021 as players responded positively to a more frequent cadence of compelling in-game content and events for key titles, while King’s advertising business grew +60% year-over-year.</w:t>
      </w:r>
    </w:p>
    <w:p>
      <w:pPr>
        <w:spacing w:after="0" w:line="109" w:lineRule="exact"/>
        <w:rPr>
          <w:sz w:val="20"/>
          <w:szCs w:val="20"/>
          <w:color w:val="auto"/>
        </w:rPr>
      </w:pPr>
    </w:p>
    <w:p>
      <w:pPr>
        <w:jc w:val="both"/>
        <w:ind w:right="20"/>
        <w:spacing w:after="0" w:line="243" w:lineRule="auto"/>
        <w:rPr>
          <w:sz w:val="20"/>
          <w:szCs w:val="20"/>
          <w:color w:val="auto"/>
        </w:rPr>
      </w:pPr>
      <w:r>
        <w:rPr>
          <w:rFonts w:ascii="Arial" w:cs="Arial" w:eastAsia="Arial" w:hAnsi="Arial"/>
          <w:sz w:val="19"/>
          <w:szCs w:val="19"/>
          <w:color w:val="auto"/>
        </w:rPr>
        <w:t xml:space="preserve">The Call of Duty franchise continued to operate at a much greater scale than that seen prior to the launch of the </w:t>
      </w:r>
      <w:r>
        <w:rPr>
          <w:rFonts w:ascii="Arial" w:cs="Arial" w:eastAsia="Arial" w:hAnsi="Arial"/>
          <w:sz w:val="19"/>
          <w:szCs w:val="19"/>
          <w:i w:val="1"/>
          <w:iCs w:val="1"/>
          <w:color w:val="auto"/>
        </w:rPr>
        <w:t>Call of Duty:</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Warzone </w:t>
      </w:r>
      <w:r>
        <w:rPr>
          <w:rFonts w:ascii="Arial" w:cs="Arial" w:eastAsia="Arial" w:hAnsi="Arial"/>
          <w:sz w:val="19"/>
          <w:szCs w:val="19"/>
          <w:color w:val="auto"/>
        </w:rPr>
        <w:t>and</w:t>
      </w:r>
      <w:r>
        <w:rPr>
          <w:rFonts w:ascii="Arial" w:cs="Arial" w:eastAsia="Arial" w:hAnsi="Arial"/>
          <w:sz w:val="19"/>
          <w:szCs w:val="19"/>
          <w:i w:val="1"/>
          <w:iCs w:val="1"/>
          <w:color w:val="auto"/>
        </w:rPr>
        <w:t xml:space="preserve"> Call of Duty Mobile </w:t>
      </w:r>
      <w:r>
        <w:rPr>
          <w:rFonts w:ascii="Arial" w:cs="Arial" w:eastAsia="Arial" w:hAnsi="Arial"/>
          <w:sz w:val="19"/>
          <w:szCs w:val="19"/>
          <w:color w:val="auto"/>
        </w:rPr>
        <w:t>free-to-play experiences. Franchise performance was lower year-over-year against a period that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benefited from the launch of </w:t>
      </w:r>
      <w:r>
        <w:rPr>
          <w:rFonts w:ascii="Arial" w:cs="Arial" w:eastAsia="Arial" w:hAnsi="Arial"/>
          <w:sz w:val="19"/>
          <w:szCs w:val="19"/>
          <w:i w:val="1"/>
          <w:iCs w:val="1"/>
          <w:color w:val="auto"/>
        </w:rPr>
        <w:t>Warzone</w:t>
      </w:r>
      <w:r>
        <w:rPr>
          <w:rFonts w:ascii="Arial" w:cs="Arial" w:eastAsia="Arial" w:hAnsi="Arial"/>
          <w:sz w:val="19"/>
          <w:szCs w:val="19"/>
          <w:color w:val="auto"/>
        </w:rPr>
        <w:t xml:space="preserve"> and shelter-at-home tailwinds. The </w:t>
      </w:r>
      <w:r>
        <w:rPr>
          <w:rFonts w:ascii="Arial" w:cs="Arial" w:eastAsia="Arial" w:hAnsi="Arial"/>
          <w:sz w:val="19"/>
          <w:szCs w:val="19"/>
          <w:i w:val="1"/>
          <w:iCs w:val="1"/>
          <w:color w:val="auto"/>
        </w:rPr>
        <w:t>Call of Duty: Vanguard</w:t>
      </w:r>
      <w:r>
        <w:rPr>
          <w:rFonts w:ascii="Arial" w:cs="Arial" w:eastAsia="Arial" w:hAnsi="Arial"/>
          <w:sz w:val="19"/>
          <w:szCs w:val="19"/>
          <w:color w:val="auto"/>
        </w:rPr>
        <w:t xml:space="preserve"> release did not meet our expectations, but </w:t>
      </w:r>
      <w:r>
        <w:rPr>
          <w:rFonts w:ascii="Arial" w:cs="Arial" w:eastAsia="Arial" w:hAnsi="Arial"/>
          <w:sz w:val="19"/>
          <w:szCs w:val="19"/>
          <w:i w:val="1"/>
          <w:iCs w:val="1"/>
          <w:color w:val="auto"/>
        </w:rPr>
        <w:t>Warzone</w:t>
      </w:r>
      <w:r>
        <w:rPr>
          <w:rFonts w:ascii="Arial" w:cs="Arial" w:eastAsia="Arial" w:hAnsi="Arial"/>
          <w:sz w:val="19"/>
          <w:szCs w:val="19"/>
          <w:color w:val="auto"/>
        </w:rPr>
        <w:t xml:space="preserve"> continued to drive significant player investment through in-game content sales and </w:t>
      </w:r>
      <w:r>
        <w:rPr>
          <w:rFonts w:ascii="Arial" w:cs="Arial" w:eastAsia="Arial" w:hAnsi="Arial"/>
          <w:sz w:val="19"/>
          <w:szCs w:val="19"/>
          <w:i w:val="1"/>
          <w:iCs w:val="1"/>
          <w:color w:val="auto"/>
        </w:rPr>
        <w:t>Call of Duty Mobile</w:t>
      </w:r>
      <w:r>
        <w:rPr>
          <w:rFonts w:ascii="Arial" w:cs="Arial" w:eastAsia="Arial" w:hAnsi="Arial"/>
          <w:sz w:val="19"/>
          <w:szCs w:val="19"/>
          <w:color w:val="auto"/>
        </w:rPr>
        <w:t xml:space="preserve"> net bookings grew strongly, with 2021 worldwide consumer spending on the mobile title exceeding $1 billion.</w:t>
      </w:r>
    </w:p>
    <w:p>
      <w:pPr>
        <w:spacing w:after="0" w:line="106" w:lineRule="exact"/>
        <w:rPr>
          <w:sz w:val="20"/>
          <w:szCs w:val="20"/>
          <w:color w:val="auto"/>
        </w:rPr>
      </w:pPr>
    </w:p>
    <w:p>
      <w:pPr>
        <w:jc w:val="both"/>
        <w:spacing w:after="0" w:line="251" w:lineRule="auto"/>
        <w:rPr>
          <w:sz w:val="20"/>
          <w:szCs w:val="20"/>
          <w:color w:val="auto"/>
        </w:rPr>
      </w:pPr>
      <w:r>
        <w:rPr>
          <w:rFonts w:ascii="Arial" w:cs="Arial" w:eastAsia="Arial" w:hAnsi="Arial"/>
          <w:sz w:val="19"/>
          <w:szCs w:val="19"/>
          <w:i w:val="1"/>
          <w:iCs w:val="1"/>
          <w:color w:val="auto"/>
        </w:rPr>
        <w:t xml:space="preserve">World of Warcraft </w:t>
      </w:r>
      <w:r>
        <w:rPr>
          <w:rFonts w:ascii="Arial" w:cs="Arial" w:eastAsia="Arial" w:hAnsi="Arial"/>
          <w:sz w:val="19"/>
          <w:szCs w:val="19"/>
          <w:color w:val="auto"/>
        </w:rPr>
        <w:t>again demonstrated the structural expansion that the franchise has enjoyed since the launch of Classic, a</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recreation of the game from 15 years ago. </w:t>
      </w:r>
      <w:r>
        <w:rPr>
          <w:rFonts w:ascii="Arial" w:cs="Arial" w:eastAsia="Arial" w:hAnsi="Arial"/>
          <w:sz w:val="19"/>
          <w:szCs w:val="19"/>
          <w:i w:val="1"/>
          <w:iCs w:val="1"/>
          <w:color w:val="auto"/>
        </w:rPr>
        <w:t>World of Warcraft</w:t>
      </w:r>
      <w:r>
        <w:rPr>
          <w:rFonts w:ascii="Arial" w:cs="Arial" w:eastAsia="Arial" w:hAnsi="Arial"/>
          <w:sz w:val="19"/>
          <w:szCs w:val="19"/>
          <w:color w:val="auto"/>
        </w:rPr>
        <w:t xml:space="preserve"> delivered its strongest annual engagement and net bookings outside of a Modern expansion year in a decade, benefiting from the combination of the Modern game and Classic under a single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79375</wp:posOffset>
            </wp:positionV>
            <wp:extent cx="6038850" cy="4106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8850" cy="4106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61" w:name="page62"/>
    <w:bookmarkEnd w:id="61"/>
    <w:p>
      <w:pPr>
        <w:ind w:left="5"/>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10" w:lineRule="exact"/>
        <w:rPr>
          <w:sz w:val="20"/>
          <w:szCs w:val="20"/>
          <w:color w:val="auto"/>
        </w:rPr>
      </w:pPr>
    </w:p>
    <w:p>
      <w:pPr>
        <w:ind w:left="5"/>
        <w:spacing w:after="0"/>
        <w:rPr>
          <w:sz w:val="20"/>
          <w:szCs w:val="20"/>
          <w:color w:val="auto"/>
        </w:rPr>
      </w:pPr>
      <w:r>
        <w:rPr>
          <w:rFonts w:ascii="Arial" w:cs="Arial" w:eastAsia="Arial" w:hAnsi="Arial"/>
          <w:sz w:val="24"/>
          <w:szCs w:val="24"/>
          <w:b w:val="1"/>
          <w:bCs w:val="1"/>
          <w:color w:val="auto"/>
        </w:rPr>
        <w:t>2021 Pay-for-Performance Alignment</w:t>
      </w:r>
    </w:p>
    <w:p>
      <w:pPr>
        <w:spacing w:after="0" w:line="142" w:lineRule="exact"/>
        <w:rPr>
          <w:sz w:val="20"/>
          <w:szCs w:val="20"/>
          <w:color w:val="auto"/>
        </w:rPr>
      </w:pPr>
    </w:p>
    <w:p>
      <w:pPr>
        <w:jc w:val="both"/>
        <w:ind w:left="5"/>
        <w:spacing w:after="0" w:line="238" w:lineRule="auto"/>
        <w:rPr>
          <w:sz w:val="20"/>
          <w:szCs w:val="20"/>
          <w:color w:val="auto"/>
        </w:rPr>
      </w:pPr>
      <w:r>
        <w:rPr>
          <w:rFonts w:ascii="Arial" w:cs="Arial" w:eastAsia="Arial" w:hAnsi="Arial"/>
          <w:sz w:val="19"/>
          <w:szCs w:val="19"/>
          <w:color w:val="auto"/>
        </w:rPr>
        <w:t>The performance targets for our 2021 incentive plans were aligned with our annual operating plan (i.e., our AOP), and we view these goals as ambitious, but achievable. For example, in our annual bonus plan (the CAIP), our threshold payout is set at 90% achievement of our AOP, whereas, for a number of our peer companies, the minimum level achievement required for any payout is 85% or less.</w:t>
      </w:r>
    </w:p>
    <w:p>
      <w:pPr>
        <w:spacing w:after="0" w:line="263" w:lineRule="exact"/>
        <w:rPr>
          <w:sz w:val="20"/>
          <w:szCs w:val="20"/>
          <w:color w:val="auto"/>
        </w:rPr>
      </w:pPr>
    </w:p>
    <w:p>
      <w:pPr>
        <w:jc w:val="both"/>
        <w:ind w:left="5" w:right="20"/>
        <w:spacing w:after="0"/>
        <w:rPr>
          <w:sz w:val="20"/>
          <w:szCs w:val="20"/>
          <w:color w:val="auto"/>
        </w:rPr>
      </w:pPr>
      <w:r>
        <w:rPr>
          <w:rFonts w:ascii="Arial" w:cs="Arial" w:eastAsia="Arial" w:hAnsi="Arial"/>
          <w:sz w:val="19"/>
          <w:szCs w:val="19"/>
          <w:color w:val="auto"/>
        </w:rPr>
        <w:t>The majority of the awards to NEOs based upon the Company’s 2021 performance resulted in below target level achievement, if any, and no awards to NEOs resulted in above target achievement. As discussed in detail in this CD&amp;A, this performance was directly reflected in our NEO compensation as follows:</w:t>
      </w:r>
    </w:p>
    <w:p>
      <w:pPr>
        <w:spacing w:after="0" w:line="236" w:lineRule="exact"/>
        <w:rPr>
          <w:sz w:val="20"/>
          <w:szCs w:val="20"/>
          <w:color w:val="auto"/>
        </w:rPr>
      </w:pPr>
    </w:p>
    <w:p>
      <w:pPr>
        <w:ind w:left="145" w:right="40" w:hanging="145"/>
        <w:spacing w:after="0" w:line="272" w:lineRule="auto"/>
        <w:tabs>
          <w:tab w:leader="none" w:pos="145" w:val="left"/>
        </w:tabs>
        <w:numPr>
          <w:ilvl w:val="0"/>
          <w:numId w:val="64"/>
        </w:numPr>
        <w:rPr>
          <w:rFonts w:ascii="Arial" w:cs="Arial" w:eastAsia="Arial" w:hAnsi="Arial"/>
          <w:sz w:val="19"/>
          <w:szCs w:val="19"/>
          <w:color w:val="125288"/>
        </w:rPr>
      </w:pPr>
      <w:r>
        <w:rPr>
          <w:rFonts w:ascii="Arial" w:cs="Arial" w:eastAsia="Arial" w:hAnsi="Arial"/>
          <w:sz w:val="19"/>
          <w:szCs w:val="19"/>
          <w:color w:val="auto"/>
        </w:rPr>
        <w:t>We did not meet the threshold level achievement of 90% of AB Adjusted OI relative to the AOP—missing that goal by 0.7%—</w:t>
      </w:r>
      <w:r>
        <w:rPr>
          <w:rFonts w:ascii="Arial" w:cs="Arial" w:eastAsia="Arial" w:hAnsi="Arial"/>
          <w:sz w:val="19"/>
          <w:szCs w:val="19"/>
          <w:b w:val="1"/>
          <w:bCs w:val="1"/>
          <w:color w:val="auto"/>
        </w:rPr>
        <w:t>and</w:t>
      </w:r>
      <w:r>
        <w:rPr>
          <w:rFonts w:ascii="Arial" w:cs="Arial" w:eastAsia="Arial" w:hAnsi="Arial"/>
          <w:sz w:val="19"/>
          <w:szCs w:val="19"/>
          <w:color w:val="auto"/>
        </w:rPr>
        <w:t xml:space="preserve"> </w:t>
      </w:r>
      <w:r>
        <w:rPr>
          <w:rFonts w:ascii="Arial" w:cs="Arial" w:eastAsia="Arial" w:hAnsi="Arial"/>
          <w:sz w:val="19"/>
          <w:szCs w:val="19"/>
          <w:b w:val="1"/>
          <w:bCs w:val="1"/>
          <w:color w:val="auto"/>
        </w:rPr>
        <w:t>therefore none of our NEOs received a CAIP award for 2021.</w:t>
      </w:r>
    </w:p>
    <w:p>
      <w:pPr>
        <w:spacing w:after="0" w:line="99" w:lineRule="exact"/>
        <w:rPr>
          <w:rFonts w:ascii="Arial" w:cs="Arial" w:eastAsia="Arial" w:hAnsi="Arial"/>
          <w:sz w:val="19"/>
          <w:szCs w:val="19"/>
          <w:color w:val="125288"/>
        </w:rPr>
      </w:pPr>
    </w:p>
    <w:p>
      <w:pPr>
        <w:jc w:val="both"/>
        <w:ind w:left="145" w:right="40" w:hanging="145"/>
        <w:spacing w:after="0"/>
        <w:tabs>
          <w:tab w:leader="none" w:pos="145" w:val="left"/>
        </w:tabs>
        <w:numPr>
          <w:ilvl w:val="0"/>
          <w:numId w:val="64"/>
        </w:numPr>
        <w:rPr>
          <w:rFonts w:ascii="Arial" w:cs="Arial" w:eastAsia="Arial" w:hAnsi="Arial"/>
          <w:sz w:val="19"/>
          <w:szCs w:val="19"/>
          <w:color w:val="125288"/>
        </w:rPr>
      </w:pPr>
      <w:r>
        <w:rPr>
          <w:rFonts w:ascii="Arial" w:cs="Arial" w:eastAsia="Arial" w:hAnsi="Arial"/>
          <w:sz w:val="19"/>
          <w:szCs w:val="19"/>
          <w:color w:val="auto"/>
        </w:rPr>
        <w:t>Performance Stock Units (i.e., PSUs)—vested, at least in part, in respect of 2021 performance based upon various measures, including AB Adjusted OI, AB Adjusted EPS, and relative TSR, resulting in payouts ranging from 0% to 94% of target, with an average of 41% of target.</w:t>
      </w:r>
    </w:p>
    <w:p>
      <w:pPr>
        <w:spacing w:after="0" w:line="129"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64"/>
        </w:numPr>
        <w:rPr>
          <w:rFonts w:ascii="Arial" w:cs="Arial" w:eastAsia="Arial" w:hAnsi="Arial"/>
          <w:sz w:val="19"/>
          <w:szCs w:val="19"/>
          <w:color w:val="125288"/>
        </w:rPr>
      </w:pPr>
      <w:r>
        <w:rPr>
          <w:rFonts w:ascii="Arial" w:cs="Arial" w:eastAsia="Arial" w:hAnsi="Arial"/>
          <w:sz w:val="19"/>
          <w:szCs w:val="19"/>
          <w:color w:val="auto"/>
        </w:rPr>
        <w:t>Performance Stock Options—had a binary performance target based on 2021 AB Adjusted OI, which was achieved, resulting in 100% vesting.</w:t>
      </w:r>
    </w:p>
    <w:p>
      <w:pPr>
        <w:spacing w:after="0" w:line="200" w:lineRule="exact"/>
        <w:rPr>
          <w:sz w:val="20"/>
          <w:szCs w:val="20"/>
          <w:color w:val="auto"/>
        </w:rPr>
      </w:pPr>
    </w:p>
    <w:p>
      <w:pPr>
        <w:spacing w:after="0" w:line="220" w:lineRule="exact"/>
        <w:rPr>
          <w:sz w:val="20"/>
          <w:szCs w:val="20"/>
          <w:color w:val="auto"/>
        </w:rPr>
      </w:pPr>
    </w:p>
    <w:p>
      <w:pPr>
        <w:ind w:left="5" w:right="1580"/>
        <w:spacing w:after="0" w:line="286" w:lineRule="auto"/>
        <w:rPr>
          <w:sz w:val="20"/>
          <w:szCs w:val="20"/>
          <w:color w:val="auto"/>
        </w:rPr>
      </w:pPr>
      <w:r>
        <w:rPr>
          <w:rFonts w:ascii="Arial" w:cs="Arial" w:eastAsia="Arial" w:hAnsi="Arial"/>
          <w:sz w:val="26"/>
          <w:szCs w:val="26"/>
          <w:b w:val="1"/>
          <w:bCs w:val="1"/>
          <w:color w:val="auto"/>
        </w:rPr>
        <w:t>HOW THE BOARD IS ADDRESSING SHAREHOLDER FEEDBACK ABOUT OUR COMPENSATION PROGRAM</w:t>
      </w:r>
    </w:p>
    <w:p>
      <w:pPr>
        <w:spacing w:after="0" w:line="204" w:lineRule="exact"/>
        <w:rPr>
          <w:sz w:val="20"/>
          <w:szCs w:val="20"/>
          <w:color w:val="auto"/>
        </w:rPr>
      </w:pPr>
    </w:p>
    <w:p>
      <w:pPr>
        <w:jc w:val="both"/>
        <w:ind w:left="5" w:right="20"/>
        <w:spacing w:after="0"/>
        <w:rPr>
          <w:sz w:val="20"/>
          <w:szCs w:val="20"/>
          <w:color w:val="auto"/>
        </w:rPr>
      </w:pPr>
      <w:r>
        <w:rPr>
          <w:rFonts w:ascii="Arial" w:cs="Arial" w:eastAsia="Arial" w:hAnsi="Arial"/>
          <w:sz w:val="19"/>
          <w:szCs w:val="19"/>
          <w:color w:val="auto"/>
        </w:rPr>
        <w:t>The Compensation Committee considers shareholder input essential and continues to focus on integrating shareholder viewpoints into our executive compensation program. We regularly engage with our shareholders throughout the year as part of this ongoing effort. In recent years, executive compensation has been a key topic of these conversations.</w:t>
      </w:r>
    </w:p>
    <w:p>
      <w:pPr>
        <w:spacing w:after="0" w:line="260" w:lineRule="exact"/>
        <w:rPr>
          <w:sz w:val="20"/>
          <w:szCs w:val="20"/>
          <w:color w:val="auto"/>
        </w:rPr>
      </w:pPr>
    </w:p>
    <w:p>
      <w:pPr>
        <w:jc w:val="both"/>
        <w:ind w:left="5" w:right="20"/>
        <w:spacing w:after="0" w:line="245" w:lineRule="auto"/>
        <w:rPr>
          <w:sz w:val="20"/>
          <w:szCs w:val="20"/>
          <w:color w:val="auto"/>
        </w:rPr>
      </w:pPr>
      <w:r>
        <w:rPr>
          <w:rFonts w:ascii="Arial" w:cs="Arial" w:eastAsia="Arial" w:hAnsi="Arial"/>
          <w:sz w:val="19"/>
          <w:szCs w:val="19"/>
          <w:color w:val="auto"/>
        </w:rPr>
        <w:t>Based largely on shareholder feedback, we made numerous modifications to our executive pay program design and disclosure prior to the 2021 annual meeting, including:</w:t>
      </w:r>
    </w:p>
    <w:p>
      <w:pPr>
        <w:spacing w:after="0" w:line="46" w:lineRule="exact"/>
        <w:rPr>
          <w:sz w:val="20"/>
          <w:szCs w:val="20"/>
          <w:color w:val="auto"/>
        </w:rPr>
      </w:pPr>
    </w:p>
    <w:p>
      <w:pPr>
        <w:ind w:left="145" w:hanging="145"/>
        <w:spacing w:after="0"/>
        <w:tabs>
          <w:tab w:leader="none" w:pos="145" w:val="left"/>
        </w:tabs>
        <w:numPr>
          <w:ilvl w:val="0"/>
          <w:numId w:val="65"/>
        </w:numPr>
        <w:rPr>
          <w:rFonts w:ascii="Arial" w:cs="Arial" w:eastAsia="Arial" w:hAnsi="Arial"/>
          <w:sz w:val="38"/>
          <w:szCs w:val="38"/>
          <w:color w:val="125288"/>
          <w:vertAlign w:val="subscript"/>
        </w:rPr>
      </w:pPr>
      <w:r>
        <w:rPr>
          <w:rFonts w:ascii="Arial" w:cs="Arial" w:eastAsia="Arial" w:hAnsi="Arial"/>
          <w:sz w:val="19"/>
          <w:szCs w:val="19"/>
          <w:color w:val="auto"/>
        </w:rPr>
        <w:t>reducing total CEO pay;</w:t>
      </w:r>
    </w:p>
    <w:p>
      <w:pPr>
        <w:spacing w:after="0" w:line="128" w:lineRule="exact"/>
        <w:rPr>
          <w:rFonts w:ascii="Arial" w:cs="Arial" w:eastAsia="Arial" w:hAnsi="Arial"/>
          <w:sz w:val="38"/>
          <w:szCs w:val="38"/>
          <w:color w:val="125288"/>
          <w:vertAlign w:val="subscript"/>
        </w:rPr>
      </w:pPr>
    </w:p>
    <w:p>
      <w:pPr>
        <w:ind w:left="145" w:hanging="145"/>
        <w:spacing w:after="0"/>
        <w:tabs>
          <w:tab w:leader="none" w:pos="145" w:val="left"/>
        </w:tabs>
        <w:numPr>
          <w:ilvl w:val="0"/>
          <w:numId w:val="65"/>
        </w:numPr>
        <w:rPr>
          <w:rFonts w:ascii="Arial" w:cs="Arial" w:eastAsia="Arial" w:hAnsi="Arial"/>
          <w:sz w:val="19"/>
          <w:szCs w:val="19"/>
          <w:color w:val="125288"/>
        </w:rPr>
      </w:pPr>
      <w:r>
        <w:rPr>
          <w:rFonts w:ascii="Arial" w:cs="Arial" w:eastAsia="Arial" w:hAnsi="Arial"/>
          <w:sz w:val="19"/>
          <w:szCs w:val="19"/>
          <w:color w:val="auto"/>
        </w:rPr>
        <w:t>eliminating the applicability of certain features of our CEO’s employment agreement;</w:t>
      </w:r>
    </w:p>
    <w:p>
      <w:pPr>
        <w:spacing w:after="0" w:line="138" w:lineRule="exact"/>
        <w:rPr>
          <w:rFonts w:ascii="Arial" w:cs="Arial" w:eastAsia="Arial" w:hAnsi="Arial"/>
          <w:sz w:val="19"/>
          <w:szCs w:val="19"/>
          <w:color w:val="125288"/>
        </w:rPr>
      </w:pPr>
    </w:p>
    <w:p>
      <w:pPr>
        <w:ind w:left="145" w:hanging="145"/>
        <w:spacing w:after="0"/>
        <w:tabs>
          <w:tab w:leader="none" w:pos="145" w:val="left"/>
        </w:tabs>
        <w:numPr>
          <w:ilvl w:val="0"/>
          <w:numId w:val="65"/>
        </w:numPr>
        <w:rPr>
          <w:rFonts w:ascii="Arial" w:cs="Arial" w:eastAsia="Arial" w:hAnsi="Arial"/>
          <w:sz w:val="19"/>
          <w:szCs w:val="19"/>
          <w:color w:val="125288"/>
        </w:rPr>
      </w:pPr>
      <w:r>
        <w:rPr>
          <w:rFonts w:ascii="Arial" w:cs="Arial" w:eastAsia="Arial" w:hAnsi="Arial"/>
          <w:sz w:val="19"/>
          <w:szCs w:val="19"/>
          <w:color w:val="auto"/>
        </w:rPr>
        <w:t>placing more emphasis on performance-based equity incentive awards; and</w:t>
      </w:r>
    </w:p>
    <w:p>
      <w:pPr>
        <w:spacing w:after="0" w:line="138" w:lineRule="exact"/>
        <w:rPr>
          <w:rFonts w:ascii="Arial" w:cs="Arial" w:eastAsia="Arial" w:hAnsi="Arial"/>
          <w:sz w:val="19"/>
          <w:szCs w:val="19"/>
          <w:color w:val="125288"/>
        </w:rPr>
      </w:pPr>
    </w:p>
    <w:p>
      <w:pPr>
        <w:ind w:left="145" w:hanging="145"/>
        <w:spacing w:after="0"/>
        <w:tabs>
          <w:tab w:leader="none" w:pos="145" w:val="left"/>
        </w:tabs>
        <w:numPr>
          <w:ilvl w:val="0"/>
          <w:numId w:val="65"/>
        </w:numPr>
        <w:rPr>
          <w:rFonts w:ascii="Arial" w:cs="Arial" w:eastAsia="Arial" w:hAnsi="Arial"/>
          <w:sz w:val="19"/>
          <w:szCs w:val="19"/>
          <w:color w:val="125288"/>
        </w:rPr>
      </w:pPr>
      <w:r>
        <w:rPr>
          <w:rFonts w:ascii="Arial" w:cs="Arial" w:eastAsia="Arial" w:hAnsi="Arial"/>
          <w:sz w:val="19"/>
          <w:szCs w:val="19"/>
          <w:color w:val="auto"/>
        </w:rPr>
        <w:t>adding an ESG component to the strategic objectives underlying our executive bonuses.</w:t>
      </w:r>
    </w:p>
    <w:p>
      <w:pPr>
        <w:spacing w:after="0" w:line="138" w:lineRule="exact"/>
        <w:rPr>
          <w:sz w:val="20"/>
          <w:szCs w:val="20"/>
          <w:color w:val="auto"/>
        </w:rPr>
      </w:pPr>
    </w:p>
    <w:p>
      <w:pPr>
        <w:ind w:left="5"/>
        <w:spacing w:after="0"/>
        <w:rPr>
          <w:sz w:val="20"/>
          <w:szCs w:val="20"/>
          <w:color w:val="auto"/>
        </w:rPr>
      </w:pPr>
      <w:r>
        <w:rPr>
          <w:rFonts w:ascii="Arial" w:cs="Arial" w:eastAsia="Arial" w:hAnsi="Arial"/>
          <w:sz w:val="19"/>
          <w:szCs w:val="19"/>
          <w:color w:val="auto"/>
        </w:rPr>
        <w:t>We believe these modifications appropriately addressed the majority of shareholder concerns regarding our pay practices.</w:t>
      </w:r>
    </w:p>
    <w:p>
      <w:pPr>
        <w:spacing w:after="0" w:line="269" w:lineRule="exact"/>
        <w:rPr>
          <w:sz w:val="20"/>
          <w:szCs w:val="20"/>
          <w:color w:val="auto"/>
        </w:rPr>
      </w:pPr>
    </w:p>
    <w:p>
      <w:pPr>
        <w:jc w:val="both"/>
        <w:ind w:left="5" w:right="20"/>
        <w:spacing w:after="0" w:line="238" w:lineRule="auto"/>
        <w:rPr>
          <w:sz w:val="20"/>
          <w:szCs w:val="20"/>
          <w:color w:val="auto"/>
        </w:rPr>
      </w:pPr>
      <w:r>
        <w:rPr>
          <w:rFonts w:ascii="Arial" w:cs="Arial" w:eastAsia="Arial" w:hAnsi="Arial"/>
          <w:sz w:val="19"/>
          <w:szCs w:val="19"/>
          <w:color w:val="auto"/>
        </w:rPr>
        <w:t>A majority of the shareholders who voted at our 2021 annual meeting, representing approximately 56% of the total votes cast, voted in support of our say-on-pay proposal. We believe, based upon shareholder feedback received after the 2021 annual meeting, that some of the unfavorable say-on-pay votes were cast in relation to the pay program in effect for 2020, and did not fully reflect investor sentiments regarding the modifications we made before the meeting. This year, in response to shareholders, we have continued to strengthen our compensation program and better align NEO performance and compensation with the interests of our shareholders.</w:t>
      </w:r>
    </w:p>
    <w:p>
      <w:pPr>
        <w:spacing w:after="0" w:line="260" w:lineRule="exact"/>
        <w:rPr>
          <w:sz w:val="20"/>
          <w:szCs w:val="20"/>
          <w:color w:val="auto"/>
        </w:rPr>
      </w:pPr>
    </w:p>
    <w:p>
      <w:pPr>
        <w:jc w:val="both"/>
        <w:ind w:left="5"/>
        <w:spacing w:after="0" w:line="236" w:lineRule="auto"/>
        <w:rPr>
          <w:sz w:val="20"/>
          <w:szCs w:val="20"/>
          <w:color w:val="auto"/>
        </w:rPr>
      </w:pPr>
      <w:r>
        <w:rPr>
          <w:rFonts w:ascii="Arial" w:cs="Arial" w:eastAsia="Arial" w:hAnsi="Arial"/>
          <w:sz w:val="19"/>
          <w:szCs w:val="19"/>
          <w:color w:val="auto"/>
        </w:rPr>
        <w:t>We continued our focus on shareholder engagement following the 2021 annual meeting, offering engagement to shareholders owning approximately 64% of our outstanding shares. We also identified and engaged with many of the large institutional investors that voted against our 2021 say-on-pay proposal, as well as with proxy advisors ISS and Glass Lewis. Our Board and management team held over 60 meetings, engaging with 54 institutions owning approximately 53% of our outstanding shares (based on shareholding estimates at the outset of our engagement efforts in February 2022). The Chair of our Compensation Committee, Mr. Morgado, or the CEO (and, in many cases, both) personally participated in over 20 meetings with shareholders owning approximately 40% of our outstanding shares (also based on shareholding estimates at the outset of our engagement efforts in February 2022). To ensure candid discussions, the CEO always offered to step away from these calls when CEO or broader NEO compensation was discussed. Investor feedback from all of these conversations was shared with the entire Board.</w:t>
      </w:r>
    </w:p>
    <w:p>
      <w:pPr>
        <w:spacing w:after="0" w:line="160" w:lineRule="exact"/>
        <w:rPr>
          <w:sz w:val="20"/>
          <w:szCs w:val="20"/>
          <w:color w:val="auto"/>
        </w:rPr>
      </w:pPr>
    </w:p>
    <w:p>
      <w:pPr>
        <w:ind w:left="5"/>
        <w:spacing w:after="0"/>
        <w:tabs>
          <w:tab w:leader="none" w:pos="7364" w:val="left"/>
          <w:tab w:leader="none" w:pos="9384" w:val="left"/>
          <w:tab w:leader="none" w:pos="1108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bookmarkStart w:id="62" w:name="page63"/>
    <w:bookmarkEnd w:id="62"/>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35"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Our engagement after the 2021 annual meeting gave us the opportunity to further explain the numerous modifications made to our pay program design and to solicit additional feedback. As a result of these changes (together with the further reduction in CEO pay during 2021), shareholder feedback regarding our pay program turned largely positive and shareholders shifted the focus of their comments and questions away from executive compensation to other topics.</w:t>
      </w:r>
    </w:p>
    <w:p>
      <w:pPr>
        <w:spacing w:after="0" w:line="23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Pay Program Modifications During 2021</w:t>
      </w:r>
    </w:p>
    <w:p>
      <w:pPr>
        <w:spacing w:after="0" w:line="142"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The Company made substantial modifications to its pay programs in 2021, both in response to shareholder feedback and to incorporate other adjustments we and our CEO viewed as necessary to further enhance our executive compensation practices and to incentivize achievement of the Transformational Goals. These changes are summarized in the table below.</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400" w:type="dxa"/>
            <w:vAlign w:val="bottom"/>
          </w:tcPr>
          <w:p>
            <w:pPr>
              <w:spacing w:after="0"/>
              <w:rPr>
                <w:sz w:val="14"/>
                <w:szCs w:val="14"/>
                <w:color w:val="auto"/>
              </w:rPr>
            </w:pPr>
          </w:p>
        </w:tc>
        <w:tc>
          <w:tcPr>
            <w:tcW w:w="3080" w:type="dxa"/>
            <w:vAlign w:val="bottom"/>
          </w:tcPr>
          <w:p>
            <w:pPr>
              <w:ind w:left="460"/>
              <w:spacing w:after="0"/>
              <w:rPr>
                <w:sz w:val="20"/>
                <w:szCs w:val="20"/>
                <w:color w:val="auto"/>
              </w:rPr>
            </w:pPr>
            <w:r>
              <w:rPr>
                <w:rFonts w:ascii="Arial" w:cs="Arial" w:eastAsia="Arial" w:hAnsi="Arial"/>
                <w:sz w:val="13"/>
                <w:szCs w:val="13"/>
                <w:b w:val="1"/>
                <w:bCs w:val="1"/>
                <w:color w:val="125288"/>
              </w:rPr>
              <w:t>How we responded</w:t>
            </w:r>
          </w:p>
        </w:tc>
        <w:tc>
          <w:tcPr>
            <w:tcW w:w="3140" w:type="dxa"/>
            <w:vAlign w:val="bottom"/>
          </w:tcPr>
          <w:p>
            <w:pPr>
              <w:ind w:left="540"/>
              <w:spacing w:after="0"/>
              <w:rPr>
                <w:sz w:val="20"/>
                <w:szCs w:val="20"/>
                <w:color w:val="auto"/>
              </w:rPr>
            </w:pPr>
            <w:r>
              <w:rPr>
                <w:rFonts w:ascii="Arial" w:cs="Arial" w:eastAsia="Arial" w:hAnsi="Arial"/>
                <w:sz w:val="13"/>
                <w:szCs w:val="13"/>
                <w:b w:val="1"/>
                <w:bCs w:val="1"/>
                <w:color w:val="125288"/>
              </w:rPr>
              <w:t>Additional changes</w:t>
            </w:r>
          </w:p>
        </w:tc>
        <w:tc>
          <w:tcPr>
            <w:tcW w:w="3640" w:type="dxa"/>
            <w:vAlign w:val="bottom"/>
          </w:tcPr>
          <w:p>
            <w:pPr>
              <w:spacing w:after="0"/>
              <w:rPr>
                <w:sz w:val="14"/>
                <w:szCs w:val="14"/>
                <w:color w:val="auto"/>
              </w:rPr>
            </w:pPr>
          </w:p>
        </w:tc>
      </w:tr>
      <w:tr>
        <w:trPr>
          <w:trHeight w:val="178"/>
        </w:trPr>
        <w:tc>
          <w:tcPr>
            <w:tcW w:w="1400" w:type="dxa"/>
            <w:vAlign w:val="bottom"/>
          </w:tcPr>
          <w:p>
            <w:pPr>
              <w:ind w:left="60"/>
              <w:spacing w:after="0"/>
              <w:rPr>
                <w:sz w:val="20"/>
                <w:szCs w:val="20"/>
                <w:color w:val="auto"/>
              </w:rPr>
            </w:pPr>
            <w:r>
              <w:rPr>
                <w:rFonts w:ascii="Arial" w:cs="Arial" w:eastAsia="Arial" w:hAnsi="Arial"/>
                <w:sz w:val="13"/>
                <w:szCs w:val="13"/>
                <w:b w:val="1"/>
                <w:bCs w:val="1"/>
                <w:color w:val="125288"/>
              </w:rPr>
              <w:t>What we heard</w:t>
            </w:r>
          </w:p>
        </w:tc>
        <w:tc>
          <w:tcPr>
            <w:tcW w:w="3080" w:type="dxa"/>
            <w:vAlign w:val="bottom"/>
          </w:tcPr>
          <w:p>
            <w:pPr>
              <w:ind w:left="460"/>
              <w:spacing w:after="0"/>
              <w:rPr>
                <w:sz w:val="20"/>
                <w:szCs w:val="20"/>
                <w:color w:val="auto"/>
              </w:rPr>
            </w:pPr>
            <w:r>
              <w:rPr>
                <w:rFonts w:ascii="Arial" w:cs="Arial" w:eastAsia="Arial" w:hAnsi="Arial"/>
                <w:sz w:val="13"/>
                <w:szCs w:val="13"/>
                <w:b w:val="1"/>
                <w:bCs w:val="1"/>
                <w:color w:val="125288"/>
              </w:rPr>
              <w:t>in advance of 2021 Annual Meeting</w:t>
            </w:r>
          </w:p>
        </w:tc>
        <w:tc>
          <w:tcPr>
            <w:tcW w:w="3140" w:type="dxa"/>
            <w:vAlign w:val="bottom"/>
          </w:tcPr>
          <w:p>
            <w:pPr>
              <w:ind w:left="540"/>
              <w:spacing w:after="0"/>
              <w:rPr>
                <w:sz w:val="20"/>
                <w:szCs w:val="20"/>
                <w:color w:val="auto"/>
              </w:rPr>
            </w:pPr>
            <w:r>
              <w:rPr>
                <w:rFonts w:ascii="Arial" w:cs="Arial" w:eastAsia="Arial" w:hAnsi="Arial"/>
                <w:sz w:val="13"/>
                <w:szCs w:val="13"/>
                <w:b w:val="1"/>
                <w:bCs w:val="1"/>
                <w:color w:val="125288"/>
              </w:rPr>
              <w:t>following the 2021 annual meeting</w:t>
            </w:r>
          </w:p>
        </w:tc>
        <w:tc>
          <w:tcPr>
            <w:tcW w:w="3640" w:type="dxa"/>
            <w:vAlign w:val="bottom"/>
          </w:tcPr>
          <w:p>
            <w:pPr>
              <w:ind w:left="540"/>
              <w:spacing w:after="0"/>
              <w:rPr>
                <w:sz w:val="20"/>
                <w:szCs w:val="20"/>
                <w:color w:val="auto"/>
              </w:rPr>
            </w:pPr>
            <w:r>
              <w:rPr>
                <w:rFonts w:ascii="Arial" w:cs="Arial" w:eastAsia="Arial" w:hAnsi="Arial"/>
                <w:sz w:val="13"/>
                <w:szCs w:val="13"/>
                <w:b w:val="1"/>
                <w:bCs w:val="1"/>
                <w:color w:val="125288"/>
              </w:rPr>
              <w:t>Impact of action</w:t>
            </w:r>
          </w:p>
        </w:tc>
      </w:tr>
      <w:tr>
        <w:trPr>
          <w:trHeight w:val="37"/>
        </w:trPr>
        <w:tc>
          <w:tcPr>
            <w:tcW w:w="1400" w:type="dxa"/>
            <w:vAlign w:val="bottom"/>
            <w:tcBorders>
              <w:bottom w:val="single" w:sz="8" w:color="125288"/>
            </w:tcBorders>
          </w:tcPr>
          <w:p>
            <w:pPr>
              <w:spacing w:after="0"/>
              <w:rPr>
                <w:sz w:val="3"/>
                <w:szCs w:val="3"/>
                <w:color w:val="auto"/>
              </w:rPr>
            </w:pPr>
          </w:p>
        </w:tc>
        <w:tc>
          <w:tcPr>
            <w:tcW w:w="3080" w:type="dxa"/>
            <w:vAlign w:val="bottom"/>
            <w:tcBorders>
              <w:bottom w:val="single" w:sz="8" w:color="125288"/>
            </w:tcBorders>
          </w:tcPr>
          <w:p>
            <w:pPr>
              <w:spacing w:after="0"/>
              <w:rPr>
                <w:sz w:val="3"/>
                <w:szCs w:val="3"/>
                <w:color w:val="auto"/>
              </w:rPr>
            </w:pPr>
          </w:p>
        </w:tc>
        <w:tc>
          <w:tcPr>
            <w:tcW w:w="3140" w:type="dxa"/>
            <w:vAlign w:val="bottom"/>
            <w:tcBorders>
              <w:bottom w:val="single" w:sz="8" w:color="125288"/>
            </w:tcBorders>
          </w:tcPr>
          <w:p>
            <w:pPr>
              <w:spacing w:after="0"/>
              <w:rPr>
                <w:sz w:val="3"/>
                <w:szCs w:val="3"/>
                <w:color w:val="auto"/>
              </w:rPr>
            </w:pPr>
          </w:p>
        </w:tc>
        <w:tc>
          <w:tcPr>
            <w:tcW w:w="3640" w:type="dxa"/>
            <w:vAlign w:val="bottom"/>
            <w:tcBorders>
              <w:bottom w:val="single" w:sz="8" w:color="125288"/>
            </w:tcBorders>
          </w:tcPr>
          <w:p>
            <w:pPr>
              <w:spacing w:after="0"/>
              <w:rPr>
                <w:sz w:val="3"/>
                <w:szCs w:val="3"/>
                <w:color w:val="auto"/>
              </w:rPr>
            </w:pPr>
          </w:p>
        </w:tc>
      </w:tr>
    </w:tbl>
    <w:p>
      <w:pPr>
        <w:spacing w:after="0" w:line="5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125288"/>
        </w:rPr>
        <w:t>CEO’s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48830" cy="152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165" w:lineRule="exact"/>
        <w:rPr>
          <w:sz w:val="20"/>
          <w:szCs w:val="20"/>
          <w:color w:val="auto"/>
        </w:rPr>
      </w:pPr>
    </w:p>
    <w:p>
      <w:pPr>
        <w:ind w:left="1860"/>
        <w:spacing w:after="0"/>
        <w:rPr>
          <w:sz w:val="20"/>
          <w:szCs w:val="20"/>
          <w:color w:val="auto"/>
        </w:rPr>
      </w:pPr>
      <w:r>
        <w:rPr>
          <w:rFonts w:ascii="Arial" w:cs="Arial" w:eastAsia="Arial" w:hAnsi="Arial"/>
          <w:sz w:val="17"/>
          <w:szCs w:val="17"/>
          <w:b w:val="1"/>
          <w:bCs w:val="1"/>
          <w:color w:val="auto"/>
        </w:rPr>
        <w:t>Base Salary</w:t>
      </w:r>
    </w:p>
    <w:p>
      <w:pPr>
        <w:sectPr>
          <w:pgSz w:w="11900" w:h="16838" w:orient="portrait"/>
          <w:cols w:equalWidth="0" w:num="1">
            <w:col w:w="11260"/>
          </w:cols>
          <w:pgMar w:left="320" w:top="144" w:right="319" w:bottom="1440" w:gutter="0" w:footer="0" w:header="0"/>
        </w:sectPr>
      </w:pPr>
    </w:p>
    <w:p>
      <w:pPr>
        <w:spacing w:after="0" w:line="50" w:lineRule="exact"/>
        <w:rPr>
          <w:sz w:val="20"/>
          <w:szCs w:val="20"/>
          <w:color w:val="auto"/>
        </w:rPr>
      </w:pPr>
    </w:p>
    <w:p>
      <w:pPr>
        <w:ind w:left="2020" w:hanging="159"/>
        <w:spacing w:after="0" w:line="239" w:lineRule="auto"/>
        <w:tabs>
          <w:tab w:leader="none" w:pos="2020" w:val="left"/>
        </w:tabs>
        <w:numPr>
          <w:ilvl w:val="0"/>
          <w:numId w:val="66"/>
        </w:numPr>
        <w:rPr>
          <w:rFonts w:ascii="Arial" w:cs="Arial" w:eastAsia="Arial" w:hAnsi="Arial"/>
          <w:sz w:val="17"/>
          <w:szCs w:val="17"/>
          <w:color w:val="125288"/>
        </w:rPr>
      </w:pPr>
      <w:r>
        <w:rPr>
          <w:rFonts w:ascii="Arial" w:cs="Arial" w:eastAsia="Arial" w:hAnsi="Arial"/>
          <w:sz w:val="17"/>
          <w:szCs w:val="17"/>
          <w:color w:val="auto"/>
        </w:rPr>
        <w:t>Reduced CEO’s 2021 salary by 50% from $1.75 million to $875,000</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148" w:hanging="148"/>
        <w:spacing w:after="0" w:line="236" w:lineRule="auto"/>
        <w:tabs>
          <w:tab w:leader="none" w:pos="148" w:val="left"/>
        </w:tabs>
        <w:numPr>
          <w:ilvl w:val="0"/>
          <w:numId w:val="67"/>
        </w:numPr>
        <w:rPr>
          <w:rFonts w:ascii="Arial" w:cs="Arial" w:eastAsia="Arial" w:hAnsi="Arial"/>
          <w:sz w:val="17"/>
          <w:szCs w:val="17"/>
          <w:color w:val="125288"/>
        </w:rPr>
      </w:pPr>
      <w:r>
        <w:rPr>
          <w:rFonts w:ascii="Arial" w:cs="Arial" w:eastAsia="Arial" w:hAnsi="Arial"/>
          <w:sz w:val="17"/>
          <w:szCs w:val="17"/>
          <w:color w:val="auto"/>
        </w:rPr>
        <w:t>CEO requested that his base salary be reduced to the minimum required under California law until appropriate progress toward achievement of Transformational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217805</wp:posOffset>
            </wp:positionV>
            <wp:extent cx="6001385" cy="152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01385"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left="205" w:right="60" w:hanging="158"/>
        <w:spacing w:after="0" w:line="184" w:lineRule="auto"/>
        <w:tabs>
          <w:tab w:leader="none" w:pos="205" w:val="left"/>
        </w:tabs>
        <w:numPr>
          <w:ilvl w:val="1"/>
          <w:numId w:val="68"/>
        </w:numPr>
        <w:rPr>
          <w:rFonts w:ascii="Arial" w:cs="Arial" w:eastAsia="Arial" w:hAnsi="Arial"/>
          <w:sz w:val="32"/>
          <w:szCs w:val="32"/>
          <w:color w:val="125288"/>
          <w:vertAlign w:val="superscript"/>
        </w:rPr>
      </w:pPr>
      <w:r>
        <w:rPr>
          <w:rFonts w:ascii="Arial" w:cs="Arial" w:eastAsia="Arial" w:hAnsi="Arial"/>
          <w:sz w:val="16"/>
          <w:szCs w:val="16"/>
          <w:color w:val="auto"/>
        </w:rPr>
        <w:t>Initial 2021 salary below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peer group</w:t>
      </w:r>
    </w:p>
    <w:p>
      <w:pPr>
        <w:spacing w:after="0" w:line="27" w:lineRule="exact"/>
        <w:rPr>
          <w:rFonts w:ascii="Arial" w:cs="Arial" w:eastAsia="Arial" w:hAnsi="Arial"/>
          <w:sz w:val="32"/>
          <w:szCs w:val="32"/>
          <w:color w:val="125288"/>
          <w:vertAlign w:val="superscript"/>
        </w:rPr>
      </w:pPr>
    </w:p>
    <w:p>
      <w:pPr>
        <w:ind w:left="145" w:right="200" w:hanging="145"/>
        <w:spacing w:after="0" w:line="236" w:lineRule="auto"/>
        <w:tabs>
          <w:tab w:leader="none" w:pos="145" w:val="left"/>
        </w:tabs>
        <w:numPr>
          <w:ilvl w:val="0"/>
          <w:numId w:val="68"/>
        </w:numPr>
        <w:rPr>
          <w:rFonts w:ascii="Arial" w:cs="Arial" w:eastAsia="Arial" w:hAnsi="Arial"/>
          <w:sz w:val="17"/>
          <w:szCs w:val="17"/>
          <w:color w:val="125288"/>
        </w:rPr>
      </w:pPr>
      <w:r>
        <w:rPr>
          <w:rFonts w:ascii="Arial" w:cs="Arial" w:eastAsia="Arial" w:hAnsi="Arial"/>
          <w:sz w:val="17"/>
          <w:szCs w:val="17"/>
          <w:color w:val="auto"/>
        </w:rPr>
        <w:t>Subsequent reduction to $62,500 resulted in the CEO having the lowest base salary of peer group by over $500,000</w:t>
      </w:r>
    </w:p>
    <w:p>
      <w:pPr>
        <w:spacing w:after="0" w:line="162" w:lineRule="exact"/>
        <w:rPr>
          <w:sz w:val="20"/>
          <w:szCs w:val="20"/>
          <w:color w:val="auto"/>
        </w:rPr>
      </w:pPr>
    </w:p>
    <w:p>
      <w:pPr>
        <w:sectPr>
          <w:pgSz w:w="11900" w:h="16838" w:orient="portrait"/>
          <w:cols w:equalWidth="0" w:num="3">
            <w:col w:w="4720" w:space="292"/>
            <w:col w:w="3008" w:space="95"/>
            <w:col w:w="3145"/>
          </w:cols>
          <w:pgMar w:left="320" w:top="144" w:right="319" w:bottom="1440" w:gutter="0" w:footer="0" w:header="0"/>
          <w:type w:val="continuous"/>
        </w:sectPr>
      </w:pPr>
    </w:p>
    <w:p>
      <w:pPr>
        <w:spacing w:after="0" w:line="39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CEO pay</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exceeds that of peers</w:t>
      </w:r>
    </w:p>
    <w:p>
      <w:pPr>
        <w:spacing w:after="0" w:line="20" w:lineRule="exact"/>
        <w:rPr>
          <w:sz w:val="20"/>
          <w:szCs w:val="20"/>
          <w:color w:val="auto"/>
        </w:rPr>
      </w:pPr>
      <w:r>
        <w:rPr>
          <w:sz w:val="20"/>
          <w:szCs w:val="20"/>
          <w:color w:val="auto"/>
        </w:rPr>
        <w:br w:type="column"/>
      </w:r>
    </w:p>
    <w:p>
      <w:pPr>
        <w:ind w:left="46" w:right="380"/>
        <w:spacing w:after="0" w:line="264" w:lineRule="auto"/>
        <w:rPr>
          <w:sz w:val="20"/>
          <w:szCs w:val="20"/>
          <w:color w:val="auto"/>
        </w:rPr>
      </w:pPr>
      <w:r>
        <w:rPr>
          <w:rFonts w:ascii="Arial" w:cs="Arial" w:eastAsia="Arial" w:hAnsi="Arial"/>
          <w:sz w:val="17"/>
          <w:szCs w:val="17"/>
          <w:b w:val="1"/>
          <w:bCs w:val="1"/>
          <w:color w:val="auto"/>
        </w:rPr>
        <w:t>Corporate Annual Incentive Plan (CAIP)</w:t>
      </w:r>
    </w:p>
    <w:p>
      <w:pPr>
        <w:spacing w:after="0" w:line="6" w:lineRule="exact"/>
        <w:rPr>
          <w:sz w:val="20"/>
          <w:szCs w:val="20"/>
          <w:color w:val="auto"/>
        </w:rPr>
      </w:pPr>
    </w:p>
    <w:p>
      <w:pPr>
        <w:ind w:left="206" w:hanging="159"/>
        <w:spacing w:after="0" w:line="239" w:lineRule="auto"/>
        <w:tabs>
          <w:tab w:leader="none" w:pos="206" w:val="left"/>
        </w:tabs>
        <w:numPr>
          <w:ilvl w:val="1"/>
          <w:numId w:val="69"/>
        </w:numPr>
        <w:rPr>
          <w:rFonts w:ascii="Arial" w:cs="Arial" w:eastAsia="Arial" w:hAnsi="Arial"/>
          <w:sz w:val="17"/>
          <w:szCs w:val="17"/>
          <w:color w:val="125288"/>
        </w:rPr>
      </w:pPr>
      <w:r>
        <w:rPr>
          <w:rFonts w:ascii="Arial" w:cs="Arial" w:eastAsia="Arial" w:hAnsi="Arial"/>
          <w:sz w:val="17"/>
          <w:szCs w:val="17"/>
          <w:color w:val="auto"/>
        </w:rPr>
        <w:t>Reduced CAIP cash bonus as a result of salary reduction</w:t>
      </w:r>
    </w:p>
    <w:p>
      <w:pPr>
        <w:spacing w:after="0" w:line="26" w:lineRule="exact"/>
        <w:rPr>
          <w:rFonts w:ascii="Arial" w:cs="Arial" w:eastAsia="Arial" w:hAnsi="Arial"/>
          <w:sz w:val="17"/>
          <w:szCs w:val="17"/>
          <w:color w:val="125288"/>
        </w:rPr>
      </w:pPr>
    </w:p>
    <w:p>
      <w:pPr>
        <w:jc w:val="both"/>
        <w:ind w:left="146" w:right="80" w:hanging="146"/>
        <w:spacing w:after="0" w:line="237" w:lineRule="auto"/>
        <w:tabs>
          <w:tab w:leader="none" w:pos="146" w:val="left"/>
        </w:tabs>
        <w:numPr>
          <w:ilvl w:val="0"/>
          <w:numId w:val="69"/>
        </w:numPr>
        <w:rPr>
          <w:rFonts w:ascii="Arial" w:cs="Arial" w:eastAsia="Arial" w:hAnsi="Arial"/>
          <w:sz w:val="17"/>
          <w:szCs w:val="17"/>
          <w:color w:val="125288"/>
        </w:rPr>
      </w:pPr>
      <w:r>
        <w:rPr>
          <w:rFonts w:ascii="Arial" w:cs="Arial" w:eastAsia="Arial" w:hAnsi="Arial"/>
          <w:sz w:val="17"/>
          <w:szCs w:val="17"/>
          <w:color w:val="auto"/>
        </w:rPr>
        <w:t>Capped maximum potential 2021 and 2022 CAIP payouts to 2X base salary (effectively capped “at target”)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ind w:left="148" w:hanging="148"/>
        <w:spacing w:after="0" w:line="236" w:lineRule="auto"/>
        <w:tabs>
          <w:tab w:leader="none" w:pos="148" w:val="left"/>
        </w:tabs>
        <w:numPr>
          <w:ilvl w:val="0"/>
          <w:numId w:val="70"/>
        </w:numPr>
        <w:rPr>
          <w:rFonts w:ascii="Arial" w:cs="Arial" w:eastAsia="Arial" w:hAnsi="Arial"/>
          <w:sz w:val="17"/>
          <w:szCs w:val="17"/>
          <w:color w:val="125288"/>
        </w:rPr>
      </w:pPr>
      <w:r>
        <w:rPr>
          <w:rFonts w:ascii="Arial" w:cs="Arial" w:eastAsia="Arial" w:hAnsi="Arial"/>
          <w:sz w:val="17"/>
          <w:szCs w:val="17"/>
          <w:color w:val="auto"/>
        </w:rPr>
        <w:t>CEO requested that he receive no bonus until appropriate progress toward achievement of Transformational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173355</wp:posOffset>
            </wp:positionV>
            <wp:extent cx="6001385" cy="152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01385"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jc w:val="both"/>
        <w:ind w:left="205" w:right="360" w:hanging="158"/>
        <w:spacing w:after="0" w:line="224" w:lineRule="auto"/>
        <w:tabs>
          <w:tab w:leader="none" w:pos="205" w:val="left"/>
        </w:tabs>
        <w:numPr>
          <w:ilvl w:val="1"/>
          <w:numId w:val="71"/>
        </w:numPr>
        <w:rPr>
          <w:rFonts w:ascii="Arial" w:cs="Arial" w:eastAsia="Arial" w:hAnsi="Arial"/>
          <w:sz w:val="16"/>
          <w:szCs w:val="16"/>
          <w:color w:val="125288"/>
        </w:rPr>
      </w:pPr>
      <w:r>
        <w:rPr>
          <w:rFonts w:ascii="Arial" w:cs="Arial" w:eastAsia="Arial" w:hAnsi="Arial"/>
          <w:sz w:val="16"/>
          <w:szCs w:val="16"/>
          <w:color w:val="auto"/>
        </w:rPr>
        <w:t>2021 and 2022 target bonuses well below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peer group</w:t>
      </w:r>
    </w:p>
    <w:p>
      <w:pPr>
        <w:ind w:left="145" w:hanging="145"/>
        <w:spacing w:after="0"/>
        <w:tabs>
          <w:tab w:leader="none" w:pos="145" w:val="left"/>
        </w:tabs>
        <w:numPr>
          <w:ilvl w:val="0"/>
          <w:numId w:val="71"/>
        </w:numPr>
        <w:rPr>
          <w:rFonts w:ascii="Arial" w:cs="Arial" w:eastAsia="Arial" w:hAnsi="Arial"/>
          <w:sz w:val="16"/>
          <w:szCs w:val="16"/>
          <w:color w:val="125288"/>
        </w:rPr>
      </w:pPr>
      <w:r>
        <w:rPr>
          <w:rFonts w:ascii="Arial" w:cs="Arial" w:eastAsia="Arial" w:hAnsi="Arial"/>
          <w:sz w:val="16"/>
          <w:szCs w:val="16"/>
          <w:color w:val="auto"/>
        </w:rPr>
        <w:t>No CAIP bonus paid to CEO for 2021</w:t>
      </w:r>
    </w:p>
    <w:p>
      <w:pPr>
        <w:spacing w:after="0" w:line="485" w:lineRule="exact"/>
        <w:rPr>
          <w:sz w:val="20"/>
          <w:szCs w:val="20"/>
          <w:color w:val="auto"/>
        </w:rPr>
      </w:pPr>
    </w:p>
    <w:p>
      <w:pPr>
        <w:sectPr>
          <w:pgSz w:w="11900" w:h="16838" w:orient="portrait"/>
          <w:cols w:equalWidth="0" w:num="4">
            <w:col w:w="1760" w:space="54"/>
            <w:col w:w="3006" w:space="192"/>
            <w:col w:w="2668" w:space="435"/>
            <w:col w:w="3145"/>
          </w:cols>
          <w:pgMar w:left="320" w:top="144" w:right="319" w:bottom="1440" w:gutter="0" w:footer="0" w:header="0"/>
          <w:type w:val="continuous"/>
        </w:sectPr>
      </w:pPr>
    </w:p>
    <w:p>
      <w:pPr>
        <w:ind w:left="1860"/>
        <w:spacing w:after="0"/>
        <w:rPr>
          <w:sz w:val="20"/>
          <w:szCs w:val="20"/>
          <w:color w:val="auto"/>
        </w:rPr>
      </w:pPr>
      <w:r>
        <w:rPr>
          <w:rFonts w:ascii="Arial" w:cs="Arial" w:eastAsia="Arial" w:hAnsi="Arial"/>
          <w:sz w:val="17"/>
          <w:szCs w:val="17"/>
          <w:b w:val="1"/>
          <w:bCs w:val="1"/>
          <w:color w:val="auto"/>
        </w:rPr>
        <w:t>Long-Term Incentives (LTI)</w:t>
      </w:r>
    </w:p>
    <w:p>
      <w:pPr>
        <w:spacing w:after="0" w:line="50" w:lineRule="exact"/>
        <w:rPr>
          <w:sz w:val="20"/>
          <w:szCs w:val="20"/>
          <w:color w:val="auto"/>
        </w:rPr>
      </w:pPr>
    </w:p>
    <w:p>
      <w:pPr>
        <w:ind w:left="2020" w:hanging="159"/>
        <w:spacing w:after="0" w:line="219" w:lineRule="auto"/>
        <w:tabs>
          <w:tab w:leader="none" w:pos="2020" w:val="left"/>
        </w:tabs>
        <w:numPr>
          <w:ilvl w:val="0"/>
          <w:numId w:val="72"/>
        </w:numPr>
        <w:rPr>
          <w:rFonts w:ascii="Arial" w:cs="Arial" w:eastAsia="Arial" w:hAnsi="Arial"/>
          <w:sz w:val="17"/>
          <w:szCs w:val="17"/>
          <w:color w:val="125288"/>
        </w:rPr>
      </w:pPr>
      <w:r>
        <w:rPr>
          <w:rFonts w:ascii="Arial" w:cs="Arial" w:eastAsia="Arial" w:hAnsi="Arial"/>
          <w:sz w:val="17"/>
          <w:szCs w:val="17"/>
          <w:color w:val="auto"/>
        </w:rPr>
        <w:t>Amended employment agreement to limit CEO’s annual LTI award grant values for 2021 and 2022 to no greater than the 50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percentile of peer CEO LTI grant values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right="680" w:hanging="139"/>
        <w:spacing w:after="0" w:line="233" w:lineRule="auto"/>
        <w:rPr>
          <w:sz w:val="20"/>
          <w:szCs w:val="20"/>
          <w:color w:val="auto"/>
        </w:rPr>
      </w:pPr>
      <w:r>
        <w:rPr>
          <w:rFonts w:ascii="Arial" w:cs="Arial" w:eastAsia="Arial" w:hAnsi="Arial"/>
          <w:sz w:val="17"/>
          <w:szCs w:val="17"/>
          <w:color w:val="125288"/>
        </w:rPr>
        <w:t>•</w:t>
      </w:r>
      <w:r>
        <w:rPr>
          <w:sz w:val="20"/>
          <w:szCs w:val="20"/>
          <w:color w:val="auto"/>
        </w:rPr>
        <w:t xml:space="preserve"> </w:t>
      </w:r>
      <w:r>
        <w:rPr>
          <w:rFonts w:ascii="Arial" w:cs="Arial" w:eastAsia="Arial" w:hAnsi="Arial"/>
          <w:sz w:val="17"/>
          <w:szCs w:val="17"/>
          <w:color w:val="auto"/>
        </w:rPr>
        <w:t xml:space="preserve">CEO requested that he receive no LTI </w:t>
      </w:r>
      <w:r>
        <w:rPr>
          <w:rFonts w:ascii="Arial" w:cs="Arial" w:eastAsia="Arial" w:hAnsi="Arial"/>
          <w:sz w:val="17"/>
          <w:szCs w:val="17"/>
          <w:color w:val="125288"/>
        </w:rPr>
        <w:t>•</w:t>
      </w:r>
      <w:r>
        <w:rPr>
          <w:rFonts w:ascii="Arial" w:cs="Arial" w:eastAsia="Arial" w:hAnsi="Arial"/>
          <w:sz w:val="17"/>
          <w:szCs w:val="17"/>
          <w:color w:val="auto"/>
        </w:rPr>
        <w:t xml:space="preserve"> No LTI awards to CEO in 2021 awards until appropriate progress</w:t>
      </w:r>
    </w:p>
    <w:p>
      <w:pPr>
        <w:spacing w:after="0" w:line="234" w:lineRule="auto"/>
        <w:rPr>
          <w:sz w:val="20"/>
          <w:szCs w:val="20"/>
          <w:color w:val="auto"/>
        </w:rPr>
      </w:pPr>
      <w:r>
        <w:rPr>
          <w:rFonts w:ascii="Arial" w:cs="Arial" w:eastAsia="Arial" w:hAnsi="Arial"/>
          <w:sz w:val="17"/>
          <w:szCs w:val="17"/>
          <w:color w:val="auto"/>
        </w:rPr>
        <w:t>toward achievement of</w:t>
      </w:r>
    </w:p>
    <w:p>
      <w:pPr>
        <w:spacing w:after="0"/>
        <w:rPr>
          <w:sz w:val="20"/>
          <w:szCs w:val="20"/>
          <w:color w:val="auto"/>
        </w:rPr>
      </w:pPr>
      <w:r>
        <w:rPr>
          <w:rFonts w:ascii="Arial" w:cs="Arial" w:eastAsia="Arial" w:hAnsi="Arial"/>
          <w:sz w:val="17"/>
          <w:szCs w:val="17"/>
          <w:color w:val="auto"/>
        </w:rPr>
        <w:t>Transformational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198120</wp:posOffset>
            </wp:positionV>
            <wp:extent cx="7148830" cy="152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390" w:lineRule="exact"/>
        <w:rPr>
          <w:sz w:val="20"/>
          <w:szCs w:val="20"/>
          <w:color w:val="auto"/>
        </w:rPr>
      </w:pPr>
    </w:p>
    <w:p>
      <w:pPr>
        <w:sectPr>
          <w:pgSz w:w="11900" w:h="16838" w:orient="portrait"/>
          <w:cols w:equalWidth="0" w:num="2">
            <w:col w:w="4880" w:space="280"/>
            <w:col w:w="6100"/>
          </w:cols>
          <w:pgMar w:left="320" w:top="144" w:right="319" w:bottom="1440" w:gutter="0" w:footer="0" w:header="0"/>
          <w:type w:val="continuous"/>
        </w:sectPr>
      </w:pPr>
    </w:p>
    <w:p>
      <w:pPr>
        <w:ind w:left="60"/>
        <w:spacing w:after="0" w:line="295" w:lineRule="auto"/>
        <w:rPr>
          <w:sz w:val="20"/>
          <w:szCs w:val="20"/>
          <w:color w:val="auto"/>
        </w:rPr>
      </w:pPr>
      <w:r>
        <w:rPr>
          <w:rFonts w:ascii="Arial" w:cs="Arial" w:eastAsia="Arial" w:hAnsi="Arial"/>
          <w:sz w:val="16"/>
          <w:szCs w:val="16"/>
          <w:b w:val="1"/>
          <w:bCs w:val="1"/>
          <w:color w:val="auto"/>
        </w:rPr>
        <w:t>Preference for PSUs over stock options</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159" w:hanging="159"/>
        <w:spacing w:after="0" w:line="253" w:lineRule="auto"/>
        <w:tabs>
          <w:tab w:leader="none" w:pos="159" w:val="left"/>
        </w:tabs>
        <w:numPr>
          <w:ilvl w:val="0"/>
          <w:numId w:val="73"/>
        </w:numPr>
        <w:rPr>
          <w:rFonts w:ascii="Arial" w:cs="Arial" w:eastAsia="Arial" w:hAnsi="Arial"/>
          <w:sz w:val="16"/>
          <w:szCs w:val="16"/>
          <w:color w:val="125288"/>
        </w:rPr>
      </w:pPr>
      <w:r>
        <w:rPr>
          <w:rFonts w:ascii="Arial" w:cs="Arial" w:eastAsia="Arial" w:hAnsi="Arial"/>
          <w:sz w:val="16"/>
          <w:szCs w:val="16"/>
          <w:color w:val="auto"/>
        </w:rPr>
        <w:t>Amended LTI program design for 2021 and 2022 contract extension period to ensure 100% of CEO LTI awards denominated in performance-vesting restricted share units (“PSUs”)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tabs>
          <w:tab w:leader="none" w:pos="3120" w:val="left"/>
        </w:tabs>
        <w:rPr>
          <w:sz w:val="20"/>
          <w:szCs w:val="20"/>
          <w:color w:val="auto"/>
        </w:rPr>
      </w:pPr>
      <w:r>
        <w:rPr>
          <w:rFonts w:ascii="Arial" w:cs="Arial" w:eastAsia="Arial" w:hAnsi="Arial"/>
          <w:sz w:val="17"/>
          <w:szCs w:val="17"/>
          <w:color w:val="125288"/>
        </w:rPr>
        <w:t xml:space="preserve">• </w:t>
      </w:r>
      <w:r>
        <w:rPr>
          <w:rFonts w:ascii="Arial" w:cs="Arial" w:eastAsia="Arial" w:hAnsi="Arial"/>
          <w:sz w:val="17"/>
          <w:szCs w:val="17"/>
          <w:color w:val="000000"/>
        </w:rPr>
        <w:t>A portion of any LTI grants in any year</w:t>
      </w:r>
      <w:r>
        <w:rPr>
          <w:sz w:val="20"/>
          <w:szCs w:val="20"/>
          <w:color w:val="auto"/>
        </w:rPr>
        <w:tab/>
      </w:r>
      <w:r>
        <w:rPr>
          <w:rFonts w:ascii="Arial" w:cs="Arial" w:eastAsia="Arial" w:hAnsi="Arial"/>
          <w:sz w:val="16"/>
          <w:szCs w:val="16"/>
          <w:color w:val="125288"/>
        </w:rPr>
        <w:t xml:space="preserve">• </w:t>
      </w:r>
      <w:r>
        <w:rPr>
          <w:rFonts w:ascii="Arial" w:cs="Arial" w:eastAsia="Arial" w:hAnsi="Arial"/>
          <w:sz w:val="16"/>
          <w:szCs w:val="16"/>
          <w:color w:val="000000"/>
        </w:rPr>
        <w:t>Further strengthen performance</w:t>
      </w:r>
    </w:p>
    <w:p>
      <w:pPr>
        <w:ind w:left="140" w:right="1440"/>
        <w:spacing w:after="0"/>
        <w:rPr>
          <w:sz w:val="20"/>
          <w:szCs w:val="20"/>
          <w:color w:val="auto"/>
        </w:rPr>
      </w:pPr>
      <w:r>
        <w:rPr>
          <w:rFonts w:ascii="Arial" w:cs="Arial" w:eastAsia="Arial" w:hAnsi="Arial"/>
          <w:sz w:val="17"/>
          <w:szCs w:val="17"/>
          <w:color w:val="auto"/>
        </w:rPr>
        <w:t>must be in PSUs tied to the Company’s linkage of incentives TSR relative to the applicable peer group of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-3190240</wp:posOffset>
            </wp:positionH>
            <wp:positionV relativeFrom="paragraph">
              <wp:posOffset>292735</wp:posOffset>
            </wp:positionV>
            <wp:extent cx="7148830"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538" w:lineRule="exact"/>
        <w:rPr>
          <w:sz w:val="20"/>
          <w:szCs w:val="20"/>
          <w:color w:val="auto"/>
        </w:rPr>
      </w:pPr>
    </w:p>
    <w:p>
      <w:pPr>
        <w:sectPr>
          <w:pgSz w:w="11900" w:h="16838" w:orient="portrait"/>
          <w:cols w:equalWidth="0" w:num="3">
            <w:col w:w="1660" w:space="201"/>
            <w:col w:w="2999" w:space="160"/>
            <w:col w:w="6240"/>
          </w:cols>
          <w:pgMar w:left="320" w:top="144" w:right="31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1800" w:type="dxa"/>
            <w:vAlign w:val="bottom"/>
          </w:tcPr>
          <w:p>
            <w:pPr>
              <w:ind w:left="60"/>
              <w:spacing w:after="0"/>
              <w:rPr>
                <w:sz w:val="20"/>
                <w:szCs w:val="20"/>
                <w:color w:val="auto"/>
              </w:rPr>
            </w:pPr>
            <w:r>
              <w:rPr>
                <w:rFonts w:ascii="Arial" w:cs="Arial" w:eastAsia="Arial" w:hAnsi="Arial"/>
                <w:sz w:val="17"/>
                <w:szCs w:val="17"/>
                <w:b w:val="1"/>
                <w:bCs w:val="1"/>
                <w:color w:val="auto"/>
              </w:rPr>
              <w:t>Concern regarding</w:t>
            </w:r>
          </w:p>
        </w:tc>
        <w:tc>
          <w:tcPr>
            <w:tcW w:w="160" w:type="dxa"/>
            <w:vAlign w:val="bottom"/>
          </w:tcPr>
          <w:p>
            <w:pPr>
              <w:ind w:left="60"/>
              <w:spacing w:after="0"/>
              <w:rPr>
                <w:sz w:val="20"/>
                <w:szCs w:val="20"/>
                <w:color w:val="auto"/>
              </w:rPr>
            </w:pPr>
            <w:r>
              <w:rPr>
                <w:rFonts w:ascii="Arial" w:cs="Arial" w:eastAsia="Arial" w:hAnsi="Arial"/>
                <w:sz w:val="17"/>
                <w:szCs w:val="17"/>
                <w:color w:val="125288"/>
              </w:rPr>
              <w:t>•</w:t>
            </w:r>
          </w:p>
        </w:tc>
        <w:tc>
          <w:tcPr>
            <w:tcW w:w="4180" w:type="dxa"/>
            <w:vAlign w:val="bottom"/>
          </w:tcPr>
          <w:p>
            <w:pPr>
              <w:ind w:left="60"/>
              <w:spacing w:after="0"/>
              <w:rPr>
                <w:sz w:val="20"/>
                <w:szCs w:val="20"/>
                <w:color w:val="auto"/>
              </w:rPr>
            </w:pPr>
            <w:r>
              <w:rPr>
                <w:rFonts w:ascii="Arial" w:cs="Arial" w:eastAsia="Arial" w:hAnsi="Arial"/>
                <w:sz w:val="17"/>
                <w:szCs w:val="17"/>
                <w:color w:val="auto"/>
              </w:rPr>
              <w:t>Eliminated potential to earn the</w:t>
            </w:r>
          </w:p>
        </w:tc>
        <w:tc>
          <w:tcPr>
            <w:tcW w:w="2120" w:type="dxa"/>
            <w:vAlign w:val="bottom"/>
          </w:tcPr>
          <w:p>
            <w:pPr>
              <w:ind w:left="2020"/>
              <w:spacing w:after="0"/>
              <w:rPr>
                <w:sz w:val="20"/>
                <w:szCs w:val="20"/>
                <w:color w:val="auto"/>
              </w:rPr>
            </w:pPr>
            <w:r>
              <w:rPr>
                <w:rFonts w:ascii="Arial" w:cs="Arial" w:eastAsia="Arial" w:hAnsi="Arial"/>
                <w:sz w:val="17"/>
                <w:szCs w:val="17"/>
                <w:color w:val="125288"/>
              </w:rPr>
              <w:t>•</w:t>
            </w:r>
          </w:p>
        </w:tc>
        <w:tc>
          <w:tcPr>
            <w:tcW w:w="3000" w:type="dxa"/>
            <w:vAlign w:val="bottom"/>
          </w:tcPr>
          <w:p>
            <w:pPr>
              <w:ind w:left="60"/>
              <w:spacing w:after="0"/>
              <w:rPr>
                <w:sz w:val="20"/>
                <w:szCs w:val="20"/>
                <w:color w:val="auto"/>
              </w:rPr>
            </w:pPr>
            <w:r>
              <w:rPr>
                <w:rFonts w:ascii="Arial" w:cs="Arial" w:eastAsia="Arial" w:hAnsi="Arial"/>
                <w:sz w:val="17"/>
                <w:szCs w:val="17"/>
                <w:color w:val="auto"/>
              </w:rPr>
              <w:t>Further strengthen pay for</w:t>
            </w:r>
          </w:p>
        </w:tc>
      </w:tr>
      <w:tr>
        <w:trPr>
          <w:trHeight w:val="190"/>
        </w:trPr>
        <w:tc>
          <w:tcPr>
            <w:tcW w:w="1800" w:type="dxa"/>
            <w:vAlign w:val="bottom"/>
          </w:tcPr>
          <w:p>
            <w:pPr>
              <w:ind w:left="60"/>
              <w:spacing w:after="0" w:line="190" w:lineRule="exact"/>
              <w:rPr>
                <w:sz w:val="20"/>
                <w:szCs w:val="20"/>
                <w:color w:val="auto"/>
              </w:rPr>
            </w:pPr>
            <w:r>
              <w:rPr>
                <w:rFonts w:ascii="Arial" w:cs="Arial" w:eastAsia="Arial" w:hAnsi="Arial"/>
                <w:sz w:val="17"/>
                <w:szCs w:val="17"/>
                <w:b w:val="1"/>
                <w:bCs w:val="1"/>
                <w:color w:val="auto"/>
              </w:rPr>
              <w:t>additional award</w:t>
            </w:r>
          </w:p>
        </w:tc>
        <w:tc>
          <w:tcPr>
            <w:tcW w:w="160" w:type="dxa"/>
            <w:vAlign w:val="bottom"/>
          </w:tcPr>
          <w:p>
            <w:pPr>
              <w:spacing w:after="0"/>
              <w:rPr>
                <w:sz w:val="16"/>
                <w:szCs w:val="16"/>
                <w:color w:val="auto"/>
              </w:rPr>
            </w:pPr>
          </w:p>
        </w:tc>
        <w:tc>
          <w:tcPr>
            <w:tcW w:w="4180" w:type="dxa"/>
            <w:vAlign w:val="bottom"/>
          </w:tcPr>
          <w:p>
            <w:pPr>
              <w:ind w:left="60"/>
              <w:spacing w:after="0" w:line="190" w:lineRule="exact"/>
              <w:rPr>
                <w:sz w:val="20"/>
                <w:szCs w:val="20"/>
                <w:color w:val="auto"/>
              </w:rPr>
            </w:pPr>
            <w:r>
              <w:rPr>
                <w:rFonts w:ascii="Arial" w:cs="Arial" w:eastAsia="Arial" w:hAnsi="Arial"/>
                <w:sz w:val="17"/>
                <w:szCs w:val="17"/>
                <w:color w:val="auto"/>
              </w:rPr>
              <w:t>“transformative transaction award,”</w:t>
            </w:r>
          </w:p>
        </w:tc>
        <w:tc>
          <w:tcPr>
            <w:tcW w:w="2120" w:type="dxa"/>
            <w:vAlign w:val="bottom"/>
          </w:tcPr>
          <w:p>
            <w:pPr>
              <w:spacing w:after="0"/>
              <w:rPr>
                <w:sz w:val="16"/>
                <w:szCs w:val="16"/>
                <w:color w:val="auto"/>
              </w:rPr>
            </w:pPr>
          </w:p>
        </w:tc>
        <w:tc>
          <w:tcPr>
            <w:tcW w:w="3000" w:type="dxa"/>
            <w:vAlign w:val="bottom"/>
          </w:tcPr>
          <w:p>
            <w:pPr>
              <w:ind w:left="60"/>
              <w:spacing w:after="0" w:line="190" w:lineRule="exact"/>
              <w:rPr>
                <w:sz w:val="20"/>
                <w:szCs w:val="20"/>
                <w:color w:val="auto"/>
              </w:rPr>
            </w:pPr>
            <w:r>
              <w:rPr>
                <w:rFonts w:ascii="Arial" w:cs="Arial" w:eastAsia="Arial" w:hAnsi="Arial"/>
                <w:sz w:val="17"/>
                <w:szCs w:val="17"/>
                <w:color w:val="auto"/>
              </w:rPr>
              <w:t>performance</w:t>
            </w:r>
          </w:p>
        </w:tc>
      </w:tr>
      <w:tr>
        <w:trPr>
          <w:trHeight w:val="190"/>
        </w:trPr>
        <w:tc>
          <w:tcPr>
            <w:tcW w:w="1800" w:type="dxa"/>
            <w:vAlign w:val="bottom"/>
          </w:tcPr>
          <w:p>
            <w:pPr>
              <w:ind w:left="60"/>
              <w:spacing w:after="0" w:line="190" w:lineRule="exact"/>
              <w:rPr>
                <w:sz w:val="20"/>
                <w:szCs w:val="20"/>
                <w:color w:val="auto"/>
              </w:rPr>
            </w:pPr>
            <w:r>
              <w:rPr>
                <w:rFonts w:ascii="Arial" w:cs="Arial" w:eastAsia="Arial" w:hAnsi="Arial"/>
                <w:sz w:val="17"/>
                <w:szCs w:val="17"/>
                <w:b w:val="1"/>
                <w:bCs w:val="1"/>
                <w:color w:val="auto"/>
              </w:rPr>
              <w:t>potential based on</w:t>
            </w:r>
          </w:p>
        </w:tc>
        <w:tc>
          <w:tcPr>
            <w:tcW w:w="160" w:type="dxa"/>
            <w:vAlign w:val="bottom"/>
          </w:tcPr>
          <w:p>
            <w:pPr>
              <w:spacing w:after="0"/>
              <w:rPr>
                <w:sz w:val="16"/>
                <w:szCs w:val="16"/>
                <w:color w:val="auto"/>
              </w:rPr>
            </w:pPr>
          </w:p>
        </w:tc>
        <w:tc>
          <w:tcPr>
            <w:tcW w:w="4180" w:type="dxa"/>
            <w:vAlign w:val="bottom"/>
          </w:tcPr>
          <w:p>
            <w:pPr>
              <w:ind w:left="60"/>
              <w:spacing w:after="0" w:line="190" w:lineRule="exact"/>
              <w:rPr>
                <w:sz w:val="20"/>
                <w:szCs w:val="20"/>
                <w:color w:val="auto"/>
              </w:rPr>
            </w:pPr>
            <w:r>
              <w:rPr>
                <w:rFonts w:ascii="Arial" w:cs="Arial" w:eastAsia="Arial" w:hAnsi="Arial"/>
                <w:sz w:val="17"/>
                <w:szCs w:val="17"/>
                <w:color w:val="auto"/>
              </w:rPr>
              <w:t>with immediate effect</w:t>
            </w:r>
          </w:p>
        </w:tc>
        <w:tc>
          <w:tcPr>
            <w:tcW w:w="2120" w:type="dxa"/>
            <w:vAlign w:val="bottom"/>
          </w:tcPr>
          <w:p>
            <w:pPr>
              <w:spacing w:after="0"/>
              <w:rPr>
                <w:sz w:val="16"/>
                <w:szCs w:val="16"/>
                <w:color w:val="auto"/>
              </w:rPr>
            </w:pPr>
          </w:p>
        </w:tc>
        <w:tc>
          <w:tcPr>
            <w:tcW w:w="3000" w:type="dxa"/>
            <w:vAlign w:val="bottom"/>
          </w:tcPr>
          <w:p>
            <w:pPr>
              <w:spacing w:after="0"/>
              <w:rPr>
                <w:sz w:val="16"/>
                <w:szCs w:val="16"/>
                <w:color w:val="auto"/>
              </w:rPr>
            </w:pPr>
          </w:p>
        </w:tc>
      </w:tr>
      <w:tr>
        <w:trPr>
          <w:trHeight w:val="221"/>
        </w:trPr>
        <w:tc>
          <w:tcPr>
            <w:tcW w:w="1800" w:type="dxa"/>
            <w:vAlign w:val="bottom"/>
          </w:tcPr>
          <w:p>
            <w:pPr>
              <w:ind w:left="60"/>
              <w:spacing w:after="0"/>
              <w:rPr>
                <w:sz w:val="20"/>
                <w:szCs w:val="20"/>
                <w:color w:val="auto"/>
              </w:rPr>
            </w:pPr>
            <w:r>
              <w:rPr>
                <w:rFonts w:ascii="Arial" w:cs="Arial" w:eastAsia="Arial" w:hAnsi="Arial"/>
                <w:sz w:val="17"/>
                <w:szCs w:val="17"/>
                <w:b w:val="1"/>
                <w:bCs w:val="1"/>
                <w:color w:val="auto"/>
              </w:rPr>
              <w:t>outcome of M&amp;A</w:t>
            </w:r>
          </w:p>
        </w:tc>
        <w:tc>
          <w:tcPr>
            <w:tcW w:w="16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80"/>
        </w:trPr>
        <w:tc>
          <w:tcPr>
            <w:tcW w:w="1800" w:type="dxa"/>
            <w:vAlign w:val="bottom"/>
            <w:tcBorders>
              <w:bottom w:val="single" w:sz="8" w:color="125288"/>
            </w:tcBorders>
          </w:tcPr>
          <w:p>
            <w:pPr>
              <w:spacing w:after="0"/>
              <w:rPr>
                <w:sz w:val="6"/>
                <w:szCs w:val="6"/>
                <w:color w:val="auto"/>
              </w:rPr>
            </w:pPr>
          </w:p>
        </w:tc>
        <w:tc>
          <w:tcPr>
            <w:tcW w:w="160" w:type="dxa"/>
            <w:vAlign w:val="bottom"/>
            <w:tcBorders>
              <w:bottom w:val="single" w:sz="8" w:color="125288"/>
            </w:tcBorders>
          </w:tcPr>
          <w:p>
            <w:pPr>
              <w:spacing w:after="0"/>
              <w:rPr>
                <w:sz w:val="6"/>
                <w:szCs w:val="6"/>
                <w:color w:val="auto"/>
              </w:rPr>
            </w:pPr>
          </w:p>
        </w:tc>
        <w:tc>
          <w:tcPr>
            <w:tcW w:w="4180" w:type="dxa"/>
            <w:vAlign w:val="bottom"/>
            <w:tcBorders>
              <w:bottom w:val="single" w:sz="8" w:color="125288"/>
            </w:tcBorders>
          </w:tcPr>
          <w:p>
            <w:pPr>
              <w:spacing w:after="0"/>
              <w:rPr>
                <w:sz w:val="6"/>
                <w:szCs w:val="6"/>
                <w:color w:val="auto"/>
              </w:rPr>
            </w:pPr>
          </w:p>
        </w:tc>
        <w:tc>
          <w:tcPr>
            <w:tcW w:w="2120" w:type="dxa"/>
            <w:vAlign w:val="bottom"/>
            <w:tcBorders>
              <w:bottom w:val="single" w:sz="8" w:color="125288"/>
            </w:tcBorders>
          </w:tcPr>
          <w:p>
            <w:pPr>
              <w:spacing w:after="0"/>
              <w:rPr>
                <w:sz w:val="6"/>
                <w:szCs w:val="6"/>
                <w:color w:val="auto"/>
              </w:rPr>
            </w:pPr>
          </w:p>
        </w:tc>
        <w:tc>
          <w:tcPr>
            <w:tcW w:w="3000" w:type="dxa"/>
            <w:vAlign w:val="bottom"/>
            <w:tcBorders>
              <w:bottom w:val="single" w:sz="8" w:color="125288"/>
            </w:tcBorders>
          </w:tcPr>
          <w:p>
            <w:pPr>
              <w:spacing w:after="0"/>
              <w:rPr>
                <w:sz w:val="6"/>
                <w:szCs w:val="6"/>
                <w:color w:val="auto"/>
              </w:rPr>
            </w:pPr>
          </w:p>
        </w:tc>
      </w:tr>
      <w:tr>
        <w:trPr>
          <w:trHeight w:val="250"/>
        </w:trPr>
        <w:tc>
          <w:tcPr>
            <w:tcW w:w="1800" w:type="dxa"/>
            <w:vAlign w:val="bottom"/>
          </w:tcPr>
          <w:p>
            <w:pPr>
              <w:ind w:left="60"/>
              <w:spacing w:after="0"/>
              <w:rPr>
                <w:sz w:val="20"/>
                <w:szCs w:val="20"/>
                <w:color w:val="auto"/>
              </w:rPr>
            </w:pPr>
            <w:r>
              <w:rPr>
                <w:rFonts w:ascii="Arial" w:cs="Arial" w:eastAsia="Arial" w:hAnsi="Arial"/>
                <w:sz w:val="17"/>
                <w:szCs w:val="17"/>
                <w:b w:val="1"/>
                <w:bCs w:val="1"/>
                <w:color w:val="auto"/>
              </w:rPr>
              <w:t>Concern regarding</w:t>
            </w:r>
          </w:p>
        </w:tc>
        <w:tc>
          <w:tcPr>
            <w:tcW w:w="160" w:type="dxa"/>
            <w:vAlign w:val="bottom"/>
          </w:tcPr>
          <w:p>
            <w:pPr>
              <w:ind w:left="60"/>
              <w:spacing w:after="0"/>
              <w:rPr>
                <w:sz w:val="20"/>
                <w:szCs w:val="20"/>
                <w:color w:val="auto"/>
              </w:rPr>
            </w:pPr>
            <w:r>
              <w:rPr>
                <w:rFonts w:ascii="Arial" w:cs="Arial" w:eastAsia="Arial" w:hAnsi="Arial"/>
                <w:sz w:val="17"/>
                <w:szCs w:val="17"/>
                <w:color w:val="125288"/>
              </w:rPr>
              <w:t>•</w:t>
            </w:r>
          </w:p>
        </w:tc>
        <w:tc>
          <w:tcPr>
            <w:tcW w:w="4180" w:type="dxa"/>
            <w:vAlign w:val="bottom"/>
          </w:tcPr>
          <w:p>
            <w:pPr>
              <w:ind w:left="60"/>
              <w:spacing w:after="0"/>
              <w:rPr>
                <w:sz w:val="20"/>
                <w:szCs w:val="20"/>
                <w:color w:val="auto"/>
              </w:rPr>
            </w:pPr>
            <w:r>
              <w:rPr>
                <w:rFonts w:ascii="Arial" w:cs="Arial" w:eastAsia="Arial" w:hAnsi="Arial"/>
                <w:sz w:val="17"/>
                <w:szCs w:val="17"/>
                <w:color w:val="auto"/>
              </w:rPr>
              <w:t>Eliminated the “shareholder value</w:t>
            </w:r>
          </w:p>
        </w:tc>
        <w:tc>
          <w:tcPr>
            <w:tcW w:w="2120" w:type="dxa"/>
            <w:vAlign w:val="bottom"/>
          </w:tcPr>
          <w:p>
            <w:pPr>
              <w:ind w:left="2020"/>
              <w:spacing w:after="0"/>
              <w:rPr>
                <w:sz w:val="20"/>
                <w:szCs w:val="20"/>
                <w:color w:val="auto"/>
              </w:rPr>
            </w:pPr>
            <w:r>
              <w:rPr>
                <w:rFonts w:ascii="Arial" w:cs="Arial" w:eastAsia="Arial" w:hAnsi="Arial"/>
                <w:sz w:val="17"/>
                <w:szCs w:val="17"/>
                <w:color w:val="125288"/>
              </w:rPr>
              <w:t>•</w:t>
            </w:r>
          </w:p>
        </w:tc>
        <w:tc>
          <w:tcPr>
            <w:tcW w:w="3000" w:type="dxa"/>
            <w:vAlign w:val="bottom"/>
          </w:tcPr>
          <w:p>
            <w:pPr>
              <w:ind w:left="60"/>
              <w:spacing w:after="0"/>
              <w:rPr>
                <w:sz w:val="20"/>
                <w:szCs w:val="20"/>
                <w:color w:val="auto"/>
              </w:rPr>
            </w:pPr>
            <w:r>
              <w:rPr>
                <w:rFonts w:ascii="Arial" w:cs="Arial" w:eastAsia="Arial" w:hAnsi="Arial"/>
                <w:sz w:val="17"/>
                <w:szCs w:val="17"/>
                <w:color w:val="auto"/>
              </w:rPr>
              <w:t>Reduce impact of single performance</w:t>
            </w:r>
          </w:p>
        </w:tc>
      </w:tr>
      <w:tr>
        <w:trPr>
          <w:trHeight w:val="230"/>
        </w:trPr>
        <w:tc>
          <w:tcPr>
            <w:tcW w:w="1800" w:type="dxa"/>
            <w:vAlign w:val="bottom"/>
          </w:tcPr>
          <w:p>
            <w:pPr>
              <w:ind w:left="60"/>
              <w:spacing w:after="0"/>
              <w:rPr>
                <w:sz w:val="20"/>
                <w:szCs w:val="20"/>
                <w:color w:val="auto"/>
              </w:rPr>
            </w:pPr>
            <w:r>
              <w:rPr>
                <w:rFonts w:ascii="Arial" w:cs="Arial" w:eastAsia="Arial" w:hAnsi="Arial"/>
                <w:sz w:val="17"/>
                <w:szCs w:val="17"/>
                <w:b w:val="1"/>
                <w:bCs w:val="1"/>
                <w:color w:val="auto"/>
              </w:rPr>
              <w:t>award structures</w:t>
            </w:r>
          </w:p>
        </w:tc>
        <w:tc>
          <w:tcPr>
            <w:tcW w:w="160" w:type="dxa"/>
            <w:vAlign w:val="bottom"/>
          </w:tcPr>
          <w:p>
            <w:pPr>
              <w:spacing w:after="0"/>
              <w:rPr>
                <w:sz w:val="19"/>
                <w:szCs w:val="19"/>
                <w:color w:val="auto"/>
              </w:rPr>
            </w:pPr>
          </w:p>
        </w:tc>
        <w:tc>
          <w:tcPr>
            <w:tcW w:w="4180" w:type="dxa"/>
            <w:vAlign w:val="bottom"/>
          </w:tcPr>
          <w:p>
            <w:pPr>
              <w:ind w:left="60"/>
              <w:spacing w:after="0"/>
              <w:rPr>
                <w:sz w:val="20"/>
                <w:szCs w:val="20"/>
                <w:color w:val="auto"/>
              </w:rPr>
            </w:pPr>
            <w:r>
              <w:rPr>
                <w:rFonts w:ascii="Arial" w:cs="Arial" w:eastAsia="Arial" w:hAnsi="Arial"/>
                <w:sz w:val="17"/>
                <w:szCs w:val="17"/>
                <w:color w:val="auto"/>
              </w:rPr>
              <w:t>creation incentive” with respect to all</w:t>
            </w:r>
          </w:p>
        </w:tc>
        <w:tc>
          <w:tcPr>
            <w:tcW w:w="2120" w:type="dxa"/>
            <w:vAlign w:val="bottom"/>
          </w:tcPr>
          <w:p>
            <w:pPr>
              <w:spacing w:after="0"/>
              <w:rPr>
                <w:sz w:val="19"/>
                <w:szCs w:val="19"/>
                <w:color w:val="auto"/>
              </w:rPr>
            </w:pPr>
          </w:p>
        </w:tc>
        <w:tc>
          <w:tcPr>
            <w:tcW w:w="3000" w:type="dxa"/>
            <w:vAlign w:val="bottom"/>
          </w:tcPr>
          <w:p>
            <w:pPr>
              <w:ind w:left="60"/>
              <w:spacing w:after="0"/>
              <w:rPr>
                <w:sz w:val="20"/>
                <w:szCs w:val="20"/>
                <w:color w:val="auto"/>
              </w:rPr>
            </w:pPr>
            <w:r>
              <w:rPr>
                <w:rFonts w:ascii="Arial" w:cs="Arial" w:eastAsia="Arial" w:hAnsi="Arial"/>
                <w:sz w:val="17"/>
                <w:szCs w:val="17"/>
                <w:color w:val="auto"/>
              </w:rPr>
              <w:t>metric</w:t>
            </w:r>
          </w:p>
        </w:tc>
      </w:tr>
      <w:tr>
        <w:trPr>
          <w:trHeight w:val="190"/>
        </w:trPr>
        <w:tc>
          <w:tcPr>
            <w:tcW w:w="1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80" w:type="dxa"/>
            <w:vAlign w:val="bottom"/>
          </w:tcPr>
          <w:p>
            <w:pPr>
              <w:ind w:left="60"/>
              <w:spacing w:after="0" w:line="190" w:lineRule="exact"/>
              <w:rPr>
                <w:sz w:val="20"/>
                <w:szCs w:val="20"/>
                <w:color w:val="auto"/>
              </w:rPr>
            </w:pPr>
            <w:r>
              <w:rPr>
                <w:rFonts w:ascii="Arial" w:cs="Arial" w:eastAsia="Arial" w:hAnsi="Arial"/>
                <w:sz w:val="17"/>
                <w:szCs w:val="17"/>
                <w:color w:val="auto"/>
              </w:rPr>
              <w:t>equity grants made after April 2021,</w:t>
            </w:r>
          </w:p>
        </w:tc>
        <w:tc>
          <w:tcPr>
            <w:tcW w:w="2120" w:type="dxa"/>
            <w:vAlign w:val="bottom"/>
          </w:tcPr>
          <w:p>
            <w:pPr>
              <w:spacing w:after="0"/>
              <w:rPr>
                <w:sz w:val="16"/>
                <w:szCs w:val="16"/>
                <w:color w:val="auto"/>
              </w:rPr>
            </w:pPr>
          </w:p>
        </w:tc>
        <w:tc>
          <w:tcPr>
            <w:tcW w:w="3000" w:type="dxa"/>
            <w:vAlign w:val="bottom"/>
          </w:tcPr>
          <w:p>
            <w:pPr>
              <w:spacing w:after="0"/>
              <w:rPr>
                <w:sz w:val="16"/>
                <w:szCs w:val="16"/>
                <w:color w:val="auto"/>
              </w:rPr>
            </w:pPr>
          </w:p>
        </w:tc>
      </w:tr>
      <w:tr>
        <w:trPr>
          <w:trHeight w:val="190"/>
        </w:trPr>
        <w:tc>
          <w:tcPr>
            <w:tcW w:w="1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80" w:type="dxa"/>
            <w:vAlign w:val="bottom"/>
          </w:tcPr>
          <w:p>
            <w:pPr>
              <w:ind w:left="60"/>
              <w:spacing w:after="0" w:line="190" w:lineRule="exact"/>
              <w:rPr>
                <w:sz w:val="20"/>
                <w:szCs w:val="20"/>
                <w:color w:val="auto"/>
              </w:rPr>
            </w:pPr>
            <w:r>
              <w:rPr>
                <w:rFonts w:ascii="Arial" w:cs="Arial" w:eastAsia="Arial" w:hAnsi="Arial"/>
                <w:sz w:val="17"/>
                <w:szCs w:val="17"/>
                <w:color w:val="auto"/>
              </w:rPr>
              <w:t>when the 2016 employment agreement</w:t>
            </w:r>
          </w:p>
        </w:tc>
        <w:tc>
          <w:tcPr>
            <w:tcW w:w="2120" w:type="dxa"/>
            <w:vAlign w:val="bottom"/>
          </w:tcPr>
          <w:p>
            <w:pPr>
              <w:spacing w:after="0"/>
              <w:rPr>
                <w:sz w:val="16"/>
                <w:szCs w:val="16"/>
                <w:color w:val="auto"/>
              </w:rPr>
            </w:pPr>
          </w:p>
        </w:tc>
        <w:tc>
          <w:tcPr>
            <w:tcW w:w="3000" w:type="dxa"/>
            <w:vAlign w:val="bottom"/>
          </w:tcPr>
          <w:p>
            <w:pPr>
              <w:spacing w:after="0"/>
              <w:rPr>
                <w:sz w:val="16"/>
                <w:szCs w:val="16"/>
                <w:color w:val="auto"/>
              </w:rPr>
            </w:pPr>
          </w:p>
        </w:tc>
      </w:tr>
      <w:tr>
        <w:trPr>
          <w:trHeight w:val="201"/>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80" w:type="dxa"/>
            <w:vAlign w:val="bottom"/>
          </w:tcPr>
          <w:p>
            <w:pPr>
              <w:ind w:left="60"/>
              <w:spacing w:after="0"/>
              <w:rPr>
                <w:sz w:val="20"/>
                <w:szCs w:val="20"/>
                <w:color w:val="auto"/>
              </w:rPr>
            </w:pPr>
            <w:r>
              <w:rPr>
                <w:rFonts w:ascii="Arial" w:cs="Arial" w:eastAsia="Arial" w:hAnsi="Arial"/>
                <w:sz w:val="17"/>
                <w:szCs w:val="17"/>
                <w:color w:val="auto"/>
              </w:rPr>
              <w:t>was amended</w:t>
            </w:r>
          </w:p>
        </w:tc>
        <w:tc>
          <w:tcPr>
            <w:tcW w:w="21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85"/>
        </w:trPr>
        <w:tc>
          <w:tcPr>
            <w:tcW w:w="1800" w:type="dxa"/>
            <w:vAlign w:val="bottom"/>
            <w:tcBorders>
              <w:bottom w:val="single" w:sz="8" w:color="125288"/>
            </w:tcBorders>
          </w:tcPr>
          <w:p>
            <w:pPr>
              <w:spacing w:after="0"/>
              <w:rPr>
                <w:sz w:val="7"/>
                <w:szCs w:val="7"/>
                <w:color w:val="auto"/>
              </w:rPr>
            </w:pPr>
          </w:p>
        </w:tc>
        <w:tc>
          <w:tcPr>
            <w:tcW w:w="160" w:type="dxa"/>
            <w:vAlign w:val="bottom"/>
            <w:tcBorders>
              <w:bottom w:val="single" w:sz="8" w:color="125288"/>
            </w:tcBorders>
          </w:tcPr>
          <w:p>
            <w:pPr>
              <w:spacing w:after="0"/>
              <w:rPr>
                <w:sz w:val="7"/>
                <w:szCs w:val="7"/>
                <w:color w:val="auto"/>
              </w:rPr>
            </w:pPr>
          </w:p>
        </w:tc>
        <w:tc>
          <w:tcPr>
            <w:tcW w:w="4180" w:type="dxa"/>
            <w:vAlign w:val="bottom"/>
            <w:tcBorders>
              <w:bottom w:val="single" w:sz="8" w:color="125288"/>
            </w:tcBorders>
          </w:tcPr>
          <w:p>
            <w:pPr>
              <w:spacing w:after="0"/>
              <w:rPr>
                <w:sz w:val="7"/>
                <w:szCs w:val="7"/>
                <w:color w:val="auto"/>
              </w:rPr>
            </w:pPr>
          </w:p>
        </w:tc>
        <w:tc>
          <w:tcPr>
            <w:tcW w:w="5120" w:type="dxa"/>
            <w:vAlign w:val="bottom"/>
            <w:tcBorders>
              <w:bottom w:val="single" w:sz="8" w:color="125288"/>
            </w:tcBorders>
            <w:gridSpan w:val="2"/>
          </w:tcPr>
          <w:p>
            <w:pPr>
              <w:spacing w:after="0"/>
              <w:rPr>
                <w:sz w:val="7"/>
                <w:szCs w:val="7"/>
                <w:color w:val="auto"/>
              </w:rPr>
            </w:pPr>
          </w:p>
        </w:tc>
      </w:tr>
      <w:tr>
        <w:trPr>
          <w:trHeight w:val="351"/>
        </w:trPr>
        <w:tc>
          <w:tcPr>
            <w:tcW w:w="1800" w:type="dxa"/>
            <w:vAlign w:val="bottom"/>
          </w:tcPr>
          <w:p>
            <w:pPr>
              <w:spacing w:after="0"/>
              <w:rPr>
                <w:sz w:val="20"/>
                <w:szCs w:val="20"/>
                <w:color w:val="auto"/>
              </w:rPr>
            </w:pPr>
            <w:r>
              <w:rPr>
                <w:rFonts w:ascii="Arial" w:cs="Arial" w:eastAsia="Arial" w:hAnsi="Arial"/>
                <w:sz w:val="14"/>
                <w:szCs w:val="14"/>
                <w:color w:val="706F6F"/>
              </w:rPr>
              <w:t>www.activisionblizzard.com</w:t>
            </w:r>
          </w:p>
        </w:tc>
        <w:tc>
          <w:tcPr>
            <w:tcW w:w="1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5120" w:type="dxa"/>
            <w:vAlign w:val="bottom"/>
            <w:gridSpan w:val="2"/>
          </w:tcPr>
          <w:p>
            <w:pPr>
              <w:ind w:left="1240"/>
              <w:spacing w:after="0"/>
              <w:rPr>
                <w:sz w:val="20"/>
                <w:szCs w:val="20"/>
                <w:color w:val="auto"/>
              </w:rPr>
            </w:pPr>
            <w:r>
              <w:rPr>
                <w:rFonts w:ascii="Arial" w:cs="Arial" w:eastAsia="Arial" w:hAnsi="Arial"/>
                <w:sz w:val="14"/>
                <w:szCs w:val="14"/>
                <w:color w:val="706F6F"/>
              </w:rPr>
              <w:t>ACTIVISION BLIZZARD, INC.  2022 Proxy Statement</w:t>
            </w:r>
            <w:r>
              <w:rPr>
                <w:rFonts w:ascii="Arial" w:cs="Arial" w:eastAsia="Arial" w:hAnsi="Arial"/>
                <w:sz w:val="14"/>
                <w:szCs w:val="14"/>
                <w:b w:val="1"/>
                <w:bCs w:val="1"/>
                <w:color w:val="706F6F"/>
              </w:rPr>
              <w:t>60</w:t>
            </w:r>
          </w:p>
        </w:tc>
      </w:tr>
      <w:tr>
        <w:trPr>
          <w:trHeight w:val="93"/>
        </w:trPr>
        <w:tc>
          <w:tcPr>
            <w:tcW w:w="18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180" w:type="dxa"/>
            <w:vAlign w:val="bottom"/>
            <w:tcBorders>
              <w:bottom w:val="single" w:sz="8" w:color="808080"/>
            </w:tcBorders>
          </w:tcPr>
          <w:p>
            <w:pPr>
              <w:spacing w:after="0"/>
              <w:rPr>
                <w:sz w:val="8"/>
                <w:szCs w:val="8"/>
                <w:color w:val="auto"/>
              </w:rPr>
            </w:pPr>
          </w:p>
        </w:tc>
        <w:tc>
          <w:tcPr>
            <w:tcW w:w="2120" w:type="dxa"/>
            <w:vAlign w:val="bottom"/>
            <w:tcBorders>
              <w:bottom w:val="single" w:sz="8" w:color="808080"/>
            </w:tcBorders>
          </w:tcPr>
          <w:p>
            <w:pPr>
              <w:spacing w:after="0"/>
              <w:rPr>
                <w:sz w:val="8"/>
                <w:szCs w:val="8"/>
                <w:color w:val="auto"/>
              </w:rPr>
            </w:pPr>
          </w:p>
        </w:tc>
        <w:tc>
          <w:tcPr>
            <w:tcW w:w="3000" w:type="dxa"/>
            <w:vAlign w:val="bottom"/>
            <w:tcBorders>
              <w:bottom w:val="single" w:sz="8" w:color="808080"/>
            </w:tcBorders>
          </w:tcPr>
          <w:p>
            <w:pPr>
              <w:spacing w:after="0"/>
              <w:rPr>
                <w:sz w:val="8"/>
                <w:szCs w:val="8"/>
                <w:color w:val="auto"/>
              </w:rPr>
            </w:pPr>
          </w:p>
        </w:tc>
      </w:tr>
    </w:tbl>
    <w:p>
      <w:pPr>
        <w:sectPr>
          <w:pgSz w:w="11900" w:h="16838" w:orient="portrait"/>
          <w:cols w:equalWidth="0" w:num="1">
            <w:col w:w="11260"/>
          </w:cols>
          <w:pgMar w:left="320" w:top="144" w:right="319" w:bottom="1440" w:gutter="0" w:footer="0" w:header="0"/>
          <w:type w:val="continuous"/>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gridSpan w:val="2"/>
          </w:tcPr>
          <w:p>
            <w:pPr>
              <w:spacing w:after="0"/>
              <w:rPr>
                <w:rFonts w:ascii="Arial" w:cs="Arial" w:eastAsia="Arial" w:hAnsi="Arial"/>
                <w:sz w:val="13"/>
                <w:szCs w:val="13"/>
                <w:color w:val="000FFF"/>
              </w:rPr>
            </w:pPr>
            <w:hyperlink w:anchor="page7">
              <w:r>
                <w:rPr>
                  <w:rFonts w:ascii="Arial" w:cs="Arial" w:eastAsia="Arial" w:hAnsi="Arial"/>
                  <w:sz w:val="13"/>
                  <w:szCs w:val="13"/>
                  <w:color w:val="000FFF"/>
                </w:rPr>
                <w:t>Back to Contents</w:t>
              </w:r>
            </w:hyperlink>
          </w:p>
        </w:tc>
        <w:tc>
          <w:tcPr>
            <w:tcW w:w="2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00" w:type="dxa"/>
            <w:vAlign w:val="bottom"/>
          </w:tcPr>
          <w:p>
            <w:pPr>
              <w:spacing w:after="0"/>
              <w:rPr>
                <w:sz w:val="13"/>
                <w:szCs w:val="13"/>
                <w:color w:val="auto"/>
              </w:rPr>
            </w:pPr>
          </w:p>
        </w:tc>
      </w:tr>
      <w:tr>
        <w:trPr>
          <w:trHeight w:val="624"/>
        </w:trPr>
        <w:tc>
          <w:tcPr>
            <w:tcW w:w="960" w:type="dxa"/>
            <w:vAlign w:val="bottom"/>
            <w:tcBorders>
              <w:top w:val="single" w:sz="8" w:color="000FFF"/>
            </w:tcBorders>
          </w:tcPr>
          <w:p>
            <w:pPr>
              <w:spacing w:after="0"/>
              <w:rPr>
                <w:sz w:val="24"/>
                <w:szCs w:val="24"/>
                <w:color w:val="auto"/>
              </w:rPr>
            </w:pPr>
          </w:p>
        </w:tc>
        <w:tc>
          <w:tcPr>
            <w:tcW w:w="740" w:type="dxa"/>
            <w:vAlign w:val="bottom"/>
          </w:tcPr>
          <w:p>
            <w:pPr>
              <w:spacing w:after="0"/>
              <w:rPr>
                <w:sz w:val="24"/>
                <w:szCs w:val="24"/>
                <w:color w:val="auto"/>
              </w:rPr>
            </w:pPr>
          </w:p>
        </w:tc>
        <w:tc>
          <w:tcPr>
            <w:tcW w:w="3340" w:type="dxa"/>
            <w:vAlign w:val="bottom"/>
            <w:gridSpan w:val="2"/>
          </w:tcPr>
          <w:p>
            <w:pPr>
              <w:ind w:left="140"/>
              <w:spacing w:after="0"/>
              <w:rPr>
                <w:sz w:val="20"/>
                <w:szCs w:val="20"/>
                <w:color w:val="auto"/>
              </w:rPr>
            </w:pPr>
            <w:r>
              <w:rPr>
                <w:rFonts w:ascii="Arial" w:cs="Arial" w:eastAsia="Arial" w:hAnsi="Arial"/>
                <w:sz w:val="13"/>
                <w:szCs w:val="13"/>
                <w:b w:val="1"/>
                <w:bCs w:val="1"/>
                <w:color w:val="125288"/>
              </w:rPr>
              <w:t>How we responded</w:t>
            </w:r>
          </w:p>
        </w:tc>
        <w:tc>
          <w:tcPr>
            <w:tcW w:w="3140" w:type="dxa"/>
            <w:vAlign w:val="bottom"/>
            <w:gridSpan w:val="2"/>
          </w:tcPr>
          <w:p>
            <w:pPr>
              <w:ind w:left="60"/>
              <w:spacing w:after="0"/>
              <w:rPr>
                <w:sz w:val="20"/>
                <w:szCs w:val="20"/>
                <w:color w:val="auto"/>
              </w:rPr>
            </w:pPr>
            <w:r>
              <w:rPr>
                <w:rFonts w:ascii="Arial" w:cs="Arial" w:eastAsia="Arial" w:hAnsi="Arial"/>
                <w:sz w:val="13"/>
                <w:szCs w:val="13"/>
                <w:b w:val="1"/>
                <w:bCs w:val="1"/>
                <w:color w:val="125288"/>
              </w:rPr>
              <w:t>Additional changes</w:t>
            </w:r>
          </w:p>
        </w:tc>
        <w:tc>
          <w:tcPr>
            <w:tcW w:w="18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178"/>
        </w:trPr>
        <w:tc>
          <w:tcPr>
            <w:tcW w:w="1700" w:type="dxa"/>
            <w:vAlign w:val="bottom"/>
            <w:gridSpan w:val="2"/>
          </w:tcPr>
          <w:p>
            <w:pPr>
              <w:ind w:left="40"/>
              <w:spacing w:after="0"/>
              <w:rPr>
                <w:sz w:val="20"/>
                <w:szCs w:val="20"/>
                <w:color w:val="auto"/>
              </w:rPr>
            </w:pPr>
            <w:r>
              <w:rPr>
                <w:rFonts w:ascii="Arial" w:cs="Arial" w:eastAsia="Arial" w:hAnsi="Arial"/>
                <w:sz w:val="13"/>
                <w:szCs w:val="13"/>
                <w:b w:val="1"/>
                <w:bCs w:val="1"/>
                <w:color w:val="125288"/>
              </w:rPr>
              <w:t>What we heard</w:t>
            </w:r>
          </w:p>
        </w:tc>
        <w:tc>
          <w:tcPr>
            <w:tcW w:w="3340" w:type="dxa"/>
            <w:vAlign w:val="bottom"/>
            <w:gridSpan w:val="2"/>
          </w:tcPr>
          <w:p>
            <w:pPr>
              <w:ind w:left="140"/>
              <w:spacing w:after="0"/>
              <w:rPr>
                <w:sz w:val="20"/>
                <w:szCs w:val="20"/>
                <w:color w:val="auto"/>
              </w:rPr>
            </w:pPr>
            <w:r>
              <w:rPr>
                <w:rFonts w:ascii="Arial" w:cs="Arial" w:eastAsia="Arial" w:hAnsi="Arial"/>
                <w:sz w:val="13"/>
                <w:szCs w:val="13"/>
                <w:b w:val="1"/>
                <w:bCs w:val="1"/>
                <w:color w:val="125288"/>
              </w:rPr>
              <w:t>in advance of 2021 Annual Meeting</w:t>
            </w:r>
          </w:p>
        </w:tc>
        <w:tc>
          <w:tcPr>
            <w:tcW w:w="3140" w:type="dxa"/>
            <w:vAlign w:val="bottom"/>
            <w:gridSpan w:val="2"/>
          </w:tcPr>
          <w:p>
            <w:pPr>
              <w:ind w:left="60"/>
              <w:spacing w:after="0"/>
              <w:rPr>
                <w:sz w:val="20"/>
                <w:szCs w:val="20"/>
                <w:color w:val="auto"/>
              </w:rPr>
            </w:pPr>
            <w:r>
              <w:rPr>
                <w:rFonts w:ascii="Arial" w:cs="Arial" w:eastAsia="Arial" w:hAnsi="Arial"/>
                <w:sz w:val="13"/>
                <w:szCs w:val="13"/>
                <w:b w:val="1"/>
                <w:bCs w:val="1"/>
                <w:color w:val="125288"/>
              </w:rPr>
              <w:t>following the 2021 annual meeting</w:t>
            </w:r>
          </w:p>
        </w:tc>
        <w:tc>
          <w:tcPr>
            <w:tcW w:w="3080" w:type="dxa"/>
            <w:vAlign w:val="bottom"/>
            <w:gridSpan w:val="2"/>
          </w:tcPr>
          <w:p>
            <w:pPr>
              <w:ind w:left="80"/>
              <w:spacing w:after="0"/>
              <w:rPr>
                <w:sz w:val="20"/>
                <w:szCs w:val="20"/>
                <w:color w:val="auto"/>
              </w:rPr>
            </w:pPr>
            <w:r>
              <w:rPr>
                <w:rFonts w:ascii="Arial" w:cs="Arial" w:eastAsia="Arial" w:hAnsi="Arial"/>
                <w:sz w:val="13"/>
                <w:szCs w:val="13"/>
                <w:b w:val="1"/>
                <w:bCs w:val="1"/>
                <w:color w:val="125288"/>
              </w:rPr>
              <w:t>Impact of action</w:t>
            </w:r>
          </w:p>
        </w:tc>
      </w:tr>
      <w:tr>
        <w:trPr>
          <w:trHeight w:val="37"/>
        </w:trPr>
        <w:tc>
          <w:tcPr>
            <w:tcW w:w="960" w:type="dxa"/>
            <w:vAlign w:val="bottom"/>
            <w:tcBorders>
              <w:bottom w:val="single" w:sz="8" w:color="125288"/>
            </w:tcBorders>
          </w:tcPr>
          <w:p>
            <w:pPr>
              <w:spacing w:after="0"/>
              <w:rPr>
                <w:sz w:val="3"/>
                <w:szCs w:val="3"/>
                <w:color w:val="auto"/>
              </w:rPr>
            </w:pPr>
          </w:p>
        </w:tc>
        <w:tc>
          <w:tcPr>
            <w:tcW w:w="4080" w:type="dxa"/>
            <w:vAlign w:val="bottom"/>
            <w:tcBorders>
              <w:bottom w:val="single" w:sz="8" w:color="125288"/>
            </w:tcBorders>
            <w:gridSpan w:val="3"/>
          </w:tcPr>
          <w:p>
            <w:pPr>
              <w:spacing w:after="0"/>
              <w:rPr>
                <w:sz w:val="3"/>
                <w:szCs w:val="3"/>
                <w:color w:val="auto"/>
              </w:rPr>
            </w:pPr>
          </w:p>
        </w:tc>
        <w:tc>
          <w:tcPr>
            <w:tcW w:w="140" w:type="dxa"/>
            <w:vAlign w:val="bottom"/>
            <w:tcBorders>
              <w:bottom w:val="single" w:sz="8" w:color="125288"/>
            </w:tcBorders>
          </w:tcPr>
          <w:p>
            <w:pPr>
              <w:spacing w:after="0"/>
              <w:rPr>
                <w:sz w:val="3"/>
                <w:szCs w:val="3"/>
                <w:color w:val="auto"/>
              </w:rPr>
            </w:pPr>
          </w:p>
        </w:tc>
        <w:tc>
          <w:tcPr>
            <w:tcW w:w="3000" w:type="dxa"/>
            <w:vAlign w:val="bottom"/>
            <w:tcBorders>
              <w:bottom w:val="single" w:sz="8" w:color="125288"/>
            </w:tcBorders>
          </w:tcPr>
          <w:p>
            <w:pPr>
              <w:spacing w:after="0"/>
              <w:rPr>
                <w:sz w:val="3"/>
                <w:szCs w:val="3"/>
                <w:color w:val="auto"/>
              </w:rPr>
            </w:pPr>
          </w:p>
        </w:tc>
        <w:tc>
          <w:tcPr>
            <w:tcW w:w="180" w:type="dxa"/>
            <w:vAlign w:val="bottom"/>
            <w:tcBorders>
              <w:bottom w:val="single" w:sz="8" w:color="125288"/>
            </w:tcBorders>
          </w:tcPr>
          <w:p>
            <w:pPr>
              <w:spacing w:after="0"/>
              <w:rPr>
                <w:sz w:val="3"/>
                <w:szCs w:val="3"/>
                <w:color w:val="auto"/>
              </w:rPr>
            </w:pPr>
          </w:p>
        </w:tc>
        <w:tc>
          <w:tcPr>
            <w:tcW w:w="2900" w:type="dxa"/>
            <w:vAlign w:val="bottom"/>
            <w:tcBorders>
              <w:bottom w:val="single" w:sz="8" w:color="125288"/>
            </w:tcBorders>
          </w:tcPr>
          <w:p>
            <w:pPr>
              <w:spacing w:after="0"/>
              <w:rPr>
                <w:sz w:val="3"/>
                <w:szCs w:val="3"/>
                <w:color w:val="auto"/>
              </w:rPr>
            </w:pPr>
          </w:p>
        </w:tc>
      </w:tr>
      <w:tr>
        <w:trPr>
          <w:trHeight w:val="276"/>
        </w:trPr>
        <w:tc>
          <w:tcPr>
            <w:tcW w:w="5040" w:type="dxa"/>
            <w:vAlign w:val="bottom"/>
            <w:gridSpan w:val="4"/>
          </w:tcPr>
          <w:p>
            <w:pPr>
              <w:ind w:left="40"/>
              <w:spacing w:after="0"/>
              <w:rPr>
                <w:sz w:val="20"/>
                <w:szCs w:val="20"/>
                <w:color w:val="auto"/>
              </w:rPr>
            </w:pPr>
            <w:r>
              <w:rPr>
                <w:rFonts w:ascii="Arial" w:cs="Arial" w:eastAsia="Arial" w:hAnsi="Arial"/>
                <w:sz w:val="17"/>
                <w:szCs w:val="17"/>
                <w:b w:val="1"/>
                <w:bCs w:val="1"/>
                <w:color w:val="125288"/>
              </w:rPr>
              <w:t>OVERALL ANNUAL INCENTIVE PROGRAM DESIGN</w:t>
            </w:r>
          </w:p>
        </w:tc>
        <w:tc>
          <w:tcPr>
            <w:tcW w:w="14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900" w:type="dxa"/>
            <w:vAlign w:val="bottom"/>
          </w:tcPr>
          <w:p>
            <w:pPr>
              <w:spacing w:after="0"/>
              <w:rPr>
                <w:sz w:val="23"/>
                <w:szCs w:val="23"/>
                <w:color w:val="auto"/>
              </w:rPr>
            </w:pPr>
          </w:p>
        </w:tc>
      </w:tr>
      <w:tr>
        <w:trPr>
          <w:trHeight w:val="85"/>
        </w:trPr>
        <w:tc>
          <w:tcPr>
            <w:tcW w:w="960" w:type="dxa"/>
            <w:vAlign w:val="bottom"/>
            <w:tcBorders>
              <w:bottom w:val="single" w:sz="8" w:color="125288"/>
            </w:tcBorders>
          </w:tcPr>
          <w:p>
            <w:pPr>
              <w:spacing w:after="0"/>
              <w:rPr>
                <w:sz w:val="7"/>
                <w:szCs w:val="7"/>
                <w:color w:val="auto"/>
              </w:rPr>
            </w:pPr>
          </w:p>
        </w:tc>
        <w:tc>
          <w:tcPr>
            <w:tcW w:w="740" w:type="dxa"/>
            <w:vAlign w:val="bottom"/>
            <w:tcBorders>
              <w:bottom w:val="single" w:sz="8" w:color="125288"/>
            </w:tcBorders>
          </w:tcPr>
          <w:p>
            <w:pPr>
              <w:spacing w:after="0"/>
              <w:rPr>
                <w:sz w:val="7"/>
                <w:szCs w:val="7"/>
                <w:color w:val="auto"/>
              </w:rPr>
            </w:pPr>
          </w:p>
        </w:tc>
        <w:tc>
          <w:tcPr>
            <w:tcW w:w="260" w:type="dxa"/>
            <w:vAlign w:val="bottom"/>
            <w:tcBorders>
              <w:bottom w:val="single" w:sz="8" w:color="125288"/>
            </w:tcBorders>
          </w:tcPr>
          <w:p>
            <w:pPr>
              <w:spacing w:after="0"/>
              <w:rPr>
                <w:sz w:val="7"/>
                <w:szCs w:val="7"/>
                <w:color w:val="auto"/>
              </w:rPr>
            </w:pPr>
          </w:p>
        </w:tc>
        <w:tc>
          <w:tcPr>
            <w:tcW w:w="3080" w:type="dxa"/>
            <w:vAlign w:val="bottom"/>
            <w:tcBorders>
              <w:bottom w:val="single" w:sz="8" w:color="125288"/>
            </w:tcBorders>
          </w:tcPr>
          <w:p>
            <w:pPr>
              <w:spacing w:after="0"/>
              <w:rPr>
                <w:sz w:val="7"/>
                <w:szCs w:val="7"/>
                <w:color w:val="auto"/>
              </w:rPr>
            </w:pPr>
          </w:p>
        </w:tc>
        <w:tc>
          <w:tcPr>
            <w:tcW w:w="140" w:type="dxa"/>
            <w:vAlign w:val="bottom"/>
            <w:tcBorders>
              <w:bottom w:val="single" w:sz="8" w:color="125288"/>
            </w:tcBorders>
          </w:tcPr>
          <w:p>
            <w:pPr>
              <w:spacing w:after="0"/>
              <w:rPr>
                <w:sz w:val="7"/>
                <w:szCs w:val="7"/>
                <w:color w:val="auto"/>
              </w:rPr>
            </w:pPr>
          </w:p>
        </w:tc>
        <w:tc>
          <w:tcPr>
            <w:tcW w:w="3000" w:type="dxa"/>
            <w:vAlign w:val="bottom"/>
            <w:tcBorders>
              <w:bottom w:val="single" w:sz="8" w:color="125288"/>
            </w:tcBorders>
          </w:tcPr>
          <w:p>
            <w:pPr>
              <w:spacing w:after="0"/>
              <w:rPr>
                <w:sz w:val="7"/>
                <w:szCs w:val="7"/>
                <w:color w:val="auto"/>
              </w:rPr>
            </w:pPr>
          </w:p>
        </w:tc>
        <w:tc>
          <w:tcPr>
            <w:tcW w:w="180" w:type="dxa"/>
            <w:vAlign w:val="bottom"/>
            <w:tcBorders>
              <w:bottom w:val="single" w:sz="8" w:color="125288"/>
            </w:tcBorders>
          </w:tcPr>
          <w:p>
            <w:pPr>
              <w:spacing w:after="0"/>
              <w:rPr>
                <w:sz w:val="7"/>
                <w:szCs w:val="7"/>
                <w:color w:val="auto"/>
              </w:rPr>
            </w:pPr>
          </w:p>
        </w:tc>
        <w:tc>
          <w:tcPr>
            <w:tcW w:w="2900" w:type="dxa"/>
            <w:vAlign w:val="bottom"/>
            <w:tcBorders>
              <w:bottom w:val="single" w:sz="8" w:color="125288"/>
            </w:tcBorders>
          </w:tcPr>
          <w:p>
            <w:pPr>
              <w:spacing w:after="0"/>
              <w:rPr>
                <w:sz w:val="7"/>
                <w:szCs w:val="7"/>
                <w:color w:val="auto"/>
              </w:rPr>
            </w:pPr>
          </w:p>
        </w:tc>
      </w:tr>
      <w:tr>
        <w:trPr>
          <w:trHeight w:val="250"/>
        </w:trPr>
        <w:tc>
          <w:tcPr>
            <w:tcW w:w="1700" w:type="dxa"/>
            <w:vAlign w:val="bottom"/>
            <w:gridSpan w:val="2"/>
          </w:tcPr>
          <w:p>
            <w:pPr>
              <w:ind w:left="40"/>
              <w:spacing w:after="0"/>
              <w:rPr>
                <w:sz w:val="20"/>
                <w:szCs w:val="20"/>
                <w:color w:val="auto"/>
              </w:rPr>
            </w:pPr>
            <w:r>
              <w:rPr>
                <w:rFonts w:ascii="Arial" w:cs="Arial" w:eastAsia="Arial" w:hAnsi="Arial"/>
                <w:sz w:val="17"/>
                <w:szCs w:val="17"/>
                <w:b w:val="1"/>
                <w:bCs w:val="1"/>
                <w:color w:val="auto"/>
              </w:rPr>
              <w:t>Annual incentive</w:t>
            </w:r>
          </w:p>
        </w:tc>
        <w:tc>
          <w:tcPr>
            <w:tcW w:w="260" w:type="dxa"/>
            <w:vAlign w:val="bottom"/>
          </w:tcPr>
          <w:p>
            <w:pPr>
              <w:ind w:left="140"/>
              <w:spacing w:after="0"/>
              <w:rPr>
                <w:sz w:val="20"/>
                <w:szCs w:val="20"/>
                <w:color w:val="auto"/>
              </w:rPr>
            </w:pPr>
            <w:r>
              <w:rPr>
                <w:rFonts w:ascii="Arial" w:cs="Arial" w:eastAsia="Arial" w:hAnsi="Arial"/>
                <w:sz w:val="17"/>
                <w:szCs w:val="17"/>
                <w:color w:val="125288"/>
              </w:rPr>
              <w:t>•</w:t>
            </w:r>
          </w:p>
        </w:tc>
        <w:tc>
          <w:tcPr>
            <w:tcW w:w="3080" w:type="dxa"/>
            <w:vAlign w:val="bottom"/>
          </w:tcPr>
          <w:p>
            <w:pPr>
              <w:ind w:left="40"/>
              <w:spacing w:after="0"/>
              <w:rPr>
                <w:sz w:val="20"/>
                <w:szCs w:val="20"/>
                <w:color w:val="auto"/>
              </w:rPr>
            </w:pPr>
            <w:r>
              <w:rPr>
                <w:rFonts w:ascii="Arial" w:cs="Arial" w:eastAsia="Arial" w:hAnsi="Arial"/>
                <w:sz w:val="17"/>
                <w:szCs w:val="17"/>
                <w:color w:val="auto"/>
              </w:rPr>
              <w:t>Increased financial metric weight, from</w:t>
            </w:r>
          </w:p>
        </w:tc>
        <w:tc>
          <w:tcPr>
            <w:tcW w:w="140" w:type="dxa"/>
            <w:vAlign w:val="bottom"/>
          </w:tcPr>
          <w:p>
            <w:pPr>
              <w:ind w:left="60"/>
              <w:spacing w:after="0"/>
              <w:rPr>
                <w:sz w:val="20"/>
                <w:szCs w:val="20"/>
                <w:color w:val="auto"/>
              </w:rPr>
            </w:pPr>
            <w:r>
              <w:rPr>
                <w:rFonts w:ascii="Arial" w:cs="Arial" w:eastAsia="Arial" w:hAnsi="Arial"/>
                <w:sz w:val="17"/>
                <w:szCs w:val="17"/>
                <w:color w:val="125288"/>
              </w:rPr>
              <w:t>•</w:t>
            </w:r>
          </w:p>
        </w:tc>
        <w:tc>
          <w:tcPr>
            <w:tcW w:w="3000" w:type="dxa"/>
            <w:vAlign w:val="bottom"/>
          </w:tcPr>
          <w:p>
            <w:pPr>
              <w:ind w:left="80"/>
              <w:spacing w:after="0"/>
              <w:rPr>
                <w:sz w:val="20"/>
                <w:szCs w:val="20"/>
                <w:color w:val="auto"/>
              </w:rPr>
            </w:pPr>
            <w:r>
              <w:rPr>
                <w:rFonts w:ascii="Arial" w:cs="Arial" w:eastAsia="Arial" w:hAnsi="Arial"/>
                <w:sz w:val="17"/>
                <w:szCs w:val="17"/>
                <w:color w:val="auto"/>
                <w:w w:val="99"/>
              </w:rPr>
              <w:t>Implemented increase to 80% financial</w:t>
            </w:r>
          </w:p>
        </w:tc>
        <w:tc>
          <w:tcPr>
            <w:tcW w:w="180" w:type="dxa"/>
            <w:vAlign w:val="bottom"/>
          </w:tcPr>
          <w:p>
            <w:pPr>
              <w:ind w:left="80"/>
              <w:spacing w:after="0"/>
              <w:rPr>
                <w:sz w:val="20"/>
                <w:szCs w:val="20"/>
                <w:color w:val="auto"/>
              </w:rPr>
            </w:pPr>
            <w:r>
              <w:rPr>
                <w:rFonts w:ascii="Arial" w:cs="Arial" w:eastAsia="Arial" w:hAnsi="Arial"/>
                <w:sz w:val="17"/>
                <w:szCs w:val="17"/>
                <w:color w:val="125288"/>
              </w:rPr>
              <w:t>•</w:t>
            </w:r>
          </w:p>
        </w:tc>
        <w:tc>
          <w:tcPr>
            <w:tcW w:w="2900" w:type="dxa"/>
            <w:vAlign w:val="bottom"/>
          </w:tcPr>
          <w:p>
            <w:pPr>
              <w:ind w:left="60"/>
              <w:spacing w:after="0"/>
              <w:rPr>
                <w:sz w:val="20"/>
                <w:szCs w:val="20"/>
                <w:color w:val="auto"/>
              </w:rPr>
            </w:pPr>
            <w:r>
              <w:rPr>
                <w:rFonts w:ascii="Arial" w:cs="Arial" w:eastAsia="Arial" w:hAnsi="Arial"/>
                <w:sz w:val="17"/>
                <w:szCs w:val="17"/>
                <w:color w:val="auto"/>
              </w:rPr>
              <w:t>Enhance alignment of incentive with</w:t>
            </w:r>
          </w:p>
        </w:tc>
      </w:tr>
      <w:tr>
        <w:trPr>
          <w:trHeight w:val="190"/>
        </w:trPr>
        <w:tc>
          <w:tcPr>
            <w:tcW w:w="1700" w:type="dxa"/>
            <w:vAlign w:val="bottom"/>
            <w:gridSpan w:val="2"/>
          </w:tcPr>
          <w:p>
            <w:pPr>
              <w:ind w:left="40"/>
              <w:spacing w:after="0" w:line="190" w:lineRule="exact"/>
              <w:rPr>
                <w:sz w:val="20"/>
                <w:szCs w:val="20"/>
                <w:color w:val="auto"/>
              </w:rPr>
            </w:pPr>
            <w:r>
              <w:rPr>
                <w:rFonts w:ascii="Arial" w:cs="Arial" w:eastAsia="Arial" w:hAnsi="Arial"/>
                <w:sz w:val="17"/>
                <w:szCs w:val="17"/>
                <w:b w:val="1"/>
                <w:bCs w:val="1"/>
                <w:color w:val="auto"/>
              </w:rPr>
              <w:t>should emphasize</w:t>
            </w:r>
          </w:p>
        </w:tc>
        <w:tc>
          <w:tcPr>
            <w:tcW w:w="260" w:type="dxa"/>
            <w:vAlign w:val="bottom"/>
          </w:tcPr>
          <w:p>
            <w:pPr>
              <w:spacing w:after="0"/>
              <w:rPr>
                <w:sz w:val="16"/>
                <w:szCs w:val="16"/>
                <w:color w:val="auto"/>
              </w:rPr>
            </w:pPr>
          </w:p>
        </w:tc>
        <w:tc>
          <w:tcPr>
            <w:tcW w:w="3080" w:type="dxa"/>
            <w:vAlign w:val="bottom"/>
          </w:tcPr>
          <w:p>
            <w:pPr>
              <w:ind w:left="40"/>
              <w:spacing w:after="0" w:line="190" w:lineRule="exact"/>
              <w:rPr>
                <w:sz w:val="20"/>
                <w:szCs w:val="20"/>
                <w:color w:val="auto"/>
              </w:rPr>
            </w:pPr>
            <w:r>
              <w:rPr>
                <w:rFonts w:ascii="Arial" w:cs="Arial" w:eastAsia="Arial" w:hAnsi="Arial"/>
                <w:sz w:val="17"/>
                <w:szCs w:val="17"/>
                <w:color w:val="auto"/>
              </w:rPr>
              <w:t>60% to 80% for the CEO beginning in</w:t>
            </w:r>
          </w:p>
        </w:tc>
        <w:tc>
          <w:tcPr>
            <w:tcW w:w="140" w:type="dxa"/>
            <w:vAlign w:val="bottom"/>
          </w:tcPr>
          <w:p>
            <w:pPr>
              <w:spacing w:after="0"/>
              <w:rPr>
                <w:sz w:val="16"/>
                <w:szCs w:val="16"/>
                <w:color w:val="auto"/>
              </w:rPr>
            </w:pPr>
          </w:p>
        </w:tc>
        <w:tc>
          <w:tcPr>
            <w:tcW w:w="3000" w:type="dxa"/>
            <w:vAlign w:val="bottom"/>
          </w:tcPr>
          <w:p>
            <w:pPr>
              <w:ind w:left="80"/>
              <w:spacing w:after="0" w:line="190" w:lineRule="exact"/>
              <w:rPr>
                <w:sz w:val="20"/>
                <w:szCs w:val="20"/>
                <w:color w:val="auto"/>
              </w:rPr>
            </w:pPr>
            <w:r>
              <w:rPr>
                <w:rFonts w:ascii="Arial" w:cs="Arial" w:eastAsia="Arial" w:hAnsi="Arial"/>
                <w:sz w:val="17"/>
                <w:szCs w:val="17"/>
                <w:color w:val="auto"/>
              </w:rPr>
              <w:t>weighting for all NEOs in 2021</w:t>
            </w:r>
          </w:p>
        </w:tc>
        <w:tc>
          <w:tcPr>
            <w:tcW w:w="180" w:type="dxa"/>
            <w:vAlign w:val="bottom"/>
          </w:tcPr>
          <w:p>
            <w:pPr>
              <w:spacing w:after="0"/>
              <w:rPr>
                <w:sz w:val="16"/>
                <w:szCs w:val="16"/>
                <w:color w:val="auto"/>
              </w:rPr>
            </w:pPr>
          </w:p>
        </w:tc>
        <w:tc>
          <w:tcPr>
            <w:tcW w:w="2900" w:type="dxa"/>
            <w:vAlign w:val="bottom"/>
          </w:tcPr>
          <w:p>
            <w:pPr>
              <w:ind w:left="60"/>
              <w:spacing w:after="0" w:line="190" w:lineRule="exact"/>
              <w:rPr>
                <w:sz w:val="20"/>
                <w:szCs w:val="20"/>
                <w:color w:val="auto"/>
              </w:rPr>
            </w:pPr>
            <w:r>
              <w:rPr>
                <w:rFonts w:ascii="Arial" w:cs="Arial" w:eastAsia="Arial" w:hAnsi="Arial"/>
                <w:sz w:val="17"/>
                <w:szCs w:val="17"/>
                <w:color w:val="auto"/>
              </w:rPr>
              <w:t>financial outcomes</w:t>
            </w:r>
          </w:p>
        </w:tc>
      </w:tr>
      <w:tr>
        <w:trPr>
          <w:trHeight w:val="230"/>
        </w:trPr>
        <w:tc>
          <w:tcPr>
            <w:tcW w:w="1700" w:type="dxa"/>
            <w:vAlign w:val="bottom"/>
            <w:gridSpan w:val="2"/>
          </w:tcPr>
          <w:p>
            <w:pPr>
              <w:ind w:left="40"/>
              <w:spacing w:after="0"/>
              <w:rPr>
                <w:sz w:val="20"/>
                <w:szCs w:val="20"/>
                <w:color w:val="auto"/>
              </w:rPr>
            </w:pPr>
            <w:r>
              <w:rPr>
                <w:rFonts w:ascii="Arial" w:cs="Arial" w:eastAsia="Arial" w:hAnsi="Arial"/>
                <w:sz w:val="17"/>
                <w:szCs w:val="17"/>
                <w:b w:val="1"/>
                <w:bCs w:val="1"/>
                <w:color w:val="auto"/>
              </w:rPr>
              <w:t>financial metrics</w:t>
            </w:r>
          </w:p>
        </w:tc>
        <w:tc>
          <w:tcPr>
            <w:tcW w:w="260" w:type="dxa"/>
            <w:vAlign w:val="bottom"/>
          </w:tcPr>
          <w:p>
            <w:pPr>
              <w:spacing w:after="0"/>
              <w:rPr>
                <w:sz w:val="19"/>
                <w:szCs w:val="19"/>
                <w:color w:val="auto"/>
              </w:rPr>
            </w:pPr>
          </w:p>
        </w:tc>
        <w:tc>
          <w:tcPr>
            <w:tcW w:w="3080" w:type="dxa"/>
            <w:vAlign w:val="bottom"/>
          </w:tcPr>
          <w:p>
            <w:pPr>
              <w:ind w:left="40"/>
              <w:spacing w:after="0"/>
              <w:rPr>
                <w:sz w:val="20"/>
                <w:szCs w:val="20"/>
                <w:color w:val="auto"/>
              </w:rPr>
            </w:pPr>
            <w:r>
              <w:rPr>
                <w:rFonts w:ascii="Arial" w:cs="Arial" w:eastAsia="Arial" w:hAnsi="Arial"/>
                <w:sz w:val="17"/>
                <w:szCs w:val="17"/>
                <w:color w:val="auto"/>
                <w:w w:val="98"/>
              </w:rPr>
              <w:t>2021, and for other executives beginning</w:t>
            </w:r>
          </w:p>
        </w:tc>
        <w:tc>
          <w:tcPr>
            <w:tcW w:w="1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201"/>
        </w:trPr>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80" w:type="dxa"/>
            <w:vAlign w:val="bottom"/>
          </w:tcPr>
          <w:p>
            <w:pPr>
              <w:ind w:left="40"/>
              <w:spacing w:after="0"/>
              <w:rPr>
                <w:sz w:val="20"/>
                <w:szCs w:val="20"/>
                <w:color w:val="auto"/>
              </w:rPr>
            </w:pPr>
            <w:r>
              <w:rPr>
                <w:rFonts w:ascii="Arial" w:cs="Arial" w:eastAsia="Arial" w:hAnsi="Arial"/>
                <w:sz w:val="17"/>
                <w:szCs w:val="17"/>
                <w:color w:val="auto"/>
              </w:rPr>
              <w:t>in 2022</w:t>
            </w:r>
          </w:p>
        </w:tc>
        <w:tc>
          <w:tcPr>
            <w:tcW w:w="1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85"/>
        </w:trPr>
        <w:tc>
          <w:tcPr>
            <w:tcW w:w="960" w:type="dxa"/>
            <w:vAlign w:val="bottom"/>
            <w:tcBorders>
              <w:bottom w:val="single" w:sz="8" w:color="125288"/>
            </w:tcBorders>
          </w:tcPr>
          <w:p>
            <w:pPr>
              <w:spacing w:after="0"/>
              <w:rPr>
                <w:sz w:val="7"/>
                <w:szCs w:val="7"/>
                <w:color w:val="auto"/>
              </w:rPr>
            </w:pPr>
          </w:p>
        </w:tc>
        <w:tc>
          <w:tcPr>
            <w:tcW w:w="740" w:type="dxa"/>
            <w:vAlign w:val="bottom"/>
            <w:tcBorders>
              <w:bottom w:val="single" w:sz="8" w:color="125288"/>
            </w:tcBorders>
          </w:tcPr>
          <w:p>
            <w:pPr>
              <w:spacing w:after="0"/>
              <w:rPr>
                <w:sz w:val="7"/>
                <w:szCs w:val="7"/>
                <w:color w:val="auto"/>
              </w:rPr>
            </w:pPr>
          </w:p>
        </w:tc>
        <w:tc>
          <w:tcPr>
            <w:tcW w:w="260" w:type="dxa"/>
            <w:vAlign w:val="bottom"/>
            <w:tcBorders>
              <w:bottom w:val="single" w:sz="8" w:color="125288"/>
            </w:tcBorders>
          </w:tcPr>
          <w:p>
            <w:pPr>
              <w:spacing w:after="0"/>
              <w:rPr>
                <w:sz w:val="7"/>
                <w:szCs w:val="7"/>
                <w:color w:val="auto"/>
              </w:rPr>
            </w:pPr>
          </w:p>
        </w:tc>
        <w:tc>
          <w:tcPr>
            <w:tcW w:w="3080" w:type="dxa"/>
            <w:vAlign w:val="bottom"/>
            <w:tcBorders>
              <w:bottom w:val="single" w:sz="8" w:color="125288"/>
            </w:tcBorders>
          </w:tcPr>
          <w:p>
            <w:pPr>
              <w:spacing w:after="0"/>
              <w:rPr>
                <w:sz w:val="7"/>
                <w:szCs w:val="7"/>
                <w:color w:val="auto"/>
              </w:rPr>
            </w:pPr>
          </w:p>
        </w:tc>
        <w:tc>
          <w:tcPr>
            <w:tcW w:w="140" w:type="dxa"/>
            <w:vAlign w:val="bottom"/>
            <w:tcBorders>
              <w:bottom w:val="single" w:sz="8" w:color="125288"/>
            </w:tcBorders>
          </w:tcPr>
          <w:p>
            <w:pPr>
              <w:spacing w:after="0"/>
              <w:rPr>
                <w:sz w:val="7"/>
                <w:szCs w:val="7"/>
                <w:color w:val="auto"/>
              </w:rPr>
            </w:pPr>
          </w:p>
        </w:tc>
        <w:tc>
          <w:tcPr>
            <w:tcW w:w="3000" w:type="dxa"/>
            <w:vAlign w:val="bottom"/>
            <w:tcBorders>
              <w:bottom w:val="single" w:sz="8" w:color="125288"/>
            </w:tcBorders>
          </w:tcPr>
          <w:p>
            <w:pPr>
              <w:spacing w:after="0"/>
              <w:rPr>
                <w:sz w:val="7"/>
                <w:szCs w:val="7"/>
                <w:color w:val="auto"/>
              </w:rPr>
            </w:pPr>
          </w:p>
        </w:tc>
        <w:tc>
          <w:tcPr>
            <w:tcW w:w="180" w:type="dxa"/>
            <w:vAlign w:val="bottom"/>
            <w:tcBorders>
              <w:bottom w:val="single" w:sz="8" w:color="125288"/>
            </w:tcBorders>
          </w:tcPr>
          <w:p>
            <w:pPr>
              <w:spacing w:after="0"/>
              <w:rPr>
                <w:sz w:val="7"/>
                <w:szCs w:val="7"/>
                <w:color w:val="auto"/>
              </w:rPr>
            </w:pPr>
          </w:p>
        </w:tc>
        <w:tc>
          <w:tcPr>
            <w:tcW w:w="2900" w:type="dxa"/>
            <w:vAlign w:val="bottom"/>
            <w:tcBorders>
              <w:bottom w:val="single" w:sz="8" w:color="125288"/>
            </w:tcBorders>
          </w:tcPr>
          <w:p>
            <w:pPr>
              <w:spacing w:after="0"/>
              <w:rPr>
                <w:sz w:val="7"/>
                <w:szCs w:val="7"/>
                <w:color w:val="auto"/>
              </w:rPr>
            </w:pPr>
          </w:p>
        </w:tc>
      </w:tr>
      <w:tr>
        <w:trPr>
          <w:trHeight w:val="250"/>
        </w:trPr>
        <w:tc>
          <w:tcPr>
            <w:tcW w:w="1700" w:type="dxa"/>
            <w:vAlign w:val="bottom"/>
            <w:gridSpan w:val="2"/>
          </w:tcPr>
          <w:p>
            <w:pPr>
              <w:ind w:left="40"/>
              <w:spacing w:after="0"/>
              <w:rPr>
                <w:sz w:val="20"/>
                <w:szCs w:val="20"/>
                <w:color w:val="auto"/>
              </w:rPr>
            </w:pPr>
            <w:r>
              <w:rPr>
                <w:rFonts w:ascii="Arial" w:cs="Arial" w:eastAsia="Arial" w:hAnsi="Arial"/>
                <w:sz w:val="17"/>
                <w:szCs w:val="17"/>
                <w:b w:val="1"/>
                <w:bCs w:val="1"/>
                <w:color w:val="auto"/>
              </w:rPr>
              <w:t>Preference for ESG</w:t>
            </w:r>
          </w:p>
        </w:tc>
        <w:tc>
          <w:tcPr>
            <w:tcW w:w="260" w:type="dxa"/>
            <w:vAlign w:val="bottom"/>
          </w:tcPr>
          <w:p>
            <w:pPr>
              <w:ind w:left="140"/>
              <w:spacing w:after="0"/>
              <w:rPr>
                <w:sz w:val="20"/>
                <w:szCs w:val="20"/>
                <w:color w:val="auto"/>
              </w:rPr>
            </w:pPr>
            <w:r>
              <w:rPr>
                <w:rFonts w:ascii="Arial" w:cs="Arial" w:eastAsia="Arial" w:hAnsi="Arial"/>
                <w:sz w:val="17"/>
                <w:szCs w:val="17"/>
                <w:color w:val="125288"/>
              </w:rPr>
              <w:t>•</w:t>
            </w:r>
          </w:p>
        </w:tc>
        <w:tc>
          <w:tcPr>
            <w:tcW w:w="3080" w:type="dxa"/>
            <w:vAlign w:val="bottom"/>
          </w:tcPr>
          <w:p>
            <w:pPr>
              <w:ind w:left="40"/>
              <w:spacing w:after="0"/>
              <w:rPr>
                <w:sz w:val="20"/>
                <w:szCs w:val="20"/>
                <w:color w:val="auto"/>
              </w:rPr>
            </w:pPr>
            <w:r>
              <w:rPr>
                <w:rFonts w:ascii="Arial" w:cs="Arial" w:eastAsia="Arial" w:hAnsi="Arial"/>
                <w:sz w:val="17"/>
                <w:szCs w:val="17"/>
                <w:color w:val="auto"/>
              </w:rPr>
              <w:t>Added an ESG component which may</w:t>
            </w:r>
          </w:p>
        </w:tc>
        <w:tc>
          <w:tcPr>
            <w:tcW w:w="140" w:type="dxa"/>
            <w:vAlign w:val="bottom"/>
          </w:tcPr>
          <w:p>
            <w:pPr>
              <w:ind w:left="60"/>
              <w:spacing w:after="0"/>
              <w:rPr>
                <w:sz w:val="20"/>
                <w:szCs w:val="20"/>
                <w:color w:val="auto"/>
              </w:rPr>
            </w:pPr>
            <w:r>
              <w:rPr>
                <w:rFonts w:ascii="Arial" w:cs="Arial" w:eastAsia="Arial" w:hAnsi="Arial"/>
                <w:sz w:val="17"/>
                <w:szCs w:val="17"/>
                <w:color w:val="125288"/>
              </w:rPr>
              <w:t>•</w:t>
            </w:r>
          </w:p>
        </w:tc>
        <w:tc>
          <w:tcPr>
            <w:tcW w:w="3000" w:type="dxa"/>
            <w:vAlign w:val="bottom"/>
          </w:tcPr>
          <w:p>
            <w:pPr>
              <w:ind w:left="80"/>
              <w:spacing w:after="0"/>
              <w:rPr>
                <w:sz w:val="20"/>
                <w:szCs w:val="20"/>
                <w:color w:val="auto"/>
              </w:rPr>
            </w:pPr>
            <w:r>
              <w:rPr>
                <w:rFonts w:ascii="Arial" w:cs="Arial" w:eastAsia="Arial" w:hAnsi="Arial"/>
                <w:sz w:val="17"/>
                <w:szCs w:val="17"/>
                <w:color w:val="auto"/>
              </w:rPr>
              <w:t>Implemented addition of ESG</w:t>
            </w:r>
          </w:p>
        </w:tc>
        <w:tc>
          <w:tcPr>
            <w:tcW w:w="180" w:type="dxa"/>
            <w:vAlign w:val="bottom"/>
          </w:tcPr>
          <w:p>
            <w:pPr>
              <w:ind w:left="80"/>
              <w:spacing w:after="0"/>
              <w:rPr>
                <w:sz w:val="20"/>
                <w:szCs w:val="20"/>
                <w:color w:val="auto"/>
              </w:rPr>
            </w:pPr>
            <w:r>
              <w:rPr>
                <w:rFonts w:ascii="Arial" w:cs="Arial" w:eastAsia="Arial" w:hAnsi="Arial"/>
                <w:sz w:val="17"/>
                <w:szCs w:val="17"/>
                <w:color w:val="125288"/>
              </w:rPr>
              <w:t>•</w:t>
            </w:r>
          </w:p>
        </w:tc>
        <w:tc>
          <w:tcPr>
            <w:tcW w:w="2900" w:type="dxa"/>
            <w:vAlign w:val="bottom"/>
          </w:tcPr>
          <w:p>
            <w:pPr>
              <w:ind w:left="60"/>
              <w:spacing w:after="0"/>
              <w:rPr>
                <w:sz w:val="20"/>
                <w:szCs w:val="20"/>
                <w:color w:val="auto"/>
              </w:rPr>
            </w:pPr>
            <w:r>
              <w:rPr>
                <w:rFonts w:ascii="Arial" w:cs="Arial" w:eastAsia="Arial" w:hAnsi="Arial"/>
                <w:sz w:val="17"/>
                <w:szCs w:val="17"/>
                <w:color w:val="auto"/>
              </w:rPr>
              <w:t>Directly link incentive payout with</w:t>
            </w:r>
          </w:p>
        </w:tc>
      </w:tr>
      <w:tr>
        <w:trPr>
          <w:trHeight w:val="190"/>
        </w:trPr>
        <w:tc>
          <w:tcPr>
            <w:tcW w:w="1700" w:type="dxa"/>
            <w:vAlign w:val="bottom"/>
            <w:gridSpan w:val="2"/>
          </w:tcPr>
          <w:p>
            <w:pPr>
              <w:ind w:left="40"/>
              <w:spacing w:after="0" w:line="190" w:lineRule="exact"/>
              <w:rPr>
                <w:sz w:val="20"/>
                <w:szCs w:val="20"/>
                <w:color w:val="auto"/>
              </w:rPr>
            </w:pPr>
            <w:r>
              <w:rPr>
                <w:rFonts w:ascii="Arial" w:cs="Arial" w:eastAsia="Arial" w:hAnsi="Arial"/>
                <w:sz w:val="17"/>
                <w:szCs w:val="17"/>
                <w:b w:val="1"/>
                <w:bCs w:val="1"/>
                <w:color w:val="auto"/>
              </w:rPr>
              <w:t>objectives in</w:t>
            </w:r>
          </w:p>
        </w:tc>
        <w:tc>
          <w:tcPr>
            <w:tcW w:w="260" w:type="dxa"/>
            <w:vAlign w:val="bottom"/>
          </w:tcPr>
          <w:p>
            <w:pPr>
              <w:spacing w:after="0"/>
              <w:rPr>
                <w:sz w:val="16"/>
                <w:szCs w:val="16"/>
                <w:color w:val="auto"/>
              </w:rPr>
            </w:pPr>
          </w:p>
        </w:tc>
        <w:tc>
          <w:tcPr>
            <w:tcW w:w="3080" w:type="dxa"/>
            <w:vAlign w:val="bottom"/>
          </w:tcPr>
          <w:p>
            <w:pPr>
              <w:ind w:left="40"/>
              <w:spacing w:after="0" w:line="190" w:lineRule="exact"/>
              <w:rPr>
                <w:sz w:val="20"/>
                <w:szCs w:val="20"/>
                <w:color w:val="auto"/>
              </w:rPr>
            </w:pPr>
            <w:r>
              <w:rPr>
                <w:rFonts w:ascii="Arial" w:cs="Arial" w:eastAsia="Arial" w:hAnsi="Arial"/>
                <w:sz w:val="17"/>
                <w:szCs w:val="17"/>
                <w:color w:val="auto"/>
              </w:rPr>
              <w:t>include diversity, inclusion, promotion</w:t>
            </w:r>
          </w:p>
        </w:tc>
        <w:tc>
          <w:tcPr>
            <w:tcW w:w="140" w:type="dxa"/>
            <w:vAlign w:val="bottom"/>
          </w:tcPr>
          <w:p>
            <w:pPr>
              <w:spacing w:after="0"/>
              <w:rPr>
                <w:sz w:val="16"/>
                <w:szCs w:val="16"/>
                <w:color w:val="auto"/>
              </w:rPr>
            </w:pPr>
          </w:p>
        </w:tc>
        <w:tc>
          <w:tcPr>
            <w:tcW w:w="3000" w:type="dxa"/>
            <w:vAlign w:val="bottom"/>
          </w:tcPr>
          <w:p>
            <w:pPr>
              <w:ind w:left="80"/>
              <w:spacing w:after="0" w:line="190" w:lineRule="exact"/>
              <w:rPr>
                <w:sz w:val="20"/>
                <w:szCs w:val="20"/>
                <w:color w:val="auto"/>
              </w:rPr>
            </w:pPr>
            <w:r>
              <w:rPr>
                <w:rFonts w:ascii="Arial" w:cs="Arial" w:eastAsia="Arial" w:hAnsi="Arial"/>
                <w:sz w:val="17"/>
                <w:szCs w:val="17"/>
                <w:color w:val="auto"/>
              </w:rPr>
              <w:t>component as part of NEO strategic</w:t>
            </w:r>
          </w:p>
        </w:tc>
        <w:tc>
          <w:tcPr>
            <w:tcW w:w="180" w:type="dxa"/>
            <w:vAlign w:val="bottom"/>
          </w:tcPr>
          <w:p>
            <w:pPr>
              <w:spacing w:after="0"/>
              <w:rPr>
                <w:sz w:val="16"/>
                <w:szCs w:val="16"/>
                <w:color w:val="auto"/>
              </w:rPr>
            </w:pPr>
          </w:p>
        </w:tc>
        <w:tc>
          <w:tcPr>
            <w:tcW w:w="2900" w:type="dxa"/>
            <w:vAlign w:val="bottom"/>
          </w:tcPr>
          <w:p>
            <w:pPr>
              <w:ind w:left="60"/>
              <w:spacing w:after="0" w:line="190" w:lineRule="exact"/>
              <w:rPr>
                <w:sz w:val="20"/>
                <w:szCs w:val="20"/>
                <w:color w:val="auto"/>
              </w:rPr>
            </w:pPr>
            <w:r>
              <w:rPr>
                <w:rFonts w:ascii="Arial" w:cs="Arial" w:eastAsia="Arial" w:hAnsi="Arial"/>
                <w:sz w:val="17"/>
                <w:szCs w:val="17"/>
                <w:color w:val="auto"/>
              </w:rPr>
              <w:t>ESG performance</w:t>
            </w:r>
          </w:p>
        </w:tc>
      </w:tr>
      <w:tr>
        <w:trPr>
          <w:trHeight w:val="230"/>
        </w:trPr>
        <w:tc>
          <w:tcPr>
            <w:tcW w:w="1700" w:type="dxa"/>
            <w:vAlign w:val="bottom"/>
            <w:gridSpan w:val="2"/>
          </w:tcPr>
          <w:p>
            <w:pPr>
              <w:ind w:left="40"/>
              <w:spacing w:after="0"/>
              <w:rPr>
                <w:sz w:val="20"/>
                <w:szCs w:val="20"/>
                <w:color w:val="auto"/>
              </w:rPr>
            </w:pPr>
            <w:r>
              <w:rPr>
                <w:rFonts w:ascii="Arial" w:cs="Arial" w:eastAsia="Arial" w:hAnsi="Arial"/>
                <w:sz w:val="17"/>
                <w:szCs w:val="17"/>
                <w:b w:val="1"/>
                <w:bCs w:val="1"/>
                <w:color w:val="auto"/>
              </w:rPr>
              <w:t>incentive design</w:t>
            </w:r>
          </w:p>
        </w:tc>
        <w:tc>
          <w:tcPr>
            <w:tcW w:w="260" w:type="dxa"/>
            <w:vAlign w:val="bottom"/>
          </w:tcPr>
          <w:p>
            <w:pPr>
              <w:spacing w:after="0"/>
              <w:rPr>
                <w:sz w:val="19"/>
                <w:szCs w:val="19"/>
                <w:color w:val="auto"/>
              </w:rPr>
            </w:pPr>
          </w:p>
        </w:tc>
        <w:tc>
          <w:tcPr>
            <w:tcW w:w="3080" w:type="dxa"/>
            <w:vAlign w:val="bottom"/>
          </w:tcPr>
          <w:p>
            <w:pPr>
              <w:ind w:left="40"/>
              <w:spacing w:after="0"/>
              <w:rPr>
                <w:sz w:val="20"/>
                <w:szCs w:val="20"/>
                <w:color w:val="auto"/>
              </w:rPr>
            </w:pPr>
            <w:r>
              <w:rPr>
                <w:rFonts w:ascii="Arial" w:cs="Arial" w:eastAsia="Arial" w:hAnsi="Arial"/>
                <w:sz w:val="17"/>
                <w:szCs w:val="17"/>
                <w:color w:val="auto"/>
                <w:w w:val="98"/>
              </w:rPr>
              <w:t>and hiring of veterans, and sustainability,</w:t>
            </w:r>
          </w:p>
        </w:tc>
        <w:tc>
          <w:tcPr>
            <w:tcW w:w="140" w:type="dxa"/>
            <w:vAlign w:val="bottom"/>
          </w:tcPr>
          <w:p>
            <w:pPr>
              <w:spacing w:after="0"/>
              <w:rPr>
                <w:sz w:val="19"/>
                <w:szCs w:val="19"/>
                <w:color w:val="auto"/>
              </w:rPr>
            </w:pPr>
          </w:p>
        </w:tc>
        <w:tc>
          <w:tcPr>
            <w:tcW w:w="3000" w:type="dxa"/>
            <w:vAlign w:val="bottom"/>
          </w:tcPr>
          <w:p>
            <w:pPr>
              <w:ind w:left="80"/>
              <w:spacing w:after="0"/>
              <w:rPr>
                <w:sz w:val="20"/>
                <w:szCs w:val="20"/>
                <w:color w:val="auto"/>
              </w:rPr>
            </w:pPr>
            <w:r>
              <w:rPr>
                <w:rFonts w:ascii="Arial" w:cs="Arial" w:eastAsia="Arial" w:hAnsi="Arial"/>
                <w:sz w:val="17"/>
                <w:szCs w:val="17"/>
                <w:color w:val="auto"/>
              </w:rPr>
              <w:t>objectives</w:t>
            </w:r>
          </w:p>
        </w:tc>
        <w:tc>
          <w:tcPr>
            <w:tcW w:w="18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190"/>
        </w:trPr>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80" w:type="dxa"/>
            <w:vAlign w:val="bottom"/>
          </w:tcPr>
          <w:p>
            <w:pPr>
              <w:ind w:left="40"/>
              <w:spacing w:after="0" w:line="190" w:lineRule="exact"/>
              <w:rPr>
                <w:sz w:val="20"/>
                <w:szCs w:val="20"/>
                <w:color w:val="auto"/>
              </w:rPr>
            </w:pPr>
            <w:r>
              <w:rPr>
                <w:rFonts w:ascii="Arial" w:cs="Arial" w:eastAsia="Arial" w:hAnsi="Arial"/>
                <w:sz w:val="17"/>
                <w:szCs w:val="17"/>
                <w:color w:val="auto"/>
              </w:rPr>
              <w:t>as part of executive strategic objectives</w:t>
            </w:r>
          </w:p>
        </w:tc>
        <w:tc>
          <w:tcPr>
            <w:tcW w:w="140" w:type="dxa"/>
            <w:vAlign w:val="bottom"/>
          </w:tcPr>
          <w:p>
            <w:pPr>
              <w:ind w:left="20"/>
              <w:spacing w:after="0" w:line="190" w:lineRule="exact"/>
              <w:rPr>
                <w:sz w:val="20"/>
                <w:szCs w:val="20"/>
                <w:color w:val="auto"/>
              </w:rPr>
            </w:pPr>
            <w:r>
              <w:rPr>
                <w:rFonts w:ascii="Arial" w:cs="Arial" w:eastAsia="Arial" w:hAnsi="Arial"/>
                <w:sz w:val="17"/>
                <w:szCs w:val="17"/>
                <w:color w:val="125288"/>
              </w:rPr>
              <w:t>•</w:t>
            </w:r>
          </w:p>
        </w:tc>
        <w:tc>
          <w:tcPr>
            <w:tcW w:w="3000" w:type="dxa"/>
            <w:vAlign w:val="bottom"/>
          </w:tcPr>
          <w:p>
            <w:pPr>
              <w:ind w:left="40"/>
              <w:spacing w:after="0" w:line="190" w:lineRule="exact"/>
              <w:rPr>
                <w:sz w:val="20"/>
                <w:szCs w:val="20"/>
                <w:color w:val="auto"/>
              </w:rPr>
            </w:pPr>
            <w:r>
              <w:rPr>
                <w:rFonts w:ascii="Arial" w:cs="Arial" w:eastAsia="Arial" w:hAnsi="Arial"/>
                <w:sz w:val="17"/>
                <w:szCs w:val="17"/>
                <w:color w:val="auto"/>
              </w:rPr>
              <w:t>No bonus for CEO until appropriate</w:t>
            </w:r>
          </w:p>
        </w:tc>
        <w:tc>
          <w:tcPr>
            <w:tcW w:w="18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226"/>
        </w:trPr>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80" w:type="dxa"/>
            <w:vAlign w:val="bottom"/>
          </w:tcPr>
          <w:p>
            <w:pPr>
              <w:ind w:left="40"/>
              <w:spacing w:after="0"/>
              <w:rPr>
                <w:sz w:val="20"/>
                <w:szCs w:val="20"/>
                <w:color w:val="auto"/>
              </w:rPr>
            </w:pPr>
            <w:r>
              <w:rPr>
                <w:rFonts w:ascii="Arial" w:cs="Arial" w:eastAsia="Arial" w:hAnsi="Arial"/>
                <w:sz w:val="17"/>
                <w:szCs w:val="17"/>
                <w:color w:val="auto"/>
              </w:rPr>
              <w:t>beginning in 2021</w:t>
            </w:r>
          </w:p>
        </w:tc>
        <w:tc>
          <w:tcPr>
            <w:tcW w:w="140" w:type="dxa"/>
            <w:vAlign w:val="bottom"/>
          </w:tcPr>
          <w:p>
            <w:pPr>
              <w:spacing w:after="0"/>
              <w:rPr>
                <w:sz w:val="19"/>
                <w:szCs w:val="19"/>
                <w:color w:val="auto"/>
              </w:rPr>
            </w:pPr>
          </w:p>
        </w:tc>
        <w:tc>
          <w:tcPr>
            <w:tcW w:w="3000" w:type="dxa"/>
            <w:vAlign w:val="bottom"/>
          </w:tcPr>
          <w:p>
            <w:pPr>
              <w:ind w:left="40"/>
              <w:spacing w:after="0"/>
              <w:rPr>
                <w:sz w:val="20"/>
                <w:szCs w:val="20"/>
                <w:color w:val="auto"/>
              </w:rPr>
            </w:pPr>
            <w:r>
              <w:rPr>
                <w:rFonts w:ascii="Arial" w:cs="Arial" w:eastAsia="Arial" w:hAnsi="Arial"/>
                <w:sz w:val="17"/>
                <w:szCs w:val="17"/>
                <w:color w:val="auto"/>
              </w:rPr>
              <w:t>progress toward achievement of</w:t>
            </w:r>
          </w:p>
        </w:tc>
        <w:tc>
          <w:tcPr>
            <w:tcW w:w="180" w:type="dxa"/>
            <w:vAlign w:val="bottom"/>
          </w:tcPr>
          <w:p>
            <w:pPr>
              <w:spacing w:after="0"/>
              <w:rPr>
                <w:sz w:val="19"/>
                <w:szCs w:val="19"/>
                <w:color w:val="auto"/>
              </w:rPr>
            </w:pPr>
          </w:p>
        </w:tc>
        <w:tc>
          <w:tcPr>
            <w:tcW w:w="2900" w:type="dxa"/>
            <w:vAlign w:val="bottom"/>
          </w:tcPr>
          <w:p>
            <w:pPr>
              <w:spacing w:after="0"/>
              <w:rPr>
                <w:sz w:val="19"/>
                <w:szCs w:val="19"/>
                <w:color w:val="auto"/>
              </w:rPr>
            </w:pPr>
          </w:p>
        </w:tc>
      </w:tr>
    </w:tbl>
    <w:p>
      <w:pPr>
        <w:ind w:left="5220"/>
        <w:spacing w:after="0"/>
        <w:rPr>
          <w:sz w:val="20"/>
          <w:szCs w:val="20"/>
          <w:color w:val="auto"/>
        </w:rPr>
      </w:pPr>
      <w:r>
        <w:rPr>
          <w:rFonts w:ascii="Arial" w:cs="Arial" w:eastAsia="Arial" w:hAnsi="Arial"/>
          <w:sz w:val="17"/>
          <w:szCs w:val="17"/>
          <w:color w:val="auto"/>
        </w:rPr>
        <w:t>Transformational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54610</wp:posOffset>
            </wp:positionV>
            <wp:extent cx="7148830" cy="152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125288"/>
        </w:rPr>
        <w:t>COMPENSATION PROGRAM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48830" cy="152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p>
      <w:pPr>
        <w:spacing w:after="0" w:line="185" w:lineRule="exact"/>
        <w:rPr>
          <w:sz w:val="20"/>
          <w:szCs w:val="20"/>
          <w:color w:val="auto"/>
        </w:rPr>
      </w:pPr>
    </w:p>
    <w:p>
      <w:pPr>
        <w:ind w:left="40"/>
        <w:spacing w:after="0" w:line="248" w:lineRule="auto"/>
        <w:rPr>
          <w:sz w:val="20"/>
          <w:szCs w:val="20"/>
          <w:color w:val="auto"/>
        </w:rPr>
      </w:pPr>
      <w:r>
        <w:rPr>
          <w:rFonts w:ascii="Arial" w:cs="Arial" w:eastAsia="Arial" w:hAnsi="Arial"/>
          <w:sz w:val="17"/>
          <w:szCs w:val="17"/>
          <w:b w:val="1"/>
          <w:bCs w:val="1"/>
          <w:color w:val="auto"/>
        </w:rPr>
        <w:t>Enhance disclosure of goal-setting process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ind w:left="150" w:right="2537" w:hanging="150"/>
        <w:spacing w:after="0" w:line="236" w:lineRule="auto"/>
        <w:tabs>
          <w:tab w:leader="none" w:pos="150" w:val="left"/>
        </w:tabs>
        <w:numPr>
          <w:ilvl w:val="0"/>
          <w:numId w:val="74"/>
        </w:numPr>
        <w:rPr>
          <w:rFonts w:ascii="Arial" w:cs="Arial" w:eastAsia="Arial" w:hAnsi="Arial"/>
          <w:sz w:val="17"/>
          <w:szCs w:val="17"/>
          <w:color w:val="125288"/>
        </w:rPr>
      </w:pPr>
      <w:r>
        <w:rPr>
          <w:rFonts w:ascii="Arial" w:cs="Arial" w:eastAsia="Arial" w:hAnsi="Arial"/>
          <w:sz w:val="17"/>
          <w:szCs w:val="17"/>
          <w:color w:val="auto"/>
        </w:rPr>
        <w:t>Enhanced disclosure of target-setting to provide context for the rigor of targets in “Corporate Annual Incentive Plan (CAIP) Bonuses” section of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-1176655</wp:posOffset>
            </wp:positionH>
            <wp:positionV relativeFrom="paragraph">
              <wp:posOffset>52705</wp:posOffset>
            </wp:positionV>
            <wp:extent cx="7148830" cy="152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163" w:right="320" w:hanging="163"/>
        <w:spacing w:after="0" w:line="239" w:lineRule="auto"/>
        <w:tabs>
          <w:tab w:leader="none" w:pos="163" w:val="left"/>
        </w:tabs>
        <w:numPr>
          <w:ilvl w:val="0"/>
          <w:numId w:val="75"/>
        </w:numPr>
        <w:rPr>
          <w:rFonts w:ascii="Arial" w:cs="Arial" w:eastAsia="Arial" w:hAnsi="Arial"/>
          <w:sz w:val="17"/>
          <w:szCs w:val="17"/>
          <w:color w:val="125288"/>
        </w:rPr>
      </w:pPr>
      <w:r>
        <w:rPr>
          <w:rFonts w:ascii="Arial" w:cs="Arial" w:eastAsia="Arial" w:hAnsi="Arial"/>
          <w:sz w:val="17"/>
          <w:szCs w:val="17"/>
          <w:color w:val="auto"/>
        </w:rPr>
        <w:t>Increase transparency of incentive structure</w:t>
      </w:r>
    </w:p>
    <w:p>
      <w:pPr>
        <w:spacing w:after="0" w:line="541" w:lineRule="exact"/>
        <w:rPr>
          <w:sz w:val="20"/>
          <w:szCs w:val="20"/>
          <w:color w:val="auto"/>
        </w:rPr>
      </w:pPr>
    </w:p>
    <w:p>
      <w:pPr>
        <w:sectPr>
          <w:pgSz w:w="11900" w:h="16838" w:orient="portrait"/>
          <w:cols w:equalWidth="0" w:num="3">
            <w:col w:w="1620" w:space="230"/>
            <w:col w:w="5688" w:space="720"/>
            <w:col w:w="3003"/>
          </w:cols>
          <w:pgMar w:left="320" w:top="121" w:right="319" w:bottom="1440" w:gutter="0" w:footer="0" w:header="0"/>
          <w:type w:val="continuous"/>
        </w:sectPr>
      </w:pPr>
    </w:p>
    <w:p>
      <w:pPr>
        <w:ind w:left="40"/>
        <w:spacing w:after="0" w:line="264" w:lineRule="auto"/>
        <w:rPr>
          <w:sz w:val="20"/>
          <w:szCs w:val="20"/>
          <w:color w:val="auto"/>
        </w:rPr>
      </w:pPr>
      <w:r>
        <w:rPr>
          <w:rFonts w:ascii="Arial" w:cs="Arial" w:eastAsia="Arial" w:hAnsi="Arial"/>
          <w:sz w:val="16"/>
          <w:szCs w:val="16"/>
          <w:b w:val="1"/>
          <w:bCs w:val="1"/>
          <w:color w:val="auto"/>
        </w:rPr>
        <w:t>Enhance disclosure of strategic component of annual incentive award</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150" w:right="2577" w:hanging="150"/>
        <w:spacing w:after="0" w:line="253" w:lineRule="auto"/>
        <w:tabs>
          <w:tab w:leader="none" w:pos="150" w:val="left"/>
        </w:tabs>
        <w:numPr>
          <w:ilvl w:val="0"/>
          <w:numId w:val="76"/>
        </w:numPr>
        <w:rPr>
          <w:rFonts w:ascii="Arial" w:cs="Arial" w:eastAsia="Arial" w:hAnsi="Arial"/>
          <w:sz w:val="16"/>
          <w:szCs w:val="16"/>
          <w:color w:val="125288"/>
        </w:rPr>
      </w:pPr>
      <w:r>
        <w:rPr>
          <w:rFonts w:ascii="Arial" w:cs="Arial" w:eastAsia="Arial" w:hAnsi="Arial"/>
          <w:sz w:val="16"/>
          <w:szCs w:val="16"/>
          <w:color w:val="auto"/>
        </w:rPr>
        <w:t>Enhanced disclosure related to strategic objectives and performance for annual incentive awards, beginning for 2020— see “Corporate Annual Incentive Plan (CAIP) Bonuses”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-1176655</wp:posOffset>
            </wp:positionH>
            <wp:positionV relativeFrom="paragraph">
              <wp:posOffset>45720</wp:posOffset>
            </wp:positionV>
            <wp:extent cx="7148830" cy="152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163" w:right="320" w:hanging="163"/>
        <w:spacing w:after="0" w:line="269" w:lineRule="auto"/>
        <w:tabs>
          <w:tab w:leader="none" w:pos="163" w:val="left"/>
        </w:tabs>
        <w:numPr>
          <w:ilvl w:val="0"/>
          <w:numId w:val="77"/>
        </w:numPr>
        <w:rPr>
          <w:rFonts w:ascii="Arial" w:cs="Arial" w:eastAsia="Arial" w:hAnsi="Arial"/>
          <w:sz w:val="16"/>
          <w:szCs w:val="16"/>
          <w:color w:val="125288"/>
        </w:rPr>
      </w:pPr>
      <w:r>
        <w:rPr>
          <w:rFonts w:ascii="Arial" w:cs="Arial" w:eastAsia="Arial" w:hAnsi="Arial"/>
          <w:sz w:val="16"/>
          <w:szCs w:val="16"/>
          <w:color w:val="auto"/>
        </w:rPr>
        <w:t>Increase transparency of incentive structure and evaluation</w:t>
      </w:r>
    </w:p>
    <w:p>
      <w:pPr>
        <w:spacing w:after="0" w:line="708" w:lineRule="exact"/>
        <w:rPr>
          <w:sz w:val="20"/>
          <w:szCs w:val="20"/>
          <w:color w:val="auto"/>
        </w:rPr>
      </w:pPr>
    </w:p>
    <w:p>
      <w:pPr>
        <w:sectPr>
          <w:pgSz w:w="11900" w:h="16838" w:orient="portrait"/>
          <w:cols w:equalWidth="0" w:num="3">
            <w:col w:w="1720" w:space="130"/>
            <w:col w:w="5688" w:space="720"/>
            <w:col w:w="3003"/>
          </w:cols>
          <w:pgMar w:left="320" w:top="121" w:right="319" w:bottom="1440" w:gutter="0" w:footer="0" w:header="0"/>
          <w:type w:val="continuous"/>
        </w:sectPr>
      </w:pPr>
    </w:p>
    <w:p>
      <w:pPr>
        <w:ind w:left="40"/>
        <w:spacing w:after="0" w:line="243" w:lineRule="auto"/>
        <w:rPr>
          <w:sz w:val="20"/>
          <w:szCs w:val="20"/>
          <w:color w:val="auto"/>
        </w:rPr>
      </w:pPr>
      <w:r>
        <w:rPr>
          <w:rFonts w:ascii="Arial" w:cs="Arial" w:eastAsia="Arial" w:hAnsi="Arial"/>
          <w:sz w:val="17"/>
          <w:szCs w:val="17"/>
          <w:b w:val="1"/>
          <w:bCs w:val="1"/>
          <w:color w:val="auto"/>
        </w:rPr>
        <w:t>Provide additional disclosure regarding peer group composition</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150" w:right="2957" w:hanging="150"/>
        <w:spacing w:after="0" w:line="236" w:lineRule="auto"/>
        <w:tabs>
          <w:tab w:leader="none" w:pos="150" w:val="left"/>
        </w:tabs>
        <w:numPr>
          <w:ilvl w:val="0"/>
          <w:numId w:val="78"/>
        </w:numPr>
        <w:rPr>
          <w:rFonts w:ascii="Arial" w:cs="Arial" w:eastAsia="Arial" w:hAnsi="Arial"/>
          <w:sz w:val="17"/>
          <w:szCs w:val="17"/>
          <w:color w:val="125288"/>
        </w:rPr>
      </w:pPr>
      <w:r>
        <w:rPr>
          <w:rFonts w:ascii="Arial" w:cs="Arial" w:eastAsia="Arial" w:hAnsi="Arial"/>
          <w:sz w:val="17"/>
          <w:szCs w:val="17"/>
          <w:color w:val="auto"/>
        </w:rPr>
        <w:t>Enhanced disclosure of peer group analysis process—see “Decision-Making Approach to Executive Compensation”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-1176655</wp:posOffset>
            </wp:positionH>
            <wp:positionV relativeFrom="paragraph">
              <wp:posOffset>52705</wp:posOffset>
            </wp:positionV>
            <wp:extent cx="7148830" cy="152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163" w:right="60" w:hanging="163"/>
        <w:spacing w:after="0" w:line="269" w:lineRule="auto"/>
        <w:tabs>
          <w:tab w:leader="none" w:pos="163" w:val="left"/>
        </w:tabs>
        <w:numPr>
          <w:ilvl w:val="0"/>
          <w:numId w:val="79"/>
        </w:numPr>
        <w:rPr>
          <w:rFonts w:ascii="Arial" w:cs="Arial" w:eastAsia="Arial" w:hAnsi="Arial"/>
          <w:sz w:val="16"/>
          <w:szCs w:val="16"/>
          <w:color w:val="125288"/>
        </w:rPr>
      </w:pPr>
      <w:r>
        <w:rPr>
          <w:rFonts w:ascii="Arial" w:cs="Arial" w:eastAsia="Arial" w:hAnsi="Arial"/>
          <w:sz w:val="16"/>
          <w:szCs w:val="16"/>
          <w:color w:val="auto"/>
        </w:rPr>
        <w:t>Provide context to explain why the peer group we selected is appropriate</w:t>
      </w:r>
    </w:p>
    <w:p>
      <w:pPr>
        <w:spacing w:after="0" w:line="556" w:lineRule="exact"/>
        <w:rPr>
          <w:sz w:val="20"/>
          <w:szCs w:val="20"/>
          <w:color w:val="auto"/>
        </w:rPr>
      </w:pPr>
    </w:p>
    <w:p>
      <w:pPr>
        <w:sectPr>
          <w:pgSz w:w="11900" w:h="16838" w:orient="portrait"/>
          <w:cols w:equalWidth="0" w:num="3">
            <w:col w:w="1680" w:space="170"/>
            <w:col w:w="5688" w:space="720"/>
            <w:col w:w="3003"/>
          </w:cols>
          <w:pgMar w:left="320" w:top="121" w:right="319" w:bottom="1440" w:gutter="0" w:footer="0" w:header="0"/>
          <w:type w:val="continuous"/>
        </w:sectPr>
      </w:pPr>
    </w:p>
    <w:p>
      <w:pPr>
        <w:spacing w:after="0" w:line="176"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64" w:name="page65"/>
    <w:bookmarkEnd w:id="64"/>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ADDITIONAL DETAIL ABOUT THE CEO’S EMPLOYMENT AGREEMENT</w:t>
      </w:r>
    </w:p>
    <w:p>
      <w:pPr>
        <w:spacing w:after="0" w:line="309" w:lineRule="exact"/>
        <w:rPr>
          <w:sz w:val="20"/>
          <w:szCs w:val="20"/>
          <w:color w:val="auto"/>
        </w:rPr>
      </w:pPr>
    </w:p>
    <w:p>
      <w:pPr>
        <w:jc w:val="both"/>
        <w:spacing w:after="0"/>
        <w:rPr>
          <w:sz w:val="20"/>
          <w:szCs w:val="20"/>
          <w:color w:val="auto"/>
        </w:rPr>
      </w:pPr>
      <w:r>
        <w:rPr>
          <w:rFonts w:ascii="Arial" w:cs="Arial" w:eastAsia="Arial" w:hAnsi="Arial"/>
          <w:sz w:val="19"/>
          <w:szCs w:val="19"/>
          <w:color w:val="auto"/>
        </w:rPr>
        <w:t>The Compensation Committee believes that awards to Mr. Kotick under his employment agreement directly reflect the significant value he delivered to shareholders over the past five years. However, shareholders have, over time, expressed some concerns about elements of Mr. Kotick’s employment agreement and the amount of compensation he may earn.</w:t>
      </w:r>
    </w:p>
    <w:p>
      <w:pPr>
        <w:spacing w:after="0" w:line="129"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While the term of the 2016 Kotick Employment Agreement (as defined below) was scheduled to expire in December 2021, the Compensation Committee took steps in April 2021 to specifically address shareholder feedback in both amending the agreement and extending it through March 31, 2023. The table below provides a snapshot of the 2016 Kotick Employment Agreement and the 2021 Kotick Employment Agreement Amendment (as defined below), highlighting the significant changes made in response to shareholder feedback received over the past two years. The Kotick Employment Agreement is discussed in further detail under “—Employment Agreements—Robert Kotick,” which begins on page 101 of this proxy statement.</w:t>
      </w:r>
    </w:p>
    <w:p>
      <w:pPr>
        <w:spacing w:after="0" w:line="132"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In October 2021, Mr. Kotick asked that his total compensation be reduced to the lowest amount permitted to be paid to exempt employees under California law until the Workplace Responsibility Committee concludes the Company has made appropriate progress toward the achievement of the Transformational Goals. If and when the Workplace Responsibility Committee determines that the Company has made such progress, the Compensation Committee may increase Mr. Kotick’s compensation to the levels provided in the Kotick Employment Agreement (as defined below). For further information on the Transformational Goals, see “Corporate Governance Matters—Workplace and Culture—Transformational Gender-Related Goals and Other Commitments,” which begins on page 42 of this proxy statement. Although Mr. Kotick has voluntarily reduced his total compensation, the Kotick Employment Agreement remains in full force and effect.</w:t>
      </w:r>
    </w:p>
    <w:p>
      <w:pPr>
        <w:spacing w:after="0" w:line="125"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49"/>
        </w:trPr>
        <w:tc>
          <w:tcPr>
            <w:tcW w:w="1380" w:type="dxa"/>
            <w:vAlign w:val="bottom"/>
            <w:gridSpan w:val="2"/>
          </w:tcPr>
          <w:p>
            <w:pPr>
              <w:spacing w:after="0"/>
              <w:rPr>
                <w:rFonts w:ascii="Arial" w:cs="Arial" w:eastAsia="Arial" w:hAnsi="Arial"/>
                <w:sz w:val="13"/>
                <w:szCs w:val="13"/>
                <w:color w:val="000FFF"/>
              </w:rPr>
            </w:pPr>
            <w:hyperlink w:anchor="page7">
              <w:r>
                <w:rPr>
                  <w:rFonts w:ascii="Arial" w:cs="Arial" w:eastAsia="Arial" w:hAnsi="Arial"/>
                  <w:sz w:val="13"/>
                  <w:szCs w:val="13"/>
                  <w:color w:val="000FFF"/>
                </w:rPr>
                <w:t>Back to Contents</w:t>
              </w:r>
            </w:hyperlink>
          </w:p>
        </w:tc>
        <w:tc>
          <w:tcPr>
            <w:tcW w:w="2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20" w:type="dxa"/>
            <w:vAlign w:val="bottom"/>
          </w:tcPr>
          <w:p>
            <w:pPr>
              <w:spacing w:after="0"/>
              <w:rPr>
                <w:sz w:val="13"/>
                <w:szCs w:val="13"/>
                <w:color w:val="auto"/>
              </w:rPr>
            </w:pPr>
          </w:p>
        </w:tc>
      </w:tr>
      <w:tr>
        <w:trPr>
          <w:trHeight w:val="624"/>
        </w:trPr>
        <w:tc>
          <w:tcPr>
            <w:tcW w:w="960" w:type="dxa"/>
            <w:vAlign w:val="bottom"/>
            <w:tcBorders>
              <w:top w:val="single" w:sz="8" w:color="000FFF"/>
            </w:tcBorders>
          </w:tcPr>
          <w:p>
            <w:pPr>
              <w:spacing w:after="0"/>
              <w:rPr>
                <w:sz w:val="24"/>
                <w:szCs w:val="24"/>
                <w:color w:val="auto"/>
              </w:rPr>
            </w:pPr>
          </w:p>
        </w:tc>
        <w:tc>
          <w:tcPr>
            <w:tcW w:w="420" w:type="dxa"/>
            <w:vAlign w:val="bottom"/>
          </w:tcPr>
          <w:p>
            <w:pPr>
              <w:spacing w:after="0"/>
              <w:rPr>
                <w:sz w:val="24"/>
                <w:szCs w:val="24"/>
                <w:color w:val="auto"/>
              </w:rPr>
            </w:pPr>
          </w:p>
        </w:tc>
        <w:tc>
          <w:tcPr>
            <w:tcW w:w="2880" w:type="dxa"/>
            <w:vAlign w:val="bottom"/>
          </w:tcPr>
          <w:p>
            <w:pPr>
              <w:ind w:left="140"/>
              <w:spacing w:after="0"/>
              <w:rPr>
                <w:sz w:val="20"/>
                <w:szCs w:val="20"/>
                <w:color w:val="auto"/>
              </w:rPr>
            </w:pPr>
            <w:r>
              <w:rPr>
                <w:rFonts w:ascii="Arial" w:cs="Arial" w:eastAsia="Arial" w:hAnsi="Arial"/>
                <w:sz w:val="13"/>
                <w:szCs w:val="13"/>
                <w:b w:val="1"/>
                <w:bCs w:val="1"/>
                <w:color w:val="125288"/>
              </w:rPr>
              <w:t>2016-2021 Employment Agreement</w:t>
            </w:r>
          </w:p>
        </w:tc>
        <w:tc>
          <w:tcPr>
            <w:tcW w:w="3540" w:type="dxa"/>
            <w:vAlign w:val="bottom"/>
            <w:gridSpan w:val="2"/>
          </w:tcPr>
          <w:p>
            <w:pPr>
              <w:ind w:left="280"/>
              <w:spacing w:after="0"/>
              <w:rPr>
                <w:sz w:val="20"/>
                <w:szCs w:val="20"/>
                <w:color w:val="auto"/>
              </w:rPr>
            </w:pPr>
            <w:r>
              <w:rPr>
                <w:rFonts w:ascii="Arial" w:cs="Arial" w:eastAsia="Arial" w:hAnsi="Arial"/>
                <w:sz w:val="13"/>
                <w:szCs w:val="13"/>
                <w:b w:val="1"/>
                <w:bCs w:val="1"/>
                <w:color w:val="125288"/>
              </w:rPr>
              <w:t>2021-2023 Agreement Extension</w:t>
            </w:r>
          </w:p>
        </w:tc>
        <w:tc>
          <w:tcPr>
            <w:tcW w:w="3460" w:type="dxa"/>
            <w:vAlign w:val="bottom"/>
            <w:gridSpan w:val="2"/>
          </w:tcPr>
          <w:p>
            <w:pPr>
              <w:ind w:left="120"/>
              <w:spacing w:after="0"/>
              <w:rPr>
                <w:sz w:val="20"/>
                <w:szCs w:val="20"/>
                <w:color w:val="auto"/>
              </w:rPr>
            </w:pPr>
            <w:r>
              <w:rPr>
                <w:rFonts w:ascii="Arial" w:cs="Arial" w:eastAsia="Arial" w:hAnsi="Arial"/>
                <w:sz w:val="13"/>
                <w:szCs w:val="13"/>
                <w:b w:val="1"/>
                <w:bCs w:val="1"/>
                <w:color w:val="125288"/>
              </w:rPr>
              <w:t>Additional Changes (i.e., changes after</w:t>
            </w:r>
          </w:p>
        </w:tc>
      </w:tr>
      <w:tr>
        <w:trPr>
          <w:trHeight w:val="178"/>
        </w:trPr>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80" w:type="dxa"/>
            <w:vAlign w:val="bottom"/>
          </w:tcPr>
          <w:p>
            <w:pPr>
              <w:ind w:left="140"/>
              <w:spacing w:after="0"/>
              <w:rPr>
                <w:sz w:val="20"/>
                <w:szCs w:val="20"/>
                <w:color w:val="auto"/>
              </w:rPr>
            </w:pPr>
            <w:r>
              <w:rPr>
                <w:rFonts w:ascii="Arial" w:cs="Arial" w:eastAsia="Arial" w:hAnsi="Arial"/>
                <w:sz w:val="13"/>
                <w:szCs w:val="13"/>
                <w:b w:val="1"/>
                <w:bCs w:val="1"/>
                <w:color w:val="125288"/>
              </w:rPr>
              <w:t>(the 2016 Kotick Employment</w:t>
            </w:r>
          </w:p>
        </w:tc>
        <w:tc>
          <w:tcPr>
            <w:tcW w:w="3540" w:type="dxa"/>
            <w:vAlign w:val="bottom"/>
            <w:gridSpan w:val="2"/>
          </w:tcPr>
          <w:p>
            <w:pPr>
              <w:ind w:left="280"/>
              <w:spacing w:after="0"/>
              <w:rPr>
                <w:sz w:val="20"/>
                <w:szCs w:val="20"/>
                <w:color w:val="auto"/>
              </w:rPr>
            </w:pPr>
            <w:r>
              <w:rPr>
                <w:rFonts w:ascii="Arial" w:cs="Arial" w:eastAsia="Arial" w:hAnsi="Arial"/>
                <w:sz w:val="13"/>
                <w:szCs w:val="13"/>
                <w:b w:val="1"/>
                <w:bCs w:val="1"/>
                <w:color w:val="125288"/>
              </w:rPr>
              <w:t>(the 2021 Kotick Employment Agreement</w:t>
            </w:r>
          </w:p>
        </w:tc>
        <w:tc>
          <w:tcPr>
            <w:tcW w:w="3460" w:type="dxa"/>
            <w:vAlign w:val="bottom"/>
            <w:gridSpan w:val="2"/>
          </w:tcPr>
          <w:p>
            <w:pPr>
              <w:ind w:left="120"/>
              <w:spacing w:after="0"/>
              <w:rPr>
                <w:sz w:val="20"/>
                <w:szCs w:val="20"/>
                <w:color w:val="auto"/>
              </w:rPr>
            </w:pPr>
            <w:r>
              <w:rPr>
                <w:rFonts w:ascii="Arial" w:cs="Arial" w:eastAsia="Arial" w:hAnsi="Arial"/>
                <w:sz w:val="13"/>
                <w:szCs w:val="13"/>
                <w:b w:val="1"/>
                <w:bCs w:val="1"/>
                <w:color w:val="125288"/>
              </w:rPr>
              <w:t>the 2021 Kotick Employment</w:t>
            </w:r>
          </w:p>
        </w:tc>
      </w:tr>
      <w:tr>
        <w:trPr>
          <w:trHeight w:val="178"/>
        </w:trPr>
        <w:tc>
          <w:tcPr>
            <w:tcW w:w="1380" w:type="dxa"/>
            <w:vAlign w:val="bottom"/>
            <w:gridSpan w:val="2"/>
          </w:tcPr>
          <w:p>
            <w:pPr>
              <w:ind w:left="40"/>
              <w:spacing w:after="0"/>
              <w:rPr>
                <w:sz w:val="20"/>
                <w:szCs w:val="20"/>
                <w:color w:val="auto"/>
              </w:rPr>
            </w:pPr>
            <w:r>
              <w:rPr>
                <w:rFonts w:ascii="Arial" w:cs="Arial" w:eastAsia="Arial" w:hAnsi="Arial"/>
                <w:sz w:val="13"/>
                <w:szCs w:val="13"/>
                <w:b w:val="1"/>
                <w:bCs w:val="1"/>
                <w:color w:val="125288"/>
              </w:rPr>
              <w:t>Pay Element</w:t>
            </w:r>
          </w:p>
        </w:tc>
        <w:tc>
          <w:tcPr>
            <w:tcW w:w="2880" w:type="dxa"/>
            <w:vAlign w:val="bottom"/>
          </w:tcPr>
          <w:p>
            <w:pPr>
              <w:ind w:left="140"/>
              <w:spacing w:after="0"/>
              <w:rPr>
                <w:sz w:val="20"/>
                <w:szCs w:val="20"/>
                <w:color w:val="auto"/>
              </w:rPr>
            </w:pPr>
            <w:r>
              <w:rPr>
                <w:rFonts w:ascii="Arial" w:cs="Arial" w:eastAsia="Arial" w:hAnsi="Arial"/>
                <w:sz w:val="13"/>
                <w:szCs w:val="13"/>
                <w:b w:val="1"/>
                <w:bCs w:val="1"/>
                <w:color w:val="125288"/>
              </w:rPr>
              <w:t>Agreement)</w:t>
            </w:r>
          </w:p>
        </w:tc>
        <w:tc>
          <w:tcPr>
            <w:tcW w:w="3540" w:type="dxa"/>
            <w:vAlign w:val="bottom"/>
            <w:gridSpan w:val="2"/>
          </w:tcPr>
          <w:p>
            <w:pPr>
              <w:ind w:left="280"/>
              <w:spacing w:after="0"/>
              <w:rPr>
                <w:sz w:val="20"/>
                <w:szCs w:val="20"/>
                <w:color w:val="auto"/>
              </w:rPr>
            </w:pPr>
            <w:r>
              <w:rPr>
                <w:rFonts w:ascii="Arial" w:cs="Arial" w:eastAsia="Arial" w:hAnsi="Arial"/>
                <w:sz w:val="13"/>
                <w:szCs w:val="13"/>
                <w:b w:val="1"/>
                <w:bCs w:val="1"/>
                <w:color w:val="125288"/>
              </w:rPr>
              <w:t>Amendment)</w:t>
            </w:r>
          </w:p>
        </w:tc>
        <w:tc>
          <w:tcPr>
            <w:tcW w:w="3460" w:type="dxa"/>
            <w:vAlign w:val="bottom"/>
            <w:gridSpan w:val="2"/>
          </w:tcPr>
          <w:p>
            <w:pPr>
              <w:ind w:left="120"/>
              <w:spacing w:after="0"/>
              <w:rPr>
                <w:sz w:val="20"/>
                <w:szCs w:val="20"/>
                <w:color w:val="auto"/>
              </w:rPr>
            </w:pPr>
            <w:r>
              <w:rPr>
                <w:rFonts w:ascii="Arial" w:cs="Arial" w:eastAsia="Arial" w:hAnsi="Arial"/>
                <w:sz w:val="13"/>
                <w:szCs w:val="13"/>
                <w:b w:val="1"/>
                <w:bCs w:val="1"/>
                <w:color w:val="125288"/>
              </w:rPr>
              <w:t>Agreement Amendment)</w:t>
            </w:r>
          </w:p>
        </w:tc>
      </w:tr>
      <w:tr>
        <w:trPr>
          <w:trHeight w:val="37"/>
        </w:trPr>
        <w:tc>
          <w:tcPr>
            <w:tcW w:w="960" w:type="dxa"/>
            <w:vAlign w:val="bottom"/>
            <w:tcBorders>
              <w:bottom w:val="single" w:sz="8" w:color="125288"/>
            </w:tcBorders>
          </w:tcPr>
          <w:p>
            <w:pPr>
              <w:spacing w:after="0"/>
              <w:rPr>
                <w:sz w:val="3"/>
                <w:szCs w:val="3"/>
                <w:color w:val="auto"/>
              </w:rPr>
            </w:pPr>
          </w:p>
        </w:tc>
        <w:tc>
          <w:tcPr>
            <w:tcW w:w="420" w:type="dxa"/>
            <w:vAlign w:val="bottom"/>
            <w:tcBorders>
              <w:bottom w:val="single" w:sz="8" w:color="125288"/>
            </w:tcBorders>
          </w:tcPr>
          <w:p>
            <w:pPr>
              <w:spacing w:after="0"/>
              <w:rPr>
                <w:sz w:val="3"/>
                <w:szCs w:val="3"/>
                <w:color w:val="auto"/>
              </w:rPr>
            </w:pPr>
          </w:p>
        </w:tc>
        <w:tc>
          <w:tcPr>
            <w:tcW w:w="2880" w:type="dxa"/>
            <w:vAlign w:val="bottom"/>
            <w:tcBorders>
              <w:bottom w:val="single" w:sz="8" w:color="125288"/>
            </w:tcBorders>
          </w:tcPr>
          <w:p>
            <w:pPr>
              <w:spacing w:after="0"/>
              <w:rPr>
                <w:sz w:val="3"/>
                <w:szCs w:val="3"/>
                <w:color w:val="auto"/>
              </w:rPr>
            </w:pPr>
          </w:p>
        </w:tc>
        <w:tc>
          <w:tcPr>
            <w:tcW w:w="400" w:type="dxa"/>
            <w:vAlign w:val="bottom"/>
            <w:tcBorders>
              <w:bottom w:val="single" w:sz="8" w:color="125288"/>
            </w:tcBorders>
          </w:tcPr>
          <w:p>
            <w:pPr>
              <w:spacing w:after="0"/>
              <w:rPr>
                <w:sz w:val="3"/>
                <w:szCs w:val="3"/>
                <w:color w:val="auto"/>
              </w:rPr>
            </w:pPr>
          </w:p>
        </w:tc>
        <w:tc>
          <w:tcPr>
            <w:tcW w:w="3140" w:type="dxa"/>
            <w:vAlign w:val="bottom"/>
            <w:tcBorders>
              <w:bottom w:val="single" w:sz="8" w:color="125288"/>
            </w:tcBorders>
          </w:tcPr>
          <w:p>
            <w:pPr>
              <w:spacing w:after="0"/>
              <w:rPr>
                <w:sz w:val="3"/>
                <w:szCs w:val="3"/>
                <w:color w:val="auto"/>
              </w:rPr>
            </w:pPr>
          </w:p>
        </w:tc>
        <w:tc>
          <w:tcPr>
            <w:tcW w:w="240" w:type="dxa"/>
            <w:vAlign w:val="bottom"/>
            <w:tcBorders>
              <w:bottom w:val="single" w:sz="8" w:color="125288"/>
            </w:tcBorders>
          </w:tcPr>
          <w:p>
            <w:pPr>
              <w:spacing w:after="0"/>
              <w:rPr>
                <w:sz w:val="3"/>
                <w:szCs w:val="3"/>
                <w:color w:val="auto"/>
              </w:rPr>
            </w:pPr>
          </w:p>
        </w:tc>
        <w:tc>
          <w:tcPr>
            <w:tcW w:w="3220" w:type="dxa"/>
            <w:vAlign w:val="bottom"/>
            <w:tcBorders>
              <w:bottom w:val="single" w:sz="8" w:color="125288"/>
            </w:tcBorders>
          </w:tcPr>
          <w:p>
            <w:pPr>
              <w:spacing w:after="0"/>
              <w:rPr>
                <w:sz w:val="3"/>
                <w:szCs w:val="3"/>
                <w:color w:val="auto"/>
              </w:rPr>
            </w:pPr>
          </w:p>
        </w:tc>
      </w:tr>
      <w:tr>
        <w:trPr>
          <w:trHeight w:val="276"/>
        </w:trPr>
        <w:tc>
          <w:tcPr>
            <w:tcW w:w="1380" w:type="dxa"/>
            <w:vAlign w:val="bottom"/>
            <w:gridSpan w:val="2"/>
          </w:tcPr>
          <w:p>
            <w:pPr>
              <w:ind w:left="40"/>
              <w:spacing w:after="0"/>
              <w:rPr>
                <w:sz w:val="20"/>
                <w:szCs w:val="20"/>
                <w:color w:val="auto"/>
              </w:rPr>
            </w:pPr>
            <w:r>
              <w:rPr>
                <w:rFonts w:ascii="Arial" w:cs="Arial" w:eastAsia="Arial" w:hAnsi="Arial"/>
                <w:sz w:val="17"/>
                <w:szCs w:val="17"/>
                <w:b w:val="1"/>
                <w:bCs w:val="1"/>
                <w:color w:val="125288"/>
              </w:rPr>
              <w:t>BASE SALARY</w:t>
            </w:r>
          </w:p>
        </w:tc>
        <w:tc>
          <w:tcPr>
            <w:tcW w:w="2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20" w:type="dxa"/>
            <w:vAlign w:val="bottom"/>
          </w:tcPr>
          <w:p>
            <w:pPr>
              <w:spacing w:after="0"/>
              <w:rPr>
                <w:sz w:val="23"/>
                <w:szCs w:val="23"/>
                <w:color w:val="auto"/>
              </w:rPr>
            </w:pPr>
          </w:p>
        </w:tc>
      </w:tr>
      <w:tr>
        <w:trPr>
          <w:trHeight w:val="85"/>
        </w:trPr>
        <w:tc>
          <w:tcPr>
            <w:tcW w:w="960" w:type="dxa"/>
            <w:vAlign w:val="bottom"/>
            <w:tcBorders>
              <w:bottom w:val="single" w:sz="8" w:color="125288"/>
            </w:tcBorders>
          </w:tcPr>
          <w:p>
            <w:pPr>
              <w:spacing w:after="0"/>
              <w:rPr>
                <w:sz w:val="7"/>
                <w:szCs w:val="7"/>
                <w:color w:val="auto"/>
              </w:rPr>
            </w:pPr>
          </w:p>
        </w:tc>
        <w:tc>
          <w:tcPr>
            <w:tcW w:w="420" w:type="dxa"/>
            <w:vAlign w:val="bottom"/>
            <w:tcBorders>
              <w:bottom w:val="single" w:sz="8" w:color="125288"/>
            </w:tcBorders>
          </w:tcPr>
          <w:p>
            <w:pPr>
              <w:spacing w:after="0"/>
              <w:rPr>
                <w:sz w:val="7"/>
                <w:szCs w:val="7"/>
                <w:color w:val="auto"/>
              </w:rPr>
            </w:pPr>
          </w:p>
        </w:tc>
        <w:tc>
          <w:tcPr>
            <w:tcW w:w="2880" w:type="dxa"/>
            <w:vAlign w:val="bottom"/>
            <w:tcBorders>
              <w:bottom w:val="single" w:sz="8" w:color="125288"/>
            </w:tcBorders>
          </w:tcPr>
          <w:p>
            <w:pPr>
              <w:spacing w:after="0"/>
              <w:rPr>
                <w:sz w:val="7"/>
                <w:szCs w:val="7"/>
                <w:color w:val="auto"/>
              </w:rPr>
            </w:pPr>
          </w:p>
        </w:tc>
        <w:tc>
          <w:tcPr>
            <w:tcW w:w="400" w:type="dxa"/>
            <w:vAlign w:val="bottom"/>
            <w:tcBorders>
              <w:bottom w:val="single" w:sz="8" w:color="125288"/>
            </w:tcBorders>
          </w:tcPr>
          <w:p>
            <w:pPr>
              <w:spacing w:after="0"/>
              <w:rPr>
                <w:sz w:val="7"/>
                <w:szCs w:val="7"/>
                <w:color w:val="auto"/>
              </w:rPr>
            </w:pPr>
          </w:p>
        </w:tc>
        <w:tc>
          <w:tcPr>
            <w:tcW w:w="3140" w:type="dxa"/>
            <w:vAlign w:val="bottom"/>
            <w:tcBorders>
              <w:bottom w:val="single" w:sz="8" w:color="125288"/>
            </w:tcBorders>
          </w:tcPr>
          <w:p>
            <w:pPr>
              <w:spacing w:after="0"/>
              <w:rPr>
                <w:sz w:val="7"/>
                <w:szCs w:val="7"/>
                <w:color w:val="auto"/>
              </w:rPr>
            </w:pPr>
          </w:p>
        </w:tc>
        <w:tc>
          <w:tcPr>
            <w:tcW w:w="240" w:type="dxa"/>
            <w:vAlign w:val="bottom"/>
            <w:tcBorders>
              <w:bottom w:val="single" w:sz="8" w:color="125288"/>
            </w:tcBorders>
          </w:tcPr>
          <w:p>
            <w:pPr>
              <w:spacing w:after="0"/>
              <w:rPr>
                <w:sz w:val="7"/>
                <w:szCs w:val="7"/>
                <w:color w:val="auto"/>
              </w:rPr>
            </w:pPr>
          </w:p>
        </w:tc>
        <w:tc>
          <w:tcPr>
            <w:tcW w:w="3220" w:type="dxa"/>
            <w:vAlign w:val="bottom"/>
            <w:tcBorders>
              <w:bottom w:val="single" w:sz="8" w:color="125288"/>
            </w:tcBorders>
          </w:tcPr>
          <w:p>
            <w:pPr>
              <w:spacing w:after="0"/>
              <w:rPr>
                <w:sz w:val="7"/>
                <w:szCs w:val="7"/>
                <w:color w:val="auto"/>
              </w:rPr>
            </w:pPr>
          </w:p>
        </w:tc>
      </w:tr>
      <w:tr>
        <w:trPr>
          <w:trHeight w:val="285"/>
        </w:trPr>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80" w:type="dxa"/>
            <w:vAlign w:val="bottom"/>
          </w:tcPr>
          <w:p>
            <w:pPr>
              <w:ind w:left="140"/>
              <w:spacing w:after="0"/>
              <w:rPr>
                <w:sz w:val="20"/>
                <w:szCs w:val="20"/>
                <w:color w:val="auto"/>
              </w:rPr>
            </w:pPr>
            <w:r>
              <w:rPr>
                <w:rFonts w:ascii="Arial" w:cs="Arial" w:eastAsia="Arial" w:hAnsi="Arial"/>
                <w:sz w:val="17"/>
                <w:szCs w:val="17"/>
                <w:color w:val="125288"/>
              </w:rPr>
              <w:t xml:space="preserve">• </w:t>
            </w:r>
            <w:r>
              <w:rPr>
                <w:rFonts w:ascii="Arial" w:cs="Arial" w:eastAsia="Arial" w:hAnsi="Arial"/>
                <w:sz w:val="17"/>
                <w:szCs w:val="17"/>
                <w:color w:val="000000"/>
              </w:rPr>
              <w:t>$1,750,000 per year</w:t>
            </w:r>
          </w:p>
        </w:tc>
        <w:tc>
          <w:tcPr>
            <w:tcW w:w="400" w:type="dxa"/>
            <w:vAlign w:val="bottom"/>
          </w:tcPr>
          <w:p>
            <w:pPr>
              <w:ind w:left="280"/>
              <w:spacing w:after="0"/>
              <w:rPr>
                <w:sz w:val="20"/>
                <w:szCs w:val="20"/>
                <w:color w:val="auto"/>
              </w:rPr>
            </w:pPr>
            <w:r>
              <w:rPr>
                <w:rFonts w:ascii="Arial" w:cs="Arial" w:eastAsia="Arial" w:hAnsi="Arial"/>
                <w:sz w:val="17"/>
                <w:szCs w:val="17"/>
                <w:color w:val="125288"/>
              </w:rPr>
              <w:t>•</w:t>
            </w:r>
          </w:p>
        </w:tc>
        <w:tc>
          <w:tcPr>
            <w:tcW w:w="3140" w:type="dxa"/>
            <w:vAlign w:val="bottom"/>
          </w:tcPr>
          <w:p>
            <w:pPr>
              <w:ind w:left="40"/>
              <w:spacing w:after="0" w:line="285" w:lineRule="exact"/>
              <w:rPr>
                <w:sz w:val="20"/>
                <w:szCs w:val="20"/>
                <w:color w:val="auto"/>
              </w:rPr>
            </w:pPr>
            <w:r>
              <w:rPr>
                <w:rFonts w:ascii="Arial" w:cs="Arial" w:eastAsia="Arial" w:hAnsi="Arial"/>
                <w:sz w:val="17"/>
                <w:szCs w:val="17"/>
                <w:color w:val="auto"/>
                <w:w w:val="99"/>
              </w:rPr>
              <w:t>Reduced base salary of $875,000 (&lt;25</w:t>
            </w:r>
            <w:r>
              <w:rPr>
                <w:rFonts w:ascii="Arial" w:cs="Arial" w:eastAsia="Arial" w:hAnsi="Arial"/>
                <w:sz w:val="27"/>
                <w:szCs w:val="27"/>
                <w:color w:val="auto"/>
                <w:w w:val="99"/>
                <w:vertAlign w:val="superscript"/>
              </w:rPr>
              <w:t>th</w:t>
            </w:r>
          </w:p>
        </w:tc>
        <w:tc>
          <w:tcPr>
            <w:tcW w:w="240" w:type="dxa"/>
            <w:vAlign w:val="bottom"/>
          </w:tcPr>
          <w:p>
            <w:pPr>
              <w:ind w:left="120"/>
              <w:spacing w:after="0"/>
              <w:rPr>
                <w:sz w:val="20"/>
                <w:szCs w:val="20"/>
                <w:color w:val="auto"/>
              </w:rPr>
            </w:pPr>
            <w:r>
              <w:rPr>
                <w:rFonts w:ascii="Arial" w:cs="Arial" w:eastAsia="Arial" w:hAnsi="Arial"/>
                <w:sz w:val="17"/>
                <w:szCs w:val="17"/>
                <w:color w:val="125288"/>
              </w:rPr>
              <w:t>•</w:t>
            </w:r>
          </w:p>
        </w:tc>
        <w:tc>
          <w:tcPr>
            <w:tcW w:w="3220" w:type="dxa"/>
            <w:vAlign w:val="bottom"/>
          </w:tcPr>
          <w:p>
            <w:pPr>
              <w:ind w:left="40"/>
              <w:spacing w:after="0"/>
              <w:rPr>
                <w:sz w:val="20"/>
                <w:szCs w:val="20"/>
                <w:color w:val="auto"/>
              </w:rPr>
            </w:pPr>
            <w:r>
              <w:rPr>
                <w:rFonts w:ascii="Arial" w:cs="Arial" w:eastAsia="Arial" w:hAnsi="Arial"/>
                <w:sz w:val="17"/>
                <w:szCs w:val="17"/>
                <w:b w:val="1"/>
                <w:bCs w:val="1"/>
                <w:color w:val="auto"/>
                <w:w w:val="98"/>
              </w:rPr>
              <w:t>At request of CEO, reduced base salary</w:t>
            </w:r>
          </w:p>
        </w:tc>
      </w:tr>
      <w:tr>
        <w:trPr>
          <w:trHeight w:val="190"/>
        </w:trPr>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40" w:type="dxa"/>
            <w:vAlign w:val="bottom"/>
          </w:tcPr>
          <w:p>
            <w:pPr>
              <w:ind w:left="40"/>
              <w:spacing w:after="0" w:line="190" w:lineRule="exact"/>
              <w:rPr>
                <w:sz w:val="20"/>
                <w:szCs w:val="20"/>
                <w:color w:val="auto"/>
              </w:rPr>
            </w:pPr>
            <w:r>
              <w:rPr>
                <w:rFonts w:ascii="Arial" w:cs="Arial" w:eastAsia="Arial" w:hAnsi="Arial"/>
                <w:sz w:val="17"/>
                <w:szCs w:val="17"/>
                <w:color w:val="auto"/>
              </w:rPr>
              <w:t>percentile of peer CEOs)</w:t>
            </w:r>
          </w:p>
        </w:tc>
        <w:tc>
          <w:tcPr>
            <w:tcW w:w="240" w:type="dxa"/>
            <w:vAlign w:val="bottom"/>
          </w:tcPr>
          <w:p>
            <w:pPr>
              <w:spacing w:after="0"/>
              <w:rPr>
                <w:sz w:val="16"/>
                <w:szCs w:val="16"/>
                <w:color w:val="auto"/>
              </w:rPr>
            </w:pPr>
          </w:p>
        </w:tc>
        <w:tc>
          <w:tcPr>
            <w:tcW w:w="3220" w:type="dxa"/>
            <w:vAlign w:val="bottom"/>
          </w:tcPr>
          <w:p>
            <w:pPr>
              <w:ind w:left="40"/>
              <w:spacing w:after="0" w:line="190" w:lineRule="exact"/>
              <w:rPr>
                <w:sz w:val="20"/>
                <w:szCs w:val="20"/>
                <w:color w:val="auto"/>
              </w:rPr>
            </w:pPr>
            <w:r>
              <w:rPr>
                <w:rFonts w:ascii="Arial" w:cs="Arial" w:eastAsia="Arial" w:hAnsi="Arial"/>
                <w:sz w:val="17"/>
                <w:szCs w:val="17"/>
                <w:b w:val="1"/>
                <w:bCs w:val="1"/>
                <w:color w:val="auto"/>
              </w:rPr>
              <w:t>of $62,500 (~ lowest amount permitted</w:t>
            </w:r>
          </w:p>
        </w:tc>
      </w:tr>
      <w:tr>
        <w:trPr>
          <w:trHeight w:val="174"/>
        </w:trPr>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20" w:type="dxa"/>
            <w:vAlign w:val="bottom"/>
          </w:tcPr>
          <w:p>
            <w:pPr>
              <w:ind w:left="40"/>
              <w:spacing w:after="0" w:line="174" w:lineRule="exact"/>
              <w:rPr>
                <w:sz w:val="20"/>
                <w:szCs w:val="20"/>
                <w:color w:val="auto"/>
              </w:rPr>
            </w:pPr>
            <w:r>
              <w:rPr>
                <w:rFonts w:ascii="Arial" w:cs="Arial" w:eastAsia="Arial" w:hAnsi="Arial"/>
                <w:sz w:val="17"/>
                <w:szCs w:val="17"/>
                <w:b w:val="1"/>
                <w:bCs w:val="1"/>
                <w:color w:val="auto"/>
              </w:rPr>
              <w:t>for exempt employees under California</w:t>
            </w:r>
          </w:p>
        </w:tc>
      </w:tr>
      <w:tr>
        <w:trPr>
          <w:trHeight w:val="190"/>
        </w:trPr>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tcPr>
          <w:p>
            <w:pPr>
              <w:ind w:left="40"/>
              <w:spacing w:after="0" w:line="190" w:lineRule="exact"/>
              <w:rPr>
                <w:sz w:val="20"/>
                <w:szCs w:val="20"/>
                <w:color w:val="auto"/>
              </w:rPr>
            </w:pPr>
            <w:r>
              <w:rPr>
                <w:rFonts w:ascii="Arial" w:cs="Arial" w:eastAsia="Arial" w:hAnsi="Arial"/>
                <w:sz w:val="17"/>
                <w:szCs w:val="17"/>
                <w:b w:val="1"/>
                <w:bCs w:val="1"/>
                <w:color w:val="auto"/>
              </w:rPr>
              <w:t>law) until appropriate progress toward</w:t>
            </w:r>
          </w:p>
        </w:tc>
      </w:tr>
      <w:tr>
        <w:trPr>
          <w:trHeight w:val="221"/>
        </w:trPr>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20" w:type="dxa"/>
            <w:vAlign w:val="bottom"/>
          </w:tcPr>
          <w:p>
            <w:pPr>
              <w:ind w:left="40"/>
              <w:spacing w:after="0"/>
              <w:rPr>
                <w:sz w:val="20"/>
                <w:szCs w:val="20"/>
                <w:color w:val="auto"/>
              </w:rPr>
            </w:pPr>
            <w:r>
              <w:rPr>
                <w:rFonts w:ascii="Arial" w:cs="Arial" w:eastAsia="Arial" w:hAnsi="Arial"/>
                <w:sz w:val="17"/>
                <w:szCs w:val="17"/>
                <w:b w:val="1"/>
                <w:bCs w:val="1"/>
                <w:color w:val="auto"/>
                <w:w w:val="98"/>
              </w:rPr>
              <w:t>achievement of Transformational Goals</w:t>
            </w:r>
          </w:p>
        </w:tc>
      </w:tr>
      <w:tr>
        <w:trPr>
          <w:trHeight w:val="85"/>
        </w:trPr>
        <w:tc>
          <w:tcPr>
            <w:tcW w:w="960" w:type="dxa"/>
            <w:vAlign w:val="bottom"/>
            <w:tcBorders>
              <w:bottom w:val="single" w:sz="8" w:color="125288"/>
            </w:tcBorders>
          </w:tcPr>
          <w:p>
            <w:pPr>
              <w:spacing w:after="0"/>
              <w:rPr>
                <w:sz w:val="7"/>
                <w:szCs w:val="7"/>
                <w:color w:val="auto"/>
              </w:rPr>
            </w:pPr>
          </w:p>
        </w:tc>
        <w:tc>
          <w:tcPr>
            <w:tcW w:w="3300" w:type="dxa"/>
            <w:vAlign w:val="bottom"/>
            <w:tcBorders>
              <w:bottom w:val="single" w:sz="8" w:color="125288"/>
            </w:tcBorders>
            <w:gridSpan w:val="2"/>
          </w:tcPr>
          <w:p>
            <w:pPr>
              <w:spacing w:after="0"/>
              <w:rPr>
                <w:sz w:val="7"/>
                <w:szCs w:val="7"/>
                <w:color w:val="auto"/>
              </w:rPr>
            </w:pPr>
          </w:p>
        </w:tc>
        <w:tc>
          <w:tcPr>
            <w:tcW w:w="400" w:type="dxa"/>
            <w:vAlign w:val="bottom"/>
            <w:tcBorders>
              <w:bottom w:val="single" w:sz="8" w:color="125288"/>
            </w:tcBorders>
          </w:tcPr>
          <w:p>
            <w:pPr>
              <w:spacing w:after="0"/>
              <w:rPr>
                <w:sz w:val="7"/>
                <w:szCs w:val="7"/>
                <w:color w:val="auto"/>
              </w:rPr>
            </w:pPr>
          </w:p>
        </w:tc>
        <w:tc>
          <w:tcPr>
            <w:tcW w:w="3140" w:type="dxa"/>
            <w:vAlign w:val="bottom"/>
            <w:tcBorders>
              <w:bottom w:val="single" w:sz="8" w:color="125288"/>
            </w:tcBorders>
          </w:tcPr>
          <w:p>
            <w:pPr>
              <w:spacing w:after="0"/>
              <w:rPr>
                <w:sz w:val="7"/>
                <w:szCs w:val="7"/>
                <w:color w:val="auto"/>
              </w:rPr>
            </w:pPr>
          </w:p>
        </w:tc>
        <w:tc>
          <w:tcPr>
            <w:tcW w:w="240" w:type="dxa"/>
            <w:vAlign w:val="bottom"/>
            <w:tcBorders>
              <w:bottom w:val="single" w:sz="8" w:color="125288"/>
            </w:tcBorders>
          </w:tcPr>
          <w:p>
            <w:pPr>
              <w:spacing w:after="0"/>
              <w:rPr>
                <w:sz w:val="7"/>
                <w:szCs w:val="7"/>
                <w:color w:val="auto"/>
              </w:rPr>
            </w:pPr>
          </w:p>
        </w:tc>
        <w:tc>
          <w:tcPr>
            <w:tcW w:w="3220" w:type="dxa"/>
            <w:vAlign w:val="bottom"/>
            <w:tcBorders>
              <w:bottom w:val="single" w:sz="8" w:color="125288"/>
            </w:tcBorders>
          </w:tcPr>
          <w:p>
            <w:pPr>
              <w:spacing w:after="0"/>
              <w:rPr>
                <w:sz w:val="7"/>
                <w:szCs w:val="7"/>
                <w:color w:val="auto"/>
              </w:rPr>
            </w:pPr>
          </w:p>
        </w:tc>
      </w:tr>
      <w:tr>
        <w:trPr>
          <w:trHeight w:val="276"/>
        </w:trPr>
        <w:tc>
          <w:tcPr>
            <w:tcW w:w="4260" w:type="dxa"/>
            <w:vAlign w:val="bottom"/>
            <w:gridSpan w:val="3"/>
          </w:tcPr>
          <w:p>
            <w:pPr>
              <w:ind w:left="40"/>
              <w:spacing w:after="0"/>
              <w:rPr>
                <w:sz w:val="20"/>
                <w:szCs w:val="20"/>
                <w:color w:val="auto"/>
              </w:rPr>
            </w:pPr>
            <w:r>
              <w:rPr>
                <w:rFonts w:ascii="Arial" w:cs="Arial" w:eastAsia="Arial" w:hAnsi="Arial"/>
                <w:sz w:val="17"/>
                <w:szCs w:val="17"/>
                <w:b w:val="1"/>
                <w:bCs w:val="1"/>
                <w:color w:val="125288"/>
              </w:rPr>
              <w:t>ANNUAL CASH INCENTIVE</w:t>
            </w:r>
          </w:p>
        </w:tc>
        <w:tc>
          <w:tcPr>
            <w:tcW w:w="40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20" w:type="dxa"/>
            <w:vAlign w:val="bottom"/>
          </w:tcPr>
          <w:p>
            <w:pPr>
              <w:spacing w:after="0"/>
              <w:rPr>
                <w:sz w:val="23"/>
                <w:szCs w:val="23"/>
                <w:color w:val="auto"/>
              </w:rPr>
            </w:pPr>
          </w:p>
        </w:tc>
      </w:tr>
      <w:tr>
        <w:trPr>
          <w:trHeight w:val="85"/>
        </w:trPr>
        <w:tc>
          <w:tcPr>
            <w:tcW w:w="960" w:type="dxa"/>
            <w:vAlign w:val="bottom"/>
            <w:tcBorders>
              <w:bottom w:val="single" w:sz="8" w:color="125288"/>
            </w:tcBorders>
          </w:tcPr>
          <w:p>
            <w:pPr>
              <w:spacing w:after="0"/>
              <w:rPr>
                <w:sz w:val="7"/>
                <w:szCs w:val="7"/>
                <w:color w:val="auto"/>
              </w:rPr>
            </w:pPr>
          </w:p>
        </w:tc>
        <w:tc>
          <w:tcPr>
            <w:tcW w:w="420" w:type="dxa"/>
            <w:vAlign w:val="bottom"/>
            <w:tcBorders>
              <w:bottom w:val="single" w:sz="8" w:color="125288"/>
            </w:tcBorders>
          </w:tcPr>
          <w:p>
            <w:pPr>
              <w:spacing w:after="0"/>
              <w:rPr>
                <w:sz w:val="7"/>
                <w:szCs w:val="7"/>
                <w:color w:val="auto"/>
              </w:rPr>
            </w:pPr>
          </w:p>
        </w:tc>
        <w:tc>
          <w:tcPr>
            <w:tcW w:w="2880" w:type="dxa"/>
            <w:vAlign w:val="bottom"/>
            <w:tcBorders>
              <w:bottom w:val="single" w:sz="8" w:color="125288"/>
            </w:tcBorders>
          </w:tcPr>
          <w:p>
            <w:pPr>
              <w:spacing w:after="0"/>
              <w:rPr>
                <w:sz w:val="7"/>
                <w:szCs w:val="7"/>
                <w:color w:val="auto"/>
              </w:rPr>
            </w:pPr>
          </w:p>
        </w:tc>
        <w:tc>
          <w:tcPr>
            <w:tcW w:w="400" w:type="dxa"/>
            <w:vAlign w:val="bottom"/>
            <w:tcBorders>
              <w:bottom w:val="single" w:sz="8" w:color="125288"/>
            </w:tcBorders>
          </w:tcPr>
          <w:p>
            <w:pPr>
              <w:spacing w:after="0"/>
              <w:rPr>
                <w:sz w:val="7"/>
                <w:szCs w:val="7"/>
                <w:color w:val="auto"/>
              </w:rPr>
            </w:pPr>
          </w:p>
        </w:tc>
        <w:tc>
          <w:tcPr>
            <w:tcW w:w="3140" w:type="dxa"/>
            <w:vAlign w:val="bottom"/>
            <w:tcBorders>
              <w:bottom w:val="single" w:sz="8" w:color="125288"/>
            </w:tcBorders>
          </w:tcPr>
          <w:p>
            <w:pPr>
              <w:spacing w:after="0"/>
              <w:rPr>
                <w:sz w:val="7"/>
                <w:szCs w:val="7"/>
                <w:color w:val="auto"/>
              </w:rPr>
            </w:pPr>
          </w:p>
        </w:tc>
        <w:tc>
          <w:tcPr>
            <w:tcW w:w="240" w:type="dxa"/>
            <w:vAlign w:val="bottom"/>
            <w:tcBorders>
              <w:bottom w:val="single" w:sz="8" w:color="125288"/>
            </w:tcBorders>
          </w:tcPr>
          <w:p>
            <w:pPr>
              <w:spacing w:after="0"/>
              <w:rPr>
                <w:sz w:val="7"/>
                <w:szCs w:val="7"/>
                <w:color w:val="auto"/>
              </w:rPr>
            </w:pPr>
          </w:p>
        </w:tc>
        <w:tc>
          <w:tcPr>
            <w:tcW w:w="3220" w:type="dxa"/>
            <w:vAlign w:val="bottom"/>
            <w:tcBorders>
              <w:bottom w:val="single" w:sz="8" w:color="125288"/>
            </w:tcBorders>
          </w:tcPr>
          <w:p>
            <w:pPr>
              <w:spacing w:after="0"/>
              <w:rPr>
                <w:sz w:val="7"/>
                <w:szCs w:val="7"/>
                <w:color w:val="auto"/>
              </w:rPr>
            </w:pPr>
          </w:p>
        </w:tc>
      </w:tr>
      <w:tr>
        <w:trPr>
          <w:trHeight w:val="269"/>
        </w:trPr>
        <w:tc>
          <w:tcPr>
            <w:tcW w:w="1380" w:type="dxa"/>
            <w:vAlign w:val="bottom"/>
            <w:gridSpan w:val="2"/>
          </w:tcPr>
          <w:p>
            <w:pPr>
              <w:ind w:left="40"/>
              <w:spacing w:after="0"/>
              <w:rPr>
                <w:sz w:val="20"/>
                <w:szCs w:val="20"/>
                <w:color w:val="auto"/>
              </w:rPr>
            </w:pPr>
            <w:r>
              <w:rPr>
                <w:rFonts w:ascii="Arial" w:cs="Arial" w:eastAsia="Arial" w:hAnsi="Arial"/>
                <w:sz w:val="17"/>
                <w:szCs w:val="17"/>
                <w:b w:val="1"/>
                <w:bCs w:val="1"/>
                <w:color w:val="auto"/>
              </w:rPr>
              <w:t>Target CAIP</w:t>
            </w:r>
          </w:p>
        </w:tc>
        <w:tc>
          <w:tcPr>
            <w:tcW w:w="2880" w:type="dxa"/>
            <w:vAlign w:val="bottom"/>
          </w:tcPr>
          <w:p>
            <w:pPr>
              <w:ind w:left="140"/>
              <w:spacing w:after="0"/>
              <w:rPr>
                <w:sz w:val="20"/>
                <w:szCs w:val="20"/>
                <w:color w:val="auto"/>
              </w:rPr>
            </w:pPr>
            <w:r>
              <w:rPr>
                <w:rFonts w:ascii="Arial" w:cs="Arial" w:eastAsia="Arial" w:hAnsi="Arial"/>
                <w:sz w:val="17"/>
                <w:szCs w:val="17"/>
                <w:color w:val="125288"/>
              </w:rPr>
              <w:t xml:space="preserve">• </w:t>
            </w:r>
            <w:r>
              <w:rPr>
                <w:rFonts w:ascii="Arial" w:cs="Arial" w:eastAsia="Arial" w:hAnsi="Arial"/>
                <w:sz w:val="17"/>
                <w:szCs w:val="17"/>
                <w:color w:val="000000"/>
              </w:rPr>
              <w:t>Target value of 200% of salary:</w:t>
            </w:r>
          </w:p>
        </w:tc>
        <w:tc>
          <w:tcPr>
            <w:tcW w:w="400" w:type="dxa"/>
            <w:vAlign w:val="bottom"/>
          </w:tcPr>
          <w:p>
            <w:pPr>
              <w:ind w:left="280"/>
              <w:spacing w:after="0"/>
              <w:rPr>
                <w:sz w:val="20"/>
                <w:szCs w:val="20"/>
                <w:color w:val="auto"/>
              </w:rPr>
            </w:pPr>
            <w:r>
              <w:rPr>
                <w:rFonts w:ascii="Arial" w:cs="Arial" w:eastAsia="Arial" w:hAnsi="Arial"/>
                <w:sz w:val="17"/>
                <w:szCs w:val="17"/>
                <w:color w:val="125288"/>
              </w:rPr>
              <w:t>•</w:t>
            </w:r>
          </w:p>
        </w:tc>
        <w:tc>
          <w:tcPr>
            <w:tcW w:w="3140" w:type="dxa"/>
            <w:vAlign w:val="bottom"/>
          </w:tcPr>
          <w:p>
            <w:pPr>
              <w:ind w:left="40"/>
              <w:spacing w:after="0"/>
              <w:rPr>
                <w:sz w:val="20"/>
                <w:szCs w:val="20"/>
                <w:color w:val="auto"/>
              </w:rPr>
            </w:pPr>
            <w:r>
              <w:rPr>
                <w:rFonts w:ascii="Arial" w:cs="Arial" w:eastAsia="Arial" w:hAnsi="Arial"/>
                <w:sz w:val="17"/>
                <w:szCs w:val="17"/>
                <w:color w:val="auto"/>
              </w:rPr>
              <w:t>Target value of 200% of reduced salary:</w:t>
            </w:r>
          </w:p>
        </w:tc>
        <w:tc>
          <w:tcPr>
            <w:tcW w:w="240" w:type="dxa"/>
            <w:vAlign w:val="bottom"/>
          </w:tcPr>
          <w:p>
            <w:pPr>
              <w:ind w:left="120"/>
              <w:spacing w:after="0"/>
              <w:rPr>
                <w:sz w:val="20"/>
                <w:szCs w:val="20"/>
                <w:color w:val="auto"/>
              </w:rPr>
            </w:pPr>
            <w:r>
              <w:rPr>
                <w:rFonts w:ascii="Arial" w:cs="Arial" w:eastAsia="Arial" w:hAnsi="Arial"/>
                <w:sz w:val="17"/>
                <w:szCs w:val="17"/>
                <w:color w:val="125288"/>
              </w:rPr>
              <w:t>•</w:t>
            </w:r>
          </w:p>
        </w:tc>
        <w:tc>
          <w:tcPr>
            <w:tcW w:w="3220" w:type="dxa"/>
            <w:vAlign w:val="bottom"/>
          </w:tcPr>
          <w:p>
            <w:pPr>
              <w:ind w:left="40"/>
              <w:spacing w:after="0"/>
              <w:rPr>
                <w:sz w:val="20"/>
                <w:szCs w:val="20"/>
                <w:color w:val="auto"/>
              </w:rPr>
            </w:pPr>
            <w:r>
              <w:rPr>
                <w:rFonts w:ascii="Arial" w:cs="Arial" w:eastAsia="Arial" w:hAnsi="Arial"/>
                <w:sz w:val="17"/>
                <w:szCs w:val="17"/>
                <w:b w:val="1"/>
                <w:bCs w:val="1"/>
                <w:color w:val="auto"/>
              </w:rPr>
              <w:t>At request of CEO, no bonus until</w:t>
            </w:r>
          </w:p>
        </w:tc>
      </w:tr>
      <w:tr>
        <w:trPr>
          <w:trHeight w:val="190"/>
        </w:trPr>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80" w:type="dxa"/>
            <w:vAlign w:val="bottom"/>
          </w:tcPr>
          <w:p>
            <w:pPr>
              <w:ind w:left="300"/>
              <w:spacing w:after="0" w:line="190" w:lineRule="exact"/>
              <w:rPr>
                <w:sz w:val="20"/>
                <w:szCs w:val="20"/>
                <w:color w:val="auto"/>
              </w:rPr>
            </w:pPr>
            <w:r>
              <w:rPr>
                <w:rFonts w:ascii="Arial" w:cs="Arial" w:eastAsia="Arial" w:hAnsi="Arial"/>
                <w:sz w:val="17"/>
                <w:szCs w:val="17"/>
                <w:color w:val="auto"/>
              </w:rPr>
              <w:t>$3,500,000</w:t>
            </w:r>
          </w:p>
        </w:tc>
        <w:tc>
          <w:tcPr>
            <w:tcW w:w="400" w:type="dxa"/>
            <w:vAlign w:val="bottom"/>
          </w:tcPr>
          <w:p>
            <w:pPr>
              <w:spacing w:after="0"/>
              <w:rPr>
                <w:sz w:val="16"/>
                <w:szCs w:val="16"/>
                <w:color w:val="auto"/>
              </w:rPr>
            </w:pPr>
          </w:p>
        </w:tc>
        <w:tc>
          <w:tcPr>
            <w:tcW w:w="3140" w:type="dxa"/>
            <w:vAlign w:val="bottom"/>
          </w:tcPr>
          <w:p>
            <w:pPr>
              <w:ind w:left="40"/>
              <w:spacing w:after="0" w:line="190" w:lineRule="exact"/>
              <w:rPr>
                <w:sz w:val="20"/>
                <w:szCs w:val="20"/>
                <w:color w:val="auto"/>
              </w:rPr>
            </w:pPr>
            <w:r>
              <w:rPr>
                <w:rFonts w:ascii="Arial" w:cs="Arial" w:eastAsia="Arial" w:hAnsi="Arial"/>
                <w:sz w:val="17"/>
                <w:szCs w:val="17"/>
                <w:color w:val="auto"/>
              </w:rPr>
              <w:t>$1,750,000</w:t>
            </w:r>
          </w:p>
        </w:tc>
        <w:tc>
          <w:tcPr>
            <w:tcW w:w="240" w:type="dxa"/>
            <w:vAlign w:val="bottom"/>
          </w:tcPr>
          <w:p>
            <w:pPr>
              <w:spacing w:after="0"/>
              <w:rPr>
                <w:sz w:val="16"/>
                <w:szCs w:val="16"/>
                <w:color w:val="auto"/>
              </w:rPr>
            </w:pPr>
          </w:p>
        </w:tc>
        <w:tc>
          <w:tcPr>
            <w:tcW w:w="3220" w:type="dxa"/>
            <w:vAlign w:val="bottom"/>
          </w:tcPr>
          <w:p>
            <w:pPr>
              <w:ind w:left="40"/>
              <w:spacing w:after="0" w:line="190" w:lineRule="exact"/>
              <w:rPr>
                <w:sz w:val="20"/>
                <w:szCs w:val="20"/>
                <w:color w:val="auto"/>
              </w:rPr>
            </w:pPr>
            <w:r>
              <w:rPr>
                <w:rFonts w:ascii="Arial" w:cs="Arial" w:eastAsia="Arial" w:hAnsi="Arial"/>
                <w:sz w:val="17"/>
                <w:szCs w:val="17"/>
                <w:b w:val="1"/>
                <w:bCs w:val="1"/>
                <w:color w:val="auto"/>
              </w:rPr>
              <w:t>appropriate progress toward</w:t>
            </w:r>
          </w:p>
        </w:tc>
      </w:tr>
      <w:tr>
        <w:trPr>
          <w:trHeight w:val="256"/>
        </w:trPr>
        <w:tc>
          <w:tcPr>
            <w:tcW w:w="9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400" w:type="dxa"/>
            <w:vAlign w:val="bottom"/>
          </w:tcPr>
          <w:p>
            <w:pPr>
              <w:ind w:left="280"/>
              <w:spacing w:after="0"/>
              <w:rPr>
                <w:sz w:val="20"/>
                <w:szCs w:val="20"/>
                <w:color w:val="auto"/>
              </w:rPr>
            </w:pPr>
            <w:r>
              <w:rPr>
                <w:rFonts w:ascii="Arial" w:cs="Arial" w:eastAsia="Arial" w:hAnsi="Arial"/>
                <w:sz w:val="17"/>
                <w:szCs w:val="17"/>
                <w:color w:val="125288"/>
              </w:rPr>
              <w:t>•</w:t>
            </w:r>
          </w:p>
        </w:tc>
        <w:tc>
          <w:tcPr>
            <w:tcW w:w="3140" w:type="dxa"/>
            <w:vAlign w:val="bottom"/>
          </w:tcPr>
          <w:p>
            <w:pPr>
              <w:ind w:left="40"/>
              <w:spacing w:after="0"/>
              <w:rPr>
                <w:sz w:val="20"/>
                <w:szCs w:val="20"/>
                <w:color w:val="auto"/>
              </w:rPr>
            </w:pPr>
            <w:r>
              <w:rPr>
                <w:rFonts w:ascii="Arial" w:cs="Arial" w:eastAsia="Arial" w:hAnsi="Arial"/>
                <w:sz w:val="17"/>
                <w:szCs w:val="17"/>
                <w:color w:val="auto"/>
              </w:rPr>
              <w:t>Maximum payout capped at $1,750,000</w:t>
            </w:r>
          </w:p>
        </w:tc>
        <w:tc>
          <w:tcPr>
            <w:tcW w:w="240" w:type="dxa"/>
            <w:vAlign w:val="bottom"/>
          </w:tcPr>
          <w:p>
            <w:pPr>
              <w:spacing w:after="0"/>
              <w:rPr>
                <w:sz w:val="22"/>
                <w:szCs w:val="22"/>
                <w:color w:val="auto"/>
              </w:rPr>
            </w:pPr>
          </w:p>
        </w:tc>
        <w:tc>
          <w:tcPr>
            <w:tcW w:w="3220" w:type="dxa"/>
            <w:vAlign w:val="bottom"/>
          </w:tcPr>
          <w:p>
            <w:pPr>
              <w:ind w:left="40"/>
              <w:spacing w:after="0"/>
              <w:rPr>
                <w:sz w:val="20"/>
                <w:szCs w:val="20"/>
                <w:color w:val="auto"/>
              </w:rPr>
            </w:pPr>
            <w:r>
              <w:rPr>
                <w:rFonts w:ascii="Arial" w:cs="Arial" w:eastAsia="Arial" w:hAnsi="Arial"/>
                <w:sz w:val="17"/>
                <w:szCs w:val="17"/>
                <w:b w:val="1"/>
                <w:bCs w:val="1"/>
                <w:color w:val="auto"/>
                <w:w w:val="98"/>
              </w:rPr>
              <w:t>achievement of Transformational Goals</w:t>
            </w:r>
          </w:p>
        </w:tc>
      </w:tr>
      <w:tr>
        <w:trPr>
          <w:trHeight w:val="380"/>
        </w:trPr>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00" w:type="dxa"/>
            <w:vAlign w:val="bottom"/>
          </w:tcPr>
          <w:p>
            <w:pPr>
              <w:ind w:left="280"/>
              <w:spacing w:after="0"/>
              <w:rPr>
                <w:sz w:val="20"/>
                <w:szCs w:val="20"/>
                <w:color w:val="auto"/>
              </w:rPr>
            </w:pPr>
            <w:r>
              <w:rPr>
                <w:rFonts w:ascii="Arial" w:cs="Arial" w:eastAsia="Arial" w:hAnsi="Arial"/>
                <w:sz w:val="17"/>
                <w:szCs w:val="17"/>
                <w:color w:val="125288"/>
              </w:rPr>
              <w:t>•</w:t>
            </w:r>
          </w:p>
        </w:tc>
        <w:tc>
          <w:tcPr>
            <w:tcW w:w="3140" w:type="dxa"/>
            <w:vAlign w:val="bottom"/>
          </w:tcPr>
          <w:p>
            <w:pPr>
              <w:ind w:left="40"/>
              <w:spacing w:after="0"/>
              <w:rPr>
                <w:sz w:val="20"/>
                <w:szCs w:val="20"/>
                <w:color w:val="auto"/>
              </w:rPr>
            </w:pPr>
            <w:r>
              <w:rPr>
                <w:rFonts w:ascii="Arial" w:cs="Arial" w:eastAsia="Arial" w:hAnsi="Arial"/>
                <w:sz w:val="17"/>
                <w:szCs w:val="17"/>
                <w:color w:val="auto"/>
              </w:rPr>
              <w:t>&lt;25</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percentile of peer CEOs</w:t>
            </w:r>
          </w:p>
        </w:tc>
        <w:tc>
          <w:tcPr>
            <w:tcW w:w="240" w:type="dxa"/>
            <w:vAlign w:val="bottom"/>
          </w:tcPr>
          <w:p>
            <w:pPr>
              <w:spacing w:after="0"/>
              <w:rPr>
                <w:sz w:val="24"/>
                <w:szCs w:val="24"/>
                <w:color w:val="auto"/>
              </w:rPr>
            </w:pPr>
          </w:p>
        </w:tc>
        <w:tc>
          <w:tcPr>
            <w:tcW w:w="3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7148830" cy="152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p>
      <w:pPr>
        <w:spacing w:after="0" w:line="41"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6"/>
          <w:szCs w:val="16"/>
          <w:b w:val="1"/>
          <w:bCs w:val="1"/>
          <w:color w:val="auto"/>
        </w:rPr>
        <w:t>Metrics</w:t>
      </w:r>
      <w:r>
        <w:rPr>
          <w:sz w:val="20"/>
          <w:szCs w:val="20"/>
          <w:color w:val="auto"/>
        </w:rPr>
        <w:tab/>
      </w:r>
      <w:r>
        <w:rPr>
          <w:rFonts w:ascii="Arial" w:cs="Arial" w:eastAsia="Arial" w:hAnsi="Arial"/>
          <w:sz w:val="16"/>
          <w:szCs w:val="16"/>
          <w:color w:val="125288"/>
        </w:rPr>
        <w:t xml:space="preserve">• </w:t>
      </w:r>
      <w:r>
        <w:rPr>
          <w:rFonts w:ascii="Arial" w:cs="Arial" w:eastAsia="Arial" w:hAnsi="Arial"/>
          <w:sz w:val="16"/>
          <w:szCs w:val="16"/>
          <w:color w:val="000000"/>
        </w:rPr>
        <w:t>Practice of utilizing a combination of</w:t>
      </w:r>
    </w:p>
    <w:p>
      <w:pPr>
        <w:spacing w:after="0" w:line="45"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60% financial metrics and 40%</w:t>
      </w:r>
    </w:p>
    <w:p>
      <w:pPr>
        <w:ind w:left="1680"/>
        <w:spacing w:after="0"/>
        <w:rPr>
          <w:sz w:val="20"/>
          <w:szCs w:val="20"/>
          <w:color w:val="auto"/>
        </w:rPr>
      </w:pPr>
      <w:r>
        <w:rPr>
          <w:rFonts w:ascii="Arial" w:cs="Arial" w:eastAsia="Arial" w:hAnsi="Arial"/>
          <w:sz w:val="17"/>
          <w:szCs w:val="17"/>
          <w:color w:val="auto"/>
        </w:rPr>
        <w:t>strategic objectives</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152" w:right="3460" w:hanging="152"/>
        <w:spacing w:after="0" w:line="269" w:lineRule="auto"/>
        <w:tabs>
          <w:tab w:leader="none" w:pos="152" w:val="left"/>
        </w:tabs>
        <w:numPr>
          <w:ilvl w:val="0"/>
          <w:numId w:val="80"/>
        </w:numPr>
        <w:rPr>
          <w:rFonts w:ascii="Arial" w:cs="Arial" w:eastAsia="Arial" w:hAnsi="Arial"/>
          <w:sz w:val="16"/>
          <w:szCs w:val="16"/>
          <w:color w:val="125288"/>
        </w:rPr>
      </w:pPr>
      <w:r>
        <w:rPr>
          <w:rFonts w:ascii="Arial" w:cs="Arial" w:eastAsia="Arial" w:hAnsi="Arial"/>
          <w:sz w:val="16"/>
          <w:szCs w:val="16"/>
          <w:color w:val="auto"/>
        </w:rPr>
        <w:t>80% financial metrics and introduced 20% strategic objectives linked to ESG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-2890520</wp:posOffset>
            </wp:positionH>
            <wp:positionV relativeFrom="paragraph">
              <wp:posOffset>158115</wp:posOffset>
            </wp:positionV>
            <wp:extent cx="7148830" cy="152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328" w:lineRule="exact"/>
        <w:rPr>
          <w:sz w:val="20"/>
          <w:szCs w:val="20"/>
          <w:color w:val="auto"/>
        </w:rPr>
      </w:pPr>
    </w:p>
    <w:p>
      <w:pPr>
        <w:sectPr>
          <w:pgSz w:w="11900" w:h="16838" w:orient="portrait"/>
          <w:cols w:equalWidth="0" w:num="2">
            <w:col w:w="4320" w:space="228"/>
            <w:col w:w="6712"/>
          </w:cols>
          <w:pgMar w:left="320" w:top="121" w:right="319" w:bottom="1440" w:gutter="0" w:footer="0" w:header="0"/>
          <w:type w:val="continuous"/>
        </w:sectPr>
      </w:pPr>
    </w:p>
    <w:p>
      <w:pPr>
        <w:ind w:left="40"/>
        <w:spacing w:after="0"/>
        <w:rPr>
          <w:sz w:val="20"/>
          <w:szCs w:val="20"/>
          <w:color w:val="auto"/>
        </w:rPr>
      </w:pPr>
      <w:r>
        <w:rPr>
          <w:rFonts w:ascii="Arial" w:cs="Arial" w:eastAsia="Arial" w:hAnsi="Arial"/>
          <w:sz w:val="17"/>
          <w:szCs w:val="17"/>
          <w:b w:val="1"/>
          <w:bCs w:val="1"/>
          <w:color w:val="125288"/>
        </w:rPr>
        <w:t>LONG-TERM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48830" cy="152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300" w:type="dxa"/>
            <w:vAlign w:val="bottom"/>
          </w:tcPr>
          <w:p>
            <w:pPr>
              <w:ind w:left="40"/>
              <w:spacing w:after="0"/>
              <w:rPr>
                <w:sz w:val="20"/>
                <w:szCs w:val="20"/>
                <w:color w:val="auto"/>
              </w:rPr>
            </w:pPr>
            <w:r>
              <w:rPr>
                <w:rFonts w:ascii="Arial" w:cs="Arial" w:eastAsia="Arial" w:hAnsi="Arial"/>
                <w:sz w:val="17"/>
                <w:szCs w:val="17"/>
                <w:b w:val="1"/>
                <w:bCs w:val="1"/>
                <w:color w:val="auto"/>
              </w:rPr>
              <w:t>Target LTI</w:t>
            </w:r>
          </w:p>
        </w:tc>
        <w:tc>
          <w:tcPr>
            <w:tcW w:w="320" w:type="dxa"/>
            <w:vAlign w:val="bottom"/>
          </w:tcPr>
          <w:p>
            <w:pPr>
              <w:ind w:left="220"/>
              <w:spacing w:after="0"/>
              <w:rPr>
                <w:sz w:val="20"/>
                <w:szCs w:val="20"/>
                <w:color w:val="auto"/>
              </w:rPr>
            </w:pPr>
            <w:r>
              <w:rPr>
                <w:rFonts w:ascii="Arial" w:cs="Arial" w:eastAsia="Arial" w:hAnsi="Arial"/>
                <w:sz w:val="17"/>
                <w:szCs w:val="17"/>
                <w:color w:val="125288"/>
              </w:rPr>
              <w:t>•</w:t>
            </w:r>
          </w:p>
        </w:tc>
        <w:tc>
          <w:tcPr>
            <w:tcW w:w="2880" w:type="dxa"/>
            <w:vAlign w:val="bottom"/>
          </w:tcPr>
          <w:p>
            <w:pPr>
              <w:ind w:left="60"/>
              <w:spacing w:after="0"/>
              <w:rPr>
                <w:sz w:val="20"/>
                <w:szCs w:val="20"/>
                <w:color w:val="auto"/>
              </w:rPr>
            </w:pPr>
            <w:r>
              <w:rPr>
                <w:rFonts w:ascii="Arial" w:cs="Arial" w:eastAsia="Arial" w:hAnsi="Arial"/>
                <w:sz w:val="17"/>
                <w:szCs w:val="17"/>
                <w:color w:val="auto"/>
              </w:rPr>
              <w:t>Annual LTI subject to Compensation</w:t>
            </w:r>
          </w:p>
        </w:tc>
        <w:tc>
          <w:tcPr>
            <w:tcW w:w="160" w:type="dxa"/>
            <w:vAlign w:val="bottom"/>
          </w:tcPr>
          <w:p>
            <w:pPr>
              <w:ind w:left="40"/>
              <w:spacing w:after="0"/>
              <w:rPr>
                <w:sz w:val="20"/>
                <w:szCs w:val="20"/>
                <w:color w:val="auto"/>
              </w:rPr>
            </w:pPr>
            <w:r>
              <w:rPr>
                <w:rFonts w:ascii="Arial" w:cs="Arial" w:eastAsia="Arial" w:hAnsi="Arial"/>
                <w:sz w:val="17"/>
                <w:szCs w:val="17"/>
                <w:color w:val="125288"/>
              </w:rPr>
              <w:t>•</w:t>
            </w:r>
          </w:p>
        </w:tc>
        <w:tc>
          <w:tcPr>
            <w:tcW w:w="3220" w:type="dxa"/>
            <w:vAlign w:val="bottom"/>
          </w:tcPr>
          <w:p>
            <w:pPr>
              <w:ind w:left="40"/>
              <w:spacing w:after="0"/>
              <w:rPr>
                <w:sz w:val="20"/>
                <w:szCs w:val="20"/>
                <w:color w:val="auto"/>
              </w:rPr>
            </w:pPr>
            <w:r>
              <w:rPr>
                <w:rFonts w:ascii="Arial" w:cs="Arial" w:eastAsia="Arial" w:hAnsi="Arial"/>
                <w:sz w:val="17"/>
                <w:szCs w:val="17"/>
                <w:color w:val="auto"/>
              </w:rPr>
              <w:t>Grant value of annual LTI awards not to</w:t>
            </w:r>
          </w:p>
        </w:tc>
        <w:tc>
          <w:tcPr>
            <w:tcW w:w="3380" w:type="dxa"/>
            <w:vAlign w:val="bottom"/>
          </w:tcPr>
          <w:p>
            <w:pPr>
              <w:ind w:left="40"/>
              <w:spacing w:after="0"/>
              <w:rPr>
                <w:sz w:val="20"/>
                <w:szCs w:val="20"/>
                <w:color w:val="auto"/>
              </w:rPr>
            </w:pPr>
            <w:r>
              <w:rPr>
                <w:rFonts w:ascii="Arial" w:cs="Arial" w:eastAsia="Arial" w:hAnsi="Arial"/>
                <w:sz w:val="17"/>
                <w:szCs w:val="17"/>
                <w:color w:val="125288"/>
              </w:rPr>
              <w:t xml:space="preserve">• </w:t>
            </w:r>
            <w:r>
              <w:rPr>
                <w:rFonts w:ascii="Arial" w:cs="Arial" w:eastAsia="Arial" w:hAnsi="Arial"/>
                <w:sz w:val="17"/>
                <w:szCs w:val="17"/>
                <w:b w:val="1"/>
                <w:bCs w:val="1"/>
                <w:color w:val="000000"/>
              </w:rPr>
              <w:t>At request of CEO, no LTI awards until</w:t>
            </w:r>
          </w:p>
        </w:tc>
      </w:tr>
      <w:tr>
        <w:trPr>
          <w:trHeight w:val="206"/>
        </w:trPr>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80" w:type="dxa"/>
            <w:vAlign w:val="bottom"/>
          </w:tcPr>
          <w:p>
            <w:pPr>
              <w:ind w:left="60"/>
              <w:spacing w:after="0"/>
              <w:rPr>
                <w:sz w:val="20"/>
                <w:szCs w:val="20"/>
                <w:color w:val="auto"/>
              </w:rPr>
            </w:pPr>
            <w:r>
              <w:rPr>
                <w:rFonts w:ascii="Arial" w:cs="Arial" w:eastAsia="Arial" w:hAnsi="Arial"/>
                <w:sz w:val="17"/>
                <w:szCs w:val="17"/>
                <w:color w:val="auto"/>
              </w:rPr>
              <w:t>Committee approval based on</w:t>
            </w:r>
          </w:p>
        </w:tc>
        <w:tc>
          <w:tcPr>
            <w:tcW w:w="160" w:type="dxa"/>
            <w:vAlign w:val="bottom"/>
          </w:tcPr>
          <w:p>
            <w:pPr>
              <w:spacing w:after="0"/>
              <w:rPr>
                <w:sz w:val="17"/>
                <w:szCs w:val="17"/>
                <w:color w:val="auto"/>
              </w:rPr>
            </w:pPr>
          </w:p>
        </w:tc>
        <w:tc>
          <w:tcPr>
            <w:tcW w:w="3220" w:type="dxa"/>
            <w:vAlign w:val="bottom"/>
          </w:tcPr>
          <w:p>
            <w:pPr>
              <w:ind w:left="40"/>
              <w:spacing w:after="0" w:line="207" w:lineRule="exact"/>
              <w:rPr>
                <w:sz w:val="20"/>
                <w:szCs w:val="20"/>
                <w:color w:val="auto"/>
              </w:rPr>
            </w:pPr>
            <w:r>
              <w:rPr>
                <w:rFonts w:ascii="Arial" w:cs="Arial" w:eastAsia="Arial" w:hAnsi="Arial"/>
                <w:sz w:val="15"/>
                <w:szCs w:val="15"/>
                <w:color w:val="auto"/>
              </w:rPr>
              <w:t>exceed 50</w:t>
            </w:r>
            <w:r>
              <w:rPr>
                <w:rFonts w:ascii="Arial" w:cs="Arial" w:eastAsia="Arial" w:hAnsi="Arial"/>
                <w:sz w:val="23"/>
                <w:szCs w:val="23"/>
                <w:color w:val="auto"/>
                <w:vertAlign w:val="superscript"/>
              </w:rPr>
              <w:t>th</w:t>
            </w:r>
            <w:r>
              <w:rPr>
                <w:rFonts w:ascii="Arial" w:cs="Arial" w:eastAsia="Arial" w:hAnsi="Arial"/>
                <w:sz w:val="15"/>
                <w:szCs w:val="15"/>
                <w:color w:val="auto"/>
              </w:rPr>
              <w:t xml:space="preserve"> percentile of peer CEO LTI</w:t>
            </w:r>
          </w:p>
        </w:tc>
        <w:tc>
          <w:tcPr>
            <w:tcW w:w="3380" w:type="dxa"/>
            <w:vAlign w:val="bottom"/>
          </w:tcPr>
          <w:p>
            <w:pPr>
              <w:ind w:left="200"/>
              <w:spacing w:after="0"/>
              <w:rPr>
                <w:sz w:val="20"/>
                <w:szCs w:val="20"/>
                <w:color w:val="auto"/>
              </w:rPr>
            </w:pPr>
            <w:r>
              <w:rPr>
                <w:rFonts w:ascii="Arial" w:cs="Arial" w:eastAsia="Arial" w:hAnsi="Arial"/>
                <w:sz w:val="17"/>
                <w:szCs w:val="17"/>
                <w:b w:val="1"/>
                <w:bCs w:val="1"/>
                <w:color w:val="auto"/>
              </w:rPr>
              <w:t>appropriate progress toward</w:t>
            </w:r>
          </w:p>
        </w:tc>
      </w:tr>
      <w:tr>
        <w:trPr>
          <w:trHeight w:val="194"/>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tcPr>
          <w:p>
            <w:pPr>
              <w:ind w:left="60"/>
              <w:spacing w:after="0" w:line="194" w:lineRule="exact"/>
              <w:rPr>
                <w:sz w:val="20"/>
                <w:szCs w:val="20"/>
                <w:color w:val="auto"/>
              </w:rPr>
            </w:pPr>
            <w:r>
              <w:rPr>
                <w:rFonts w:ascii="Arial" w:cs="Arial" w:eastAsia="Arial" w:hAnsi="Arial"/>
                <w:sz w:val="17"/>
                <w:szCs w:val="17"/>
                <w:color w:val="auto"/>
              </w:rPr>
              <w:t>achievement of operating income,</w:t>
            </w:r>
          </w:p>
        </w:tc>
        <w:tc>
          <w:tcPr>
            <w:tcW w:w="160" w:type="dxa"/>
            <w:vAlign w:val="bottom"/>
          </w:tcPr>
          <w:p>
            <w:pPr>
              <w:spacing w:after="0"/>
              <w:rPr>
                <w:sz w:val="16"/>
                <w:szCs w:val="16"/>
                <w:color w:val="auto"/>
              </w:rPr>
            </w:pPr>
          </w:p>
        </w:tc>
        <w:tc>
          <w:tcPr>
            <w:tcW w:w="3220" w:type="dxa"/>
            <w:vAlign w:val="bottom"/>
          </w:tcPr>
          <w:p>
            <w:pPr>
              <w:ind w:left="40"/>
              <w:spacing w:after="0" w:line="194" w:lineRule="exact"/>
              <w:rPr>
                <w:sz w:val="20"/>
                <w:szCs w:val="20"/>
                <w:color w:val="auto"/>
              </w:rPr>
            </w:pPr>
            <w:r>
              <w:rPr>
                <w:rFonts w:ascii="Arial" w:cs="Arial" w:eastAsia="Arial" w:hAnsi="Arial"/>
                <w:sz w:val="17"/>
                <w:szCs w:val="17"/>
                <w:color w:val="auto"/>
              </w:rPr>
              <w:t>target grant values</w:t>
            </w:r>
          </w:p>
        </w:tc>
        <w:tc>
          <w:tcPr>
            <w:tcW w:w="3380" w:type="dxa"/>
            <w:vAlign w:val="bottom"/>
          </w:tcPr>
          <w:p>
            <w:pPr>
              <w:ind w:left="200"/>
              <w:spacing w:after="0" w:line="194" w:lineRule="exact"/>
              <w:rPr>
                <w:sz w:val="20"/>
                <w:szCs w:val="20"/>
                <w:color w:val="auto"/>
              </w:rPr>
            </w:pPr>
            <w:r>
              <w:rPr>
                <w:rFonts w:ascii="Arial" w:cs="Arial" w:eastAsia="Arial" w:hAnsi="Arial"/>
                <w:sz w:val="17"/>
                <w:szCs w:val="17"/>
                <w:b w:val="1"/>
                <w:bCs w:val="1"/>
                <w:color w:val="auto"/>
                <w:w w:val="98"/>
              </w:rPr>
              <w:t>achievement of Transformational Goals</w:t>
            </w:r>
          </w:p>
        </w:tc>
      </w:tr>
      <w:tr>
        <w:trPr>
          <w:trHeight w:val="190"/>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tcPr>
          <w:p>
            <w:pPr>
              <w:ind w:left="60"/>
              <w:spacing w:after="0" w:line="190" w:lineRule="exact"/>
              <w:rPr>
                <w:sz w:val="20"/>
                <w:szCs w:val="20"/>
                <w:color w:val="auto"/>
              </w:rPr>
            </w:pPr>
            <w:r>
              <w:rPr>
                <w:rFonts w:ascii="Arial" w:cs="Arial" w:eastAsia="Arial" w:hAnsi="Arial"/>
                <w:sz w:val="17"/>
                <w:szCs w:val="17"/>
                <w:color w:val="auto"/>
                <w:w w:val="99"/>
              </w:rPr>
              <w:t>earnings per share, and absolute and</w:t>
            </w:r>
          </w:p>
        </w:tc>
        <w:tc>
          <w:tcPr>
            <w:tcW w:w="1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201"/>
        </w:trPr>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80" w:type="dxa"/>
            <w:vAlign w:val="bottom"/>
          </w:tcPr>
          <w:p>
            <w:pPr>
              <w:ind w:left="60"/>
              <w:spacing w:after="0"/>
              <w:rPr>
                <w:sz w:val="20"/>
                <w:szCs w:val="20"/>
                <w:color w:val="auto"/>
              </w:rPr>
            </w:pPr>
            <w:r>
              <w:rPr>
                <w:rFonts w:ascii="Arial" w:cs="Arial" w:eastAsia="Arial" w:hAnsi="Arial"/>
                <w:sz w:val="17"/>
                <w:szCs w:val="17"/>
                <w:color w:val="auto"/>
              </w:rPr>
              <w:t>relative TSR</w:t>
            </w:r>
          </w:p>
        </w:tc>
        <w:tc>
          <w:tcPr>
            <w:tcW w:w="1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85"/>
        </w:trPr>
        <w:tc>
          <w:tcPr>
            <w:tcW w:w="1300" w:type="dxa"/>
            <w:vAlign w:val="bottom"/>
            <w:tcBorders>
              <w:bottom w:val="single" w:sz="8" w:color="125288"/>
            </w:tcBorders>
          </w:tcPr>
          <w:p>
            <w:pPr>
              <w:spacing w:after="0"/>
              <w:rPr>
                <w:sz w:val="7"/>
                <w:szCs w:val="7"/>
                <w:color w:val="auto"/>
              </w:rPr>
            </w:pPr>
          </w:p>
        </w:tc>
        <w:tc>
          <w:tcPr>
            <w:tcW w:w="320" w:type="dxa"/>
            <w:vAlign w:val="bottom"/>
            <w:tcBorders>
              <w:bottom w:val="single" w:sz="8" w:color="125288"/>
            </w:tcBorders>
          </w:tcPr>
          <w:p>
            <w:pPr>
              <w:spacing w:after="0"/>
              <w:rPr>
                <w:sz w:val="7"/>
                <w:szCs w:val="7"/>
                <w:color w:val="auto"/>
              </w:rPr>
            </w:pPr>
          </w:p>
        </w:tc>
        <w:tc>
          <w:tcPr>
            <w:tcW w:w="2880" w:type="dxa"/>
            <w:vAlign w:val="bottom"/>
            <w:tcBorders>
              <w:bottom w:val="single" w:sz="8" w:color="125288"/>
            </w:tcBorders>
          </w:tcPr>
          <w:p>
            <w:pPr>
              <w:spacing w:after="0"/>
              <w:rPr>
                <w:sz w:val="7"/>
                <w:szCs w:val="7"/>
                <w:color w:val="auto"/>
              </w:rPr>
            </w:pPr>
          </w:p>
        </w:tc>
        <w:tc>
          <w:tcPr>
            <w:tcW w:w="160" w:type="dxa"/>
            <w:vAlign w:val="bottom"/>
            <w:tcBorders>
              <w:bottom w:val="single" w:sz="8" w:color="125288"/>
            </w:tcBorders>
          </w:tcPr>
          <w:p>
            <w:pPr>
              <w:spacing w:after="0"/>
              <w:rPr>
                <w:sz w:val="7"/>
                <w:szCs w:val="7"/>
                <w:color w:val="auto"/>
              </w:rPr>
            </w:pPr>
          </w:p>
        </w:tc>
        <w:tc>
          <w:tcPr>
            <w:tcW w:w="3220" w:type="dxa"/>
            <w:vAlign w:val="bottom"/>
            <w:tcBorders>
              <w:bottom w:val="single" w:sz="8" w:color="125288"/>
            </w:tcBorders>
          </w:tcPr>
          <w:p>
            <w:pPr>
              <w:spacing w:after="0"/>
              <w:rPr>
                <w:sz w:val="7"/>
                <w:szCs w:val="7"/>
                <w:color w:val="auto"/>
              </w:rPr>
            </w:pPr>
          </w:p>
        </w:tc>
        <w:tc>
          <w:tcPr>
            <w:tcW w:w="3380" w:type="dxa"/>
            <w:vAlign w:val="bottom"/>
            <w:tcBorders>
              <w:bottom w:val="single" w:sz="8" w:color="125288"/>
            </w:tcBorders>
          </w:tcPr>
          <w:p>
            <w:pPr>
              <w:spacing w:after="0"/>
              <w:rPr>
                <w:sz w:val="7"/>
                <w:szCs w:val="7"/>
                <w:color w:val="auto"/>
              </w:rPr>
            </w:pPr>
          </w:p>
        </w:tc>
      </w:tr>
      <w:tr>
        <w:trPr>
          <w:trHeight w:val="289"/>
        </w:trPr>
        <w:tc>
          <w:tcPr>
            <w:tcW w:w="1300" w:type="dxa"/>
            <w:vAlign w:val="bottom"/>
          </w:tcPr>
          <w:p>
            <w:pPr>
              <w:ind w:left="40"/>
              <w:spacing w:after="0"/>
              <w:rPr>
                <w:sz w:val="20"/>
                <w:szCs w:val="20"/>
                <w:color w:val="auto"/>
              </w:rPr>
            </w:pPr>
            <w:r>
              <w:rPr>
                <w:rFonts w:ascii="Arial" w:cs="Arial" w:eastAsia="Arial" w:hAnsi="Arial"/>
                <w:sz w:val="17"/>
                <w:szCs w:val="17"/>
                <w:b w:val="1"/>
                <w:bCs w:val="1"/>
                <w:color w:val="auto"/>
              </w:rPr>
              <w:t>LTI Structure</w:t>
            </w:r>
          </w:p>
        </w:tc>
        <w:tc>
          <w:tcPr>
            <w:tcW w:w="320" w:type="dxa"/>
            <w:vAlign w:val="bottom"/>
          </w:tcPr>
          <w:p>
            <w:pPr>
              <w:ind w:left="220"/>
              <w:spacing w:after="0"/>
              <w:rPr>
                <w:sz w:val="20"/>
                <w:szCs w:val="20"/>
                <w:color w:val="auto"/>
              </w:rPr>
            </w:pPr>
            <w:r>
              <w:rPr>
                <w:rFonts w:ascii="Arial" w:cs="Arial" w:eastAsia="Arial" w:hAnsi="Arial"/>
                <w:sz w:val="17"/>
                <w:szCs w:val="17"/>
                <w:color w:val="125288"/>
              </w:rPr>
              <w:t>•</w:t>
            </w:r>
          </w:p>
        </w:tc>
        <w:tc>
          <w:tcPr>
            <w:tcW w:w="2880" w:type="dxa"/>
            <w:vAlign w:val="bottom"/>
          </w:tcPr>
          <w:p>
            <w:pPr>
              <w:ind w:left="60"/>
              <w:spacing w:after="0"/>
              <w:rPr>
                <w:sz w:val="20"/>
                <w:szCs w:val="20"/>
                <w:color w:val="auto"/>
              </w:rPr>
            </w:pPr>
            <w:r>
              <w:rPr>
                <w:rFonts w:ascii="Arial" w:cs="Arial" w:eastAsia="Arial" w:hAnsi="Arial"/>
                <w:sz w:val="17"/>
                <w:szCs w:val="17"/>
                <w:color w:val="auto"/>
              </w:rPr>
              <w:t>Generally in the form of PSUs and</w:t>
            </w:r>
          </w:p>
        </w:tc>
        <w:tc>
          <w:tcPr>
            <w:tcW w:w="160" w:type="dxa"/>
            <w:vAlign w:val="bottom"/>
          </w:tcPr>
          <w:p>
            <w:pPr>
              <w:ind w:left="40"/>
              <w:spacing w:after="0"/>
              <w:rPr>
                <w:sz w:val="20"/>
                <w:szCs w:val="20"/>
                <w:color w:val="auto"/>
              </w:rPr>
            </w:pPr>
            <w:r>
              <w:rPr>
                <w:rFonts w:ascii="Arial" w:cs="Arial" w:eastAsia="Arial" w:hAnsi="Arial"/>
                <w:sz w:val="17"/>
                <w:szCs w:val="17"/>
                <w:color w:val="125288"/>
              </w:rPr>
              <w:t>•</w:t>
            </w:r>
          </w:p>
        </w:tc>
        <w:tc>
          <w:tcPr>
            <w:tcW w:w="3220" w:type="dxa"/>
            <w:vAlign w:val="bottom"/>
          </w:tcPr>
          <w:p>
            <w:pPr>
              <w:ind w:left="40"/>
              <w:spacing w:after="0"/>
              <w:rPr>
                <w:sz w:val="20"/>
                <w:szCs w:val="20"/>
                <w:color w:val="auto"/>
              </w:rPr>
            </w:pPr>
            <w:r>
              <w:rPr>
                <w:rFonts w:ascii="Arial" w:cs="Arial" w:eastAsia="Arial" w:hAnsi="Arial"/>
                <w:sz w:val="17"/>
                <w:szCs w:val="17"/>
                <w:color w:val="auto"/>
                <w:w w:val="98"/>
              </w:rPr>
              <w:t>100% of LTI awards denominated in PSUs</w:t>
            </w:r>
          </w:p>
        </w:tc>
        <w:tc>
          <w:tcPr>
            <w:tcW w:w="3380" w:type="dxa"/>
            <w:vAlign w:val="bottom"/>
          </w:tcPr>
          <w:p>
            <w:pPr>
              <w:spacing w:after="0"/>
              <w:rPr>
                <w:sz w:val="24"/>
                <w:szCs w:val="24"/>
                <w:color w:val="auto"/>
              </w:rPr>
            </w:pPr>
          </w:p>
        </w:tc>
      </w:tr>
      <w:tr>
        <w:trPr>
          <w:trHeight w:val="201"/>
        </w:trPr>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80" w:type="dxa"/>
            <w:vAlign w:val="bottom"/>
          </w:tcPr>
          <w:p>
            <w:pPr>
              <w:ind w:left="60"/>
              <w:spacing w:after="0"/>
              <w:rPr>
                <w:sz w:val="20"/>
                <w:szCs w:val="20"/>
                <w:color w:val="auto"/>
              </w:rPr>
            </w:pPr>
            <w:r>
              <w:rPr>
                <w:rFonts w:ascii="Arial" w:cs="Arial" w:eastAsia="Arial" w:hAnsi="Arial"/>
                <w:sz w:val="17"/>
                <w:szCs w:val="17"/>
                <w:color w:val="auto"/>
              </w:rPr>
              <w:t>stock options</w:t>
            </w:r>
          </w:p>
        </w:tc>
        <w:tc>
          <w:tcPr>
            <w:tcW w:w="1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85"/>
        </w:trPr>
        <w:tc>
          <w:tcPr>
            <w:tcW w:w="1300" w:type="dxa"/>
            <w:vAlign w:val="bottom"/>
            <w:tcBorders>
              <w:bottom w:val="single" w:sz="8" w:color="125288"/>
            </w:tcBorders>
          </w:tcPr>
          <w:p>
            <w:pPr>
              <w:spacing w:after="0"/>
              <w:rPr>
                <w:sz w:val="7"/>
                <w:szCs w:val="7"/>
                <w:color w:val="auto"/>
              </w:rPr>
            </w:pPr>
          </w:p>
        </w:tc>
        <w:tc>
          <w:tcPr>
            <w:tcW w:w="320" w:type="dxa"/>
            <w:vAlign w:val="bottom"/>
            <w:tcBorders>
              <w:bottom w:val="single" w:sz="8" w:color="125288"/>
            </w:tcBorders>
          </w:tcPr>
          <w:p>
            <w:pPr>
              <w:spacing w:after="0"/>
              <w:rPr>
                <w:sz w:val="7"/>
                <w:szCs w:val="7"/>
                <w:color w:val="auto"/>
              </w:rPr>
            </w:pPr>
          </w:p>
        </w:tc>
        <w:tc>
          <w:tcPr>
            <w:tcW w:w="2880" w:type="dxa"/>
            <w:vAlign w:val="bottom"/>
            <w:tcBorders>
              <w:bottom w:val="single" w:sz="8" w:color="125288"/>
            </w:tcBorders>
          </w:tcPr>
          <w:p>
            <w:pPr>
              <w:spacing w:after="0"/>
              <w:rPr>
                <w:sz w:val="7"/>
                <w:szCs w:val="7"/>
                <w:color w:val="auto"/>
              </w:rPr>
            </w:pPr>
          </w:p>
        </w:tc>
        <w:tc>
          <w:tcPr>
            <w:tcW w:w="160" w:type="dxa"/>
            <w:vAlign w:val="bottom"/>
            <w:tcBorders>
              <w:bottom w:val="single" w:sz="8" w:color="125288"/>
            </w:tcBorders>
          </w:tcPr>
          <w:p>
            <w:pPr>
              <w:spacing w:after="0"/>
              <w:rPr>
                <w:sz w:val="7"/>
                <w:szCs w:val="7"/>
                <w:color w:val="auto"/>
              </w:rPr>
            </w:pPr>
          </w:p>
        </w:tc>
        <w:tc>
          <w:tcPr>
            <w:tcW w:w="3220" w:type="dxa"/>
            <w:vAlign w:val="bottom"/>
            <w:tcBorders>
              <w:bottom w:val="single" w:sz="8" w:color="125288"/>
            </w:tcBorders>
          </w:tcPr>
          <w:p>
            <w:pPr>
              <w:spacing w:after="0"/>
              <w:rPr>
                <w:sz w:val="7"/>
                <w:szCs w:val="7"/>
                <w:color w:val="auto"/>
              </w:rPr>
            </w:pPr>
          </w:p>
        </w:tc>
        <w:tc>
          <w:tcPr>
            <w:tcW w:w="3380" w:type="dxa"/>
            <w:vAlign w:val="bottom"/>
            <w:tcBorders>
              <w:bottom w:val="single" w:sz="8" w:color="125288"/>
            </w:tcBorders>
          </w:tcPr>
          <w:p>
            <w:pPr>
              <w:spacing w:after="0"/>
              <w:rPr>
                <w:sz w:val="7"/>
                <w:szCs w:val="7"/>
                <w:color w:val="auto"/>
              </w:rPr>
            </w:pPr>
          </w:p>
        </w:tc>
      </w:tr>
      <w:tr>
        <w:trPr>
          <w:trHeight w:val="250"/>
        </w:trPr>
        <w:tc>
          <w:tcPr>
            <w:tcW w:w="1300" w:type="dxa"/>
            <w:vAlign w:val="bottom"/>
          </w:tcPr>
          <w:p>
            <w:pPr>
              <w:ind w:left="40"/>
              <w:spacing w:after="0"/>
              <w:rPr>
                <w:sz w:val="20"/>
                <w:szCs w:val="20"/>
                <w:color w:val="auto"/>
              </w:rPr>
            </w:pPr>
            <w:r>
              <w:rPr>
                <w:rFonts w:ascii="Arial" w:cs="Arial" w:eastAsia="Arial" w:hAnsi="Arial"/>
                <w:sz w:val="17"/>
                <w:szCs w:val="17"/>
                <w:b w:val="1"/>
                <w:bCs w:val="1"/>
                <w:color w:val="auto"/>
              </w:rPr>
              <w:t>Additional</w:t>
            </w:r>
          </w:p>
        </w:tc>
        <w:tc>
          <w:tcPr>
            <w:tcW w:w="320" w:type="dxa"/>
            <w:vAlign w:val="bottom"/>
          </w:tcPr>
          <w:p>
            <w:pPr>
              <w:ind w:left="220"/>
              <w:spacing w:after="0"/>
              <w:rPr>
                <w:sz w:val="20"/>
                <w:szCs w:val="20"/>
                <w:color w:val="auto"/>
              </w:rPr>
            </w:pPr>
            <w:r>
              <w:rPr>
                <w:rFonts w:ascii="Arial" w:cs="Arial" w:eastAsia="Arial" w:hAnsi="Arial"/>
                <w:sz w:val="17"/>
                <w:szCs w:val="17"/>
                <w:color w:val="125288"/>
              </w:rPr>
              <w:t>•</w:t>
            </w:r>
          </w:p>
        </w:tc>
        <w:tc>
          <w:tcPr>
            <w:tcW w:w="2880" w:type="dxa"/>
            <w:vAlign w:val="bottom"/>
          </w:tcPr>
          <w:p>
            <w:pPr>
              <w:ind w:left="60"/>
              <w:spacing w:after="0"/>
              <w:rPr>
                <w:sz w:val="20"/>
                <w:szCs w:val="20"/>
                <w:color w:val="auto"/>
              </w:rPr>
            </w:pPr>
            <w:r>
              <w:rPr>
                <w:rFonts w:ascii="Arial" w:cs="Arial" w:eastAsia="Arial" w:hAnsi="Arial"/>
                <w:sz w:val="17"/>
                <w:szCs w:val="17"/>
                <w:color w:val="auto"/>
              </w:rPr>
              <w:t>A “transformative transaction” clause</w:t>
            </w:r>
          </w:p>
        </w:tc>
        <w:tc>
          <w:tcPr>
            <w:tcW w:w="160" w:type="dxa"/>
            <w:vAlign w:val="bottom"/>
          </w:tcPr>
          <w:p>
            <w:pPr>
              <w:ind w:left="40"/>
              <w:spacing w:after="0"/>
              <w:rPr>
                <w:sz w:val="20"/>
                <w:szCs w:val="20"/>
                <w:color w:val="auto"/>
              </w:rPr>
            </w:pPr>
            <w:r>
              <w:rPr>
                <w:rFonts w:ascii="Arial" w:cs="Arial" w:eastAsia="Arial" w:hAnsi="Arial"/>
                <w:sz w:val="17"/>
                <w:szCs w:val="17"/>
                <w:color w:val="125288"/>
              </w:rPr>
              <w:t>•</w:t>
            </w:r>
          </w:p>
        </w:tc>
        <w:tc>
          <w:tcPr>
            <w:tcW w:w="3220" w:type="dxa"/>
            <w:vAlign w:val="bottom"/>
          </w:tcPr>
          <w:p>
            <w:pPr>
              <w:ind w:left="40"/>
              <w:spacing w:after="0"/>
              <w:rPr>
                <w:sz w:val="20"/>
                <w:szCs w:val="20"/>
                <w:color w:val="auto"/>
              </w:rPr>
            </w:pPr>
            <w:r>
              <w:rPr>
                <w:rFonts w:ascii="Arial" w:cs="Arial" w:eastAsia="Arial" w:hAnsi="Arial"/>
                <w:sz w:val="17"/>
                <w:szCs w:val="17"/>
                <w:color w:val="auto"/>
              </w:rPr>
              <w:t>Eliminated applicability of this provision</w:t>
            </w:r>
          </w:p>
        </w:tc>
        <w:tc>
          <w:tcPr>
            <w:tcW w:w="3380" w:type="dxa"/>
            <w:vAlign w:val="bottom"/>
          </w:tcPr>
          <w:p>
            <w:pPr>
              <w:spacing w:after="0"/>
              <w:rPr>
                <w:sz w:val="21"/>
                <w:szCs w:val="21"/>
                <w:color w:val="auto"/>
              </w:rPr>
            </w:pPr>
          </w:p>
        </w:tc>
      </w:tr>
      <w:tr>
        <w:trPr>
          <w:trHeight w:val="230"/>
        </w:trPr>
        <w:tc>
          <w:tcPr>
            <w:tcW w:w="1300" w:type="dxa"/>
            <w:vAlign w:val="bottom"/>
          </w:tcPr>
          <w:p>
            <w:pPr>
              <w:ind w:left="40"/>
              <w:spacing w:after="0"/>
              <w:rPr>
                <w:sz w:val="20"/>
                <w:szCs w:val="20"/>
                <w:color w:val="auto"/>
              </w:rPr>
            </w:pPr>
            <w:r>
              <w:rPr>
                <w:rFonts w:ascii="Arial" w:cs="Arial" w:eastAsia="Arial" w:hAnsi="Arial"/>
                <w:sz w:val="17"/>
                <w:szCs w:val="17"/>
                <w:b w:val="1"/>
                <w:bCs w:val="1"/>
                <w:color w:val="auto"/>
              </w:rPr>
              <w:t>Provisions</w:t>
            </w:r>
          </w:p>
        </w:tc>
        <w:tc>
          <w:tcPr>
            <w:tcW w:w="3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7"/>
                <w:szCs w:val="17"/>
                <w:color w:val="auto"/>
                <w:w w:val="98"/>
              </w:rPr>
              <w:t>created a possible additional payment</w:t>
            </w:r>
          </w:p>
        </w:tc>
        <w:tc>
          <w:tcPr>
            <w:tcW w:w="16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190"/>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tcPr>
          <w:p>
            <w:pPr>
              <w:ind w:left="60"/>
              <w:spacing w:after="0" w:line="190" w:lineRule="exact"/>
              <w:rPr>
                <w:sz w:val="20"/>
                <w:szCs w:val="20"/>
                <w:color w:val="auto"/>
              </w:rPr>
            </w:pPr>
            <w:r>
              <w:rPr>
                <w:rFonts w:ascii="Arial" w:cs="Arial" w:eastAsia="Arial" w:hAnsi="Arial"/>
                <w:sz w:val="17"/>
                <w:szCs w:val="17"/>
                <w:color w:val="auto"/>
              </w:rPr>
              <w:t>in the event of a significant</w:t>
            </w:r>
          </w:p>
        </w:tc>
        <w:tc>
          <w:tcPr>
            <w:tcW w:w="1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190"/>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tcPr>
          <w:p>
            <w:pPr>
              <w:ind w:left="60"/>
              <w:spacing w:after="0" w:line="190" w:lineRule="exact"/>
              <w:rPr>
                <w:sz w:val="20"/>
                <w:szCs w:val="20"/>
                <w:color w:val="auto"/>
              </w:rPr>
            </w:pPr>
            <w:r>
              <w:rPr>
                <w:rFonts w:ascii="Arial" w:cs="Arial" w:eastAsia="Arial" w:hAnsi="Arial"/>
                <w:sz w:val="17"/>
                <w:szCs w:val="17"/>
                <w:color w:val="auto"/>
                <w:w w:val="98"/>
              </w:rPr>
              <w:t>transaction that resulted in substantial</w:t>
            </w:r>
          </w:p>
        </w:tc>
        <w:tc>
          <w:tcPr>
            <w:tcW w:w="1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190"/>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tcPr>
          <w:p>
            <w:pPr>
              <w:ind w:left="60"/>
              <w:spacing w:after="0" w:line="190" w:lineRule="exact"/>
              <w:rPr>
                <w:sz w:val="20"/>
                <w:szCs w:val="20"/>
                <w:color w:val="auto"/>
              </w:rPr>
            </w:pPr>
            <w:r>
              <w:rPr>
                <w:rFonts w:ascii="Arial" w:cs="Arial" w:eastAsia="Arial" w:hAnsi="Arial"/>
                <w:sz w:val="17"/>
                <w:szCs w:val="17"/>
                <w:color w:val="auto"/>
              </w:rPr>
              <w:t>and sustained shareholder value</w:t>
            </w:r>
          </w:p>
        </w:tc>
        <w:tc>
          <w:tcPr>
            <w:tcW w:w="1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201"/>
        </w:trPr>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80" w:type="dxa"/>
            <w:vAlign w:val="bottom"/>
          </w:tcPr>
          <w:p>
            <w:pPr>
              <w:ind w:left="60"/>
              <w:spacing w:after="0"/>
              <w:rPr>
                <w:sz w:val="20"/>
                <w:szCs w:val="20"/>
                <w:color w:val="auto"/>
              </w:rPr>
            </w:pPr>
            <w:r>
              <w:rPr>
                <w:rFonts w:ascii="Arial" w:cs="Arial" w:eastAsia="Arial" w:hAnsi="Arial"/>
                <w:sz w:val="17"/>
                <w:szCs w:val="17"/>
                <w:color w:val="auto"/>
              </w:rPr>
              <w:t>creation</w:t>
            </w:r>
          </w:p>
        </w:tc>
        <w:tc>
          <w:tcPr>
            <w:tcW w:w="1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370"/>
        </w:trPr>
        <w:tc>
          <w:tcPr>
            <w:tcW w:w="1300" w:type="dxa"/>
            <w:vAlign w:val="bottom"/>
          </w:tcPr>
          <w:p>
            <w:pPr>
              <w:spacing w:after="0"/>
              <w:rPr>
                <w:sz w:val="24"/>
                <w:szCs w:val="24"/>
                <w:color w:val="auto"/>
              </w:rPr>
            </w:pPr>
          </w:p>
        </w:tc>
        <w:tc>
          <w:tcPr>
            <w:tcW w:w="320" w:type="dxa"/>
            <w:vAlign w:val="bottom"/>
          </w:tcPr>
          <w:p>
            <w:pPr>
              <w:ind w:left="220"/>
              <w:spacing w:after="0"/>
              <w:rPr>
                <w:sz w:val="20"/>
                <w:szCs w:val="20"/>
                <w:color w:val="auto"/>
              </w:rPr>
            </w:pPr>
            <w:r>
              <w:rPr>
                <w:rFonts w:ascii="Arial" w:cs="Arial" w:eastAsia="Arial" w:hAnsi="Arial"/>
                <w:sz w:val="17"/>
                <w:szCs w:val="17"/>
                <w:color w:val="125288"/>
              </w:rPr>
              <w:t>•</w:t>
            </w:r>
          </w:p>
        </w:tc>
        <w:tc>
          <w:tcPr>
            <w:tcW w:w="2880" w:type="dxa"/>
            <w:vAlign w:val="bottom"/>
          </w:tcPr>
          <w:p>
            <w:pPr>
              <w:ind w:left="60"/>
              <w:spacing w:after="0"/>
              <w:rPr>
                <w:sz w:val="20"/>
                <w:szCs w:val="20"/>
                <w:color w:val="auto"/>
              </w:rPr>
            </w:pPr>
            <w:r>
              <w:rPr>
                <w:rFonts w:ascii="Arial" w:cs="Arial" w:eastAsia="Arial" w:hAnsi="Arial"/>
                <w:sz w:val="17"/>
                <w:szCs w:val="17"/>
                <w:color w:val="auto"/>
              </w:rPr>
              <w:t>A “shareholder value creation</w:t>
            </w:r>
          </w:p>
        </w:tc>
        <w:tc>
          <w:tcPr>
            <w:tcW w:w="160" w:type="dxa"/>
            <w:vAlign w:val="bottom"/>
          </w:tcPr>
          <w:p>
            <w:pPr>
              <w:ind w:left="40"/>
              <w:spacing w:after="0"/>
              <w:rPr>
                <w:sz w:val="20"/>
                <w:szCs w:val="20"/>
                <w:color w:val="auto"/>
              </w:rPr>
            </w:pPr>
            <w:r>
              <w:rPr>
                <w:rFonts w:ascii="Arial" w:cs="Arial" w:eastAsia="Arial" w:hAnsi="Arial"/>
                <w:sz w:val="17"/>
                <w:szCs w:val="17"/>
                <w:color w:val="125288"/>
              </w:rPr>
              <w:t>•</w:t>
            </w:r>
          </w:p>
        </w:tc>
        <w:tc>
          <w:tcPr>
            <w:tcW w:w="3220" w:type="dxa"/>
            <w:vAlign w:val="bottom"/>
          </w:tcPr>
          <w:p>
            <w:pPr>
              <w:ind w:left="40"/>
              <w:spacing w:after="0"/>
              <w:rPr>
                <w:sz w:val="20"/>
                <w:szCs w:val="20"/>
                <w:color w:val="auto"/>
              </w:rPr>
            </w:pPr>
            <w:r>
              <w:rPr>
                <w:rFonts w:ascii="Arial" w:cs="Arial" w:eastAsia="Arial" w:hAnsi="Arial"/>
                <w:sz w:val="17"/>
                <w:szCs w:val="17"/>
                <w:color w:val="auto"/>
              </w:rPr>
              <w:t>This provision does not apply to any</w:t>
            </w:r>
          </w:p>
        </w:tc>
        <w:tc>
          <w:tcPr>
            <w:tcW w:w="3380" w:type="dxa"/>
            <w:vAlign w:val="bottom"/>
          </w:tcPr>
          <w:p>
            <w:pPr>
              <w:spacing w:after="0"/>
              <w:rPr>
                <w:sz w:val="24"/>
                <w:szCs w:val="24"/>
                <w:color w:val="auto"/>
              </w:rPr>
            </w:pPr>
          </w:p>
        </w:tc>
      </w:tr>
      <w:tr>
        <w:trPr>
          <w:trHeight w:val="190"/>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tcPr>
          <w:p>
            <w:pPr>
              <w:ind w:left="60"/>
              <w:spacing w:after="0" w:line="190" w:lineRule="exact"/>
              <w:rPr>
                <w:sz w:val="20"/>
                <w:szCs w:val="20"/>
                <w:color w:val="auto"/>
              </w:rPr>
            </w:pPr>
            <w:r>
              <w:rPr>
                <w:rFonts w:ascii="Arial" w:cs="Arial" w:eastAsia="Arial" w:hAnsi="Arial"/>
                <w:sz w:val="17"/>
                <w:szCs w:val="17"/>
                <w:color w:val="auto"/>
              </w:rPr>
              <w:t>incentive” provided for certain LTI</w:t>
            </w:r>
          </w:p>
        </w:tc>
        <w:tc>
          <w:tcPr>
            <w:tcW w:w="160" w:type="dxa"/>
            <w:vAlign w:val="bottom"/>
          </w:tcPr>
          <w:p>
            <w:pPr>
              <w:spacing w:after="0"/>
              <w:rPr>
                <w:sz w:val="16"/>
                <w:szCs w:val="16"/>
                <w:color w:val="auto"/>
              </w:rPr>
            </w:pPr>
          </w:p>
        </w:tc>
        <w:tc>
          <w:tcPr>
            <w:tcW w:w="3220" w:type="dxa"/>
            <w:vAlign w:val="bottom"/>
          </w:tcPr>
          <w:p>
            <w:pPr>
              <w:ind w:left="40"/>
              <w:spacing w:after="0" w:line="190" w:lineRule="exact"/>
              <w:rPr>
                <w:sz w:val="20"/>
                <w:szCs w:val="20"/>
                <w:color w:val="auto"/>
              </w:rPr>
            </w:pPr>
            <w:r>
              <w:rPr>
                <w:rFonts w:ascii="Arial" w:cs="Arial" w:eastAsia="Arial" w:hAnsi="Arial"/>
                <w:sz w:val="17"/>
                <w:szCs w:val="17"/>
                <w:color w:val="auto"/>
              </w:rPr>
              <w:t>outstanding awards and will not apply to</w:t>
            </w:r>
          </w:p>
        </w:tc>
        <w:tc>
          <w:tcPr>
            <w:tcW w:w="3380" w:type="dxa"/>
            <w:vAlign w:val="bottom"/>
          </w:tcPr>
          <w:p>
            <w:pPr>
              <w:spacing w:after="0"/>
              <w:rPr>
                <w:sz w:val="16"/>
                <w:szCs w:val="16"/>
                <w:color w:val="auto"/>
              </w:rPr>
            </w:pPr>
          </w:p>
        </w:tc>
      </w:tr>
      <w:tr>
        <w:trPr>
          <w:trHeight w:val="190"/>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tcPr>
          <w:p>
            <w:pPr>
              <w:ind w:left="60"/>
              <w:spacing w:after="0" w:line="190" w:lineRule="exact"/>
              <w:rPr>
                <w:sz w:val="20"/>
                <w:szCs w:val="20"/>
                <w:color w:val="auto"/>
              </w:rPr>
            </w:pPr>
            <w:r>
              <w:rPr>
                <w:rFonts w:ascii="Arial" w:cs="Arial" w:eastAsia="Arial" w:hAnsi="Arial"/>
                <w:sz w:val="17"/>
                <w:szCs w:val="17"/>
                <w:color w:val="auto"/>
              </w:rPr>
              <w:t>awards to be accelerated and paid at</w:t>
            </w:r>
          </w:p>
        </w:tc>
        <w:tc>
          <w:tcPr>
            <w:tcW w:w="160" w:type="dxa"/>
            <w:vAlign w:val="bottom"/>
          </w:tcPr>
          <w:p>
            <w:pPr>
              <w:spacing w:after="0"/>
              <w:rPr>
                <w:sz w:val="16"/>
                <w:szCs w:val="16"/>
                <w:color w:val="auto"/>
              </w:rPr>
            </w:pPr>
          </w:p>
        </w:tc>
        <w:tc>
          <w:tcPr>
            <w:tcW w:w="3220" w:type="dxa"/>
            <w:vAlign w:val="bottom"/>
          </w:tcPr>
          <w:p>
            <w:pPr>
              <w:ind w:left="40"/>
              <w:spacing w:after="0" w:line="190" w:lineRule="exact"/>
              <w:rPr>
                <w:sz w:val="20"/>
                <w:szCs w:val="20"/>
                <w:color w:val="auto"/>
              </w:rPr>
            </w:pPr>
            <w:r>
              <w:rPr>
                <w:rFonts w:ascii="Arial" w:cs="Arial" w:eastAsia="Arial" w:hAnsi="Arial"/>
                <w:sz w:val="17"/>
                <w:szCs w:val="17"/>
                <w:color w:val="auto"/>
              </w:rPr>
              <w:t>grants made after April 28, 2021</w:t>
            </w:r>
          </w:p>
        </w:tc>
        <w:tc>
          <w:tcPr>
            <w:tcW w:w="3380" w:type="dxa"/>
            <w:vAlign w:val="bottom"/>
          </w:tcPr>
          <w:p>
            <w:pPr>
              <w:spacing w:after="0"/>
              <w:rPr>
                <w:sz w:val="16"/>
                <w:szCs w:val="16"/>
                <w:color w:val="auto"/>
              </w:rPr>
            </w:pPr>
          </w:p>
        </w:tc>
      </w:tr>
      <w:tr>
        <w:trPr>
          <w:trHeight w:val="190"/>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tcPr>
          <w:p>
            <w:pPr>
              <w:ind w:left="60"/>
              <w:spacing w:after="0" w:line="190" w:lineRule="exact"/>
              <w:rPr>
                <w:sz w:val="20"/>
                <w:szCs w:val="20"/>
                <w:color w:val="auto"/>
              </w:rPr>
            </w:pPr>
            <w:r>
              <w:rPr>
                <w:rFonts w:ascii="Arial" w:cs="Arial" w:eastAsia="Arial" w:hAnsi="Arial"/>
                <w:sz w:val="17"/>
                <w:szCs w:val="17"/>
                <w:color w:val="auto"/>
              </w:rPr>
              <w:t>maximum levels if the Company’s</w:t>
            </w:r>
          </w:p>
        </w:tc>
        <w:tc>
          <w:tcPr>
            <w:tcW w:w="1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190"/>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tcPr>
          <w:p>
            <w:pPr>
              <w:ind w:left="60"/>
              <w:spacing w:after="0" w:line="190" w:lineRule="exact"/>
              <w:rPr>
                <w:sz w:val="20"/>
                <w:szCs w:val="20"/>
                <w:color w:val="auto"/>
              </w:rPr>
            </w:pPr>
            <w:r>
              <w:rPr>
                <w:rFonts w:ascii="Arial" w:cs="Arial" w:eastAsia="Arial" w:hAnsi="Arial"/>
                <w:sz w:val="17"/>
                <w:szCs w:val="17"/>
                <w:color w:val="auto"/>
                <w:w w:val="98"/>
              </w:rPr>
              <w:t>stock price doubled during the term of</w:t>
            </w:r>
          </w:p>
        </w:tc>
        <w:tc>
          <w:tcPr>
            <w:tcW w:w="1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201"/>
        </w:trPr>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80" w:type="dxa"/>
            <w:vAlign w:val="bottom"/>
          </w:tcPr>
          <w:p>
            <w:pPr>
              <w:ind w:left="60"/>
              <w:spacing w:after="0"/>
              <w:rPr>
                <w:sz w:val="20"/>
                <w:szCs w:val="20"/>
                <w:color w:val="auto"/>
              </w:rPr>
            </w:pPr>
            <w:r>
              <w:rPr>
                <w:rFonts w:ascii="Arial" w:cs="Arial" w:eastAsia="Arial" w:hAnsi="Arial"/>
                <w:sz w:val="17"/>
                <w:szCs w:val="17"/>
                <w:color w:val="auto"/>
              </w:rPr>
              <w:t>the agreement*</w:t>
            </w:r>
          </w:p>
        </w:tc>
        <w:tc>
          <w:tcPr>
            <w:tcW w:w="1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3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148830" cy="152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135" w:lineRule="exact"/>
        <w:rPr>
          <w:sz w:val="20"/>
          <w:szCs w:val="20"/>
          <w:color w:val="auto"/>
        </w:rPr>
      </w:pPr>
    </w:p>
    <w:p>
      <w:pPr>
        <w:jc w:val="both"/>
        <w:ind w:left="320" w:right="80" w:hanging="277"/>
        <w:spacing w:after="0" w:line="252" w:lineRule="auto"/>
        <w:tabs>
          <w:tab w:leader="none" w:pos="3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In August 2021, the Compensation Committee certified that the performance criteria underlying the “shareholder value creation incentive” provision in Section 12 of the Kotick Employment Agreement had been achieved, as, prior to December 31, 2021, the average closing price of our Common Stock had exceeded $79.96—thereby doubling in value (based on the average closing price of our Common Stock during the period from October 1, 2016 to December 31, 2016 of $39.98)—and remained at or above that level for at least 90 consecutive trading days. See “Employment Agreements—Robert Kotick—Shareholder Value Creation Incentive” below.</w:t>
      </w:r>
    </w:p>
    <w:p>
      <w:pPr>
        <w:spacing w:after="0" w:line="288"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66" w:name="page67"/>
    <w:bookmarkEnd w:id="66"/>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COMPENSATION PHILOSOPHY</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We offer competitive total compensation to attract, retain, and motivate key executives who have the characteristics needed to operate in our industry most effectively. Annual and long-term incentive awards are linked to the Company’s financial performance and stock price, incentivizing executives to drive corporate performance. In addition, our executive officers are rewarded based on the extent to which they achieve the predetermined strategic objectives our Compensation Committee sets for each of them. This approach is designed to hold our executive officers accountable for our performance and thereby align their interests with those of our shareholders.</w:t>
      </w:r>
    </w:p>
    <w:p>
      <w:pPr>
        <w:spacing w:after="0" w:line="132" w:lineRule="exact"/>
        <w:rPr>
          <w:sz w:val="20"/>
          <w:szCs w:val="20"/>
          <w:color w:val="auto"/>
        </w:rPr>
      </w:pPr>
    </w:p>
    <w:p>
      <w:pPr>
        <w:jc w:val="both"/>
        <w:ind w:right="20"/>
        <w:spacing w:after="0" w:line="271" w:lineRule="auto"/>
        <w:rPr>
          <w:sz w:val="20"/>
          <w:szCs w:val="20"/>
          <w:color w:val="auto"/>
        </w:rPr>
      </w:pPr>
      <w:r>
        <w:rPr>
          <w:rFonts w:ascii="Arial" w:cs="Arial" w:eastAsia="Arial" w:hAnsi="Arial"/>
          <w:sz w:val="19"/>
          <w:szCs w:val="19"/>
          <w:color w:val="auto"/>
        </w:rPr>
        <w:t>The following table illustrates certain elements of our executive compensation program, with a focus on the performance-based incentives we use.</w:t>
      </w:r>
      <w:r>
        <w:rPr>
          <w:rFonts w:ascii="Arial" w:cs="Arial" w:eastAsia="Arial" w:hAnsi="Arial"/>
          <w:sz w:val="21"/>
          <w:szCs w:val="21"/>
          <w:color w:val="auto"/>
          <w:vertAlign w:val="superscript"/>
        </w:rPr>
        <w:t>(1)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820" w:type="dxa"/>
            <w:vAlign w:val="bottom"/>
          </w:tcPr>
          <w:p>
            <w:pPr>
              <w:jc w:val="center"/>
              <w:ind w:right="103"/>
              <w:spacing w:after="0"/>
              <w:rPr>
                <w:sz w:val="20"/>
                <w:szCs w:val="20"/>
                <w:color w:val="auto"/>
              </w:rPr>
            </w:pPr>
            <w:r>
              <w:rPr>
                <w:rFonts w:ascii="Arial" w:cs="Arial" w:eastAsia="Arial" w:hAnsi="Arial"/>
                <w:sz w:val="15"/>
                <w:szCs w:val="15"/>
                <w:b w:val="1"/>
                <w:bCs w:val="1"/>
                <w:color w:val="125288"/>
              </w:rPr>
              <w:t>Service</w:t>
            </w:r>
          </w:p>
        </w:tc>
        <w:tc>
          <w:tcPr>
            <w:tcW w:w="3460" w:type="dxa"/>
            <w:vAlign w:val="bottom"/>
          </w:tcPr>
          <w:p>
            <w:pPr>
              <w:jc w:val="center"/>
              <w:ind w:right="43"/>
              <w:spacing w:after="0"/>
              <w:rPr>
                <w:sz w:val="20"/>
                <w:szCs w:val="20"/>
                <w:color w:val="auto"/>
              </w:rPr>
            </w:pPr>
            <w:r>
              <w:rPr>
                <w:rFonts w:ascii="Arial" w:cs="Arial" w:eastAsia="Arial" w:hAnsi="Arial"/>
                <w:sz w:val="15"/>
                <w:szCs w:val="15"/>
                <w:b w:val="1"/>
                <w:bCs w:val="1"/>
                <w:color w:val="125288"/>
              </w:rPr>
              <w:t>Performance</w:t>
            </w:r>
          </w:p>
        </w:tc>
      </w:tr>
      <w:tr>
        <w:trPr>
          <w:trHeight w:val="214"/>
        </w:trPr>
        <w:tc>
          <w:tcPr>
            <w:tcW w:w="1880" w:type="dxa"/>
            <w:vAlign w:val="bottom"/>
          </w:tcPr>
          <w:p>
            <w:pPr>
              <w:ind w:left="40"/>
              <w:spacing w:after="0"/>
              <w:rPr>
                <w:sz w:val="20"/>
                <w:szCs w:val="20"/>
                <w:color w:val="auto"/>
              </w:rPr>
            </w:pPr>
            <w:r>
              <w:rPr>
                <w:rFonts w:ascii="Arial" w:cs="Arial" w:eastAsia="Arial" w:hAnsi="Arial"/>
                <w:sz w:val="15"/>
                <w:szCs w:val="15"/>
                <w:b w:val="1"/>
                <w:bCs w:val="1"/>
                <w:color w:val="125288"/>
              </w:rPr>
              <w:t>Name</w:t>
            </w:r>
          </w:p>
        </w:tc>
        <w:tc>
          <w:tcPr>
            <w:tcW w:w="3100" w:type="dxa"/>
            <w:vAlign w:val="bottom"/>
          </w:tcPr>
          <w:p>
            <w:pPr>
              <w:ind w:left="1420"/>
              <w:spacing w:after="0"/>
              <w:rPr>
                <w:sz w:val="20"/>
                <w:szCs w:val="20"/>
                <w:color w:val="auto"/>
              </w:rPr>
            </w:pPr>
            <w:r>
              <w:rPr>
                <w:rFonts w:ascii="Arial" w:cs="Arial" w:eastAsia="Arial" w:hAnsi="Arial"/>
                <w:sz w:val="15"/>
                <w:szCs w:val="15"/>
                <w:b w:val="1"/>
                <w:bCs w:val="1"/>
                <w:color w:val="125288"/>
              </w:rPr>
              <w:t>Program</w:t>
            </w:r>
          </w:p>
        </w:tc>
        <w:tc>
          <w:tcPr>
            <w:tcW w:w="2820" w:type="dxa"/>
            <w:vAlign w:val="bottom"/>
          </w:tcPr>
          <w:p>
            <w:pPr>
              <w:jc w:val="center"/>
              <w:ind w:right="63"/>
              <w:spacing w:after="0"/>
              <w:rPr>
                <w:sz w:val="20"/>
                <w:szCs w:val="20"/>
                <w:color w:val="auto"/>
              </w:rPr>
            </w:pPr>
            <w:r>
              <w:rPr>
                <w:rFonts w:ascii="Arial" w:cs="Arial" w:eastAsia="Arial" w:hAnsi="Arial"/>
                <w:sz w:val="15"/>
                <w:szCs w:val="15"/>
                <w:b w:val="1"/>
                <w:bCs w:val="1"/>
                <w:color w:val="125288"/>
              </w:rPr>
              <w:t>Period</w:t>
            </w:r>
          </w:p>
        </w:tc>
        <w:tc>
          <w:tcPr>
            <w:tcW w:w="3460" w:type="dxa"/>
            <w:vAlign w:val="bottom"/>
          </w:tcPr>
          <w:p>
            <w:pPr>
              <w:jc w:val="center"/>
              <w:ind w:right="43"/>
              <w:spacing w:after="0"/>
              <w:rPr>
                <w:sz w:val="20"/>
                <w:szCs w:val="20"/>
                <w:color w:val="auto"/>
              </w:rPr>
            </w:pPr>
            <w:r>
              <w:rPr>
                <w:rFonts w:ascii="Arial" w:cs="Arial" w:eastAsia="Arial" w:hAnsi="Arial"/>
                <w:sz w:val="15"/>
                <w:szCs w:val="15"/>
                <w:b w:val="1"/>
                <w:bCs w:val="1"/>
                <w:color w:val="125288"/>
              </w:rPr>
              <w:t>Linkage</w:t>
            </w:r>
          </w:p>
        </w:tc>
      </w:tr>
      <w:tr>
        <w:trPr>
          <w:trHeight w:val="41"/>
        </w:trPr>
        <w:tc>
          <w:tcPr>
            <w:tcW w:w="1880" w:type="dxa"/>
            <w:vAlign w:val="bottom"/>
            <w:tcBorders>
              <w:bottom w:val="single" w:sz="8" w:color="125288"/>
            </w:tcBorders>
          </w:tcPr>
          <w:p>
            <w:pPr>
              <w:spacing w:after="0"/>
              <w:rPr>
                <w:sz w:val="3"/>
                <w:szCs w:val="3"/>
                <w:color w:val="auto"/>
              </w:rPr>
            </w:pPr>
          </w:p>
        </w:tc>
        <w:tc>
          <w:tcPr>
            <w:tcW w:w="3100" w:type="dxa"/>
            <w:vAlign w:val="bottom"/>
            <w:tcBorders>
              <w:bottom w:val="single" w:sz="8" w:color="125288"/>
            </w:tcBorders>
          </w:tcPr>
          <w:p>
            <w:pPr>
              <w:spacing w:after="0"/>
              <w:rPr>
                <w:sz w:val="3"/>
                <w:szCs w:val="3"/>
                <w:color w:val="auto"/>
              </w:rPr>
            </w:pPr>
          </w:p>
        </w:tc>
        <w:tc>
          <w:tcPr>
            <w:tcW w:w="2820" w:type="dxa"/>
            <w:vAlign w:val="bottom"/>
            <w:tcBorders>
              <w:bottom w:val="single" w:sz="8" w:color="125288"/>
            </w:tcBorders>
          </w:tcPr>
          <w:p>
            <w:pPr>
              <w:spacing w:after="0"/>
              <w:rPr>
                <w:sz w:val="3"/>
                <w:szCs w:val="3"/>
                <w:color w:val="auto"/>
              </w:rPr>
            </w:pPr>
          </w:p>
        </w:tc>
        <w:tc>
          <w:tcPr>
            <w:tcW w:w="3460" w:type="dxa"/>
            <w:vAlign w:val="bottom"/>
            <w:tcBorders>
              <w:bottom w:val="single" w:sz="8" w:color="125288"/>
            </w:tcBorders>
          </w:tcPr>
          <w:p>
            <w:pPr>
              <w:spacing w:after="0"/>
              <w:rPr>
                <w:sz w:val="3"/>
                <w:szCs w:val="3"/>
                <w:color w:val="auto"/>
              </w:rPr>
            </w:pPr>
          </w:p>
        </w:tc>
      </w:tr>
    </w:tbl>
    <w:p>
      <w:pPr>
        <w:spacing w:after="0" w:line="55" w:lineRule="exact"/>
        <w:rPr>
          <w:sz w:val="20"/>
          <w:szCs w:val="20"/>
          <w:color w:val="auto"/>
        </w:rPr>
      </w:pPr>
    </w:p>
    <w:p>
      <w:pPr>
        <w:sectPr>
          <w:pgSz w:w="11900" w:h="16838" w:orient="portrait"/>
          <w:cols w:equalWidth="0" w:num="1">
            <w:col w:w="11260"/>
          </w:cols>
          <w:pgMar w:left="320" w:top="144" w:right="319" w:bottom="1440" w:gutter="0" w:footer="0" w:header="0"/>
        </w:sectPr>
      </w:pPr>
    </w:p>
    <w:p>
      <w:pPr>
        <w:ind w:left="40"/>
        <w:spacing w:after="0"/>
        <w:rPr>
          <w:sz w:val="20"/>
          <w:szCs w:val="20"/>
          <w:color w:val="auto"/>
        </w:rPr>
      </w:pPr>
      <w:r>
        <w:rPr>
          <w:rFonts w:ascii="Arial" w:cs="Arial" w:eastAsia="Arial" w:hAnsi="Arial"/>
          <w:sz w:val="17"/>
          <w:szCs w:val="17"/>
          <w:b w:val="1"/>
          <w:bCs w:val="1"/>
          <w:color w:val="auto"/>
        </w:rPr>
        <w:t>Annual</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incentive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2580" w:val="left"/>
        </w:tabs>
        <w:rPr>
          <w:sz w:val="20"/>
          <w:szCs w:val="20"/>
          <w:color w:val="auto"/>
        </w:rPr>
      </w:pPr>
      <w:r>
        <w:rPr>
          <w:rFonts w:ascii="Arial" w:cs="Arial" w:eastAsia="Arial" w:hAnsi="Arial"/>
          <w:sz w:val="17"/>
          <w:szCs w:val="17"/>
          <w:color w:val="auto"/>
        </w:rPr>
        <w:t>Corporate Annual Incentive Plan</w:t>
      </w:r>
      <w:r>
        <w:rPr>
          <w:sz w:val="20"/>
          <w:szCs w:val="20"/>
          <w:color w:val="auto"/>
        </w:rPr>
        <w:tab/>
      </w:r>
      <w:r>
        <w:rPr>
          <w:rFonts w:ascii="Arial" w:cs="Arial" w:eastAsia="Arial" w:hAnsi="Arial"/>
          <w:sz w:val="16"/>
          <w:szCs w:val="16"/>
          <w:color w:val="auto"/>
        </w:rPr>
        <w:t>Generally, 1.2 years from beginning</w:t>
      </w:r>
    </w:p>
    <w:p>
      <w:pPr>
        <w:ind w:left="960"/>
        <w:spacing w:after="0"/>
        <w:tabs>
          <w:tab w:leader="none" w:pos="3080" w:val="left"/>
        </w:tabs>
        <w:rPr>
          <w:sz w:val="20"/>
          <w:szCs w:val="20"/>
          <w:color w:val="auto"/>
        </w:rPr>
      </w:pPr>
      <w:r>
        <w:rPr>
          <w:rFonts w:ascii="Arial" w:cs="Arial" w:eastAsia="Arial" w:hAnsi="Arial"/>
          <w:sz w:val="17"/>
          <w:szCs w:val="17"/>
          <w:color w:val="auto"/>
        </w:rPr>
        <w:t>(CAIP)</w:t>
      </w:r>
      <w:r>
        <w:rPr>
          <w:sz w:val="20"/>
          <w:szCs w:val="20"/>
          <w:color w:val="auto"/>
        </w:rPr>
        <w:tab/>
      </w:r>
      <w:r>
        <w:rPr>
          <w:rFonts w:ascii="Arial" w:cs="Arial" w:eastAsia="Arial" w:hAnsi="Arial"/>
          <w:sz w:val="17"/>
          <w:szCs w:val="17"/>
          <w:color w:val="auto"/>
        </w:rPr>
        <w:t>of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462280</wp:posOffset>
            </wp:positionV>
            <wp:extent cx="7148830" cy="152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80% financial:</w:t>
      </w:r>
    </w:p>
    <w:p>
      <w:pPr>
        <w:spacing w:after="0" w:line="30" w:lineRule="exact"/>
        <w:rPr>
          <w:sz w:val="20"/>
          <w:szCs w:val="20"/>
          <w:color w:val="auto"/>
        </w:rPr>
      </w:pPr>
    </w:p>
    <w:p>
      <w:pPr>
        <w:ind w:left="160" w:hanging="152"/>
        <w:spacing w:after="0"/>
        <w:tabs>
          <w:tab w:leader="none" w:pos="160" w:val="left"/>
        </w:tabs>
        <w:numPr>
          <w:ilvl w:val="0"/>
          <w:numId w:val="82"/>
        </w:numPr>
        <w:rPr>
          <w:rFonts w:ascii="Arial" w:cs="Arial" w:eastAsia="Arial" w:hAnsi="Arial"/>
          <w:sz w:val="17"/>
          <w:szCs w:val="17"/>
          <w:color w:val="125288"/>
        </w:rPr>
      </w:pPr>
      <w:r>
        <w:rPr>
          <w:rFonts w:ascii="Arial" w:cs="Arial" w:eastAsia="Arial" w:hAnsi="Arial"/>
          <w:sz w:val="17"/>
          <w:szCs w:val="17"/>
          <w:color w:val="auto"/>
        </w:rPr>
        <w:t>48% AB Adjusted OI</w:t>
      </w:r>
    </w:p>
    <w:p>
      <w:pPr>
        <w:spacing w:after="0" w:line="30" w:lineRule="exact"/>
        <w:rPr>
          <w:rFonts w:ascii="Arial" w:cs="Arial" w:eastAsia="Arial" w:hAnsi="Arial"/>
          <w:sz w:val="17"/>
          <w:szCs w:val="17"/>
          <w:color w:val="125288"/>
        </w:rPr>
      </w:pPr>
    </w:p>
    <w:p>
      <w:pPr>
        <w:ind w:left="160" w:hanging="152"/>
        <w:spacing w:after="0"/>
        <w:tabs>
          <w:tab w:leader="none" w:pos="160" w:val="left"/>
        </w:tabs>
        <w:numPr>
          <w:ilvl w:val="0"/>
          <w:numId w:val="82"/>
        </w:numPr>
        <w:rPr>
          <w:rFonts w:ascii="Arial" w:cs="Arial" w:eastAsia="Arial" w:hAnsi="Arial"/>
          <w:sz w:val="17"/>
          <w:szCs w:val="17"/>
          <w:color w:val="125288"/>
        </w:rPr>
      </w:pPr>
      <w:r>
        <w:rPr>
          <w:rFonts w:ascii="Arial" w:cs="Arial" w:eastAsia="Arial" w:hAnsi="Arial"/>
          <w:sz w:val="17"/>
          <w:szCs w:val="17"/>
          <w:color w:val="auto"/>
        </w:rPr>
        <w:t>16% AB Adjusted EPS</w:t>
      </w:r>
    </w:p>
    <w:p>
      <w:pPr>
        <w:spacing w:after="0" w:line="30" w:lineRule="exact"/>
        <w:rPr>
          <w:rFonts w:ascii="Arial" w:cs="Arial" w:eastAsia="Arial" w:hAnsi="Arial"/>
          <w:sz w:val="17"/>
          <w:szCs w:val="17"/>
          <w:color w:val="125288"/>
        </w:rPr>
      </w:pPr>
    </w:p>
    <w:p>
      <w:pPr>
        <w:ind w:left="160" w:hanging="152"/>
        <w:spacing w:after="0"/>
        <w:tabs>
          <w:tab w:leader="none" w:pos="160" w:val="left"/>
        </w:tabs>
        <w:numPr>
          <w:ilvl w:val="0"/>
          <w:numId w:val="82"/>
        </w:numPr>
        <w:rPr>
          <w:rFonts w:ascii="Arial" w:cs="Arial" w:eastAsia="Arial" w:hAnsi="Arial"/>
          <w:sz w:val="17"/>
          <w:szCs w:val="17"/>
          <w:color w:val="125288"/>
        </w:rPr>
      </w:pPr>
      <w:r>
        <w:rPr>
          <w:rFonts w:ascii="Arial" w:cs="Arial" w:eastAsia="Arial" w:hAnsi="Arial"/>
          <w:sz w:val="17"/>
          <w:szCs w:val="17"/>
          <w:color w:val="auto"/>
        </w:rPr>
        <w:t>16% AB Adjusted FCF</w:t>
      </w:r>
    </w:p>
    <w:p>
      <w:pPr>
        <w:spacing w:after="0" w:line="3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20% key annual strategic priorities, described in detail below (see “—Elements of our Executive Compensation Program for 2021”)</w:t>
      </w:r>
    </w:p>
    <w:p>
      <w:pPr>
        <w:spacing w:after="0" w:line="177" w:lineRule="exact"/>
        <w:rPr>
          <w:sz w:val="20"/>
          <w:szCs w:val="20"/>
          <w:color w:val="auto"/>
        </w:rPr>
      </w:pPr>
    </w:p>
    <w:p>
      <w:pPr>
        <w:sectPr>
          <w:pgSz w:w="11900" w:h="16838" w:orient="portrait"/>
          <w:cols w:equalWidth="0" w:num="3">
            <w:col w:w="1700" w:space="720"/>
            <w:col w:w="5220" w:space="360"/>
            <w:col w:w="3260"/>
          </w:cols>
          <w:pgMar w:left="320" w:top="144" w:right="319" w:bottom="1440" w:gutter="0" w:footer="0" w:header="0"/>
          <w:type w:val="continuous"/>
        </w:sectPr>
      </w:pPr>
    </w:p>
    <w:tbl>
      <w:tblPr>
        <w:tblLayout w:type="fixed"/>
        <w:tblInd w:w="40" w:type="dxa"/>
        <w:tblCellMar>
          <w:top w:w="0" w:type="dxa"/>
          <w:left w:w="0" w:type="dxa"/>
          <w:bottom w:w="0" w:type="dxa"/>
          <w:right w:w="0" w:type="dxa"/>
        </w:tblCellMar>
      </w:tblPr>
      <w:tr>
        <w:trPr>
          <w:trHeight w:val="195"/>
        </w:trPr>
        <w:tc>
          <w:tcPr>
            <w:tcW w:w="2220" w:type="dxa"/>
            <w:vAlign w:val="bottom"/>
          </w:tcPr>
          <w:p>
            <w:pPr>
              <w:spacing w:after="0"/>
              <w:rPr>
                <w:sz w:val="16"/>
                <w:szCs w:val="16"/>
                <w:color w:val="auto"/>
              </w:rPr>
            </w:pPr>
          </w:p>
        </w:tc>
        <w:tc>
          <w:tcPr>
            <w:tcW w:w="2560" w:type="dxa"/>
            <w:vAlign w:val="bottom"/>
            <w:vMerge w:val="restart"/>
          </w:tcPr>
          <w:p>
            <w:pPr>
              <w:jc w:val="center"/>
              <w:ind w:left="97"/>
              <w:spacing w:after="0"/>
              <w:rPr>
                <w:sz w:val="20"/>
                <w:szCs w:val="20"/>
                <w:color w:val="auto"/>
              </w:rPr>
            </w:pPr>
            <w:r>
              <w:rPr>
                <w:rFonts w:ascii="Arial" w:cs="Arial" w:eastAsia="Arial" w:hAnsi="Arial"/>
                <w:sz w:val="17"/>
                <w:szCs w:val="17"/>
                <w:color w:val="auto"/>
                <w:w w:val="96"/>
              </w:rPr>
              <w:t>PSUs</w:t>
            </w:r>
          </w:p>
        </w:tc>
        <w:tc>
          <w:tcPr>
            <w:tcW w:w="2840" w:type="dxa"/>
            <w:vAlign w:val="bottom"/>
          </w:tcPr>
          <w:p>
            <w:pPr>
              <w:jc w:val="center"/>
              <w:ind w:left="97"/>
              <w:spacing w:after="0"/>
              <w:rPr>
                <w:sz w:val="20"/>
                <w:szCs w:val="20"/>
                <w:color w:val="auto"/>
              </w:rPr>
            </w:pPr>
            <w:r>
              <w:rPr>
                <w:rFonts w:ascii="Arial" w:cs="Arial" w:eastAsia="Arial" w:hAnsi="Arial"/>
                <w:sz w:val="17"/>
                <w:szCs w:val="17"/>
                <w:color w:val="auto"/>
                <w:w w:val="97"/>
              </w:rPr>
              <w:t>Generally, during 3 ½ years from</w:t>
            </w: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22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2840" w:type="dxa"/>
            <w:vAlign w:val="bottom"/>
            <w:vMerge w:val="restart"/>
          </w:tcPr>
          <w:p>
            <w:pPr>
              <w:jc w:val="center"/>
              <w:ind w:left="97"/>
              <w:spacing w:after="0"/>
              <w:rPr>
                <w:sz w:val="20"/>
                <w:szCs w:val="20"/>
                <w:color w:val="auto"/>
              </w:rPr>
            </w:pPr>
            <w:r>
              <w:rPr>
                <w:rFonts w:ascii="Arial" w:cs="Arial" w:eastAsia="Arial" w:hAnsi="Arial"/>
                <w:sz w:val="17"/>
                <w:szCs w:val="17"/>
                <w:color w:val="auto"/>
                <w:w w:val="97"/>
              </w:rPr>
              <w:t>grant, based on three</w:t>
            </w:r>
          </w:p>
        </w:tc>
        <w:tc>
          <w:tcPr>
            <w:tcW w:w="3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220" w:type="dxa"/>
            <w:vAlign w:val="bottom"/>
          </w:tcPr>
          <w:p>
            <w:pPr>
              <w:spacing w:after="0"/>
              <w:rPr>
                <w:sz w:val="8"/>
                <w:szCs w:val="8"/>
                <w:color w:val="auto"/>
              </w:rPr>
            </w:pPr>
          </w:p>
        </w:tc>
        <w:tc>
          <w:tcPr>
            <w:tcW w:w="2560" w:type="dxa"/>
            <w:vAlign w:val="bottom"/>
            <w:vMerge w:val="restart"/>
          </w:tcPr>
          <w:p>
            <w:pPr>
              <w:jc w:val="center"/>
              <w:ind w:left="97"/>
              <w:spacing w:after="0" w:line="190" w:lineRule="exact"/>
              <w:rPr>
                <w:sz w:val="20"/>
                <w:szCs w:val="20"/>
                <w:color w:val="auto"/>
              </w:rPr>
            </w:pPr>
            <w:r>
              <w:rPr>
                <w:rFonts w:ascii="Arial" w:cs="Arial" w:eastAsia="Arial" w:hAnsi="Arial"/>
                <w:sz w:val="17"/>
                <w:szCs w:val="17"/>
                <w:color w:val="auto"/>
                <w:w w:val="97"/>
              </w:rPr>
              <w:t>(AOP)</w:t>
            </w:r>
          </w:p>
        </w:tc>
        <w:tc>
          <w:tcPr>
            <w:tcW w:w="2840" w:type="dxa"/>
            <w:vAlign w:val="bottom"/>
            <w:vMerge w:val="continue"/>
          </w:tcPr>
          <w:p>
            <w:pPr>
              <w:spacing w:after="0"/>
              <w:rPr>
                <w:sz w:val="8"/>
                <w:szCs w:val="8"/>
                <w:color w:val="auto"/>
              </w:rPr>
            </w:pPr>
          </w:p>
        </w:tc>
        <w:tc>
          <w:tcPr>
            <w:tcW w:w="3600" w:type="dxa"/>
            <w:vAlign w:val="bottom"/>
            <w:vMerge w:val="restart"/>
          </w:tcPr>
          <w:p>
            <w:pPr>
              <w:jc w:val="center"/>
              <w:spacing w:after="0" w:line="190" w:lineRule="exact"/>
              <w:rPr>
                <w:sz w:val="20"/>
                <w:szCs w:val="20"/>
                <w:color w:val="auto"/>
              </w:rPr>
            </w:pPr>
            <w:r>
              <w:rPr>
                <w:rFonts w:ascii="Arial" w:cs="Arial" w:eastAsia="Arial" w:hAnsi="Arial"/>
                <w:sz w:val="17"/>
                <w:szCs w:val="17"/>
                <w:color w:val="auto"/>
                <w:w w:val="97"/>
              </w:rPr>
              <w:t>AB Adjusted OI,</w:t>
            </w:r>
          </w:p>
        </w:tc>
        <w:tc>
          <w:tcPr>
            <w:tcW w:w="0" w:type="dxa"/>
            <w:vAlign w:val="bottom"/>
          </w:tcPr>
          <w:p>
            <w:pPr>
              <w:spacing w:after="0"/>
              <w:rPr>
                <w:sz w:val="1"/>
                <w:szCs w:val="1"/>
                <w:color w:val="auto"/>
              </w:rPr>
            </w:pPr>
          </w:p>
        </w:tc>
      </w:tr>
      <w:tr>
        <w:trPr>
          <w:trHeight w:val="97"/>
        </w:trPr>
        <w:tc>
          <w:tcPr>
            <w:tcW w:w="2220" w:type="dxa"/>
            <w:vAlign w:val="bottom"/>
          </w:tcPr>
          <w:p>
            <w:pPr>
              <w:spacing w:after="0"/>
              <w:rPr>
                <w:sz w:val="8"/>
                <w:szCs w:val="8"/>
                <w:color w:val="auto"/>
              </w:rPr>
            </w:pPr>
          </w:p>
        </w:tc>
        <w:tc>
          <w:tcPr>
            <w:tcW w:w="2560" w:type="dxa"/>
            <w:vAlign w:val="bottom"/>
            <w:vMerge w:val="continue"/>
          </w:tcPr>
          <w:p>
            <w:pPr>
              <w:spacing w:after="0"/>
              <w:rPr>
                <w:sz w:val="8"/>
                <w:szCs w:val="8"/>
                <w:color w:val="auto"/>
              </w:rPr>
            </w:pPr>
          </w:p>
        </w:tc>
        <w:tc>
          <w:tcPr>
            <w:tcW w:w="2840" w:type="dxa"/>
            <w:vAlign w:val="bottom"/>
            <w:vMerge w:val="restart"/>
          </w:tcPr>
          <w:p>
            <w:pPr>
              <w:ind w:left="180"/>
              <w:spacing w:after="0"/>
              <w:rPr>
                <w:sz w:val="20"/>
                <w:szCs w:val="20"/>
                <w:color w:val="auto"/>
              </w:rPr>
            </w:pPr>
            <w:r>
              <w:rPr>
                <w:rFonts w:ascii="Arial" w:cs="Arial" w:eastAsia="Arial" w:hAnsi="Arial"/>
                <w:sz w:val="17"/>
                <w:szCs w:val="17"/>
                <w:color w:val="auto"/>
              </w:rPr>
              <w:t>one-year performance periods</w:t>
            </w:r>
          </w:p>
        </w:tc>
        <w:tc>
          <w:tcPr>
            <w:tcW w:w="3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840" w:type="dxa"/>
            <w:vAlign w:val="bottom"/>
            <w:vMerge w:val="continue"/>
          </w:tcPr>
          <w:p>
            <w:pPr>
              <w:spacing w:after="0"/>
              <w:rPr>
                <w:sz w:val="11"/>
                <w:szCs w:val="11"/>
                <w:color w:val="auto"/>
              </w:rPr>
            </w:pPr>
          </w:p>
        </w:tc>
        <w:tc>
          <w:tcPr>
            <w:tcW w:w="3600" w:type="dxa"/>
            <w:vAlign w:val="bottom"/>
            <w:vMerge w:val="restart"/>
          </w:tcPr>
          <w:p>
            <w:pPr>
              <w:jc w:val="center"/>
              <w:spacing w:after="0" w:line="190" w:lineRule="exact"/>
              <w:rPr>
                <w:sz w:val="20"/>
                <w:szCs w:val="20"/>
                <w:color w:val="auto"/>
              </w:rPr>
            </w:pPr>
            <w:r>
              <w:rPr>
                <w:rFonts w:ascii="Arial" w:cs="Arial" w:eastAsia="Arial" w:hAnsi="Arial"/>
                <w:sz w:val="17"/>
                <w:szCs w:val="17"/>
                <w:color w:val="auto"/>
                <w:w w:val="97"/>
              </w:rPr>
              <w:t>AB Adjusted EPS,</w:t>
            </w:r>
          </w:p>
        </w:tc>
        <w:tc>
          <w:tcPr>
            <w:tcW w:w="0" w:type="dxa"/>
            <w:vAlign w:val="bottom"/>
          </w:tcPr>
          <w:p>
            <w:pPr>
              <w:spacing w:after="0"/>
              <w:rPr>
                <w:sz w:val="1"/>
                <w:szCs w:val="1"/>
                <w:color w:val="auto"/>
              </w:rPr>
            </w:pPr>
          </w:p>
        </w:tc>
      </w:tr>
      <w:tr>
        <w:trPr>
          <w:trHeight w:val="85"/>
        </w:trPr>
        <w:tc>
          <w:tcPr>
            <w:tcW w:w="2220" w:type="dxa"/>
            <w:vAlign w:val="bottom"/>
          </w:tcPr>
          <w:p>
            <w:pPr>
              <w:spacing w:after="0"/>
              <w:rPr>
                <w:sz w:val="7"/>
                <w:szCs w:val="7"/>
                <w:color w:val="auto"/>
              </w:rPr>
            </w:pPr>
          </w:p>
        </w:tc>
        <w:tc>
          <w:tcPr>
            <w:tcW w:w="2560" w:type="dxa"/>
            <w:vAlign w:val="bottom"/>
            <w:tcBorders>
              <w:bottom w:val="single" w:sz="8" w:color="125288"/>
            </w:tcBorders>
          </w:tcPr>
          <w:p>
            <w:pPr>
              <w:spacing w:after="0"/>
              <w:rPr>
                <w:sz w:val="7"/>
                <w:szCs w:val="7"/>
                <w:color w:val="auto"/>
              </w:rPr>
            </w:pPr>
          </w:p>
        </w:tc>
        <w:tc>
          <w:tcPr>
            <w:tcW w:w="2840" w:type="dxa"/>
            <w:vAlign w:val="bottom"/>
            <w:tcBorders>
              <w:bottom w:val="single" w:sz="8" w:color="125288"/>
            </w:tcBorders>
          </w:tcPr>
          <w:p>
            <w:pPr>
              <w:spacing w:after="0"/>
              <w:rPr>
                <w:sz w:val="7"/>
                <w:szCs w:val="7"/>
                <w:color w:val="auto"/>
              </w:rPr>
            </w:pPr>
          </w:p>
        </w:tc>
        <w:tc>
          <w:tcPr>
            <w:tcW w:w="3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220" w:type="dxa"/>
            <w:vAlign w:val="bottom"/>
            <w:vMerge w:val="restart"/>
          </w:tcPr>
          <w:p>
            <w:pPr>
              <w:spacing w:after="0"/>
              <w:rPr>
                <w:sz w:val="20"/>
                <w:szCs w:val="20"/>
                <w:color w:val="auto"/>
              </w:rPr>
            </w:pPr>
            <w:r>
              <w:rPr>
                <w:rFonts w:ascii="Arial" w:cs="Arial" w:eastAsia="Arial" w:hAnsi="Arial"/>
                <w:sz w:val="17"/>
                <w:szCs w:val="17"/>
                <w:b w:val="1"/>
                <w:bCs w:val="1"/>
                <w:color w:val="auto"/>
              </w:rPr>
              <w:t>Long-term</w:t>
            </w:r>
          </w:p>
        </w:tc>
        <w:tc>
          <w:tcPr>
            <w:tcW w:w="2560" w:type="dxa"/>
            <w:vAlign w:val="bottom"/>
            <w:vMerge w:val="restart"/>
          </w:tcPr>
          <w:p>
            <w:pPr>
              <w:jc w:val="center"/>
              <w:ind w:left="97"/>
              <w:spacing w:after="0"/>
              <w:rPr>
                <w:sz w:val="20"/>
                <w:szCs w:val="20"/>
                <w:color w:val="auto"/>
              </w:rPr>
            </w:pPr>
            <w:r>
              <w:rPr>
                <w:rFonts w:ascii="Arial" w:cs="Arial" w:eastAsia="Arial" w:hAnsi="Arial"/>
                <w:sz w:val="17"/>
                <w:szCs w:val="17"/>
                <w:color w:val="auto"/>
                <w:w w:val="96"/>
              </w:rPr>
              <w:t>PSUs</w:t>
            </w:r>
          </w:p>
        </w:tc>
        <w:tc>
          <w:tcPr>
            <w:tcW w:w="2840" w:type="dxa"/>
            <w:vAlign w:val="bottom"/>
            <w:vMerge w:val="restart"/>
          </w:tcPr>
          <w:p>
            <w:pPr>
              <w:jc w:val="center"/>
              <w:ind w:left="77"/>
              <w:spacing w:after="0"/>
              <w:rPr>
                <w:sz w:val="20"/>
                <w:szCs w:val="20"/>
                <w:color w:val="auto"/>
              </w:rPr>
            </w:pPr>
            <w:r>
              <w:rPr>
                <w:rFonts w:ascii="Arial" w:cs="Arial" w:eastAsia="Arial" w:hAnsi="Arial"/>
                <w:sz w:val="17"/>
                <w:szCs w:val="17"/>
                <w:color w:val="auto"/>
                <w:w w:val="97"/>
              </w:rPr>
              <w:t>Generally, 3 ½ years after grant</w:t>
            </w:r>
          </w:p>
        </w:tc>
        <w:tc>
          <w:tcPr>
            <w:tcW w:w="3600" w:type="dxa"/>
            <w:vAlign w:val="bottom"/>
          </w:tcPr>
          <w:p>
            <w:pPr>
              <w:jc w:val="center"/>
              <w:spacing w:after="0" w:line="157" w:lineRule="exact"/>
              <w:rPr>
                <w:sz w:val="20"/>
                <w:szCs w:val="20"/>
                <w:color w:val="auto"/>
              </w:rPr>
            </w:pPr>
            <w:r>
              <w:rPr>
                <w:rFonts w:ascii="Arial" w:cs="Arial" w:eastAsia="Arial" w:hAnsi="Arial"/>
                <w:sz w:val="17"/>
                <w:szCs w:val="17"/>
                <w:color w:val="auto"/>
                <w:w w:val="98"/>
              </w:rPr>
              <w:t>stock price</w:t>
            </w:r>
          </w:p>
        </w:tc>
        <w:tc>
          <w:tcPr>
            <w:tcW w:w="0" w:type="dxa"/>
            <w:vAlign w:val="bottom"/>
          </w:tcPr>
          <w:p>
            <w:pPr>
              <w:spacing w:after="0"/>
              <w:rPr>
                <w:sz w:val="1"/>
                <w:szCs w:val="1"/>
                <w:color w:val="auto"/>
              </w:rPr>
            </w:pPr>
          </w:p>
        </w:tc>
      </w:tr>
      <w:tr>
        <w:trPr>
          <w:trHeight w:val="108"/>
        </w:trPr>
        <w:tc>
          <w:tcPr>
            <w:tcW w:w="2220" w:type="dxa"/>
            <w:vAlign w:val="bottom"/>
            <w:vMerge w:val="continue"/>
          </w:tcPr>
          <w:p>
            <w:pPr>
              <w:spacing w:after="0"/>
              <w:rPr>
                <w:sz w:val="9"/>
                <w:szCs w:val="9"/>
                <w:color w:val="auto"/>
              </w:rPr>
            </w:pPr>
          </w:p>
        </w:tc>
        <w:tc>
          <w:tcPr>
            <w:tcW w:w="2560" w:type="dxa"/>
            <w:vAlign w:val="bottom"/>
            <w:vMerge w:val="continue"/>
          </w:tcPr>
          <w:p>
            <w:pPr>
              <w:spacing w:after="0"/>
              <w:rPr>
                <w:sz w:val="9"/>
                <w:szCs w:val="9"/>
                <w:color w:val="auto"/>
              </w:rPr>
            </w:pPr>
          </w:p>
        </w:tc>
        <w:tc>
          <w:tcPr>
            <w:tcW w:w="2840" w:type="dxa"/>
            <w:vAlign w:val="bottom"/>
            <w:vMerge w:val="continue"/>
          </w:tcPr>
          <w:p>
            <w:pPr>
              <w:spacing w:after="0"/>
              <w:rPr>
                <w:sz w:val="9"/>
                <w:szCs w:val="9"/>
                <w:color w:val="auto"/>
              </w:rPr>
            </w:pPr>
          </w:p>
        </w:tc>
        <w:tc>
          <w:tcPr>
            <w:tcW w:w="3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220" w:type="dxa"/>
            <w:vAlign w:val="bottom"/>
            <w:vMerge w:val="continue"/>
          </w:tcPr>
          <w:p>
            <w:pPr>
              <w:spacing w:after="0"/>
              <w:rPr>
                <w:sz w:val="7"/>
                <w:szCs w:val="7"/>
                <w:color w:val="auto"/>
              </w:rPr>
            </w:pPr>
          </w:p>
        </w:tc>
        <w:tc>
          <w:tcPr>
            <w:tcW w:w="2560" w:type="dxa"/>
            <w:vAlign w:val="bottom"/>
            <w:vMerge w:val="restart"/>
          </w:tcPr>
          <w:p>
            <w:pPr>
              <w:jc w:val="center"/>
              <w:ind w:left="97"/>
              <w:spacing w:after="0"/>
              <w:rPr>
                <w:sz w:val="20"/>
                <w:szCs w:val="20"/>
                <w:color w:val="auto"/>
              </w:rPr>
            </w:pPr>
            <w:r>
              <w:rPr>
                <w:rFonts w:ascii="Arial" w:cs="Arial" w:eastAsia="Arial" w:hAnsi="Arial"/>
                <w:sz w:val="17"/>
                <w:szCs w:val="17"/>
                <w:color w:val="auto"/>
                <w:w w:val="97"/>
              </w:rPr>
              <w:t>(Three-Year Strategic Plan)</w:t>
            </w:r>
          </w:p>
        </w:tc>
        <w:tc>
          <w:tcPr>
            <w:tcW w:w="2840" w:type="dxa"/>
            <w:vAlign w:val="bottom"/>
          </w:tcPr>
          <w:p>
            <w:pPr>
              <w:spacing w:after="0"/>
              <w:rPr>
                <w:sz w:val="7"/>
                <w:szCs w:val="7"/>
                <w:color w:val="auto"/>
              </w:rPr>
            </w:pPr>
          </w:p>
        </w:tc>
        <w:tc>
          <w:tcPr>
            <w:tcW w:w="3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220" w:type="dxa"/>
            <w:vAlign w:val="bottom"/>
            <w:vMerge w:val="restart"/>
          </w:tcPr>
          <w:p>
            <w:pPr>
              <w:spacing w:after="0" w:line="194" w:lineRule="exact"/>
              <w:rPr>
                <w:sz w:val="20"/>
                <w:szCs w:val="20"/>
                <w:color w:val="auto"/>
              </w:rPr>
            </w:pPr>
            <w:r>
              <w:rPr>
                <w:rFonts w:ascii="Arial" w:cs="Arial" w:eastAsia="Arial" w:hAnsi="Arial"/>
                <w:sz w:val="17"/>
                <w:szCs w:val="17"/>
                <w:b w:val="1"/>
                <w:bCs w:val="1"/>
                <w:color w:val="auto"/>
              </w:rPr>
              <w:t>incentive</w:t>
            </w:r>
          </w:p>
        </w:tc>
        <w:tc>
          <w:tcPr>
            <w:tcW w:w="2560" w:type="dxa"/>
            <w:vAlign w:val="bottom"/>
            <w:vMerge w:val="continue"/>
          </w:tcPr>
          <w:p>
            <w:pPr>
              <w:spacing w:after="0"/>
              <w:rPr>
                <w:sz w:val="9"/>
                <w:szCs w:val="9"/>
                <w:color w:val="auto"/>
              </w:rPr>
            </w:pPr>
          </w:p>
        </w:tc>
        <w:tc>
          <w:tcPr>
            <w:tcW w:w="2840" w:type="dxa"/>
            <w:vAlign w:val="bottom"/>
          </w:tcPr>
          <w:p>
            <w:pPr>
              <w:spacing w:after="0"/>
              <w:rPr>
                <w:sz w:val="9"/>
                <w:szCs w:val="9"/>
                <w:color w:val="auto"/>
              </w:rPr>
            </w:pPr>
          </w:p>
        </w:tc>
        <w:tc>
          <w:tcPr>
            <w:tcW w:w="3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220" w:type="dxa"/>
            <w:vAlign w:val="bottom"/>
            <w:vMerge w:val="continue"/>
          </w:tcPr>
          <w:p>
            <w:pPr>
              <w:spacing w:after="0"/>
              <w:rPr>
                <w:sz w:val="7"/>
                <w:szCs w:val="7"/>
                <w:color w:val="auto"/>
              </w:rPr>
            </w:pPr>
          </w:p>
        </w:tc>
        <w:tc>
          <w:tcPr>
            <w:tcW w:w="2560" w:type="dxa"/>
            <w:vAlign w:val="bottom"/>
            <w:tcBorders>
              <w:bottom w:val="single" w:sz="8" w:color="125288"/>
            </w:tcBorders>
          </w:tcPr>
          <w:p>
            <w:pPr>
              <w:spacing w:after="0"/>
              <w:rPr>
                <w:sz w:val="7"/>
                <w:szCs w:val="7"/>
                <w:color w:val="auto"/>
              </w:rPr>
            </w:pPr>
          </w:p>
        </w:tc>
        <w:tc>
          <w:tcPr>
            <w:tcW w:w="2840" w:type="dxa"/>
            <w:vAlign w:val="bottom"/>
            <w:tcBorders>
              <w:bottom w:val="single" w:sz="8" w:color="125288"/>
            </w:tcBorders>
          </w:tcPr>
          <w:p>
            <w:pPr>
              <w:spacing w:after="0"/>
              <w:rPr>
                <w:sz w:val="7"/>
                <w:szCs w:val="7"/>
                <w:color w:val="auto"/>
              </w:rPr>
            </w:pPr>
          </w:p>
        </w:tc>
        <w:tc>
          <w:tcPr>
            <w:tcW w:w="3600" w:type="dxa"/>
            <w:vAlign w:val="bottom"/>
            <w:tcBorders>
              <w:bottom w:val="single" w:sz="8" w:color="125288"/>
            </w:tcBorders>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2220" w:type="dxa"/>
            <w:vAlign w:val="bottom"/>
          </w:tcPr>
          <w:p>
            <w:pPr>
              <w:spacing w:after="0"/>
              <w:rPr>
                <w:sz w:val="23"/>
                <w:szCs w:val="23"/>
                <w:color w:val="auto"/>
              </w:rPr>
            </w:pPr>
          </w:p>
        </w:tc>
        <w:tc>
          <w:tcPr>
            <w:tcW w:w="2560" w:type="dxa"/>
            <w:vAlign w:val="bottom"/>
            <w:vMerge w:val="restart"/>
          </w:tcPr>
          <w:p>
            <w:pPr>
              <w:ind w:left="560"/>
              <w:spacing w:after="0"/>
              <w:rPr>
                <w:sz w:val="20"/>
                <w:szCs w:val="20"/>
                <w:color w:val="auto"/>
              </w:rPr>
            </w:pPr>
            <w:r>
              <w:rPr>
                <w:rFonts w:ascii="Arial" w:cs="Arial" w:eastAsia="Arial" w:hAnsi="Arial"/>
                <w:sz w:val="17"/>
                <w:szCs w:val="17"/>
                <w:color w:val="auto"/>
              </w:rPr>
              <w:t>Performance-Vesting</w:t>
            </w:r>
          </w:p>
        </w:tc>
        <w:tc>
          <w:tcPr>
            <w:tcW w:w="2840" w:type="dxa"/>
            <w:vAlign w:val="bottom"/>
          </w:tcPr>
          <w:p>
            <w:pPr>
              <w:jc w:val="center"/>
              <w:ind w:left="97"/>
              <w:spacing w:after="0"/>
              <w:rPr>
                <w:sz w:val="20"/>
                <w:szCs w:val="20"/>
                <w:color w:val="auto"/>
              </w:rPr>
            </w:pPr>
            <w:r>
              <w:rPr>
                <w:rFonts w:ascii="Arial" w:cs="Arial" w:eastAsia="Arial" w:hAnsi="Arial"/>
                <w:sz w:val="17"/>
                <w:szCs w:val="17"/>
                <w:color w:val="auto"/>
                <w:w w:val="97"/>
              </w:rPr>
              <w:t>Generally, during 3 ½ years from</w:t>
            </w:r>
          </w:p>
        </w:tc>
        <w:tc>
          <w:tcPr>
            <w:tcW w:w="3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1"/>
        </w:trPr>
        <w:tc>
          <w:tcPr>
            <w:tcW w:w="2220" w:type="dxa"/>
            <w:vAlign w:val="bottom"/>
          </w:tcPr>
          <w:p>
            <w:pPr>
              <w:spacing w:after="0"/>
              <w:rPr>
                <w:sz w:val="11"/>
                <w:szCs w:val="11"/>
                <w:color w:val="auto"/>
              </w:rPr>
            </w:pPr>
          </w:p>
        </w:tc>
        <w:tc>
          <w:tcPr>
            <w:tcW w:w="2560" w:type="dxa"/>
            <w:vAlign w:val="bottom"/>
            <w:vMerge w:val="continue"/>
          </w:tcPr>
          <w:p>
            <w:pPr>
              <w:spacing w:after="0"/>
              <w:rPr>
                <w:sz w:val="11"/>
                <w:szCs w:val="11"/>
                <w:color w:val="auto"/>
              </w:rPr>
            </w:pPr>
          </w:p>
        </w:tc>
        <w:tc>
          <w:tcPr>
            <w:tcW w:w="2840" w:type="dxa"/>
            <w:vAlign w:val="bottom"/>
            <w:vMerge w:val="restart"/>
          </w:tcPr>
          <w:p>
            <w:pPr>
              <w:jc w:val="center"/>
              <w:ind w:left="97"/>
              <w:spacing w:after="0"/>
              <w:rPr>
                <w:sz w:val="20"/>
                <w:szCs w:val="20"/>
                <w:color w:val="auto"/>
              </w:rPr>
            </w:pPr>
            <w:r>
              <w:rPr>
                <w:rFonts w:ascii="Arial" w:cs="Arial" w:eastAsia="Arial" w:hAnsi="Arial"/>
                <w:sz w:val="17"/>
                <w:szCs w:val="17"/>
                <w:color w:val="auto"/>
                <w:w w:val="97"/>
              </w:rPr>
              <w:t>grant, based on three</w:t>
            </w:r>
          </w:p>
        </w:tc>
        <w:tc>
          <w:tcPr>
            <w:tcW w:w="3600" w:type="dxa"/>
            <w:vAlign w:val="bottom"/>
            <w:vMerge w:val="restart"/>
          </w:tcPr>
          <w:p>
            <w:pPr>
              <w:ind w:left="1200"/>
              <w:spacing w:after="0"/>
              <w:rPr>
                <w:sz w:val="20"/>
                <w:szCs w:val="20"/>
                <w:color w:val="auto"/>
              </w:rPr>
            </w:pPr>
            <w:r>
              <w:rPr>
                <w:rFonts w:ascii="Arial" w:cs="Arial" w:eastAsia="Arial" w:hAnsi="Arial"/>
                <w:sz w:val="17"/>
                <w:szCs w:val="17"/>
                <w:color w:val="auto"/>
              </w:rPr>
              <w:t>AB Adjusted OI,</w:t>
            </w:r>
          </w:p>
        </w:tc>
        <w:tc>
          <w:tcPr>
            <w:tcW w:w="0" w:type="dxa"/>
            <w:vAlign w:val="bottom"/>
          </w:tcPr>
          <w:p>
            <w:pPr>
              <w:spacing w:after="0"/>
              <w:rPr>
                <w:sz w:val="1"/>
                <w:szCs w:val="1"/>
                <w:color w:val="auto"/>
              </w:rPr>
            </w:pPr>
          </w:p>
        </w:tc>
      </w:tr>
      <w:tr>
        <w:trPr>
          <w:trHeight w:val="95"/>
        </w:trPr>
        <w:tc>
          <w:tcPr>
            <w:tcW w:w="2220" w:type="dxa"/>
            <w:vAlign w:val="bottom"/>
          </w:tcPr>
          <w:p>
            <w:pPr>
              <w:spacing w:after="0"/>
              <w:rPr>
                <w:sz w:val="8"/>
                <w:szCs w:val="8"/>
                <w:color w:val="auto"/>
              </w:rPr>
            </w:pPr>
          </w:p>
        </w:tc>
        <w:tc>
          <w:tcPr>
            <w:tcW w:w="2560" w:type="dxa"/>
            <w:vAlign w:val="bottom"/>
            <w:vMerge w:val="restart"/>
          </w:tcPr>
          <w:p>
            <w:pPr>
              <w:jc w:val="center"/>
              <w:ind w:left="77"/>
              <w:spacing w:after="0" w:line="190" w:lineRule="exact"/>
              <w:rPr>
                <w:sz w:val="20"/>
                <w:szCs w:val="20"/>
                <w:color w:val="auto"/>
              </w:rPr>
            </w:pPr>
            <w:r>
              <w:rPr>
                <w:rFonts w:ascii="Arial" w:cs="Arial" w:eastAsia="Arial" w:hAnsi="Arial"/>
                <w:sz w:val="17"/>
                <w:szCs w:val="17"/>
                <w:color w:val="auto"/>
                <w:w w:val="98"/>
              </w:rPr>
              <w:t>Stock Options</w:t>
            </w:r>
          </w:p>
        </w:tc>
        <w:tc>
          <w:tcPr>
            <w:tcW w:w="2840" w:type="dxa"/>
            <w:vAlign w:val="bottom"/>
            <w:vMerge w:val="continue"/>
          </w:tcPr>
          <w:p>
            <w:pPr>
              <w:spacing w:after="0"/>
              <w:rPr>
                <w:sz w:val="8"/>
                <w:szCs w:val="8"/>
                <w:color w:val="auto"/>
              </w:rPr>
            </w:pPr>
          </w:p>
        </w:tc>
        <w:tc>
          <w:tcPr>
            <w:tcW w:w="3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220" w:type="dxa"/>
            <w:vAlign w:val="bottom"/>
          </w:tcPr>
          <w:p>
            <w:pPr>
              <w:spacing w:after="0"/>
              <w:rPr>
                <w:sz w:val="8"/>
                <w:szCs w:val="8"/>
                <w:color w:val="auto"/>
              </w:rPr>
            </w:pPr>
          </w:p>
        </w:tc>
        <w:tc>
          <w:tcPr>
            <w:tcW w:w="2560" w:type="dxa"/>
            <w:vAlign w:val="bottom"/>
            <w:vMerge w:val="continue"/>
          </w:tcPr>
          <w:p>
            <w:pPr>
              <w:spacing w:after="0"/>
              <w:rPr>
                <w:sz w:val="8"/>
                <w:szCs w:val="8"/>
                <w:color w:val="auto"/>
              </w:rPr>
            </w:pPr>
          </w:p>
        </w:tc>
        <w:tc>
          <w:tcPr>
            <w:tcW w:w="2840" w:type="dxa"/>
            <w:vAlign w:val="bottom"/>
            <w:vMerge w:val="restart"/>
          </w:tcPr>
          <w:p>
            <w:pPr>
              <w:ind w:left="180"/>
              <w:spacing w:after="0"/>
              <w:rPr>
                <w:sz w:val="20"/>
                <w:szCs w:val="20"/>
                <w:color w:val="auto"/>
              </w:rPr>
            </w:pPr>
            <w:r>
              <w:rPr>
                <w:rFonts w:ascii="Arial" w:cs="Arial" w:eastAsia="Arial" w:hAnsi="Arial"/>
                <w:sz w:val="17"/>
                <w:szCs w:val="17"/>
                <w:color w:val="auto"/>
              </w:rPr>
              <w:t>one-year performance periods</w:t>
            </w:r>
          </w:p>
        </w:tc>
        <w:tc>
          <w:tcPr>
            <w:tcW w:w="3600" w:type="dxa"/>
            <w:vAlign w:val="bottom"/>
            <w:vMerge w:val="restart"/>
          </w:tcPr>
          <w:p>
            <w:pPr>
              <w:jc w:val="center"/>
              <w:spacing w:after="0"/>
              <w:rPr>
                <w:sz w:val="20"/>
                <w:szCs w:val="20"/>
                <w:color w:val="auto"/>
              </w:rPr>
            </w:pPr>
            <w:r>
              <w:rPr>
                <w:rFonts w:ascii="Arial" w:cs="Arial" w:eastAsia="Arial" w:hAnsi="Arial"/>
                <w:sz w:val="17"/>
                <w:szCs w:val="17"/>
                <w:color w:val="auto"/>
                <w:w w:val="98"/>
              </w:rPr>
              <w:t>stock price</w:t>
            </w:r>
          </w:p>
        </w:tc>
        <w:tc>
          <w:tcPr>
            <w:tcW w:w="0" w:type="dxa"/>
            <w:vAlign w:val="bottom"/>
          </w:tcPr>
          <w:p>
            <w:pPr>
              <w:spacing w:after="0"/>
              <w:rPr>
                <w:sz w:val="1"/>
                <w:szCs w:val="1"/>
                <w:color w:val="auto"/>
              </w:rPr>
            </w:pPr>
          </w:p>
        </w:tc>
      </w:tr>
      <w:tr>
        <w:trPr>
          <w:trHeight w:val="106"/>
        </w:trPr>
        <w:tc>
          <w:tcPr>
            <w:tcW w:w="2220" w:type="dxa"/>
            <w:vAlign w:val="bottom"/>
          </w:tcPr>
          <w:p>
            <w:pPr>
              <w:spacing w:after="0"/>
              <w:rPr>
                <w:sz w:val="9"/>
                <w:szCs w:val="9"/>
                <w:color w:val="auto"/>
              </w:rPr>
            </w:pPr>
          </w:p>
        </w:tc>
        <w:tc>
          <w:tcPr>
            <w:tcW w:w="2560" w:type="dxa"/>
            <w:vAlign w:val="bottom"/>
            <w:vMerge w:val="restart"/>
          </w:tcPr>
          <w:p>
            <w:pPr>
              <w:jc w:val="center"/>
              <w:ind w:left="97"/>
              <w:spacing w:after="0"/>
              <w:rPr>
                <w:sz w:val="20"/>
                <w:szCs w:val="20"/>
                <w:color w:val="auto"/>
              </w:rPr>
            </w:pPr>
            <w:r>
              <w:rPr>
                <w:rFonts w:ascii="Arial" w:cs="Arial" w:eastAsia="Arial" w:hAnsi="Arial"/>
                <w:sz w:val="17"/>
                <w:szCs w:val="17"/>
                <w:color w:val="auto"/>
                <w:w w:val="97"/>
              </w:rPr>
              <w:t>(AOP)</w:t>
            </w:r>
          </w:p>
        </w:tc>
        <w:tc>
          <w:tcPr>
            <w:tcW w:w="2840" w:type="dxa"/>
            <w:vAlign w:val="bottom"/>
            <w:vMerge w:val="continue"/>
          </w:tcPr>
          <w:p>
            <w:pPr>
              <w:spacing w:after="0"/>
              <w:rPr>
                <w:sz w:val="9"/>
                <w:szCs w:val="9"/>
                <w:color w:val="auto"/>
              </w:rPr>
            </w:pPr>
          </w:p>
        </w:tc>
        <w:tc>
          <w:tcPr>
            <w:tcW w:w="3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220" w:type="dxa"/>
            <w:vAlign w:val="bottom"/>
          </w:tcPr>
          <w:p>
            <w:pPr>
              <w:spacing w:after="0"/>
              <w:rPr>
                <w:sz w:val="8"/>
                <w:szCs w:val="8"/>
                <w:color w:val="auto"/>
              </w:rPr>
            </w:pPr>
          </w:p>
        </w:tc>
        <w:tc>
          <w:tcPr>
            <w:tcW w:w="2560" w:type="dxa"/>
            <w:vAlign w:val="bottom"/>
            <w:vMerge w:val="continue"/>
          </w:tcPr>
          <w:p>
            <w:pPr>
              <w:spacing w:after="0"/>
              <w:rPr>
                <w:sz w:val="8"/>
                <w:szCs w:val="8"/>
                <w:color w:val="auto"/>
              </w:rPr>
            </w:pPr>
          </w:p>
        </w:tc>
        <w:tc>
          <w:tcPr>
            <w:tcW w:w="2840" w:type="dxa"/>
            <w:vAlign w:val="bottom"/>
            <w:vMerge w:val="restart"/>
          </w:tcPr>
          <w:p>
            <w:pPr>
              <w:jc w:val="center"/>
              <w:ind w:left="77"/>
              <w:spacing w:after="0"/>
              <w:rPr>
                <w:sz w:val="20"/>
                <w:szCs w:val="20"/>
                <w:color w:val="auto"/>
              </w:rPr>
            </w:pPr>
            <w:r>
              <w:rPr>
                <w:rFonts w:ascii="Arial" w:cs="Arial" w:eastAsia="Arial" w:hAnsi="Arial"/>
                <w:sz w:val="17"/>
                <w:szCs w:val="17"/>
                <w:color w:val="auto"/>
                <w:w w:val="98"/>
              </w:rPr>
              <w:t>(10-year option term)</w:t>
            </w:r>
          </w:p>
        </w:tc>
        <w:tc>
          <w:tcPr>
            <w:tcW w:w="3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840" w:type="dxa"/>
            <w:vAlign w:val="bottom"/>
            <w:vMerge w:val="continue"/>
          </w:tcPr>
          <w:p>
            <w:pPr>
              <w:spacing w:after="0"/>
              <w:rPr>
                <w:sz w:val="11"/>
                <w:szCs w:val="11"/>
                <w:color w:val="auto"/>
              </w:rPr>
            </w:pPr>
          </w:p>
        </w:tc>
        <w:tc>
          <w:tcPr>
            <w:tcW w:w="3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220" w:type="dxa"/>
            <w:vAlign w:val="bottom"/>
          </w:tcPr>
          <w:p>
            <w:pPr>
              <w:spacing w:after="0"/>
              <w:rPr>
                <w:sz w:val="7"/>
                <w:szCs w:val="7"/>
                <w:color w:val="auto"/>
              </w:rPr>
            </w:pPr>
          </w:p>
        </w:tc>
        <w:tc>
          <w:tcPr>
            <w:tcW w:w="2560" w:type="dxa"/>
            <w:vAlign w:val="bottom"/>
            <w:tcBorders>
              <w:bottom w:val="single" w:sz="8" w:color="125288"/>
            </w:tcBorders>
          </w:tcPr>
          <w:p>
            <w:pPr>
              <w:spacing w:after="0"/>
              <w:rPr>
                <w:sz w:val="7"/>
                <w:szCs w:val="7"/>
                <w:color w:val="auto"/>
              </w:rPr>
            </w:pPr>
          </w:p>
        </w:tc>
        <w:tc>
          <w:tcPr>
            <w:tcW w:w="2840" w:type="dxa"/>
            <w:vAlign w:val="bottom"/>
            <w:tcBorders>
              <w:bottom w:val="single" w:sz="8" w:color="125288"/>
            </w:tcBorders>
          </w:tcPr>
          <w:p>
            <w:pPr>
              <w:spacing w:after="0"/>
              <w:rPr>
                <w:sz w:val="7"/>
                <w:szCs w:val="7"/>
                <w:color w:val="auto"/>
              </w:rPr>
            </w:pPr>
          </w:p>
        </w:tc>
        <w:tc>
          <w:tcPr>
            <w:tcW w:w="3600" w:type="dxa"/>
            <w:vAlign w:val="bottom"/>
            <w:tcBorders>
              <w:bottom w:val="single" w:sz="8" w:color="125288"/>
            </w:tcBorders>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2220" w:type="dxa"/>
            <w:vAlign w:val="bottom"/>
          </w:tcPr>
          <w:p>
            <w:pPr>
              <w:spacing w:after="0"/>
              <w:rPr>
                <w:sz w:val="23"/>
                <w:szCs w:val="23"/>
                <w:color w:val="auto"/>
              </w:rPr>
            </w:pPr>
          </w:p>
        </w:tc>
        <w:tc>
          <w:tcPr>
            <w:tcW w:w="2560" w:type="dxa"/>
            <w:vAlign w:val="bottom"/>
          </w:tcPr>
          <w:p>
            <w:pPr>
              <w:jc w:val="center"/>
              <w:ind w:left="77"/>
              <w:spacing w:after="0"/>
              <w:rPr>
                <w:sz w:val="20"/>
                <w:szCs w:val="20"/>
                <w:color w:val="auto"/>
              </w:rPr>
            </w:pPr>
            <w:r>
              <w:rPr>
                <w:rFonts w:ascii="Arial" w:cs="Arial" w:eastAsia="Arial" w:hAnsi="Arial"/>
                <w:sz w:val="17"/>
                <w:szCs w:val="17"/>
                <w:color w:val="auto"/>
                <w:w w:val="98"/>
              </w:rPr>
              <w:t>Stock Options</w:t>
            </w:r>
          </w:p>
        </w:tc>
        <w:tc>
          <w:tcPr>
            <w:tcW w:w="2840" w:type="dxa"/>
            <w:vAlign w:val="bottom"/>
          </w:tcPr>
          <w:p>
            <w:pPr>
              <w:jc w:val="center"/>
              <w:ind w:left="97"/>
              <w:spacing w:after="0"/>
              <w:rPr>
                <w:sz w:val="20"/>
                <w:szCs w:val="20"/>
                <w:color w:val="auto"/>
              </w:rPr>
            </w:pPr>
            <w:r>
              <w:rPr>
                <w:rFonts w:ascii="Arial" w:cs="Arial" w:eastAsia="Arial" w:hAnsi="Arial"/>
                <w:sz w:val="17"/>
                <w:szCs w:val="17"/>
                <w:color w:val="auto"/>
                <w:w w:val="97"/>
              </w:rPr>
              <w:t>Generally, during 3 years following</w:t>
            </w:r>
          </w:p>
        </w:tc>
        <w:tc>
          <w:tcPr>
            <w:tcW w:w="3600" w:type="dxa"/>
            <w:vAlign w:val="bottom"/>
          </w:tcPr>
          <w:p>
            <w:pPr>
              <w:jc w:val="center"/>
              <w:spacing w:after="0"/>
              <w:rPr>
                <w:sz w:val="20"/>
                <w:szCs w:val="20"/>
                <w:color w:val="auto"/>
              </w:rPr>
            </w:pPr>
            <w:r>
              <w:rPr>
                <w:rFonts w:ascii="Arial" w:cs="Arial" w:eastAsia="Arial" w:hAnsi="Arial"/>
                <w:sz w:val="17"/>
                <w:szCs w:val="17"/>
                <w:color w:val="auto"/>
                <w:w w:val="97"/>
              </w:rPr>
              <w:t>Stock price</w:t>
            </w:r>
          </w:p>
        </w:tc>
        <w:tc>
          <w:tcPr>
            <w:tcW w:w="0" w:type="dxa"/>
            <w:vAlign w:val="bottom"/>
          </w:tcPr>
          <w:p>
            <w:pPr>
              <w:spacing w:after="0"/>
              <w:rPr>
                <w:sz w:val="1"/>
                <w:szCs w:val="1"/>
                <w:color w:val="auto"/>
              </w:rPr>
            </w:pPr>
          </w:p>
        </w:tc>
      </w:tr>
      <w:tr>
        <w:trPr>
          <w:trHeight w:val="201"/>
        </w:trPr>
        <w:tc>
          <w:tcPr>
            <w:tcW w:w="22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840" w:type="dxa"/>
            <w:vAlign w:val="bottom"/>
          </w:tcPr>
          <w:p>
            <w:pPr>
              <w:jc w:val="center"/>
              <w:ind w:left="97"/>
              <w:spacing w:after="0"/>
              <w:rPr>
                <w:sz w:val="20"/>
                <w:szCs w:val="20"/>
                <w:color w:val="auto"/>
              </w:rPr>
            </w:pPr>
            <w:r>
              <w:rPr>
                <w:rFonts w:ascii="Arial" w:cs="Arial" w:eastAsia="Arial" w:hAnsi="Arial"/>
                <w:sz w:val="17"/>
                <w:szCs w:val="17"/>
                <w:color w:val="auto"/>
                <w:w w:val="97"/>
              </w:rPr>
              <w:t>grant</w:t>
            </w:r>
          </w:p>
        </w:tc>
        <w:tc>
          <w:tcPr>
            <w:tcW w:w="3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2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840" w:type="dxa"/>
            <w:vAlign w:val="bottom"/>
          </w:tcPr>
          <w:p>
            <w:pPr>
              <w:jc w:val="center"/>
              <w:ind w:left="77"/>
              <w:spacing w:after="0"/>
              <w:rPr>
                <w:sz w:val="20"/>
                <w:szCs w:val="20"/>
                <w:color w:val="auto"/>
              </w:rPr>
            </w:pPr>
            <w:r>
              <w:rPr>
                <w:rFonts w:ascii="Arial" w:cs="Arial" w:eastAsia="Arial" w:hAnsi="Arial"/>
                <w:sz w:val="17"/>
                <w:szCs w:val="17"/>
                <w:color w:val="auto"/>
                <w:w w:val="98"/>
              </w:rPr>
              <w:t>(10-year option term)</w:t>
            </w:r>
          </w:p>
        </w:tc>
        <w:tc>
          <w:tcPr>
            <w:tcW w:w="3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148830" cy="152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135" w:lineRule="exact"/>
        <w:rPr>
          <w:sz w:val="20"/>
          <w:szCs w:val="20"/>
          <w:color w:val="auto"/>
        </w:rPr>
      </w:pPr>
    </w:p>
    <w:p>
      <w:pPr>
        <w:ind w:left="320" w:right="80" w:hanging="277"/>
        <w:spacing w:after="0" w:line="266" w:lineRule="auto"/>
        <w:tabs>
          <w:tab w:leader="none" w:pos="32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This table is not intended to be exhaustive. For example, long-term incentives granted to certain of our NEOs were also subject to an assessment of 2021 performance with respect to TSR.</w:t>
      </w:r>
    </w:p>
    <w:p>
      <w:pPr>
        <w:spacing w:after="0" w:line="287"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We remain focused upon performance-based compensation and our 2022 awards will be assessed against achievement of both financial and strategic goals.</w:t>
      </w:r>
    </w:p>
    <w:p>
      <w:pPr>
        <w:spacing w:after="0" w:line="255"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Pursuant to the Microsoft Merger Agreement, we are prohibited from granting new PSU awards to employees unless we were contractually obligated to do so as of January 18, 2022. We do not believe this restriction will materially limit our ability to motivate our employees, since our outstanding PSUs and annual incentives will continue to be measured based upon actual performance for all performance periods completed prior to consummation of the proposed transaction with Microsoft. For details regarding our ability to grant equity awards under the Microsoft Merger Agreement, please see the Merger Proxy Statement.</w:t>
      </w:r>
    </w:p>
    <w:p>
      <w:pPr>
        <w:spacing w:after="0" w:line="154"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type w:val="continuous"/>
        </w:sectPr>
      </w:pPr>
    </w:p>
    <w:bookmarkStart w:id="67" w:name="page68"/>
    <w:bookmarkEnd w:id="67"/>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00" w:type="dxa"/>
            <w:vAlign w:val="bottom"/>
          </w:tcPr>
          <w:p>
            <w:pPr>
              <w:ind w:left="2460"/>
              <w:spacing w:after="0"/>
              <w:rPr>
                <w:sz w:val="20"/>
                <w:szCs w:val="20"/>
                <w:color w:val="auto"/>
              </w:rPr>
            </w:pPr>
            <w:r>
              <w:rPr>
                <w:rFonts w:ascii="Arial" w:cs="Arial" w:eastAsia="Arial" w:hAnsi="Arial"/>
                <w:sz w:val="17"/>
                <w:szCs w:val="17"/>
                <w:b w:val="1"/>
                <w:bCs w:val="1"/>
                <w:color w:val="125288"/>
              </w:rPr>
              <w:t>What We Do</w:t>
            </w:r>
          </w:p>
        </w:tc>
        <w:tc>
          <w:tcPr>
            <w:tcW w:w="5460" w:type="dxa"/>
            <w:vAlign w:val="bottom"/>
          </w:tcPr>
          <w:p>
            <w:pPr>
              <w:ind w:left="2040"/>
              <w:spacing w:after="0"/>
              <w:rPr>
                <w:sz w:val="20"/>
                <w:szCs w:val="20"/>
                <w:color w:val="auto"/>
              </w:rPr>
            </w:pPr>
            <w:r>
              <w:rPr>
                <w:rFonts w:ascii="Arial" w:cs="Arial" w:eastAsia="Arial" w:hAnsi="Arial"/>
                <w:sz w:val="17"/>
                <w:szCs w:val="17"/>
                <w:b w:val="1"/>
                <w:bCs w:val="1"/>
                <w:color w:val="125288"/>
              </w:rPr>
              <w:t>What We Don’t Do</w:t>
            </w:r>
          </w:p>
        </w:tc>
      </w:tr>
      <w:tr>
        <w:trPr>
          <w:trHeight w:val="81"/>
        </w:trPr>
        <w:tc>
          <w:tcPr>
            <w:tcW w:w="5800" w:type="dxa"/>
            <w:vAlign w:val="bottom"/>
          </w:tcPr>
          <w:p>
            <w:pPr>
              <w:spacing w:after="0"/>
              <w:rPr>
                <w:sz w:val="7"/>
                <w:szCs w:val="7"/>
                <w:color w:val="auto"/>
              </w:rPr>
            </w:pPr>
          </w:p>
        </w:tc>
        <w:tc>
          <w:tcPr>
            <w:tcW w:w="5460" w:type="dxa"/>
            <w:vAlign w:val="bottom"/>
          </w:tcPr>
          <w:p>
            <w:pPr>
              <w:spacing w:after="0"/>
              <w:rPr>
                <w:sz w:val="7"/>
                <w:szCs w:val="7"/>
                <w:color w:val="auto"/>
              </w:rPr>
            </w:pPr>
          </w:p>
        </w:tc>
      </w:tr>
      <w:tr>
        <w:trPr>
          <w:trHeight w:val="230"/>
        </w:trPr>
        <w:tc>
          <w:tcPr>
            <w:tcW w:w="5800" w:type="dxa"/>
            <w:vAlign w:val="bottom"/>
            <w:tcBorders>
              <w:bottom w:val="single" w:sz="8" w:color="125288"/>
            </w:tcBorders>
            <w:shd w:val="clear" w:color="auto" w:fill="125288"/>
          </w:tcPr>
          <w:p>
            <w:pPr>
              <w:ind w:left="60"/>
              <w:spacing w:after="0"/>
              <w:rPr>
                <w:sz w:val="20"/>
                <w:szCs w:val="20"/>
                <w:color w:val="auto"/>
              </w:rPr>
            </w:pPr>
            <w:r>
              <w:rPr>
                <w:rFonts w:ascii="Arial" w:cs="Arial" w:eastAsia="Arial" w:hAnsi="Arial"/>
                <w:sz w:val="15"/>
                <w:szCs w:val="15"/>
                <w:b w:val="1"/>
                <w:bCs w:val="1"/>
                <w:color w:val="FFFFFF"/>
              </w:rPr>
              <w:t>PAY FOR EXCEPTIONAL PERFORMANCE</w:t>
            </w:r>
          </w:p>
        </w:tc>
        <w:tc>
          <w:tcPr>
            <w:tcW w:w="5460" w:type="dxa"/>
            <w:vAlign w:val="bottom"/>
            <w:tcBorders>
              <w:bottom w:val="single" w:sz="8" w:color="125288"/>
            </w:tcBorders>
            <w:shd w:val="clear" w:color="auto" w:fill="125288"/>
          </w:tcPr>
          <w:p>
            <w:pPr>
              <w:spacing w:after="0"/>
              <w:rPr>
                <w:sz w:val="19"/>
                <w:szCs w:val="19"/>
                <w:color w:val="auto"/>
              </w:rPr>
            </w:pPr>
          </w:p>
        </w:tc>
      </w:tr>
      <w:tr>
        <w:trPr>
          <w:trHeight w:val="265"/>
        </w:trPr>
        <w:tc>
          <w:tcPr>
            <w:tcW w:w="5800" w:type="dxa"/>
            <w:vAlign w:val="bottom"/>
          </w:tcPr>
          <w:p>
            <w:pPr>
              <w:ind w:left="440"/>
              <w:spacing w:after="0"/>
              <w:rPr>
                <w:sz w:val="20"/>
                <w:szCs w:val="20"/>
                <w:color w:val="auto"/>
              </w:rPr>
            </w:pPr>
            <w:r>
              <w:rPr>
                <w:rFonts w:ascii="Arial" w:cs="Arial" w:eastAsia="Arial" w:hAnsi="Arial"/>
                <w:sz w:val="17"/>
                <w:szCs w:val="17"/>
                <w:color w:val="auto"/>
              </w:rPr>
              <w:t>Compensation mix designed to reward executives for actions that</w:t>
            </w:r>
          </w:p>
        </w:tc>
        <w:tc>
          <w:tcPr>
            <w:tcW w:w="5460" w:type="dxa"/>
            <w:vAlign w:val="bottom"/>
          </w:tcPr>
          <w:p>
            <w:pPr>
              <w:ind w:left="480"/>
              <w:spacing w:after="0"/>
              <w:rPr>
                <w:sz w:val="20"/>
                <w:szCs w:val="20"/>
                <w:color w:val="auto"/>
              </w:rPr>
            </w:pPr>
            <w:r>
              <w:rPr>
                <w:rFonts w:ascii="Arial" w:cs="Arial" w:eastAsia="Arial" w:hAnsi="Arial"/>
                <w:sz w:val="17"/>
                <w:szCs w:val="17"/>
                <w:color w:val="auto"/>
              </w:rPr>
              <w:t>No guaranteed salary increases or bonuses—increases based on</w:t>
            </w:r>
          </w:p>
        </w:tc>
      </w:tr>
      <w:tr>
        <w:trPr>
          <w:trHeight w:val="201"/>
        </w:trPr>
        <w:tc>
          <w:tcPr>
            <w:tcW w:w="5800" w:type="dxa"/>
            <w:vAlign w:val="bottom"/>
          </w:tcPr>
          <w:p>
            <w:pPr>
              <w:ind w:left="440"/>
              <w:spacing w:after="0"/>
              <w:rPr>
                <w:sz w:val="20"/>
                <w:szCs w:val="20"/>
                <w:color w:val="auto"/>
              </w:rPr>
            </w:pPr>
            <w:r>
              <w:rPr>
                <w:rFonts w:ascii="Arial" w:cs="Arial" w:eastAsia="Arial" w:hAnsi="Arial"/>
                <w:sz w:val="17"/>
                <w:szCs w:val="17"/>
                <w:color w:val="auto"/>
              </w:rPr>
              <w:t>create sustainable shareholder value</w:t>
            </w:r>
          </w:p>
        </w:tc>
        <w:tc>
          <w:tcPr>
            <w:tcW w:w="5460" w:type="dxa"/>
            <w:vAlign w:val="bottom"/>
          </w:tcPr>
          <w:p>
            <w:pPr>
              <w:ind w:left="480"/>
              <w:spacing w:after="0"/>
              <w:rPr>
                <w:sz w:val="20"/>
                <w:szCs w:val="20"/>
                <w:color w:val="auto"/>
              </w:rPr>
            </w:pPr>
            <w:r>
              <w:rPr>
                <w:rFonts w:ascii="Arial" w:cs="Arial" w:eastAsia="Arial" w:hAnsi="Arial"/>
                <w:sz w:val="17"/>
                <w:szCs w:val="17"/>
                <w:color w:val="auto"/>
              </w:rPr>
              <w:t>financial performance</w:t>
            </w:r>
          </w:p>
        </w:tc>
      </w:tr>
      <w:tr>
        <w:trPr>
          <w:trHeight w:val="85"/>
        </w:trPr>
        <w:tc>
          <w:tcPr>
            <w:tcW w:w="5800" w:type="dxa"/>
            <w:vAlign w:val="bottom"/>
            <w:tcBorders>
              <w:bottom w:val="single" w:sz="8" w:color="125288"/>
            </w:tcBorders>
          </w:tcPr>
          <w:p>
            <w:pPr>
              <w:spacing w:after="0"/>
              <w:rPr>
                <w:sz w:val="7"/>
                <w:szCs w:val="7"/>
                <w:color w:val="auto"/>
              </w:rPr>
            </w:pPr>
          </w:p>
        </w:tc>
        <w:tc>
          <w:tcPr>
            <w:tcW w:w="5460" w:type="dxa"/>
            <w:vAlign w:val="bottom"/>
            <w:tcBorders>
              <w:bottom w:val="single" w:sz="8" w:color="125288"/>
            </w:tcBorders>
          </w:tcPr>
          <w:p>
            <w:pPr>
              <w:spacing w:after="0"/>
              <w:rPr>
                <w:sz w:val="7"/>
                <w:szCs w:val="7"/>
                <w:color w:val="auto"/>
              </w:rPr>
            </w:pPr>
          </w:p>
        </w:tc>
      </w:tr>
      <w:tr>
        <w:trPr>
          <w:trHeight w:val="265"/>
        </w:trPr>
        <w:tc>
          <w:tcPr>
            <w:tcW w:w="5800" w:type="dxa"/>
            <w:vAlign w:val="bottom"/>
          </w:tcPr>
          <w:p>
            <w:pPr>
              <w:ind w:left="440"/>
              <w:spacing w:after="0"/>
              <w:rPr>
                <w:sz w:val="20"/>
                <w:szCs w:val="20"/>
                <w:color w:val="auto"/>
              </w:rPr>
            </w:pPr>
            <w:r>
              <w:rPr>
                <w:rFonts w:ascii="Arial" w:cs="Arial" w:eastAsia="Arial" w:hAnsi="Arial"/>
                <w:sz w:val="17"/>
                <w:szCs w:val="17"/>
                <w:color w:val="auto"/>
              </w:rPr>
              <w:t>Metrics underpinning performance incentives align with our</w:t>
            </w:r>
          </w:p>
        </w:tc>
        <w:tc>
          <w:tcPr>
            <w:tcW w:w="5460" w:type="dxa"/>
            <w:vAlign w:val="bottom"/>
          </w:tcPr>
          <w:p>
            <w:pPr>
              <w:ind w:left="480"/>
              <w:spacing w:after="0"/>
              <w:rPr>
                <w:sz w:val="20"/>
                <w:szCs w:val="20"/>
                <w:color w:val="auto"/>
              </w:rPr>
            </w:pPr>
            <w:r>
              <w:rPr>
                <w:rFonts w:ascii="Arial" w:cs="Arial" w:eastAsia="Arial" w:hAnsi="Arial"/>
                <w:sz w:val="17"/>
                <w:szCs w:val="17"/>
                <w:color w:val="auto"/>
              </w:rPr>
              <w:t>No repricing of stock options without shareholder approval</w:t>
            </w:r>
          </w:p>
        </w:tc>
      </w:tr>
      <w:tr>
        <w:trPr>
          <w:trHeight w:val="201"/>
        </w:trPr>
        <w:tc>
          <w:tcPr>
            <w:tcW w:w="5800" w:type="dxa"/>
            <w:vAlign w:val="bottom"/>
          </w:tcPr>
          <w:p>
            <w:pPr>
              <w:ind w:left="440"/>
              <w:spacing w:after="0"/>
              <w:rPr>
                <w:sz w:val="20"/>
                <w:szCs w:val="20"/>
                <w:color w:val="auto"/>
              </w:rPr>
            </w:pPr>
            <w:r>
              <w:rPr>
                <w:rFonts w:ascii="Arial" w:cs="Arial" w:eastAsia="Arial" w:hAnsi="Arial"/>
                <w:sz w:val="17"/>
                <w:szCs w:val="17"/>
                <w:color w:val="auto"/>
              </w:rPr>
              <w:t>strategic and financial objectives</w:t>
            </w:r>
          </w:p>
        </w:tc>
        <w:tc>
          <w:tcPr>
            <w:tcW w:w="5460" w:type="dxa"/>
            <w:vAlign w:val="bottom"/>
          </w:tcPr>
          <w:p>
            <w:pPr>
              <w:spacing w:after="0"/>
              <w:rPr>
                <w:sz w:val="17"/>
                <w:szCs w:val="17"/>
                <w:color w:val="auto"/>
              </w:rPr>
            </w:pPr>
          </w:p>
        </w:tc>
      </w:tr>
      <w:tr>
        <w:trPr>
          <w:trHeight w:val="85"/>
        </w:trPr>
        <w:tc>
          <w:tcPr>
            <w:tcW w:w="5800" w:type="dxa"/>
            <w:vAlign w:val="bottom"/>
            <w:tcBorders>
              <w:bottom w:val="single" w:sz="8" w:color="125288"/>
            </w:tcBorders>
          </w:tcPr>
          <w:p>
            <w:pPr>
              <w:spacing w:after="0"/>
              <w:rPr>
                <w:sz w:val="7"/>
                <w:szCs w:val="7"/>
                <w:color w:val="auto"/>
              </w:rPr>
            </w:pPr>
          </w:p>
        </w:tc>
        <w:tc>
          <w:tcPr>
            <w:tcW w:w="5460" w:type="dxa"/>
            <w:vAlign w:val="bottom"/>
            <w:tcBorders>
              <w:bottom w:val="single" w:sz="8" w:color="125288"/>
            </w:tcBorders>
          </w:tcPr>
          <w:p>
            <w:pPr>
              <w:spacing w:after="0"/>
              <w:rPr>
                <w:sz w:val="7"/>
                <w:szCs w:val="7"/>
                <w:color w:val="auto"/>
              </w:rPr>
            </w:pPr>
          </w:p>
        </w:tc>
      </w:tr>
      <w:tr>
        <w:trPr>
          <w:trHeight w:val="265"/>
        </w:trPr>
        <w:tc>
          <w:tcPr>
            <w:tcW w:w="5800" w:type="dxa"/>
            <w:vAlign w:val="bottom"/>
          </w:tcPr>
          <w:p>
            <w:pPr>
              <w:ind w:left="440"/>
              <w:spacing w:after="0"/>
              <w:rPr>
                <w:sz w:val="20"/>
                <w:szCs w:val="20"/>
                <w:color w:val="auto"/>
              </w:rPr>
            </w:pPr>
            <w:r>
              <w:rPr>
                <w:rFonts w:ascii="Arial" w:cs="Arial" w:eastAsia="Arial" w:hAnsi="Arial"/>
                <w:sz w:val="17"/>
                <w:szCs w:val="17"/>
                <w:color w:val="auto"/>
              </w:rPr>
              <w:t>Annual and multi-year performance periods ensure focus on short-</w:t>
            </w:r>
          </w:p>
        </w:tc>
        <w:tc>
          <w:tcPr>
            <w:tcW w:w="5460" w:type="dxa"/>
            <w:vAlign w:val="bottom"/>
          </w:tcPr>
          <w:p>
            <w:pPr>
              <w:ind w:left="480"/>
              <w:spacing w:after="0"/>
              <w:rPr>
                <w:sz w:val="20"/>
                <w:szCs w:val="20"/>
                <w:color w:val="auto"/>
              </w:rPr>
            </w:pPr>
            <w:r>
              <w:rPr>
                <w:rFonts w:ascii="Arial" w:cs="Arial" w:eastAsia="Arial" w:hAnsi="Arial"/>
                <w:sz w:val="17"/>
                <w:szCs w:val="17"/>
                <w:color w:val="auto"/>
              </w:rPr>
              <w:t>No dividends paid on unearned awards</w:t>
            </w:r>
          </w:p>
        </w:tc>
      </w:tr>
      <w:tr>
        <w:trPr>
          <w:trHeight w:val="201"/>
        </w:trPr>
        <w:tc>
          <w:tcPr>
            <w:tcW w:w="5800" w:type="dxa"/>
            <w:vAlign w:val="bottom"/>
          </w:tcPr>
          <w:p>
            <w:pPr>
              <w:ind w:left="440"/>
              <w:spacing w:after="0"/>
              <w:rPr>
                <w:sz w:val="20"/>
                <w:szCs w:val="20"/>
                <w:color w:val="auto"/>
              </w:rPr>
            </w:pPr>
            <w:r>
              <w:rPr>
                <w:rFonts w:ascii="Arial" w:cs="Arial" w:eastAsia="Arial" w:hAnsi="Arial"/>
                <w:sz w:val="17"/>
                <w:szCs w:val="17"/>
                <w:color w:val="auto"/>
              </w:rPr>
              <w:t>and long-term performance</w:t>
            </w:r>
          </w:p>
        </w:tc>
        <w:tc>
          <w:tcPr>
            <w:tcW w:w="5460" w:type="dxa"/>
            <w:vAlign w:val="bottom"/>
          </w:tcPr>
          <w:p>
            <w:pPr>
              <w:spacing w:after="0"/>
              <w:rPr>
                <w:sz w:val="17"/>
                <w:szCs w:val="17"/>
                <w:color w:val="auto"/>
              </w:rPr>
            </w:pPr>
          </w:p>
        </w:tc>
      </w:tr>
      <w:tr>
        <w:trPr>
          <w:trHeight w:val="85"/>
        </w:trPr>
        <w:tc>
          <w:tcPr>
            <w:tcW w:w="5800" w:type="dxa"/>
            <w:vAlign w:val="bottom"/>
            <w:tcBorders>
              <w:bottom w:val="single" w:sz="8" w:color="125288"/>
            </w:tcBorders>
          </w:tcPr>
          <w:p>
            <w:pPr>
              <w:spacing w:after="0"/>
              <w:rPr>
                <w:sz w:val="7"/>
                <w:szCs w:val="7"/>
                <w:color w:val="auto"/>
              </w:rPr>
            </w:pPr>
          </w:p>
        </w:tc>
        <w:tc>
          <w:tcPr>
            <w:tcW w:w="5460" w:type="dxa"/>
            <w:vAlign w:val="bottom"/>
            <w:tcBorders>
              <w:bottom w:val="single" w:sz="8" w:color="125288"/>
            </w:tcBorders>
          </w:tcPr>
          <w:p>
            <w:pPr>
              <w:spacing w:after="0"/>
              <w:rPr>
                <w:sz w:val="7"/>
                <w:szCs w:val="7"/>
                <w:color w:val="auto"/>
              </w:rPr>
            </w:pPr>
          </w:p>
        </w:tc>
      </w:tr>
      <w:tr>
        <w:trPr>
          <w:trHeight w:val="265"/>
        </w:trPr>
        <w:tc>
          <w:tcPr>
            <w:tcW w:w="5800" w:type="dxa"/>
            <w:vAlign w:val="bottom"/>
          </w:tcPr>
          <w:p>
            <w:pPr>
              <w:ind w:left="440"/>
              <w:spacing w:after="0"/>
              <w:rPr>
                <w:sz w:val="20"/>
                <w:szCs w:val="20"/>
                <w:color w:val="auto"/>
              </w:rPr>
            </w:pPr>
            <w:r>
              <w:rPr>
                <w:rFonts w:ascii="Arial" w:cs="Arial" w:eastAsia="Arial" w:hAnsi="Arial"/>
                <w:sz w:val="17"/>
                <w:szCs w:val="17"/>
                <w:color w:val="auto"/>
              </w:rPr>
              <w:t>Significant majority of equity granted to our executives is</w:t>
            </w:r>
          </w:p>
        </w:tc>
        <w:tc>
          <w:tcPr>
            <w:tcW w:w="5460" w:type="dxa"/>
            <w:vAlign w:val="bottom"/>
          </w:tcPr>
          <w:p>
            <w:pPr>
              <w:spacing w:after="0"/>
              <w:rPr>
                <w:sz w:val="23"/>
                <w:szCs w:val="23"/>
                <w:color w:val="auto"/>
              </w:rPr>
            </w:pPr>
          </w:p>
        </w:tc>
      </w:tr>
      <w:tr>
        <w:trPr>
          <w:trHeight w:val="190"/>
        </w:trPr>
        <w:tc>
          <w:tcPr>
            <w:tcW w:w="5800" w:type="dxa"/>
            <w:vAlign w:val="bottom"/>
          </w:tcPr>
          <w:p>
            <w:pPr>
              <w:ind w:left="440"/>
              <w:spacing w:after="0" w:line="190" w:lineRule="exact"/>
              <w:rPr>
                <w:sz w:val="20"/>
                <w:szCs w:val="20"/>
                <w:color w:val="auto"/>
              </w:rPr>
            </w:pPr>
            <w:r>
              <w:rPr>
                <w:rFonts w:ascii="Arial" w:cs="Arial" w:eastAsia="Arial" w:hAnsi="Arial"/>
                <w:sz w:val="17"/>
                <w:szCs w:val="17"/>
                <w:color w:val="auto"/>
              </w:rPr>
              <w:t>performance-based, specifically as PSUs that vest based on</w:t>
            </w:r>
          </w:p>
        </w:tc>
        <w:tc>
          <w:tcPr>
            <w:tcW w:w="5460" w:type="dxa"/>
            <w:vAlign w:val="bottom"/>
          </w:tcPr>
          <w:p>
            <w:pPr>
              <w:spacing w:after="0"/>
              <w:rPr>
                <w:sz w:val="16"/>
                <w:szCs w:val="16"/>
                <w:color w:val="auto"/>
              </w:rPr>
            </w:pPr>
          </w:p>
        </w:tc>
      </w:tr>
      <w:tr>
        <w:trPr>
          <w:trHeight w:val="201"/>
        </w:trPr>
        <w:tc>
          <w:tcPr>
            <w:tcW w:w="5800" w:type="dxa"/>
            <w:vAlign w:val="bottom"/>
          </w:tcPr>
          <w:p>
            <w:pPr>
              <w:ind w:left="440"/>
              <w:spacing w:after="0"/>
              <w:rPr>
                <w:sz w:val="20"/>
                <w:szCs w:val="20"/>
                <w:color w:val="auto"/>
              </w:rPr>
            </w:pPr>
            <w:r>
              <w:rPr>
                <w:rFonts w:ascii="Arial" w:cs="Arial" w:eastAsia="Arial" w:hAnsi="Arial"/>
                <w:sz w:val="17"/>
                <w:szCs w:val="17"/>
                <w:color w:val="auto"/>
              </w:rPr>
              <w:t>performance against preset goals</w:t>
            </w:r>
          </w:p>
        </w:tc>
        <w:tc>
          <w:tcPr>
            <w:tcW w:w="5460" w:type="dxa"/>
            <w:vAlign w:val="bottom"/>
          </w:tcPr>
          <w:p>
            <w:pPr>
              <w:spacing w:after="0"/>
              <w:rPr>
                <w:sz w:val="17"/>
                <w:szCs w:val="17"/>
                <w:color w:val="auto"/>
              </w:rPr>
            </w:pPr>
          </w:p>
        </w:tc>
      </w:tr>
      <w:tr>
        <w:trPr>
          <w:trHeight w:val="85"/>
        </w:trPr>
        <w:tc>
          <w:tcPr>
            <w:tcW w:w="5800" w:type="dxa"/>
            <w:vAlign w:val="bottom"/>
            <w:tcBorders>
              <w:bottom w:val="single" w:sz="8" w:color="125288"/>
            </w:tcBorders>
          </w:tcPr>
          <w:p>
            <w:pPr>
              <w:spacing w:after="0"/>
              <w:rPr>
                <w:sz w:val="7"/>
                <w:szCs w:val="7"/>
                <w:color w:val="auto"/>
              </w:rPr>
            </w:pPr>
          </w:p>
        </w:tc>
        <w:tc>
          <w:tcPr>
            <w:tcW w:w="5460" w:type="dxa"/>
            <w:vAlign w:val="bottom"/>
            <w:tcBorders>
              <w:bottom w:val="single" w:sz="8" w:color="125288"/>
            </w:tcBorders>
          </w:tcPr>
          <w:p>
            <w:pPr>
              <w:spacing w:after="0"/>
              <w:rPr>
                <w:sz w:val="7"/>
                <w:szCs w:val="7"/>
                <w:color w:val="auto"/>
              </w:rPr>
            </w:pPr>
          </w:p>
        </w:tc>
      </w:tr>
      <w:tr>
        <w:trPr>
          <w:trHeight w:val="265"/>
        </w:trPr>
        <w:tc>
          <w:tcPr>
            <w:tcW w:w="5800" w:type="dxa"/>
            <w:vAlign w:val="bottom"/>
          </w:tcPr>
          <w:p>
            <w:pPr>
              <w:ind w:left="440"/>
              <w:spacing w:after="0"/>
              <w:rPr>
                <w:sz w:val="20"/>
                <w:szCs w:val="20"/>
                <w:color w:val="auto"/>
              </w:rPr>
            </w:pPr>
            <w:r>
              <w:rPr>
                <w:rFonts w:ascii="Arial" w:cs="Arial" w:eastAsia="Arial" w:hAnsi="Arial"/>
                <w:sz w:val="17"/>
                <w:szCs w:val="17"/>
                <w:color w:val="auto"/>
              </w:rPr>
              <w:t>Emphasis on multi-year growth metrics ensures continuous focus</w:t>
            </w:r>
          </w:p>
        </w:tc>
        <w:tc>
          <w:tcPr>
            <w:tcW w:w="5460" w:type="dxa"/>
            <w:vAlign w:val="bottom"/>
          </w:tcPr>
          <w:p>
            <w:pPr>
              <w:spacing w:after="0"/>
              <w:rPr>
                <w:sz w:val="23"/>
                <w:szCs w:val="23"/>
                <w:color w:val="auto"/>
              </w:rPr>
            </w:pPr>
          </w:p>
        </w:tc>
      </w:tr>
      <w:tr>
        <w:trPr>
          <w:trHeight w:val="201"/>
        </w:trPr>
        <w:tc>
          <w:tcPr>
            <w:tcW w:w="5800" w:type="dxa"/>
            <w:vAlign w:val="bottom"/>
          </w:tcPr>
          <w:p>
            <w:pPr>
              <w:ind w:left="440"/>
              <w:spacing w:after="0"/>
              <w:rPr>
                <w:sz w:val="20"/>
                <w:szCs w:val="20"/>
                <w:color w:val="auto"/>
              </w:rPr>
            </w:pPr>
            <w:r>
              <w:rPr>
                <w:rFonts w:ascii="Arial" w:cs="Arial" w:eastAsia="Arial" w:hAnsi="Arial"/>
                <w:sz w:val="17"/>
                <w:szCs w:val="17"/>
                <w:color w:val="auto"/>
              </w:rPr>
              <w:t>on driving incremental shareholder value</w:t>
            </w:r>
          </w:p>
        </w:tc>
        <w:tc>
          <w:tcPr>
            <w:tcW w:w="5460" w:type="dxa"/>
            <w:vAlign w:val="bottom"/>
          </w:tcPr>
          <w:p>
            <w:pPr>
              <w:spacing w:after="0"/>
              <w:rPr>
                <w:sz w:val="17"/>
                <w:szCs w:val="17"/>
                <w:color w:val="auto"/>
              </w:rPr>
            </w:pPr>
          </w:p>
        </w:tc>
      </w:tr>
      <w:tr>
        <w:trPr>
          <w:trHeight w:val="81"/>
        </w:trPr>
        <w:tc>
          <w:tcPr>
            <w:tcW w:w="5800" w:type="dxa"/>
            <w:vAlign w:val="bottom"/>
          </w:tcPr>
          <w:p>
            <w:pPr>
              <w:spacing w:after="0"/>
              <w:rPr>
                <w:sz w:val="7"/>
                <w:szCs w:val="7"/>
                <w:color w:val="auto"/>
              </w:rPr>
            </w:pPr>
          </w:p>
        </w:tc>
        <w:tc>
          <w:tcPr>
            <w:tcW w:w="5460" w:type="dxa"/>
            <w:vAlign w:val="bottom"/>
          </w:tcPr>
          <w:p>
            <w:pPr>
              <w:spacing w:after="0"/>
              <w:rPr>
                <w:sz w:val="7"/>
                <w:szCs w:val="7"/>
                <w:color w:val="auto"/>
              </w:rPr>
            </w:pPr>
          </w:p>
        </w:tc>
      </w:tr>
      <w:tr>
        <w:trPr>
          <w:trHeight w:val="230"/>
        </w:trPr>
        <w:tc>
          <w:tcPr>
            <w:tcW w:w="5800" w:type="dxa"/>
            <w:vAlign w:val="bottom"/>
            <w:tcBorders>
              <w:bottom w:val="single" w:sz="8" w:color="125288"/>
            </w:tcBorders>
            <w:shd w:val="clear" w:color="auto" w:fill="125288"/>
          </w:tcPr>
          <w:p>
            <w:pPr>
              <w:ind w:left="60"/>
              <w:spacing w:after="0"/>
              <w:rPr>
                <w:sz w:val="20"/>
                <w:szCs w:val="20"/>
                <w:color w:val="auto"/>
              </w:rPr>
            </w:pPr>
            <w:r>
              <w:rPr>
                <w:rFonts w:ascii="Arial" w:cs="Arial" w:eastAsia="Arial" w:hAnsi="Arial"/>
                <w:sz w:val="15"/>
                <w:szCs w:val="15"/>
                <w:b w:val="1"/>
                <w:bCs w:val="1"/>
                <w:color w:val="FFFFFF"/>
              </w:rPr>
              <w:t>ALIGNMENT OF EXECUTIVE INTERESTS</w:t>
            </w:r>
          </w:p>
        </w:tc>
        <w:tc>
          <w:tcPr>
            <w:tcW w:w="5460" w:type="dxa"/>
            <w:vAlign w:val="bottom"/>
            <w:tcBorders>
              <w:bottom w:val="single" w:sz="8" w:color="125288"/>
            </w:tcBorders>
            <w:shd w:val="clear" w:color="auto" w:fill="125288"/>
          </w:tcPr>
          <w:p>
            <w:pPr>
              <w:spacing w:after="0"/>
              <w:rPr>
                <w:sz w:val="19"/>
                <w:szCs w:val="19"/>
                <w:color w:val="auto"/>
              </w:rPr>
            </w:pPr>
          </w:p>
        </w:tc>
      </w:tr>
      <w:tr>
        <w:trPr>
          <w:trHeight w:val="265"/>
        </w:trPr>
        <w:tc>
          <w:tcPr>
            <w:tcW w:w="5800" w:type="dxa"/>
            <w:vAlign w:val="bottom"/>
          </w:tcPr>
          <w:p>
            <w:pPr>
              <w:ind w:left="440"/>
              <w:spacing w:after="0"/>
              <w:rPr>
                <w:sz w:val="20"/>
                <w:szCs w:val="20"/>
                <w:color w:val="auto"/>
              </w:rPr>
            </w:pPr>
            <w:r>
              <w:rPr>
                <w:rFonts w:ascii="Arial" w:cs="Arial" w:eastAsia="Arial" w:hAnsi="Arial"/>
                <w:sz w:val="17"/>
                <w:szCs w:val="17"/>
                <w:color w:val="auto"/>
              </w:rPr>
              <w:t>Stock ownership guidelines (including CEO requirement of 50x</w:t>
            </w:r>
          </w:p>
        </w:tc>
        <w:tc>
          <w:tcPr>
            <w:tcW w:w="5460" w:type="dxa"/>
            <w:vAlign w:val="bottom"/>
          </w:tcPr>
          <w:p>
            <w:pPr>
              <w:ind w:left="480"/>
              <w:spacing w:after="0"/>
              <w:rPr>
                <w:sz w:val="20"/>
                <w:szCs w:val="20"/>
                <w:color w:val="auto"/>
              </w:rPr>
            </w:pPr>
            <w:r>
              <w:rPr>
                <w:rFonts w:ascii="Arial" w:cs="Arial" w:eastAsia="Arial" w:hAnsi="Arial"/>
                <w:sz w:val="17"/>
                <w:szCs w:val="17"/>
                <w:color w:val="auto"/>
              </w:rPr>
              <w:t>No excise tax gross-up upon change in control termination</w:t>
            </w:r>
          </w:p>
        </w:tc>
      </w:tr>
      <w:tr>
        <w:trPr>
          <w:trHeight w:val="201"/>
        </w:trPr>
        <w:tc>
          <w:tcPr>
            <w:tcW w:w="5800" w:type="dxa"/>
            <w:vAlign w:val="bottom"/>
          </w:tcPr>
          <w:p>
            <w:pPr>
              <w:ind w:left="440"/>
              <w:spacing w:after="0"/>
              <w:rPr>
                <w:sz w:val="20"/>
                <w:szCs w:val="20"/>
                <w:color w:val="auto"/>
              </w:rPr>
            </w:pPr>
            <w:r>
              <w:rPr>
                <w:rFonts w:ascii="Arial" w:cs="Arial" w:eastAsia="Arial" w:hAnsi="Arial"/>
                <w:sz w:val="17"/>
                <w:szCs w:val="17"/>
                <w:color w:val="auto"/>
              </w:rPr>
              <w:t>base salary) encourage ownership mentality</w:t>
            </w:r>
          </w:p>
        </w:tc>
        <w:tc>
          <w:tcPr>
            <w:tcW w:w="5460" w:type="dxa"/>
            <w:vAlign w:val="bottom"/>
          </w:tcPr>
          <w:p>
            <w:pPr>
              <w:spacing w:after="0"/>
              <w:rPr>
                <w:sz w:val="17"/>
                <w:szCs w:val="17"/>
                <w:color w:val="auto"/>
              </w:rPr>
            </w:pPr>
          </w:p>
        </w:tc>
      </w:tr>
      <w:tr>
        <w:trPr>
          <w:trHeight w:val="85"/>
        </w:trPr>
        <w:tc>
          <w:tcPr>
            <w:tcW w:w="5800" w:type="dxa"/>
            <w:vAlign w:val="bottom"/>
            <w:tcBorders>
              <w:bottom w:val="single" w:sz="8" w:color="125288"/>
            </w:tcBorders>
          </w:tcPr>
          <w:p>
            <w:pPr>
              <w:spacing w:after="0"/>
              <w:rPr>
                <w:sz w:val="7"/>
                <w:szCs w:val="7"/>
                <w:color w:val="auto"/>
              </w:rPr>
            </w:pPr>
          </w:p>
        </w:tc>
        <w:tc>
          <w:tcPr>
            <w:tcW w:w="5460" w:type="dxa"/>
            <w:vAlign w:val="bottom"/>
            <w:tcBorders>
              <w:bottom w:val="single" w:sz="8" w:color="125288"/>
            </w:tcBorders>
          </w:tcPr>
          <w:p>
            <w:pPr>
              <w:spacing w:after="0"/>
              <w:rPr>
                <w:sz w:val="7"/>
                <w:szCs w:val="7"/>
                <w:color w:val="auto"/>
              </w:rPr>
            </w:pPr>
          </w:p>
        </w:tc>
      </w:tr>
      <w:tr>
        <w:trPr>
          <w:trHeight w:val="265"/>
        </w:trPr>
        <w:tc>
          <w:tcPr>
            <w:tcW w:w="5800" w:type="dxa"/>
            <w:vAlign w:val="bottom"/>
          </w:tcPr>
          <w:p>
            <w:pPr>
              <w:ind w:left="440"/>
              <w:spacing w:after="0"/>
              <w:rPr>
                <w:sz w:val="20"/>
                <w:szCs w:val="20"/>
                <w:color w:val="auto"/>
              </w:rPr>
            </w:pPr>
            <w:r>
              <w:rPr>
                <w:rFonts w:ascii="Arial" w:cs="Arial" w:eastAsia="Arial" w:hAnsi="Arial"/>
                <w:sz w:val="17"/>
                <w:szCs w:val="17"/>
                <w:color w:val="auto"/>
              </w:rPr>
              <w:t>“Clawback” policy enables recoupment of certain performance-</w:t>
            </w:r>
          </w:p>
        </w:tc>
        <w:tc>
          <w:tcPr>
            <w:tcW w:w="5460" w:type="dxa"/>
            <w:vAlign w:val="bottom"/>
          </w:tcPr>
          <w:p>
            <w:pPr>
              <w:spacing w:after="0"/>
              <w:rPr>
                <w:sz w:val="23"/>
                <w:szCs w:val="23"/>
                <w:color w:val="auto"/>
              </w:rPr>
            </w:pPr>
          </w:p>
        </w:tc>
      </w:tr>
      <w:tr>
        <w:trPr>
          <w:trHeight w:val="190"/>
        </w:trPr>
        <w:tc>
          <w:tcPr>
            <w:tcW w:w="5800" w:type="dxa"/>
            <w:vAlign w:val="bottom"/>
          </w:tcPr>
          <w:p>
            <w:pPr>
              <w:ind w:left="440"/>
              <w:spacing w:after="0" w:line="190" w:lineRule="exact"/>
              <w:rPr>
                <w:sz w:val="20"/>
                <w:szCs w:val="20"/>
                <w:color w:val="auto"/>
              </w:rPr>
            </w:pPr>
            <w:r>
              <w:rPr>
                <w:rFonts w:ascii="Arial" w:cs="Arial" w:eastAsia="Arial" w:hAnsi="Arial"/>
                <w:sz w:val="17"/>
                <w:szCs w:val="17"/>
                <w:color w:val="auto"/>
              </w:rPr>
              <w:t>based compensation (both cash and equity) from an executive in</w:t>
            </w:r>
          </w:p>
        </w:tc>
        <w:tc>
          <w:tcPr>
            <w:tcW w:w="5460" w:type="dxa"/>
            <w:vAlign w:val="bottom"/>
          </w:tcPr>
          <w:p>
            <w:pPr>
              <w:spacing w:after="0"/>
              <w:rPr>
                <w:sz w:val="16"/>
                <w:szCs w:val="16"/>
                <w:color w:val="auto"/>
              </w:rPr>
            </w:pPr>
          </w:p>
        </w:tc>
      </w:tr>
      <w:tr>
        <w:trPr>
          <w:trHeight w:val="190"/>
        </w:trPr>
        <w:tc>
          <w:tcPr>
            <w:tcW w:w="5800" w:type="dxa"/>
            <w:vAlign w:val="bottom"/>
          </w:tcPr>
          <w:p>
            <w:pPr>
              <w:ind w:left="440"/>
              <w:spacing w:after="0" w:line="190" w:lineRule="exact"/>
              <w:rPr>
                <w:sz w:val="20"/>
                <w:szCs w:val="20"/>
                <w:color w:val="auto"/>
              </w:rPr>
            </w:pPr>
            <w:r>
              <w:rPr>
                <w:rFonts w:ascii="Arial" w:cs="Arial" w:eastAsia="Arial" w:hAnsi="Arial"/>
                <w:sz w:val="17"/>
                <w:szCs w:val="17"/>
                <w:color w:val="auto"/>
              </w:rPr>
              <w:t>the event of an earnings restatement due to that executive’s</w:t>
            </w:r>
          </w:p>
        </w:tc>
        <w:tc>
          <w:tcPr>
            <w:tcW w:w="5460" w:type="dxa"/>
            <w:vAlign w:val="bottom"/>
          </w:tcPr>
          <w:p>
            <w:pPr>
              <w:spacing w:after="0"/>
              <w:rPr>
                <w:sz w:val="16"/>
                <w:szCs w:val="16"/>
                <w:color w:val="auto"/>
              </w:rPr>
            </w:pPr>
          </w:p>
        </w:tc>
      </w:tr>
      <w:tr>
        <w:trPr>
          <w:trHeight w:val="201"/>
        </w:trPr>
        <w:tc>
          <w:tcPr>
            <w:tcW w:w="5800" w:type="dxa"/>
            <w:vAlign w:val="bottom"/>
          </w:tcPr>
          <w:p>
            <w:pPr>
              <w:ind w:left="440"/>
              <w:spacing w:after="0"/>
              <w:rPr>
                <w:sz w:val="20"/>
                <w:szCs w:val="20"/>
                <w:color w:val="auto"/>
              </w:rPr>
            </w:pPr>
            <w:r>
              <w:rPr>
                <w:rFonts w:ascii="Arial" w:cs="Arial" w:eastAsia="Arial" w:hAnsi="Arial"/>
                <w:sz w:val="17"/>
                <w:szCs w:val="17"/>
                <w:color w:val="auto"/>
              </w:rPr>
              <w:t>misconduct</w:t>
            </w:r>
          </w:p>
        </w:tc>
        <w:tc>
          <w:tcPr>
            <w:tcW w:w="5460" w:type="dxa"/>
            <w:vAlign w:val="bottom"/>
          </w:tcPr>
          <w:p>
            <w:pPr>
              <w:spacing w:after="0"/>
              <w:rPr>
                <w:sz w:val="17"/>
                <w:szCs w:val="17"/>
                <w:color w:val="auto"/>
              </w:rPr>
            </w:pPr>
          </w:p>
        </w:tc>
      </w:tr>
      <w:tr>
        <w:trPr>
          <w:trHeight w:val="81"/>
        </w:trPr>
        <w:tc>
          <w:tcPr>
            <w:tcW w:w="5800" w:type="dxa"/>
            <w:vAlign w:val="bottom"/>
          </w:tcPr>
          <w:p>
            <w:pPr>
              <w:spacing w:after="0"/>
              <w:rPr>
                <w:sz w:val="7"/>
                <w:szCs w:val="7"/>
                <w:color w:val="auto"/>
              </w:rPr>
            </w:pPr>
          </w:p>
        </w:tc>
        <w:tc>
          <w:tcPr>
            <w:tcW w:w="5460" w:type="dxa"/>
            <w:vAlign w:val="bottom"/>
          </w:tcPr>
          <w:p>
            <w:pPr>
              <w:spacing w:after="0"/>
              <w:rPr>
                <w:sz w:val="7"/>
                <w:szCs w:val="7"/>
                <w:color w:val="auto"/>
              </w:rPr>
            </w:pPr>
          </w:p>
        </w:tc>
      </w:tr>
      <w:tr>
        <w:trPr>
          <w:trHeight w:val="230"/>
        </w:trPr>
        <w:tc>
          <w:tcPr>
            <w:tcW w:w="5800" w:type="dxa"/>
            <w:vAlign w:val="bottom"/>
            <w:tcBorders>
              <w:bottom w:val="single" w:sz="8" w:color="125288"/>
            </w:tcBorders>
            <w:shd w:val="clear" w:color="auto" w:fill="125288"/>
          </w:tcPr>
          <w:p>
            <w:pPr>
              <w:ind w:left="60"/>
              <w:spacing w:after="0"/>
              <w:rPr>
                <w:sz w:val="20"/>
                <w:szCs w:val="20"/>
                <w:color w:val="auto"/>
              </w:rPr>
            </w:pPr>
            <w:r>
              <w:rPr>
                <w:rFonts w:ascii="Arial" w:cs="Arial" w:eastAsia="Arial" w:hAnsi="Arial"/>
                <w:sz w:val="15"/>
                <w:szCs w:val="15"/>
                <w:b w:val="1"/>
                <w:bCs w:val="1"/>
                <w:color w:val="FFFFFF"/>
              </w:rPr>
              <w:t>COMPENSATION RISK MITIGATION</w:t>
            </w:r>
          </w:p>
        </w:tc>
        <w:tc>
          <w:tcPr>
            <w:tcW w:w="5460" w:type="dxa"/>
            <w:vAlign w:val="bottom"/>
            <w:tcBorders>
              <w:bottom w:val="single" w:sz="8" w:color="125288"/>
            </w:tcBorders>
            <w:shd w:val="clear" w:color="auto" w:fill="125288"/>
          </w:tcPr>
          <w:p>
            <w:pPr>
              <w:spacing w:after="0"/>
              <w:rPr>
                <w:sz w:val="19"/>
                <w:szCs w:val="19"/>
                <w:color w:val="auto"/>
              </w:rPr>
            </w:pPr>
          </w:p>
        </w:tc>
      </w:tr>
      <w:tr>
        <w:trPr>
          <w:trHeight w:val="265"/>
        </w:trPr>
        <w:tc>
          <w:tcPr>
            <w:tcW w:w="5800" w:type="dxa"/>
            <w:vAlign w:val="bottom"/>
          </w:tcPr>
          <w:p>
            <w:pPr>
              <w:ind w:left="440"/>
              <w:spacing w:after="0"/>
              <w:rPr>
                <w:sz w:val="20"/>
                <w:szCs w:val="20"/>
                <w:color w:val="auto"/>
              </w:rPr>
            </w:pPr>
            <w:r>
              <w:rPr>
                <w:rFonts w:ascii="Arial" w:cs="Arial" w:eastAsia="Arial" w:hAnsi="Arial"/>
                <w:sz w:val="17"/>
                <w:szCs w:val="17"/>
                <w:color w:val="auto"/>
              </w:rPr>
              <w:t>Formal risk management, governance, and review structures,</w:t>
            </w:r>
          </w:p>
        </w:tc>
        <w:tc>
          <w:tcPr>
            <w:tcW w:w="5460" w:type="dxa"/>
            <w:vAlign w:val="bottom"/>
          </w:tcPr>
          <w:p>
            <w:pPr>
              <w:ind w:left="480"/>
              <w:spacing w:after="0"/>
              <w:rPr>
                <w:sz w:val="20"/>
                <w:szCs w:val="20"/>
                <w:color w:val="auto"/>
              </w:rPr>
            </w:pPr>
            <w:r>
              <w:rPr>
                <w:rFonts w:ascii="Arial" w:cs="Arial" w:eastAsia="Arial" w:hAnsi="Arial"/>
                <w:sz w:val="17"/>
                <w:szCs w:val="17"/>
                <w:color w:val="auto"/>
              </w:rPr>
              <w:t>No hedging of Company stock, or using margin accounts to trade</w:t>
            </w:r>
          </w:p>
        </w:tc>
      </w:tr>
      <w:tr>
        <w:trPr>
          <w:trHeight w:val="190"/>
        </w:trPr>
        <w:tc>
          <w:tcPr>
            <w:tcW w:w="5800" w:type="dxa"/>
            <w:vAlign w:val="bottom"/>
          </w:tcPr>
          <w:p>
            <w:pPr>
              <w:ind w:left="440"/>
              <w:spacing w:after="0" w:line="190" w:lineRule="exact"/>
              <w:rPr>
                <w:sz w:val="20"/>
                <w:szCs w:val="20"/>
                <w:color w:val="auto"/>
              </w:rPr>
            </w:pPr>
            <w:r>
              <w:rPr>
                <w:rFonts w:ascii="Arial" w:cs="Arial" w:eastAsia="Arial" w:hAnsi="Arial"/>
                <w:sz w:val="17"/>
                <w:szCs w:val="17"/>
                <w:color w:val="auto"/>
              </w:rPr>
              <w:t>including at least two levels of approval for incentive award</w:t>
            </w:r>
          </w:p>
        </w:tc>
        <w:tc>
          <w:tcPr>
            <w:tcW w:w="5460" w:type="dxa"/>
            <w:vAlign w:val="bottom"/>
          </w:tcPr>
          <w:p>
            <w:pPr>
              <w:ind w:left="480"/>
              <w:spacing w:after="0" w:line="190" w:lineRule="exact"/>
              <w:rPr>
                <w:sz w:val="20"/>
                <w:szCs w:val="20"/>
                <w:color w:val="auto"/>
              </w:rPr>
            </w:pPr>
            <w:r>
              <w:rPr>
                <w:rFonts w:ascii="Arial" w:cs="Arial" w:eastAsia="Arial" w:hAnsi="Arial"/>
                <w:sz w:val="17"/>
                <w:szCs w:val="17"/>
                <w:color w:val="auto"/>
              </w:rPr>
              <w:t>Company stock</w:t>
            </w:r>
          </w:p>
        </w:tc>
      </w:tr>
      <w:tr>
        <w:trPr>
          <w:trHeight w:val="201"/>
        </w:trPr>
        <w:tc>
          <w:tcPr>
            <w:tcW w:w="5800" w:type="dxa"/>
            <w:vAlign w:val="bottom"/>
          </w:tcPr>
          <w:p>
            <w:pPr>
              <w:ind w:left="440"/>
              <w:spacing w:after="0"/>
              <w:rPr>
                <w:sz w:val="20"/>
                <w:szCs w:val="20"/>
                <w:color w:val="auto"/>
              </w:rPr>
            </w:pPr>
            <w:r>
              <w:rPr>
                <w:rFonts w:ascii="Arial" w:cs="Arial" w:eastAsia="Arial" w:hAnsi="Arial"/>
                <w:sz w:val="17"/>
                <w:szCs w:val="17"/>
                <w:color w:val="auto"/>
              </w:rPr>
              <w:t>payouts</w:t>
            </w:r>
          </w:p>
        </w:tc>
        <w:tc>
          <w:tcPr>
            <w:tcW w:w="5460" w:type="dxa"/>
            <w:vAlign w:val="bottom"/>
          </w:tcPr>
          <w:p>
            <w:pPr>
              <w:spacing w:after="0"/>
              <w:rPr>
                <w:sz w:val="17"/>
                <w:szCs w:val="17"/>
                <w:color w:val="auto"/>
              </w:rPr>
            </w:pPr>
          </w:p>
        </w:tc>
      </w:tr>
      <w:tr>
        <w:trPr>
          <w:trHeight w:val="85"/>
        </w:trPr>
        <w:tc>
          <w:tcPr>
            <w:tcW w:w="5800" w:type="dxa"/>
            <w:vAlign w:val="bottom"/>
            <w:tcBorders>
              <w:bottom w:val="single" w:sz="8" w:color="125288"/>
            </w:tcBorders>
          </w:tcPr>
          <w:p>
            <w:pPr>
              <w:spacing w:after="0"/>
              <w:rPr>
                <w:sz w:val="7"/>
                <w:szCs w:val="7"/>
                <w:color w:val="auto"/>
              </w:rPr>
            </w:pPr>
          </w:p>
        </w:tc>
        <w:tc>
          <w:tcPr>
            <w:tcW w:w="5460" w:type="dxa"/>
            <w:vAlign w:val="bottom"/>
            <w:tcBorders>
              <w:bottom w:val="single" w:sz="8" w:color="125288"/>
            </w:tcBorders>
          </w:tcPr>
          <w:p>
            <w:pPr>
              <w:spacing w:after="0"/>
              <w:rPr>
                <w:sz w:val="7"/>
                <w:szCs w:val="7"/>
                <w:color w:val="auto"/>
              </w:rPr>
            </w:pPr>
          </w:p>
        </w:tc>
      </w:tr>
      <w:tr>
        <w:trPr>
          <w:trHeight w:val="265"/>
        </w:trPr>
        <w:tc>
          <w:tcPr>
            <w:tcW w:w="5800" w:type="dxa"/>
            <w:vAlign w:val="bottom"/>
          </w:tcPr>
          <w:p>
            <w:pPr>
              <w:ind w:left="440"/>
              <w:spacing w:after="0"/>
              <w:rPr>
                <w:sz w:val="20"/>
                <w:szCs w:val="20"/>
                <w:color w:val="auto"/>
              </w:rPr>
            </w:pPr>
            <w:r>
              <w:rPr>
                <w:rFonts w:ascii="Arial" w:cs="Arial" w:eastAsia="Arial" w:hAnsi="Arial"/>
                <w:sz w:val="17"/>
                <w:szCs w:val="17"/>
                <w:color w:val="auto"/>
              </w:rPr>
              <w:t>Formal caps on our incentive programs (both cash and equity)</w:t>
            </w:r>
          </w:p>
        </w:tc>
        <w:tc>
          <w:tcPr>
            <w:tcW w:w="5460" w:type="dxa"/>
            <w:vAlign w:val="bottom"/>
          </w:tcPr>
          <w:p>
            <w:pPr>
              <w:ind w:left="480"/>
              <w:spacing w:after="0"/>
              <w:rPr>
                <w:sz w:val="20"/>
                <w:szCs w:val="20"/>
                <w:color w:val="auto"/>
              </w:rPr>
            </w:pPr>
            <w:r>
              <w:rPr>
                <w:rFonts w:ascii="Arial" w:cs="Arial" w:eastAsia="Arial" w:hAnsi="Arial"/>
                <w:sz w:val="17"/>
                <w:szCs w:val="17"/>
                <w:color w:val="auto"/>
              </w:rPr>
              <w:t>No pledging of Company stock by directors, NEOs and other</w:t>
            </w:r>
          </w:p>
        </w:tc>
      </w:tr>
      <w:tr>
        <w:trPr>
          <w:trHeight w:val="190"/>
        </w:trPr>
        <w:tc>
          <w:tcPr>
            <w:tcW w:w="5800" w:type="dxa"/>
            <w:vAlign w:val="bottom"/>
          </w:tcPr>
          <w:p>
            <w:pPr>
              <w:ind w:left="440"/>
              <w:spacing w:after="0" w:line="190" w:lineRule="exact"/>
              <w:rPr>
                <w:sz w:val="20"/>
                <w:szCs w:val="20"/>
                <w:color w:val="auto"/>
              </w:rPr>
            </w:pPr>
            <w:r>
              <w:rPr>
                <w:rFonts w:ascii="Arial" w:cs="Arial" w:eastAsia="Arial" w:hAnsi="Arial"/>
                <w:sz w:val="17"/>
                <w:szCs w:val="17"/>
                <w:color w:val="auto"/>
              </w:rPr>
              <w:t>prevent outsized payments</w:t>
            </w:r>
          </w:p>
        </w:tc>
        <w:tc>
          <w:tcPr>
            <w:tcW w:w="5460" w:type="dxa"/>
            <w:vAlign w:val="bottom"/>
          </w:tcPr>
          <w:p>
            <w:pPr>
              <w:ind w:left="480"/>
              <w:spacing w:after="0" w:line="190" w:lineRule="exact"/>
              <w:rPr>
                <w:sz w:val="20"/>
                <w:szCs w:val="20"/>
                <w:color w:val="auto"/>
              </w:rPr>
            </w:pPr>
            <w:r>
              <w:rPr>
                <w:rFonts w:ascii="Arial" w:cs="Arial" w:eastAsia="Arial" w:hAnsi="Arial"/>
                <w:sz w:val="17"/>
                <w:szCs w:val="17"/>
                <w:color w:val="auto"/>
                <w:w w:val="98"/>
              </w:rPr>
              <w:t>Section 16 officers, or the President of any of Activision Publishing,</w:t>
            </w:r>
          </w:p>
        </w:tc>
      </w:tr>
      <w:tr>
        <w:trPr>
          <w:trHeight w:val="201"/>
        </w:trPr>
        <w:tc>
          <w:tcPr>
            <w:tcW w:w="5800" w:type="dxa"/>
            <w:vAlign w:val="bottom"/>
          </w:tcPr>
          <w:p>
            <w:pPr>
              <w:spacing w:after="0"/>
              <w:rPr>
                <w:sz w:val="17"/>
                <w:szCs w:val="17"/>
                <w:color w:val="auto"/>
              </w:rPr>
            </w:pPr>
          </w:p>
        </w:tc>
        <w:tc>
          <w:tcPr>
            <w:tcW w:w="5460" w:type="dxa"/>
            <w:vAlign w:val="bottom"/>
          </w:tcPr>
          <w:p>
            <w:pPr>
              <w:ind w:left="480"/>
              <w:spacing w:after="0"/>
              <w:rPr>
                <w:sz w:val="20"/>
                <w:szCs w:val="20"/>
                <w:color w:val="auto"/>
              </w:rPr>
            </w:pPr>
            <w:r>
              <w:rPr>
                <w:rFonts w:ascii="Arial" w:cs="Arial" w:eastAsia="Arial" w:hAnsi="Arial"/>
                <w:sz w:val="17"/>
                <w:szCs w:val="17"/>
                <w:color w:val="auto"/>
              </w:rPr>
              <w:t>Blizzard, or King as collateral for any type of loan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148830" cy="152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-4024630</wp:posOffset>
            </wp:positionV>
            <wp:extent cx="98425" cy="984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-4024630</wp:posOffset>
            </wp:positionV>
            <wp:extent cx="67945" cy="984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7945" cy="9842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-3662045</wp:posOffset>
            </wp:positionV>
            <wp:extent cx="98425" cy="984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-3662045</wp:posOffset>
            </wp:positionV>
            <wp:extent cx="67945" cy="984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7945" cy="9842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-3299460</wp:posOffset>
            </wp:positionV>
            <wp:extent cx="98425" cy="984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-3299460</wp:posOffset>
            </wp:positionV>
            <wp:extent cx="67945" cy="984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7945" cy="9842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-2937510</wp:posOffset>
            </wp:positionV>
            <wp:extent cx="98425" cy="984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-2454275</wp:posOffset>
            </wp:positionV>
            <wp:extent cx="98425" cy="984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-1948815</wp:posOffset>
            </wp:positionV>
            <wp:extent cx="98425" cy="984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-1948815</wp:posOffset>
            </wp:positionV>
            <wp:extent cx="67945" cy="984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7945" cy="9842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-1586230</wp:posOffset>
            </wp:positionV>
            <wp:extent cx="98425" cy="984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-838835</wp:posOffset>
            </wp:positionV>
            <wp:extent cx="98425" cy="984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-838835</wp:posOffset>
            </wp:positionV>
            <wp:extent cx="67945" cy="984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7945" cy="9842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-355600</wp:posOffset>
            </wp:positionV>
            <wp:extent cx="98425" cy="984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-355600</wp:posOffset>
            </wp:positionV>
            <wp:extent cx="67945" cy="984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7945" cy="98425"/>
                    </a:xfrm>
                    <a:prstGeom prst="rect">
                      <a:avLst/>
                    </a:prstGeom>
                    <a:noFill/>
                  </pic:spPr>
                </pic:pic>
              </a:graphicData>
            </a:graphic>
          </wp:anchor>
        </w:drawing>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Careful management of shareholders’ equity, with dilution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-107315</wp:posOffset>
            </wp:positionV>
            <wp:extent cx="98425" cy="984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7"/>
          <w:szCs w:val="17"/>
          <w:color w:val="auto"/>
        </w:rPr>
        <w:t>bottom quartile of our peers over the last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54610</wp:posOffset>
            </wp:positionV>
            <wp:extent cx="7148830" cy="152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359"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68" w:name="page69"/>
    <w:bookmarkEnd w:id="68"/>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HOW WE MAKE DECISIONS ABOUT EXECUTIVE COMPENSATION</w:t>
      </w:r>
    </w:p>
    <w:p>
      <w:pPr>
        <w:spacing w:after="0" w:line="28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Factors Influencing Compensation Decisions</w:t>
      </w:r>
    </w:p>
    <w:p>
      <w:pPr>
        <w:spacing w:after="0" w:line="142"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Our Compensation Committee believes that executive pay should be determined using a comprehensive approach, involving an evaluation of a wide variety of relevant factors,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The Compensation Committee does not use a predefined framework to weigh the relative importance of these factors, and the emphasis placed on specific factors may vary from executive to executive. Ultimately, the terms on which any given executive officer is employed reflect the Compensation Committee’s independent judgment regarding the amount and form of compensation necessary to attract, retain, and motivate that individual. An example of how we reference market data but make our own decisions is the fact that, although many of our compensation peers include RSUs either as part of the mix or as the sole equity vehicle, we primarily use PSUs that promote pay-for-performance and better align our programs with the interests of our shareholders.</w:t>
      </w:r>
    </w:p>
    <w:p>
      <w:pPr>
        <w:spacing w:after="0" w:line="252"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69" w:name="page70"/>
    <w:bookmarkEnd w:id="69"/>
    <w:p>
      <w:pPr>
        <w:ind w:left="5"/>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10" w:lineRule="exact"/>
        <w:rPr>
          <w:sz w:val="20"/>
          <w:szCs w:val="20"/>
          <w:color w:val="auto"/>
        </w:rPr>
      </w:pPr>
    </w:p>
    <w:p>
      <w:pPr>
        <w:ind w:left="5"/>
        <w:spacing w:after="0"/>
        <w:rPr>
          <w:sz w:val="20"/>
          <w:szCs w:val="20"/>
          <w:color w:val="auto"/>
        </w:rPr>
      </w:pPr>
      <w:r>
        <w:rPr>
          <w:rFonts w:ascii="Arial" w:cs="Arial" w:eastAsia="Arial" w:hAnsi="Arial"/>
          <w:sz w:val="24"/>
          <w:szCs w:val="24"/>
          <w:b w:val="1"/>
          <w:bCs w:val="1"/>
          <w:color w:val="auto"/>
        </w:rPr>
        <w:t>How the Competitive Business Environment Affects Our Talent Requirements</w:t>
      </w:r>
    </w:p>
    <w:p>
      <w:pPr>
        <w:spacing w:after="0" w:line="142" w:lineRule="exact"/>
        <w:rPr>
          <w:sz w:val="20"/>
          <w:szCs w:val="20"/>
          <w:color w:val="auto"/>
        </w:rPr>
      </w:pPr>
    </w:p>
    <w:p>
      <w:pPr>
        <w:jc w:val="both"/>
        <w:ind w:left="5" w:right="20"/>
        <w:spacing w:after="0" w:line="238" w:lineRule="auto"/>
        <w:rPr>
          <w:sz w:val="20"/>
          <w:szCs w:val="20"/>
          <w:color w:val="auto"/>
        </w:rPr>
      </w:pPr>
      <w:r>
        <w:rPr>
          <w:rFonts w:ascii="Arial" w:cs="Arial" w:eastAsia="Arial" w:hAnsi="Arial"/>
          <w:sz w:val="19"/>
          <w:szCs w:val="19"/>
          <w:color w:val="auto"/>
        </w:rPr>
        <w:t>In setting executive pay, the Compensation Committee considers a wide variety of factors, including compensation provided to executives at companies against which we compete, or may compete, for talent. We operate in the interactive entertainment industry, which exists at the nexus of the gaming, media, entertainment, and technology sectors. Compiling a team of top executives with the necessary characteristics requires us to recruit from those and other sectors—often from companies that are larger and more mature than ours.</w:t>
      </w:r>
    </w:p>
    <w:p>
      <w:pPr>
        <w:spacing w:after="0" w:line="260" w:lineRule="exact"/>
        <w:rPr>
          <w:sz w:val="20"/>
          <w:szCs w:val="20"/>
          <w:color w:val="auto"/>
        </w:rPr>
      </w:pPr>
    </w:p>
    <w:p>
      <w:pPr>
        <w:ind w:left="5"/>
        <w:spacing w:after="0"/>
        <w:rPr>
          <w:sz w:val="20"/>
          <w:szCs w:val="20"/>
          <w:color w:val="auto"/>
        </w:rPr>
      </w:pPr>
      <w:r>
        <w:rPr>
          <w:rFonts w:ascii="Arial" w:cs="Arial" w:eastAsia="Arial" w:hAnsi="Arial"/>
          <w:sz w:val="19"/>
          <w:szCs w:val="19"/>
          <w:color w:val="auto"/>
        </w:rPr>
        <w:t>Our industry is intensely competitive and constantly evolving. It features a number of unique characteristics, including:</w:t>
      </w:r>
    </w:p>
    <w:p>
      <w:pPr>
        <w:spacing w:after="0" w:line="138" w:lineRule="exact"/>
        <w:rPr>
          <w:sz w:val="20"/>
          <w:szCs w:val="20"/>
          <w:color w:val="auto"/>
        </w:rPr>
      </w:pPr>
    </w:p>
    <w:p>
      <w:pPr>
        <w:ind w:left="145" w:hanging="145"/>
        <w:spacing w:after="0"/>
        <w:tabs>
          <w:tab w:leader="none" w:pos="145" w:val="left"/>
        </w:tabs>
        <w:numPr>
          <w:ilvl w:val="0"/>
          <w:numId w:val="84"/>
        </w:numPr>
        <w:rPr>
          <w:rFonts w:ascii="Arial" w:cs="Arial" w:eastAsia="Arial" w:hAnsi="Arial"/>
          <w:sz w:val="19"/>
          <w:szCs w:val="19"/>
          <w:color w:val="125288"/>
        </w:rPr>
      </w:pPr>
      <w:r>
        <w:rPr>
          <w:rFonts w:ascii="Arial" w:cs="Arial" w:eastAsia="Arial" w:hAnsi="Arial"/>
          <w:sz w:val="19"/>
          <w:szCs w:val="19"/>
          <w:color w:val="auto"/>
        </w:rPr>
        <w:t>dependence on a relatively small number of titles for a disproportionate level of revenues and profits;</w:t>
      </w:r>
    </w:p>
    <w:p>
      <w:pPr>
        <w:spacing w:after="0" w:line="138" w:lineRule="exact"/>
        <w:rPr>
          <w:rFonts w:ascii="Arial" w:cs="Arial" w:eastAsia="Arial" w:hAnsi="Arial"/>
          <w:sz w:val="19"/>
          <w:szCs w:val="19"/>
          <w:color w:val="125288"/>
        </w:rPr>
      </w:pPr>
    </w:p>
    <w:p>
      <w:pPr>
        <w:ind w:left="145" w:hanging="145"/>
        <w:spacing w:after="0"/>
        <w:tabs>
          <w:tab w:leader="none" w:pos="145" w:val="left"/>
        </w:tabs>
        <w:numPr>
          <w:ilvl w:val="0"/>
          <w:numId w:val="84"/>
        </w:numPr>
        <w:rPr>
          <w:rFonts w:ascii="Arial" w:cs="Arial" w:eastAsia="Arial" w:hAnsi="Arial"/>
          <w:sz w:val="19"/>
          <w:szCs w:val="19"/>
          <w:color w:val="125288"/>
        </w:rPr>
      </w:pPr>
      <w:r>
        <w:rPr>
          <w:rFonts w:ascii="Arial" w:cs="Arial" w:eastAsia="Arial" w:hAnsi="Arial"/>
          <w:sz w:val="19"/>
          <w:szCs w:val="19"/>
          <w:color w:val="auto"/>
        </w:rPr>
        <w:t>high priority on building and growing franchises with sustained game quality and ongoing content releases;</w:t>
      </w:r>
    </w:p>
    <w:p>
      <w:pPr>
        <w:spacing w:after="0" w:line="138" w:lineRule="exact"/>
        <w:rPr>
          <w:rFonts w:ascii="Arial" w:cs="Arial" w:eastAsia="Arial" w:hAnsi="Arial"/>
          <w:sz w:val="19"/>
          <w:szCs w:val="19"/>
          <w:color w:val="125288"/>
        </w:rPr>
      </w:pPr>
    </w:p>
    <w:p>
      <w:pPr>
        <w:ind w:left="145" w:hanging="145"/>
        <w:spacing w:after="0"/>
        <w:tabs>
          <w:tab w:leader="none" w:pos="145" w:val="left"/>
        </w:tabs>
        <w:numPr>
          <w:ilvl w:val="0"/>
          <w:numId w:val="84"/>
        </w:numPr>
        <w:rPr>
          <w:rFonts w:ascii="Arial" w:cs="Arial" w:eastAsia="Arial" w:hAnsi="Arial"/>
          <w:sz w:val="19"/>
          <w:szCs w:val="19"/>
          <w:color w:val="125288"/>
        </w:rPr>
      </w:pPr>
      <w:r>
        <w:rPr>
          <w:rFonts w:ascii="Arial" w:cs="Arial" w:eastAsia="Arial" w:hAnsi="Arial"/>
          <w:sz w:val="19"/>
          <w:szCs w:val="19"/>
          <w:color w:val="auto"/>
        </w:rPr>
        <w:t>rising costs of development, partially due to increasingly complex technological requirements; and</w:t>
      </w:r>
    </w:p>
    <w:p>
      <w:pPr>
        <w:spacing w:after="0" w:line="138"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84"/>
        </w:numPr>
        <w:rPr>
          <w:rFonts w:ascii="Arial" w:cs="Arial" w:eastAsia="Arial" w:hAnsi="Arial"/>
          <w:sz w:val="19"/>
          <w:szCs w:val="19"/>
          <w:color w:val="125288"/>
        </w:rPr>
      </w:pPr>
      <w:r>
        <w:rPr>
          <w:rFonts w:ascii="Arial" w:cs="Arial" w:eastAsia="Arial" w:hAnsi="Arial"/>
          <w:sz w:val="19"/>
          <w:szCs w:val="19"/>
          <w:color w:val="auto"/>
        </w:rPr>
        <w:t>a global consumer base that expects entertainment content delivered at an increasingly rapid pace and through a varied range of channels.</w:t>
      </w:r>
    </w:p>
    <w:p>
      <w:pPr>
        <w:spacing w:after="0" w:line="255" w:lineRule="exact"/>
        <w:rPr>
          <w:sz w:val="20"/>
          <w:szCs w:val="20"/>
          <w:color w:val="auto"/>
        </w:rPr>
      </w:pPr>
    </w:p>
    <w:p>
      <w:pPr>
        <w:ind w:left="5" w:right="20"/>
        <w:spacing w:after="0" w:line="245" w:lineRule="auto"/>
        <w:rPr>
          <w:sz w:val="20"/>
          <w:szCs w:val="20"/>
          <w:color w:val="auto"/>
        </w:rPr>
      </w:pPr>
      <w:r>
        <w:rPr>
          <w:rFonts w:ascii="Arial" w:cs="Arial" w:eastAsia="Arial" w:hAnsi="Arial"/>
          <w:sz w:val="19"/>
          <w:szCs w:val="19"/>
          <w:color w:val="auto"/>
        </w:rPr>
        <w:t>We believe that, in order to succeed in this fast-changing business environment, we require executive talent with specialized qualifications, including:</w:t>
      </w:r>
    </w:p>
    <w:p>
      <w:pPr>
        <w:spacing w:after="0" w:line="125" w:lineRule="exact"/>
        <w:rPr>
          <w:sz w:val="20"/>
          <w:szCs w:val="20"/>
          <w:color w:val="auto"/>
        </w:rPr>
      </w:pPr>
    </w:p>
    <w:p>
      <w:pPr>
        <w:ind w:left="145" w:hanging="145"/>
        <w:spacing w:after="0"/>
        <w:tabs>
          <w:tab w:leader="none" w:pos="145" w:val="left"/>
        </w:tabs>
        <w:numPr>
          <w:ilvl w:val="0"/>
          <w:numId w:val="85"/>
        </w:numPr>
        <w:rPr>
          <w:rFonts w:ascii="Arial" w:cs="Arial" w:eastAsia="Arial" w:hAnsi="Arial"/>
          <w:sz w:val="19"/>
          <w:szCs w:val="19"/>
          <w:color w:val="125288"/>
        </w:rPr>
      </w:pPr>
      <w:r>
        <w:rPr>
          <w:rFonts w:ascii="Arial" w:cs="Arial" w:eastAsia="Arial" w:hAnsi="Arial"/>
          <w:sz w:val="19"/>
          <w:szCs w:val="19"/>
          <w:color w:val="auto"/>
        </w:rPr>
        <w:t>significant global experience managing complex brands and franchises;</w:t>
      </w:r>
    </w:p>
    <w:p>
      <w:pPr>
        <w:spacing w:after="0" w:line="138" w:lineRule="exact"/>
        <w:rPr>
          <w:rFonts w:ascii="Arial" w:cs="Arial" w:eastAsia="Arial" w:hAnsi="Arial"/>
          <w:sz w:val="19"/>
          <w:szCs w:val="19"/>
          <w:color w:val="125288"/>
        </w:rPr>
      </w:pPr>
    </w:p>
    <w:p>
      <w:pPr>
        <w:ind w:left="145" w:hanging="145"/>
        <w:spacing w:after="0"/>
        <w:tabs>
          <w:tab w:leader="none" w:pos="145" w:val="left"/>
        </w:tabs>
        <w:numPr>
          <w:ilvl w:val="0"/>
          <w:numId w:val="85"/>
        </w:numPr>
        <w:rPr>
          <w:rFonts w:ascii="Arial" w:cs="Arial" w:eastAsia="Arial" w:hAnsi="Arial"/>
          <w:sz w:val="19"/>
          <w:szCs w:val="19"/>
          <w:color w:val="125288"/>
        </w:rPr>
      </w:pPr>
      <w:r>
        <w:rPr>
          <w:rFonts w:ascii="Arial" w:cs="Arial" w:eastAsia="Arial" w:hAnsi="Arial"/>
          <w:sz w:val="19"/>
          <w:szCs w:val="19"/>
          <w:color w:val="auto"/>
        </w:rPr>
        <w:t>in-depth knowledge of sophisticated strategies and operational models in the digital and entertainment segments; and</w:t>
      </w:r>
    </w:p>
    <w:p>
      <w:pPr>
        <w:spacing w:after="0" w:line="138"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85"/>
        </w:numPr>
        <w:rPr>
          <w:rFonts w:ascii="Arial" w:cs="Arial" w:eastAsia="Arial" w:hAnsi="Arial"/>
          <w:sz w:val="19"/>
          <w:szCs w:val="19"/>
          <w:color w:val="125288"/>
        </w:rPr>
      </w:pPr>
      <w:r>
        <w:rPr>
          <w:rFonts w:ascii="Arial" w:cs="Arial" w:eastAsia="Arial" w:hAnsi="Arial"/>
          <w:sz w:val="19"/>
          <w:szCs w:val="19"/>
          <w:color w:val="auto"/>
        </w:rPr>
        <w:t>aptitude for, and experience in, managing entertainment and technology products and talent in a rapidly-changing, high-risk environment.</w:t>
      </w:r>
    </w:p>
    <w:p>
      <w:pPr>
        <w:spacing w:after="0" w:line="99" w:lineRule="exact"/>
        <w:rPr>
          <w:sz w:val="20"/>
          <w:szCs w:val="20"/>
          <w:color w:val="auto"/>
        </w:rPr>
      </w:pPr>
    </w:p>
    <w:p>
      <w:pPr>
        <w:ind w:left="5"/>
        <w:spacing w:after="0"/>
        <w:rPr>
          <w:sz w:val="20"/>
          <w:szCs w:val="20"/>
          <w:color w:val="auto"/>
        </w:rPr>
      </w:pPr>
      <w:r>
        <w:rPr>
          <w:rFonts w:ascii="Arial" w:cs="Arial" w:eastAsia="Arial" w:hAnsi="Arial"/>
          <w:sz w:val="24"/>
          <w:szCs w:val="24"/>
          <w:b w:val="1"/>
          <w:bCs w:val="1"/>
          <w:color w:val="auto"/>
        </w:rPr>
        <w:t>Why We Use Employment Agreements</w:t>
      </w:r>
    </w:p>
    <w:p>
      <w:pPr>
        <w:spacing w:after="0" w:line="142" w:lineRule="exact"/>
        <w:rPr>
          <w:sz w:val="20"/>
          <w:szCs w:val="20"/>
          <w:color w:val="auto"/>
        </w:rPr>
      </w:pPr>
    </w:p>
    <w:p>
      <w:pPr>
        <w:jc w:val="both"/>
        <w:ind w:left="5"/>
        <w:spacing w:after="0" w:line="237" w:lineRule="auto"/>
        <w:rPr>
          <w:sz w:val="20"/>
          <w:szCs w:val="20"/>
          <w:color w:val="auto"/>
        </w:rPr>
      </w:pPr>
      <w:r>
        <w:rPr>
          <w:rFonts w:ascii="Arial" w:cs="Arial" w:eastAsia="Arial" w:hAnsi="Arial"/>
          <w:sz w:val="19"/>
          <w:szCs w:val="19"/>
          <w:color w:val="auto"/>
        </w:rPr>
        <w:t>Our employment agreements with executives specify base salary, incentive opportunities, and the terms and conditions of the equity awards that may be granted thereunder, and include provisions regarding the consequences of termination of employment, as well as restrictive covenants, such as non-competition and non-solicitation provisions. The terms of the employment agreements with each of our executives have been ratified by the Compensation Committee, which used its judgment to determine the appropriate amount and form of compensation and other employment terms necessary to recruit, retain, and motivate the executive, based in part on specific negotiations with the executive.</w:t>
      </w:r>
    </w:p>
    <w:p>
      <w:pPr>
        <w:spacing w:after="0" w:line="132" w:lineRule="exact"/>
        <w:rPr>
          <w:sz w:val="20"/>
          <w:szCs w:val="20"/>
          <w:color w:val="auto"/>
        </w:rPr>
      </w:pPr>
    </w:p>
    <w:p>
      <w:pPr>
        <w:jc w:val="both"/>
        <w:ind w:left="5"/>
        <w:spacing w:after="0" w:line="236" w:lineRule="auto"/>
        <w:rPr>
          <w:sz w:val="20"/>
          <w:szCs w:val="20"/>
          <w:color w:val="auto"/>
        </w:rPr>
      </w:pPr>
      <w:r>
        <w:rPr>
          <w:rFonts w:ascii="Arial" w:cs="Arial" w:eastAsia="Arial" w:hAnsi="Arial"/>
          <w:sz w:val="19"/>
          <w:szCs w:val="19"/>
          <w:color w:val="auto"/>
        </w:rPr>
        <w:t>Employment agreements are common in the broader, highly competitive entertainment industry from which we recruit talent. We believe that multi-year employment agreements are critical in enabling us to attract and retain our executives. Using multi-year contracts also allows us to create compensation arrangements with a mix of incentive opportunities designed to reward executives for achievement of both short- and long-term goals, which we view in totality when assessing the executive’s compensation and performance during the term. For example, under the terms of their respective employment agreements, each of our NEOs has received, or is eligible to receive, incentive awards based on financial metrics or shareholder returns over a variety of performance and service periods. For more information on the NEOs’ employment agreements with the Company, see “—Employment Agreements” below.</w:t>
      </w:r>
    </w:p>
    <w:p>
      <w:pPr>
        <w:spacing w:after="0" w:line="125" w:lineRule="exact"/>
        <w:rPr>
          <w:sz w:val="20"/>
          <w:szCs w:val="20"/>
          <w:color w:val="auto"/>
        </w:rPr>
      </w:pPr>
    </w:p>
    <w:p>
      <w:pPr>
        <w:ind w:left="5"/>
        <w:spacing w:after="0"/>
        <w:tabs>
          <w:tab w:leader="none" w:pos="7364" w:val="left"/>
          <w:tab w:leader="none" w:pos="9384" w:val="left"/>
          <w:tab w:leader="none" w:pos="1108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bookmarkStart w:id="70" w:name="page71"/>
    <w:bookmarkEnd w:id="70"/>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How We Use Peer Company Data and Compensation Surveys</w:t>
      </w:r>
    </w:p>
    <w:p>
      <w:pPr>
        <w:spacing w:after="0" w:line="142"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In selecting a peer group, the Compensation Committee thoughtfully considers a range of factors to ensure that the companies are, individually and in aggregate, relevant. While we use six factors to assess relevance, not all companies will meet all criteria; the Compensation Committee’s judgment is required in ultimately assessing direct relevance to Activision Blizzard.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720" w:type="dxa"/>
            <w:vAlign w:val="bottom"/>
            <w:vMerge w:val="restart"/>
            <w:shd w:val="clear" w:color="auto" w:fill="ECF1F5"/>
          </w:tcPr>
          <w:p>
            <w:pPr>
              <w:ind w:left="60"/>
              <w:spacing w:after="0"/>
              <w:rPr>
                <w:sz w:val="20"/>
                <w:szCs w:val="20"/>
                <w:color w:val="auto"/>
              </w:rPr>
            </w:pPr>
            <w:r>
              <w:rPr>
                <w:rFonts w:ascii="Arial" w:cs="Arial" w:eastAsia="Arial" w:hAnsi="Arial"/>
                <w:sz w:val="17"/>
                <w:szCs w:val="17"/>
                <w:b w:val="1"/>
                <w:bCs w:val="1"/>
                <w:color w:val="auto"/>
                <w:w w:val="98"/>
              </w:rPr>
              <w:t>Talent competitors</w:t>
            </w:r>
            <w:r>
              <w:rPr>
                <w:rFonts w:ascii="Arial" w:cs="Arial" w:eastAsia="Arial" w:hAnsi="Arial"/>
                <w:sz w:val="17"/>
                <w:szCs w:val="17"/>
                <w:color w:val="auto"/>
                <w:w w:val="98"/>
              </w:rPr>
              <w:t>, in particular companies with</w:t>
            </w:r>
          </w:p>
        </w:tc>
        <w:tc>
          <w:tcPr>
            <w:tcW w:w="120" w:type="dxa"/>
            <w:vAlign w:val="bottom"/>
          </w:tcPr>
          <w:p>
            <w:pPr>
              <w:spacing w:after="0" w:line="20" w:lineRule="exact"/>
              <w:rPr>
                <w:sz w:val="1"/>
                <w:szCs w:val="1"/>
                <w:color w:val="auto"/>
              </w:rPr>
            </w:pPr>
          </w:p>
        </w:tc>
        <w:tc>
          <w:tcPr>
            <w:tcW w:w="3600" w:type="dxa"/>
            <w:vAlign w:val="bottom"/>
            <w:vMerge w:val="restart"/>
            <w:shd w:val="clear" w:color="auto" w:fill="ECF1F5"/>
          </w:tcPr>
          <w:p>
            <w:pPr>
              <w:ind w:left="60"/>
              <w:spacing w:after="0"/>
              <w:rPr>
                <w:sz w:val="20"/>
                <w:szCs w:val="20"/>
                <w:color w:val="auto"/>
              </w:rPr>
            </w:pPr>
            <w:r>
              <w:rPr>
                <w:rFonts w:ascii="Arial" w:cs="Arial" w:eastAsia="Arial" w:hAnsi="Arial"/>
                <w:sz w:val="17"/>
                <w:szCs w:val="17"/>
                <w:b w:val="1"/>
                <w:bCs w:val="1"/>
                <w:color w:val="auto"/>
              </w:rPr>
              <w:t xml:space="preserve">Industry peers </w:t>
            </w:r>
            <w:r>
              <w:rPr>
                <w:rFonts w:ascii="Arial" w:cs="Arial" w:eastAsia="Arial" w:hAnsi="Arial"/>
                <w:sz w:val="17"/>
                <w:szCs w:val="17"/>
                <w:color w:val="auto"/>
              </w:rPr>
              <w:t>who, beyond their industry</w:t>
            </w:r>
          </w:p>
        </w:tc>
        <w:tc>
          <w:tcPr>
            <w:tcW w:w="100" w:type="dxa"/>
            <w:vAlign w:val="bottom"/>
          </w:tcPr>
          <w:p>
            <w:pPr>
              <w:spacing w:after="0" w:line="20" w:lineRule="exact"/>
              <w:rPr>
                <w:sz w:val="1"/>
                <w:szCs w:val="1"/>
                <w:color w:val="auto"/>
              </w:rPr>
            </w:pPr>
          </w:p>
        </w:tc>
        <w:tc>
          <w:tcPr>
            <w:tcW w:w="3720" w:type="dxa"/>
            <w:vAlign w:val="bottom"/>
            <w:vMerge w:val="restart"/>
            <w:shd w:val="clear" w:color="auto" w:fill="ECF1F5"/>
          </w:tcPr>
          <w:p>
            <w:pPr>
              <w:ind w:left="60"/>
              <w:spacing w:after="0"/>
              <w:rPr>
                <w:sz w:val="20"/>
                <w:szCs w:val="20"/>
                <w:color w:val="auto"/>
              </w:rPr>
            </w:pPr>
            <w:r>
              <w:rPr>
                <w:rFonts w:ascii="Arial" w:cs="Arial" w:eastAsia="Arial" w:hAnsi="Arial"/>
                <w:sz w:val="17"/>
                <w:szCs w:val="17"/>
                <w:b w:val="1"/>
                <w:bCs w:val="1"/>
                <w:color w:val="auto"/>
              </w:rPr>
              <w:t xml:space="preserve">Adjacent industry peers </w:t>
            </w:r>
            <w:r>
              <w:rPr>
                <w:rFonts w:ascii="Arial" w:cs="Arial" w:eastAsia="Arial" w:hAnsi="Arial"/>
                <w:sz w:val="17"/>
                <w:szCs w:val="17"/>
                <w:color w:val="auto"/>
              </w:rPr>
              <w:t>who, beyond their</w:t>
            </w: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shd w:val="clear" w:color="auto" w:fill="ECF1F5"/>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vMerge w:val="continue"/>
            <w:shd w:val="clear" w:color="auto" w:fill="ECF1F5"/>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vMerge w:val="continue"/>
            <w:shd w:val="clear" w:color="auto" w:fill="ECF1F5"/>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720" w:type="dxa"/>
            <w:vAlign w:val="bottom"/>
            <w:shd w:val="clear" w:color="auto" w:fill="ECF1F5"/>
          </w:tcPr>
          <w:p>
            <w:pPr>
              <w:ind w:left="60"/>
              <w:spacing w:after="0" w:line="190" w:lineRule="exact"/>
              <w:rPr>
                <w:sz w:val="20"/>
                <w:szCs w:val="20"/>
                <w:color w:val="auto"/>
              </w:rPr>
            </w:pPr>
            <w:r>
              <w:rPr>
                <w:rFonts w:ascii="Arial" w:cs="Arial" w:eastAsia="Arial" w:hAnsi="Arial"/>
                <w:sz w:val="17"/>
                <w:szCs w:val="17"/>
                <w:color w:val="auto"/>
              </w:rPr>
              <w:t>which we have competed or may reasonably</w:t>
            </w:r>
          </w:p>
        </w:tc>
        <w:tc>
          <w:tcPr>
            <w:tcW w:w="120" w:type="dxa"/>
            <w:vAlign w:val="bottom"/>
          </w:tcPr>
          <w:p>
            <w:pPr>
              <w:spacing w:after="0"/>
              <w:rPr>
                <w:sz w:val="16"/>
                <w:szCs w:val="16"/>
                <w:color w:val="auto"/>
              </w:rPr>
            </w:pPr>
          </w:p>
        </w:tc>
        <w:tc>
          <w:tcPr>
            <w:tcW w:w="3600" w:type="dxa"/>
            <w:vAlign w:val="bottom"/>
            <w:shd w:val="clear" w:color="auto" w:fill="ECF1F5"/>
          </w:tcPr>
          <w:p>
            <w:pPr>
              <w:ind w:left="60"/>
              <w:spacing w:after="0" w:line="190" w:lineRule="exact"/>
              <w:rPr>
                <w:sz w:val="20"/>
                <w:szCs w:val="20"/>
                <w:color w:val="auto"/>
              </w:rPr>
            </w:pPr>
            <w:r>
              <w:rPr>
                <w:rFonts w:ascii="Arial" w:cs="Arial" w:eastAsia="Arial" w:hAnsi="Arial"/>
                <w:sz w:val="17"/>
                <w:szCs w:val="17"/>
                <w:color w:val="auto"/>
              </w:rPr>
              <w:t>classification, are also relevant in other ways</w:t>
            </w:r>
          </w:p>
        </w:tc>
        <w:tc>
          <w:tcPr>
            <w:tcW w:w="100" w:type="dxa"/>
            <w:vAlign w:val="bottom"/>
          </w:tcPr>
          <w:p>
            <w:pPr>
              <w:spacing w:after="0"/>
              <w:rPr>
                <w:sz w:val="16"/>
                <w:szCs w:val="16"/>
                <w:color w:val="auto"/>
              </w:rPr>
            </w:pPr>
          </w:p>
        </w:tc>
        <w:tc>
          <w:tcPr>
            <w:tcW w:w="3720" w:type="dxa"/>
            <w:vAlign w:val="bottom"/>
            <w:shd w:val="clear" w:color="auto" w:fill="ECF1F5"/>
          </w:tcPr>
          <w:p>
            <w:pPr>
              <w:ind w:left="60"/>
              <w:spacing w:after="0" w:line="190" w:lineRule="exact"/>
              <w:rPr>
                <w:sz w:val="20"/>
                <w:szCs w:val="20"/>
                <w:color w:val="auto"/>
              </w:rPr>
            </w:pPr>
            <w:r>
              <w:rPr>
                <w:rFonts w:ascii="Arial" w:cs="Arial" w:eastAsia="Arial" w:hAnsi="Arial"/>
                <w:sz w:val="17"/>
                <w:szCs w:val="17"/>
                <w:color w:val="auto"/>
                <w:w w:val="99"/>
              </w:rPr>
              <w:t>industry classification, are relevant in other ways</w:t>
            </w:r>
          </w:p>
        </w:tc>
        <w:tc>
          <w:tcPr>
            <w:tcW w:w="0" w:type="dxa"/>
            <w:vAlign w:val="bottom"/>
          </w:tcPr>
          <w:p>
            <w:pPr>
              <w:spacing w:after="0"/>
              <w:rPr>
                <w:sz w:val="1"/>
                <w:szCs w:val="1"/>
                <w:color w:val="auto"/>
              </w:rPr>
            </w:pPr>
          </w:p>
        </w:tc>
      </w:tr>
      <w:tr>
        <w:trPr>
          <w:trHeight w:val="201"/>
        </w:trPr>
        <w:tc>
          <w:tcPr>
            <w:tcW w:w="3720" w:type="dxa"/>
            <w:vAlign w:val="bottom"/>
            <w:shd w:val="clear" w:color="auto" w:fill="ECF1F5"/>
          </w:tcPr>
          <w:p>
            <w:pPr>
              <w:ind w:left="60"/>
              <w:spacing w:after="0"/>
              <w:rPr>
                <w:sz w:val="20"/>
                <w:szCs w:val="20"/>
                <w:color w:val="auto"/>
              </w:rPr>
            </w:pPr>
            <w:r>
              <w:rPr>
                <w:rFonts w:ascii="Arial" w:cs="Arial" w:eastAsia="Arial" w:hAnsi="Arial"/>
                <w:sz w:val="17"/>
                <w:szCs w:val="17"/>
                <w:color w:val="auto"/>
              </w:rPr>
              <w:t>expect to compete for senior talent</w:t>
            </w:r>
          </w:p>
        </w:tc>
        <w:tc>
          <w:tcPr>
            <w:tcW w:w="120" w:type="dxa"/>
            <w:vAlign w:val="bottom"/>
          </w:tcPr>
          <w:p>
            <w:pPr>
              <w:spacing w:after="0"/>
              <w:rPr>
                <w:sz w:val="17"/>
                <w:szCs w:val="17"/>
                <w:color w:val="auto"/>
              </w:rPr>
            </w:pPr>
          </w:p>
        </w:tc>
        <w:tc>
          <w:tcPr>
            <w:tcW w:w="3600" w:type="dxa"/>
            <w:vAlign w:val="bottom"/>
            <w:shd w:val="clear" w:color="auto" w:fill="ECF1F5"/>
          </w:tcPr>
          <w:p>
            <w:pPr>
              <w:spacing w:after="0"/>
              <w:rPr>
                <w:sz w:val="17"/>
                <w:szCs w:val="17"/>
                <w:color w:val="auto"/>
              </w:rPr>
            </w:pPr>
          </w:p>
        </w:tc>
        <w:tc>
          <w:tcPr>
            <w:tcW w:w="100" w:type="dxa"/>
            <w:vAlign w:val="bottom"/>
          </w:tcPr>
          <w:p>
            <w:pPr>
              <w:spacing w:after="0"/>
              <w:rPr>
                <w:sz w:val="17"/>
                <w:szCs w:val="17"/>
                <w:color w:val="auto"/>
              </w:rPr>
            </w:pPr>
          </w:p>
        </w:tc>
        <w:tc>
          <w:tcPr>
            <w:tcW w:w="3720" w:type="dxa"/>
            <w:vAlign w:val="bottom"/>
            <w:shd w:val="clear" w:color="auto" w:fill="ECF1F5"/>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720" w:type="dxa"/>
            <w:vAlign w:val="bottom"/>
            <w:vMerge w:val="restart"/>
            <w:shd w:val="clear" w:color="auto" w:fill="ECF1F5"/>
          </w:tcPr>
          <w:p>
            <w:pPr>
              <w:ind w:left="60"/>
              <w:spacing w:after="0"/>
              <w:rPr>
                <w:sz w:val="20"/>
                <w:szCs w:val="20"/>
                <w:color w:val="auto"/>
              </w:rPr>
            </w:pPr>
            <w:r>
              <w:rPr>
                <w:rFonts w:ascii="Arial" w:cs="Arial" w:eastAsia="Arial" w:hAnsi="Arial"/>
                <w:sz w:val="17"/>
                <w:szCs w:val="17"/>
                <w:b w:val="1"/>
                <w:bCs w:val="1"/>
                <w:color w:val="auto"/>
              </w:rPr>
              <w:t xml:space="preserve">Comparable business models </w:t>
            </w:r>
            <w:r>
              <w:rPr>
                <w:rFonts w:ascii="Arial" w:cs="Arial" w:eastAsia="Arial" w:hAnsi="Arial"/>
                <w:sz w:val="17"/>
                <w:szCs w:val="17"/>
                <w:color w:val="auto"/>
              </w:rPr>
              <w:t>in terms of</w:t>
            </w:r>
          </w:p>
        </w:tc>
        <w:tc>
          <w:tcPr>
            <w:tcW w:w="120" w:type="dxa"/>
            <w:vAlign w:val="bottom"/>
          </w:tcPr>
          <w:p>
            <w:pPr>
              <w:spacing w:after="0"/>
              <w:rPr>
                <w:sz w:val="2"/>
                <w:szCs w:val="2"/>
                <w:color w:val="auto"/>
              </w:rPr>
            </w:pPr>
          </w:p>
        </w:tc>
        <w:tc>
          <w:tcPr>
            <w:tcW w:w="3600" w:type="dxa"/>
            <w:vAlign w:val="bottom"/>
            <w:vMerge w:val="restart"/>
            <w:shd w:val="clear" w:color="auto" w:fill="ECF1F5"/>
          </w:tcPr>
          <w:p>
            <w:pPr>
              <w:ind w:left="60"/>
              <w:spacing w:after="0"/>
              <w:rPr>
                <w:sz w:val="20"/>
                <w:szCs w:val="20"/>
                <w:color w:val="auto"/>
              </w:rPr>
            </w:pPr>
            <w:r>
              <w:rPr>
                <w:rFonts w:ascii="Arial" w:cs="Arial" w:eastAsia="Arial" w:hAnsi="Arial"/>
                <w:sz w:val="17"/>
                <w:szCs w:val="17"/>
                <w:color w:val="auto"/>
                <w:w w:val="99"/>
              </w:rPr>
              <w:t xml:space="preserve">Comparable </w:t>
            </w:r>
            <w:r>
              <w:rPr>
                <w:rFonts w:ascii="Arial" w:cs="Arial" w:eastAsia="Arial" w:hAnsi="Arial"/>
                <w:sz w:val="17"/>
                <w:szCs w:val="17"/>
                <w:b w:val="1"/>
                <w:bCs w:val="1"/>
                <w:color w:val="auto"/>
                <w:w w:val="99"/>
              </w:rPr>
              <w:t>geographic footprints</w:t>
            </w:r>
            <w:r>
              <w:rPr>
                <w:rFonts w:ascii="Arial" w:cs="Arial" w:eastAsia="Arial" w:hAnsi="Arial"/>
                <w:sz w:val="17"/>
                <w:szCs w:val="17"/>
                <w:color w:val="auto"/>
                <w:w w:val="99"/>
              </w:rPr>
              <w:t>, operating</w:t>
            </w:r>
          </w:p>
        </w:tc>
        <w:tc>
          <w:tcPr>
            <w:tcW w:w="100" w:type="dxa"/>
            <w:vAlign w:val="bottom"/>
          </w:tcPr>
          <w:p>
            <w:pPr>
              <w:spacing w:after="0"/>
              <w:rPr>
                <w:sz w:val="2"/>
                <w:szCs w:val="2"/>
                <w:color w:val="auto"/>
              </w:rPr>
            </w:pPr>
          </w:p>
        </w:tc>
        <w:tc>
          <w:tcPr>
            <w:tcW w:w="3720" w:type="dxa"/>
            <w:vAlign w:val="bottom"/>
            <w:vMerge w:val="restart"/>
            <w:shd w:val="clear" w:color="auto" w:fill="ECF1F5"/>
          </w:tcPr>
          <w:p>
            <w:pPr>
              <w:ind w:left="60"/>
              <w:spacing w:after="0"/>
              <w:rPr>
                <w:sz w:val="20"/>
                <w:szCs w:val="20"/>
                <w:color w:val="auto"/>
              </w:rPr>
            </w:pPr>
            <w:r>
              <w:rPr>
                <w:rFonts w:ascii="Arial" w:cs="Arial" w:eastAsia="Arial" w:hAnsi="Arial"/>
                <w:sz w:val="17"/>
                <w:szCs w:val="17"/>
                <w:color w:val="auto"/>
              </w:rPr>
              <w:t xml:space="preserve">Within a </w:t>
            </w:r>
            <w:r>
              <w:rPr>
                <w:rFonts w:ascii="Arial" w:cs="Arial" w:eastAsia="Arial" w:hAnsi="Arial"/>
                <w:sz w:val="17"/>
                <w:szCs w:val="17"/>
                <w:b w:val="1"/>
                <w:bCs w:val="1"/>
                <w:color w:val="auto"/>
              </w:rPr>
              <w:t>defined size range</w:t>
            </w:r>
            <w:r>
              <w:rPr>
                <w:rFonts w:ascii="Arial" w:cs="Arial" w:eastAsia="Arial" w:hAnsi="Arial"/>
                <w:sz w:val="17"/>
                <w:szCs w:val="17"/>
                <w:color w:val="auto"/>
              </w:rPr>
              <w:t xml:space="preserve"> with respect to</w:t>
            </w:r>
          </w:p>
        </w:tc>
        <w:tc>
          <w:tcPr>
            <w:tcW w:w="0" w:type="dxa"/>
            <w:vAlign w:val="bottom"/>
          </w:tcPr>
          <w:p>
            <w:pPr>
              <w:spacing w:after="0" w:line="20" w:lineRule="exact"/>
              <w:rPr>
                <w:sz w:val="1"/>
                <w:szCs w:val="1"/>
                <w:color w:val="auto"/>
              </w:rPr>
            </w:pPr>
          </w:p>
        </w:tc>
      </w:tr>
      <w:tr>
        <w:trPr>
          <w:trHeight w:val="20"/>
        </w:trPr>
        <w:tc>
          <w:tcPr>
            <w:tcW w:w="3720" w:type="dxa"/>
            <w:vAlign w:val="bottom"/>
            <w:vMerge w:val="continue"/>
            <w:shd w:val="clear" w:color="auto" w:fill="ECF1F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0" w:type="dxa"/>
            <w:vAlign w:val="bottom"/>
            <w:vMerge w:val="continue"/>
            <w:shd w:val="clear" w:color="auto" w:fill="ECF1F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20" w:type="dxa"/>
            <w:vAlign w:val="bottom"/>
            <w:vMerge w:val="continue"/>
            <w:shd w:val="clear" w:color="auto" w:fill="ECF1F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20" w:type="dxa"/>
            <w:vAlign w:val="bottom"/>
            <w:vMerge w:val="continue"/>
            <w:shd w:val="clear" w:color="auto" w:fill="ECF1F5"/>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vMerge w:val="continue"/>
            <w:shd w:val="clear" w:color="auto" w:fill="ECF1F5"/>
          </w:tcPr>
          <w:p>
            <w:pPr>
              <w:spacing w:after="0"/>
              <w:rPr>
                <w:sz w:val="16"/>
                <w:szCs w:val="16"/>
                <w:color w:val="auto"/>
              </w:rPr>
            </w:pPr>
          </w:p>
        </w:tc>
        <w:tc>
          <w:tcPr>
            <w:tcW w:w="100" w:type="dxa"/>
            <w:vAlign w:val="bottom"/>
          </w:tcPr>
          <w:p>
            <w:pPr>
              <w:spacing w:after="0"/>
              <w:rPr>
                <w:sz w:val="16"/>
                <w:szCs w:val="16"/>
                <w:color w:val="auto"/>
              </w:rPr>
            </w:pPr>
          </w:p>
        </w:tc>
        <w:tc>
          <w:tcPr>
            <w:tcW w:w="3720" w:type="dxa"/>
            <w:vAlign w:val="bottom"/>
            <w:vMerge w:val="continue"/>
            <w:shd w:val="clear" w:color="auto" w:fill="ECF1F5"/>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720" w:type="dxa"/>
            <w:vAlign w:val="bottom"/>
            <w:shd w:val="clear" w:color="auto" w:fill="ECF1F5"/>
          </w:tcPr>
          <w:p>
            <w:pPr>
              <w:ind w:left="60"/>
              <w:spacing w:after="0" w:line="190" w:lineRule="exact"/>
              <w:rPr>
                <w:sz w:val="20"/>
                <w:szCs w:val="20"/>
                <w:color w:val="auto"/>
              </w:rPr>
            </w:pPr>
            <w:r>
              <w:rPr>
                <w:rFonts w:ascii="Arial" w:cs="Arial" w:eastAsia="Arial" w:hAnsi="Arial"/>
                <w:sz w:val="17"/>
                <w:szCs w:val="17"/>
                <w:b w:val="1"/>
                <w:bCs w:val="1"/>
                <w:color w:val="auto"/>
                <w:w w:val="98"/>
              </w:rPr>
              <w:t>diversified media</w:t>
            </w:r>
            <w:r>
              <w:rPr>
                <w:rFonts w:ascii="Arial" w:cs="Arial" w:eastAsia="Arial" w:hAnsi="Arial"/>
                <w:sz w:val="17"/>
                <w:szCs w:val="17"/>
                <w:color w:val="auto"/>
                <w:w w:val="98"/>
              </w:rPr>
              <w:t>, world-class</w:t>
            </w:r>
            <w:r>
              <w:rPr>
                <w:rFonts w:ascii="Arial" w:cs="Arial" w:eastAsia="Arial" w:hAnsi="Arial"/>
                <w:sz w:val="17"/>
                <w:szCs w:val="17"/>
                <w:b w:val="1"/>
                <w:bCs w:val="1"/>
                <w:color w:val="auto"/>
                <w:w w:val="98"/>
              </w:rPr>
              <w:t xml:space="preserve"> content creation</w:t>
            </w:r>
          </w:p>
        </w:tc>
        <w:tc>
          <w:tcPr>
            <w:tcW w:w="120" w:type="dxa"/>
            <w:vAlign w:val="bottom"/>
          </w:tcPr>
          <w:p>
            <w:pPr>
              <w:spacing w:after="0"/>
              <w:rPr>
                <w:sz w:val="16"/>
                <w:szCs w:val="16"/>
                <w:color w:val="auto"/>
              </w:rPr>
            </w:pPr>
          </w:p>
        </w:tc>
        <w:tc>
          <w:tcPr>
            <w:tcW w:w="3600" w:type="dxa"/>
            <w:vAlign w:val="bottom"/>
            <w:shd w:val="clear" w:color="auto" w:fill="ECF1F5"/>
          </w:tcPr>
          <w:p>
            <w:pPr>
              <w:ind w:left="60"/>
              <w:spacing w:after="0" w:line="190" w:lineRule="exact"/>
              <w:rPr>
                <w:sz w:val="20"/>
                <w:szCs w:val="20"/>
                <w:color w:val="auto"/>
              </w:rPr>
            </w:pPr>
            <w:r>
              <w:rPr>
                <w:rFonts w:ascii="Arial" w:cs="Arial" w:eastAsia="Arial" w:hAnsi="Arial"/>
                <w:sz w:val="17"/>
                <w:szCs w:val="17"/>
                <w:color w:val="auto"/>
              </w:rPr>
              <w:t>globally</w:t>
            </w:r>
          </w:p>
        </w:tc>
        <w:tc>
          <w:tcPr>
            <w:tcW w:w="100" w:type="dxa"/>
            <w:vAlign w:val="bottom"/>
          </w:tcPr>
          <w:p>
            <w:pPr>
              <w:spacing w:after="0"/>
              <w:rPr>
                <w:sz w:val="16"/>
                <w:szCs w:val="16"/>
                <w:color w:val="auto"/>
              </w:rPr>
            </w:pPr>
          </w:p>
        </w:tc>
        <w:tc>
          <w:tcPr>
            <w:tcW w:w="3720" w:type="dxa"/>
            <w:vAlign w:val="bottom"/>
            <w:shd w:val="clear" w:color="auto" w:fill="ECF1F5"/>
          </w:tcPr>
          <w:p>
            <w:pPr>
              <w:ind w:left="60"/>
              <w:spacing w:after="0" w:line="190" w:lineRule="exact"/>
              <w:rPr>
                <w:sz w:val="20"/>
                <w:szCs w:val="20"/>
                <w:color w:val="auto"/>
              </w:rPr>
            </w:pPr>
            <w:r>
              <w:rPr>
                <w:rFonts w:ascii="Arial" w:cs="Arial" w:eastAsia="Arial" w:hAnsi="Arial"/>
                <w:sz w:val="17"/>
                <w:szCs w:val="17"/>
                <w:color w:val="auto"/>
              </w:rPr>
              <w:t>revenue and/or market capitalization</w:t>
            </w:r>
          </w:p>
        </w:tc>
        <w:tc>
          <w:tcPr>
            <w:tcW w:w="0" w:type="dxa"/>
            <w:vAlign w:val="bottom"/>
          </w:tcPr>
          <w:p>
            <w:pPr>
              <w:spacing w:after="0"/>
              <w:rPr>
                <w:sz w:val="1"/>
                <w:szCs w:val="1"/>
                <w:color w:val="auto"/>
              </w:rPr>
            </w:pPr>
          </w:p>
        </w:tc>
      </w:tr>
      <w:tr>
        <w:trPr>
          <w:trHeight w:val="221"/>
        </w:trPr>
        <w:tc>
          <w:tcPr>
            <w:tcW w:w="3720" w:type="dxa"/>
            <w:vAlign w:val="bottom"/>
            <w:shd w:val="clear" w:color="auto" w:fill="ECF1F5"/>
          </w:tcPr>
          <w:p>
            <w:pPr>
              <w:ind w:left="60"/>
              <w:spacing w:after="0"/>
              <w:rPr>
                <w:sz w:val="20"/>
                <w:szCs w:val="20"/>
                <w:color w:val="auto"/>
              </w:rPr>
            </w:pPr>
            <w:r>
              <w:rPr>
                <w:rFonts w:ascii="Arial" w:cs="Arial" w:eastAsia="Arial" w:hAnsi="Arial"/>
                <w:sz w:val="17"/>
                <w:szCs w:val="17"/>
                <w:color w:val="auto"/>
              </w:rPr>
              <w:t xml:space="preserve">and </w:t>
            </w:r>
            <w:r>
              <w:rPr>
                <w:rFonts w:ascii="Arial" w:cs="Arial" w:eastAsia="Arial" w:hAnsi="Arial"/>
                <w:sz w:val="17"/>
                <w:szCs w:val="17"/>
                <w:b w:val="1"/>
                <w:bCs w:val="1"/>
                <w:color w:val="auto"/>
              </w:rPr>
              <w:t>digital innovation</w:t>
            </w:r>
          </w:p>
        </w:tc>
        <w:tc>
          <w:tcPr>
            <w:tcW w:w="120" w:type="dxa"/>
            <w:vAlign w:val="bottom"/>
          </w:tcPr>
          <w:p>
            <w:pPr>
              <w:spacing w:after="0"/>
              <w:rPr>
                <w:sz w:val="19"/>
                <w:szCs w:val="19"/>
                <w:color w:val="auto"/>
              </w:rPr>
            </w:pPr>
          </w:p>
        </w:tc>
        <w:tc>
          <w:tcPr>
            <w:tcW w:w="3600" w:type="dxa"/>
            <w:vAlign w:val="bottom"/>
            <w:shd w:val="clear" w:color="auto" w:fill="ECF1F5"/>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shd w:val="clear" w:color="auto" w:fill="ECF1F5"/>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720" w:type="dxa"/>
            <w:vAlign w:val="bottom"/>
            <w:shd w:val="clear" w:color="auto" w:fill="ECF1F5"/>
          </w:tcPr>
          <w:p>
            <w:pPr>
              <w:spacing w:after="0"/>
              <w:rPr>
                <w:sz w:val="2"/>
                <w:szCs w:val="2"/>
                <w:color w:val="auto"/>
              </w:rPr>
            </w:pPr>
          </w:p>
        </w:tc>
        <w:tc>
          <w:tcPr>
            <w:tcW w:w="120" w:type="dxa"/>
            <w:vAlign w:val="bottom"/>
          </w:tcPr>
          <w:p>
            <w:pPr>
              <w:spacing w:after="0"/>
              <w:rPr>
                <w:sz w:val="2"/>
                <w:szCs w:val="2"/>
                <w:color w:val="auto"/>
              </w:rPr>
            </w:pPr>
          </w:p>
        </w:tc>
        <w:tc>
          <w:tcPr>
            <w:tcW w:w="3600" w:type="dxa"/>
            <w:vAlign w:val="bottom"/>
            <w:shd w:val="clear" w:color="auto" w:fill="ECF1F5"/>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shd w:val="clear" w:color="auto" w:fill="ECF1F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3720" w:type="dxa"/>
            <w:vAlign w:val="bottom"/>
            <w:shd w:val="clear" w:color="auto" w:fill="ECF1F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0" w:type="dxa"/>
            <w:vAlign w:val="bottom"/>
            <w:shd w:val="clear" w:color="auto" w:fill="ECF1F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20" w:type="dxa"/>
            <w:vAlign w:val="bottom"/>
            <w:shd w:val="clear" w:color="auto" w:fill="ECF1F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The peer group is reviewed periodically to ensure continued relevance from the perspectives of talent, industry, business model, and operational scale, and to address M&amp;A activity.</w:t>
      </w:r>
    </w:p>
    <w:p>
      <w:pPr>
        <w:spacing w:after="0" w:line="125"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For example, the Compensation Committee reviewed and approved changes to the peer group for 2021, reflecting Activision Blizzard’s continued evolution within the digital media and entertainment space, as described in the proxy statement for our 2021 annual meeting of shareholders filed with the SEC on Schedule 14A on May 3, 2021.</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color w:val="auto"/>
        </w:rPr>
        <w:t>The 2021 peer group consisted of the following 15 companies: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60" w:type="dxa"/>
            <w:vAlign w:val="bottom"/>
          </w:tcPr>
          <w:p>
            <w:pPr>
              <w:jc w:val="center"/>
              <w:ind w:left="3"/>
              <w:spacing w:after="0"/>
              <w:rPr>
                <w:sz w:val="20"/>
                <w:szCs w:val="20"/>
                <w:color w:val="auto"/>
              </w:rPr>
            </w:pPr>
            <w:r>
              <w:rPr>
                <w:rFonts w:ascii="Arial" w:cs="Arial" w:eastAsia="Arial" w:hAnsi="Arial"/>
                <w:sz w:val="15"/>
                <w:szCs w:val="15"/>
                <w:b w:val="1"/>
                <w:bCs w:val="1"/>
                <w:color w:val="125288"/>
              </w:rPr>
              <w:t>Comparable</w:t>
            </w:r>
          </w:p>
        </w:tc>
        <w:tc>
          <w:tcPr>
            <w:tcW w:w="1540" w:type="dxa"/>
            <w:vAlign w:val="bottom"/>
          </w:tcPr>
          <w:p>
            <w:pPr>
              <w:jc w:val="center"/>
              <w:spacing w:after="0"/>
              <w:rPr>
                <w:sz w:val="20"/>
                <w:szCs w:val="20"/>
                <w:color w:val="auto"/>
              </w:rPr>
            </w:pPr>
            <w:r>
              <w:rPr>
                <w:rFonts w:ascii="Arial" w:cs="Arial" w:eastAsia="Arial" w:hAnsi="Arial"/>
                <w:sz w:val="15"/>
                <w:szCs w:val="15"/>
                <w:b w:val="1"/>
                <w:bCs w:val="1"/>
                <w:color w:val="125288"/>
              </w:rPr>
              <w:t>Within 0.4x-2.5x</w:t>
            </w:r>
          </w:p>
        </w:tc>
        <w:tc>
          <w:tcPr>
            <w:tcW w:w="1480" w:type="dxa"/>
            <w:vAlign w:val="bottom"/>
          </w:tcPr>
          <w:p>
            <w:pPr>
              <w:jc w:val="center"/>
              <w:spacing w:after="0"/>
              <w:rPr>
                <w:sz w:val="20"/>
                <w:szCs w:val="20"/>
                <w:color w:val="auto"/>
              </w:rPr>
            </w:pPr>
            <w:r>
              <w:rPr>
                <w:rFonts w:ascii="Arial" w:cs="Arial" w:eastAsia="Arial" w:hAnsi="Arial"/>
                <w:sz w:val="15"/>
                <w:szCs w:val="15"/>
                <w:b w:val="1"/>
                <w:bCs w:val="1"/>
                <w:color w:val="125288"/>
              </w:rPr>
              <w:t>Within 0.25x-4x</w:t>
            </w:r>
          </w:p>
        </w:tc>
      </w:tr>
      <w:tr>
        <w:trPr>
          <w:trHeight w:val="214"/>
        </w:trPr>
        <w:tc>
          <w:tcPr>
            <w:tcW w:w="3980" w:type="dxa"/>
            <w:vAlign w:val="bottom"/>
          </w:tcPr>
          <w:p>
            <w:pPr>
              <w:jc w:val="center"/>
              <w:ind w:left="2323"/>
              <w:spacing w:after="0"/>
              <w:rPr>
                <w:sz w:val="20"/>
                <w:szCs w:val="20"/>
                <w:color w:val="auto"/>
              </w:rPr>
            </w:pPr>
            <w:r>
              <w:rPr>
                <w:rFonts w:ascii="Arial" w:cs="Arial" w:eastAsia="Arial" w:hAnsi="Arial"/>
                <w:sz w:val="15"/>
                <w:szCs w:val="15"/>
                <w:b w:val="1"/>
                <w:bCs w:val="1"/>
                <w:color w:val="125288"/>
              </w:rPr>
              <w:t>Talent</w:t>
            </w:r>
          </w:p>
        </w:tc>
        <w:tc>
          <w:tcPr>
            <w:tcW w:w="1320" w:type="dxa"/>
            <w:vAlign w:val="bottom"/>
          </w:tcPr>
          <w:p>
            <w:pPr>
              <w:jc w:val="center"/>
              <w:spacing w:after="0"/>
              <w:rPr>
                <w:sz w:val="20"/>
                <w:szCs w:val="20"/>
                <w:color w:val="auto"/>
              </w:rPr>
            </w:pPr>
            <w:r>
              <w:rPr>
                <w:rFonts w:ascii="Arial" w:cs="Arial" w:eastAsia="Arial" w:hAnsi="Arial"/>
                <w:sz w:val="15"/>
                <w:szCs w:val="15"/>
                <w:b w:val="1"/>
                <w:bCs w:val="1"/>
                <w:color w:val="125288"/>
              </w:rPr>
              <w:t>Industry</w:t>
            </w:r>
          </w:p>
        </w:tc>
        <w:tc>
          <w:tcPr>
            <w:tcW w:w="1580" w:type="dxa"/>
            <w:vAlign w:val="bottom"/>
          </w:tcPr>
          <w:p>
            <w:pPr>
              <w:jc w:val="center"/>
              <w:spacing w:after="0"/>
              <w:rPr>
                <w:sz w:val="20"/>
                <w:szCs w:val="20"/>
                <w:color w:val="auto"/>
              </w:rPr>
            </w:pPr>
            <w:r>
              <w:rPr>
                <w:rFonts w:ascii="Arial" w:cs="Arial" w:eastAsia="Arial" w:hAnsi="Arial"/>
                <w:sz w:val="15"/>
                <w:szCs w:val="15"/>
                <w:b w:val="1"/>
                <w:bCs w:val="1"/>
                <w:color w:val="125288"/>
              </w:rPr>
              <w:t>Adjacent</w:t>
            </w:r>
          </w:p>
        </w:tc>
        <w:tc>
          <w:tcPr>
            <w:tcW w:w="1360" w:type="dxa"/>
            <w:vAlign w:val="bottom"/>
          </w:tcPr>
          <w:p>
            <w:pPr>
              <w:jc w:val="center"/>
              <w:spacing w:after="0"/>
              <w:rPr>
                <w:sz w:val="20"/>
                <w:szCs w:val="20"/>
                <w:color w:val="auto"/>
              </w:rPr>
            </w:pPr>
            <w:r>
              <w:rPr>
                <w:rFonts w:ascii="Arial" w:cs="Arial" w:eastAsia="Arial" w:hAnsi="Arial"/>
                <w:sz w:val="15"/>
                <w:szCs w:val="15"/>
                <w:b w:val="1"/>
                <w:bCs w:val="1"/>
                <w:color w:val="125288"/>
              </w:rPr>
              <w:t>Business</w:t>
            </w:r>
          </w:p>
        </w:tc>
        <w:tc>
          <w:tcPr>
            <w:tcW w:w="1540" w:type="dxa"/>
            <w:vAlign w:val="bottom"/>
          </w:tcPr>
          <w:p>
            <w:pPr>
              <w:jc w:val="center"/>
              <w:spacing w:after="0"/>
              <w:rPr>
                <w:sz w:val="20"/>
                <w:szCs w:val="20"/>
                <w:color w:val="auto"/>
              </w:rPr>
            </w:pPr>
            <w:r>
              <w:rPr>
                <w:rFonts w:ascii="Arial" w:cs="Arial" w:eastAsia="Arial" w:hAnsi="Arial"/>
                <w:sz w:val="15"/>
                <w:szCs w:val="15"/>
                <w:b w:val="1"/>
                <w:bCs w:val="1"/>
                <w:color w:val="125288"/>
              </w:rPr>
              <w:t>revenue</w:t>
            </w:r>
          </w:p>
        </w:tc>
        <w:tc>
          <w:tcPr>
            <w:tcW w:w="1480" w:type="dxa"/>
            <w:vAlign w:val="bottom"/>
          </w:tcPr>
          <w:p>
            <w:pPr>
              <w:jc w:val="center"/>
              <w:spacing w:after="0"/>
              <w:rPr>
                <w:sz w:val="20"/>
                <w:szCs w:val="20"/>
                <w:color w:val="auto"/>
              </w:rPr>
            </w:pPr>
            <w:r>
              <w:rPr>
                <w:rFonts w:ascii="Arial" w:cs="Arial" w:eastAsia="Arial" w:hAnsi="Arial"/>
                <w:sz w:val="15"/>
                <w:szCs w:val="15"/>
                <w:b w:val="1"/>
                <w:bCs w:val="1"/>
                <w:color w:val="125288"/>
              </w:rPr>
              <w:t>of market cap</w:t>
            </w:r>
          </w:p>
        </w:tc>
      </w:tr>
      <w:tr>
        <w:trPr>
          <w:trHeight w:val="214"/>
        </w:trPr>
        <w:tc>
          <w:tcPr>
            <w:tcW w:w="3980" w:type="dxa"/>
            <w:vAlign w:val="bottom"/>
          </w:tcPr>
          <w:p>
            <w:pPr>
              <w:jc w:val="center"/>
              <w:ind w:left="2363"/>
              <w:spacing w:after="0"/>
              <w:rPr>
                <w:sz w:val="20"/>
                <w:szCs w:val="20"/>
                <w:color w:val="auto"/>
              </w:rPr>
            </w:pPr>
            <w:r>
              <w:rPr>
                <w:rFonts w:ascii="Arial" w:cs="Arial" w:eastAsia="Arial" w:hAnsi="Arial"/>
                <w:sz w:val="15"/>
                <w:szCs w:val="15"/>
                <w:b w:val="1"/>
                <w:bCs w:val="1"/>
                <w:color w:val="125288"/>
              </w:rPr>
              <w:t>Competitor</w:t>
            </w:r>
          </w:p>
        </w:tc>
        <w:tc>
          <w:tcPr>
            <w:tcW w:w="1320" w:type="dxa"/>
            <w:vAlign w:val="bottom"/>
          </w:tcPr>
          <w:p>
            <w:pPr>
              <w:jc w:val="center"/>
              <w:spacing w:after="0"/>
              <w:rPr>
                <w:sz w:val="20"/>
                <w:szCs w:val="20"/>
                <w:color w:val="auto"/>
              </w:rPr>
            </w:pPr>
            <w:r>
              <w:rPr>
                <w:rFonts w:ascii="Arial" w:cs="Arial" w:eastAsia="Arial" w:hAnsi="Arial"/>
                <w:sz w:val="15"/>
                <w:szCs w:val="15"/>
                <w:b w:val="1"/>
                <w:bCs w:val="1"/>
                <w:color w:val="125288"/>
              </w:rPr>
              <w:t>Peer</w:t>
            </w:r>
          </w:p>
        </w:tc>
        <w:tc>
          <w:tcPr>
            <w:tcW w:w="1580" w:type="dxa"/>
            <w:vAlign w:val="bottom"/>
          </w:tcPr>
          <w:p>
            <w:pPr>
              <w:jc w:val="center"/>
              <w:ind w:left="3"/>
              <w:spacing w:after="0"/>
              <w:rPr>
                <w:sz w:val="20"/>
                <w:szCs w:val="20"/>
                <w:color w:val="auto"/>
              </w:rPr>
            </w:pPr>
            <w:r>
              <w:rPr>
                <w:rFonts w:ascii="Arial" w:cs="Arial" w:eastAsia="Arial" w:hAnsi="Arial"/>
                <w:sz w:val="15"/>
                <w:szCs w:val="15"/>
                <w:b w:val="1"/>
                <w:bCs w:val="1"/>
                <w:color w:val="125288"/>
              </w:rPr>
              <w:t>Industry Peer</w:t>
            </w:r>
          </w:p>
        </w:tc>
        <w:tc>
          <w:tcPr>
            <w:tcW w:w="1360" w:type="dxa"/>
            <w:vAlign w:val="bottom"/>
          </w:tcPr>
          <w:p>
            <w:pPr>
              <w:jc w:val="center"/>
              <w:ind w:left="3"/>
              <w:spacing w:after="0"/>
              <w:rPr>
                <w:sz w:val="20"/>
                <w:szCs w:val="20"/>
                <w:color w:val="auto"/>
              </w:rPr>
            </w:pPr>
            <w:r>
              <w:rPr>
                <w:rFonts w:ascii="Arial" w:cs="Arial" w:eastAsia="Arial" w:hAnsi="Arial"/>
                <w:sz w:val="15"/>
                <w:szCs w:val="15"/>
                <w:b w:val="1"/>
                <w:bCs w:val="1"/>
                <w:color w:val="125288"/>
              </w:rPr>
              <w:t>Model</w:t>
            </w:r>
          </w:p>
        </w:tc>
        <w:tc>
          <w:tcPr>
            <w:tcW w:w="1540" w:type="dxa"/>
            <w:vAlign w:val="bottom"/>
          </w:tcPr>
          <w:p>
            <w:pPr>
              <w:jc w:val="center"/>
              <w:ind w:left="23"/>
              <w:spacing w:after="0"/>
              <w:rPr>
                <w:sz w:val="20"/>
                <w:szCs w:val="20"/>
                <w:color w:val="auto"/>
              </w:rPr>
            </w:pPr>
            <w:r>
              <w:rPr>
                <w:rFonts w:ascii="Arial" w:cs="Arial" w:eastAsia="Arial" w:hAnsi="Arial"/>
                <w:sz w:val="15"/>
                <w:szCs w:val="15"/>
                <w:b w:val="1"/>
                <w:bCs w:val="1"/>
                <w:color w:val="125288"/>
              </w:rPr>
              <w:t>(FY2020)</w:t>
            </w:r>
          </w:p>
        </w:tc>
        <w:tc>
          <w:tcPr>
            <w:tcW w:w="1480" w:type="dxa"/>
            <w:vAlign w:val="bottom"/>
          </w:tcPr>
          <w:p>
            <w:pPr>
              <w:jc w:val="center"/>
              <w:spacing w:after="0"/>
              <w:rPr>
                <w:sz w:val="20"/>
                <w:szCs w:val="20"/>
                <w:color w:val="auto"/>
              </w:rPr>
            </w:pPr>
            <w:r>
              <w:rPr>
                <w:rFonts w:ascii="Arial" w:cs="Arial" w:eastAsia="Arial" w:hAnsi="Arial"/>
                <w:sz w:val="15"/>
                <w:szCs w:val="15"/>
                <w:b w:val="1"/>
                <w:bCs w:val="1"/>
                <w:color w:val="125288"/>
              </w:rPr>
              <w:t>(Dec 31, 2020)</w:t>
            </w:r>
          </w:p>
        </w:tc>
      </w:tr>
      <w:tr>
        <w:trPr>
          <w:trHeight w:val="41"/>
        </w:trPr>
        <w:tc>
          <w:tcPr>
            <w:tcW w:w="3980" w:type="dxa"/>
            <w:vAlign w:val="bottom"/>
            <w:tcBorders>
              <w:bottom w:val="single" w:sz="8" w:color="125288"/>
            </w:tcBorders>
          </w:tcPr>
          <w:p>
            <w:pPr>
              <w:spacing w:after="0"/>
              <w:rPr>
                <w:sz w:val="3"/>
                <w:szCs w:val="3"/>
                <w:color w:val="auto"/>
              </w:rPr>
            </w:pPr>
          </w:p>
        </w:tc>
        <w:tc>
          <w:tcPr>
            <w:tcW w:w="1320" w:type="dxa"/>
            <w:vAlign w:val="bottom"/>
            <w:tcBorders>
              <w:bottom w:val="single" w:sz="8" w:color="125288"/>
            </w:tcBorders>
          </w:tcPr>
          <w:p>
            <w:pPr>
              <w:spacing w:after="0"/>
              <w:rPr>
                <w:sz w:val="3"/>
                <w:szCs w:val="3"/>
                <w:color w:val="auto"/>
              </w:rPr>
            </w:pPr>
          </w:p>
        </w:tc>
        <w:tc>
          <w:tcPr>
            <w:tcW w:w="1580" w:type="dxa"/>
            <w:vAlign w:val="bottom"/>
            <w:tcBorders>
              <w:bottom w:val="single" w:sz="8" w:color="125288"/>
            </w:tcBorders>
          </w:tcPr>
          <w:p>
            <w:pPr>
              <w:spacing w:after="0"/>
              <w:rPr>
                <w:sz w:val="3"/>
                <w:szCs w:val="3"/>
                <w:color w:val="auto"/>
              </w:rPr>
            </w:pPr>
          </w:p>
        </w:tc>
        <w:tc>
          <w:tcPr>
            <w:tcW w:w="1360" w:type="dxa"/>
            <w:vAlign w:val="bottom"/>
            <w:tcBorders>
              <w:bottom w:val="single" w:sz="8" w:color="125288"/>
            </w:tcBorders>
          </w:tcPr>
          <w:p>
            <w:pPr>
              <w:spacing w:after="0"/>
              <w:rPr>
                <w:sz w:val="3"/>
                <w:szCs w:val="3"/>
                <w:color w:val="auto"/>
              </w:rPr>
            </w:pPr>
          </w:p>
        </w:tc>
        <w:tc>
          <w:tcPr>
            <w:tcW w:w="1540" w:type="dxa"/>
            <w:vAlign w:val="bottom"/>
            <w:tcBorders>
              <w:bottom w:val="single" w:sz="8" w:color="125288"/>
            </w:tcBorders>
          </w:tcPr>
          <w:p>
            <w:pPr>
              <w:spacing w:after="0"/>
              <w:rPr>
                <w:sz w:val="3"/>
                <w:szCs w:val="3"/>
                <w:color w:val="auto"/>
              </w:rPr>
            </w:pPr>
          </w:p>
        </w:tc>
        <w:tc>
          <w:tcPr>
            <w:tcW w:w="1480" w:type="dxa"/>
            <w:vAlign w:val="bottom"/>
            <w:tcBorders>
              <w:bottom w:val="single" w:sz="8" w:color="125288"/>
            </w:tcBorders>
          </w:tcPr>
          <w:p>
            <w:pPr>
              <w:spacing w:after="0"/>
              <w:rPr>
                <w:sz w:val="3"/>
                <w:szCs w:val="3"/>
                <w:color w:val="auto"/>
              </w:rPr>
            </w:pPr>
          </w:p>
        </w:tc>
      </w:tr>
    </w:tbl>
    <w:p>
      <w:pPr>
        <w:spacing w:after="0" w:line="75" w:lineRule="exact"/>
        <w:rPr>
          <w:sz w:val="20"/>
          <w:szCs w:val="20"/>
          <w:color w:val="auto"/>
        </w:rPr>
      </w:pPr>
    </w:p>
    <w:p>
      <w:pPr>
        <w:ind w:left="60"/>
        <w:spacing w:after="0"/>
        <w:rPr>
          <w:sz w:val="20"/>
          <w:szCs w:val="20"/>
          <w:color w:val="auto"/>
        </w:rPr>
      </w:pPr>
      <w:r>
        <w:rPr>
          <w:rFonts w:ascii="Arial" w:cs="Arial" w:eastAsia="Arial" w:hAnsi="Arial"/>
          <w:sz w:val="17"/>
          <w:szCs w:val="17"/>
          <w:color w:val="auto"/>
        </w:rPr>
        <w:t>Adobe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54610</wp:posOffset>
            </wp:positionV>
            <wp:extent cx="7148830" cy="152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-103505</wp:posOffset>
            </wp:positionV>
            <wp:extent cx="98425" cy="984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-103505</wp:posOffset>
            </wp:positionV>
            <wp:extent cx="98425" cy="984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4775200</wp:posOffset>
            </wp:positionH>
            <wp:positionV relativeFrom="paragraph">
              <wp:posOffset>-103505</wp:posOffset>
            </wp:positionV>
            <wp:extent cx="98425" cy="984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5703570</wp:posOffset>
            </wp:positionH>
            <wp:positionV relativeFrom="paragraph">
              <wp:posOffset>-103505</wp:posOffset>
            </wp:positionV>
            <wp:extent cx="98425" cy="984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6632575</wp:posOffset>
            </wp:positionH>
            <wp:positionV relativeFrom="paragraph">
              <wp:posOffset>-103505</wp:posOffset>
            </wp:positionV>
            <wp:extent cx="98425" cy="984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7"/>
          <w:szCs w:val="17"/>
          <w:color w:val="auto"/>
        </w:rPr>
        <w:t>Discovery,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54610</wp:posOffset>
            </wp:positionV>
            <wp:extent cx="7148830" cy="152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2918460</wp:posOffset>
            </wp:positionH>
            <wp:positionV relativeFrom="paragraph">
              <wp:posOffset>-103505</wp:posOffset>
            </wp:positionV>
            <wp:extent cx="98425" cy="984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5703570</wp:posOffset>
            </wp:positionH>
            <wp:positionV relativeFrom="paragraph">
              <wp:posOffset>-103505</wp:posOffset>
            </wp:positionV>
            <wp:extent cx="98425" cy="984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6632575</wp:posOffset>
            </wp:positionH>
            <wp:positionV relativeFrom="paragraph">
              <wp:posOffset>-103505</wp:posOffset>
            </wp:positionV>
            <wp:extent cx="98425" cy="984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7"/>
          <w:szCs w:val="17"/>
          <w:color w:val="auto"/>
        </w:rPr>
        <w:t>eBay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54610</wp:posOffset>
            </wp:positionV>
            <wp:extent cx="7148830" cy="152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-103505</wp:posOffset>
            </wp:positionV>
            <wp:extent cx="98425" cy="984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5703570</wp:posOffset>
            </wp:positionH>
            <wp:positionV relativeFrom="paragraph">
              <wp:posOffset>-103505</wp:posOffset>
            </wp:positionV>
            <wp:extent cx="98425" cy="984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6632575</wp:posOffset>
            </wp:positionH>
            <wp:positionV relativeFrom="paragraph">
              <wp:posOffset>-103505</wp:posOffset>
            </wp:positionV>
            <wp:extent cx="98425" cy="984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7"/>
          <w:szCs w:val="17"/>
          <w:color w:val="auto"/>
        </w:rPr>
        <w:t>Electronic Arts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54610</wp:posOffset>
            </wp:positionV>
            <wp:extent cx="7148830" cy="152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-103505</wp:posOffset>
            </wp:positionV>
            <wp:extent cx="98425" cy="984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2918460</wp:posOffset>
            </wp:positionH>
            <wp:positionV relativeFrom="paragraph">
              <wp:posOffset>-103505</wp:posOffset>
            </wp:positionV>
            <wp:extent cx="98425" cy="984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4775200</wp:posOffset>
            </wp:positionH>
            <wp:positionV relativeFrom="paragraph">
              <wp:posOffset>-103505</wp:posOffset>
            </wp:positionV>
            <wp:extent cx="98425" cy="984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5703570</wp:posOffset>
            </wp:positionH>
            <wp:positionV relativeFrom="paragraph">
              <wp:posOffset>-103505</wp:posOffset>
            </wp:positionV>
            <wp:extent cx="98425" cy="984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6632575</wp:posOffset>
            </wp:positionH>
            <wp:positionV relativeFrom="paragraph">
              <wp:posOffset>-103505</wp:posOffset>
            </wp:positionV>
            <wp:extent cx="98425" cy="984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7"/>
          <w:szCs w:val="17"/>
          <w:color w:val="auto"/>
        </w:rPr>
        <w:t>Fox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54610</wp:posOffset>
            </wp:positionV>
            <wp:extent cx="7148830" cy="152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-103505</wp:posOffset>
            </wp:positionV>
            <wp:extent cx="98425" cy="984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2918460</wp:posOffset>
            </wp:positionH>
            <wp:positionV relativeFrom="paragraph">
              <wp:posOffset>-103505</wp:posOffset>
            </wp:positionV>
            <wp:extent cx="98425" cy="984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5703570</wp:posOffset>
            </wp:positionH>
            <wp:positionV relativeFrom="paragraph">
              <wp:posOffset>-103505</wp:posOffset>
            </wp:positionV>
            <wp:extent cx="98425" cy="984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6632575</wp:posOffset>
            </wp:positionH>
            <wp:positionV relativeFrom="paragraph">
              <wp:posOffset>-103505</wp:posOffset>
            </wp:positionV>
            <wp:extent cx="98425" cy="984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Intuit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54610</wp:posOffset>
            </wp:positionV>
            <wp:extent cx="7148830" cy="152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-103505</wp:posOffset>
            </wp:positionV>
            <wp:extent cx="98425" cy="984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-103505</wp:posOffset>
            </wp:positionV>
            <wp:extent cx="98425" cy="984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4775200</wp:posOffset>
            </wp:positionH>
            <wp:positionV relativeFrom="paragraph">
              <wp:posOffset>-103505</wp:posOffset>
            </wp:positionV>
            <wp:extent cx="98425" cy="984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5703570</wp:posOffset>
            </wp:positionH>
            <wp:positionV relativeFrom="paragraph">
              <wp:posOffset>-103505</wp:posOffset>
            </wp:positionV>
            <wp:extent cx="98425" cy="9842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6632575</wp:posOffset>
            </wp:positionH>
            <wp:positionV relativeFrom="paragraph">
              <wp:posOffset>-103505</wp:posOffset>
            </wp:positionV>
            <wp:extent cx="98425" cy="984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7"/>
          <w:szCs w:val="17"/>
          <w:color w:val="auto"/>
        </w:rPr>
        <w:t>Liberty Media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54610</wp:posOffset>
            </wp:positionV>
            <wp:extent cx="7148830" cy="152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-103505</wp:posOffset>
            </wp:positionV>
            <wp:extent cx="98425" cy="984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2918460</wp:posOffset>
            </wp:positionH>
            <wp:positionV relativeFrom="paragraph">
              <wp:posOffset>-103505</wp:posOffset>
            </wp:positionV>
            <wp:extent cx="98425" cy="984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5703570</wp:posOffset>
            </wp:positionH>
            <wp:positionV relativeFrom="paragraph">
              <wp:posOffset>-103505</wp:posOffset>
            </wp:positionV>
            <wp:extent cx="98425" cy="984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6632575</wp:posOffset>
            </wp:positionH>
            <wp:positionV relativeFrom="paragraph">
              <wp:posOffset>-103505</wp:posOffset>
            </wp:positionV>
            <wp:extent cx="98425" cy="984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7"/>
          <w:szCs w:val="17"/>
          <w:color w:val="auto"/>
        </w:rPr>
        <w:t>Live Nation Entertainment,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54610</wp:posOffset>
            </wp:positionV>
            <wp:extent cx="7148830" cy="152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-103505</wp:posOffset>
            </wp:positionV>
            <wp:extent cx="98425" cy="9842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2918460</wp:posOffset>
            </wp:positionH>
            <wp:positionV relativeFrom="paragraph">
              <wp:posOffset>-103505</wp:posOffset>
            </wp:positionV>
            <wp:extent cx="98425" cy="984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5703570</wp:posOffset>
            </wp:positionH>
            <wp:positionV relativeFrom="paragraph">
              <wp:posOffset>-103505</wp:posOffset>
            </wp:positionV>
            <wp:extent cx="98425" cy="984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6632575</wp:posOffset>
            </wp:positionH>
            <wp:positionV relativeFrom="paragraph">
              <wp:posOffset>-103505</wp:posOffset>
            </wp:positionV>
            <wp:extent cx="98425" cy="984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7"/>
          <w:szCs w:val="17"/>
          <w:color w:val="auto"/>
        </w:rPr>
        <w:t>Netflix,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54610</wp:posOffset>
            </wp:positionV>
            <wp:extent cx="7148830" cy="152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-103505</wp:posOffset>
            </wp:positionV>
            <wp:extent cx="98425" cy="984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2918460</wp:posOffset>
            </wp:positionH>
            <wp:positionV relativeFrom="paragraph">
              <wp:posOffset>-103505</wp:posOffset>
            </wp:positionV>
            <wp:extent cx="98425" cy="984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4775200</wp:posOffset>
            </wp:positionH>
            <wp:positionV relativeFrom="paragraph">
              <wp:posOffset>-103505</wp:posOffset>
            </wp:positionV>
            <wp:extent cx="98425" cy="984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6632575</wp:posOffset>
            </wp:positionH>
            <wp:positionV relativeFrom="paragraph">
              <wp:posOffset>-103505</wp:posOffset>
            </wp:positionV>
            <wp:extent cx="98425" cy="984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7"/>
          <w:szCs w:val="17"/>
          <w:color w:val="auto"/>
        </w:rPr>
        <w:t>PayPal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54610</wp:posOffset>
            </wp:positionV>
            <wp:extent cx="7148830" cy="152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-103505</wp:posOffset>
            </wp:positionV>
            <wp:extent cx="98425" cy="984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6632575</wp:posOffset>
            </wp:positionH>
            <wp:positionV relativeFrom="paragraph">
              <wp:posOffset>-103505</wp:posOffset>
            </wp:positionV>
            <wp:extent cx="98425" cy="984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7"/>
          <w:szCs w:val="17"/>
          <w:color w:val="auto"/>
        </w:rPr>
        <w:t>salesforce.com,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54610</wp:posOffset>
            </wp:positionV>
            <wp:extent cx="7148830" cy="152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-103505</wp:posOffset>
            </wp:positionV>
            <wp:extent cx="98425" cy="9842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-103505</wp:posOffset>
            </wp:positionV>
            <wp:extent cx="98425" cy="9842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6632575</wp:posOffset>
            </wp:positionH>
            <wp:positionV relativeFrom="paragraph">
              <wp:posOffset>-103505</wp:posOffset>
            </wp:positionV>
            <wp:extent cx="98425" cy="984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7"/>
          <w:szCs w:val="17"/>
          <w:color w:val="auto"/>
        </w:rPr>
        <w:t>ServiceNow,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54610</wp:posOffset>
            </wp:positionV>
            <wp:extent cx="7148830" cy="152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-103505</wp:posOffset>
            </wp:positionV>
            <wp:extent cx="98425" cy="984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-103505</wp:posOffset>
            </wp:positionV>
            <wp:extent cx="98425" cy="9842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5703570</wp:posOffset>
            </wp:positionH>
            <wp:positionV relativeFrom="paragraph">
              <wp:posOffset>-103505</wp:posOffset>
            </wp:positionV>
            <wp:extent cx="98425" cy="9842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6632575</wp:posOffset>
            </wp:positionH>
            <wp:positionV relativeFrom="paragraph">
              <wp:posOffset>-103505</wp:posOffset>
            </wp:positionV>
            <wp:extent cx="98425" cy="9842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7"/>
          <w:szCs w:val="17"/>
          <w:color w:val="auto"/>
        </w:rPr>
        <w:t>Sirius XM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54610</wp:posOffset>
            </wp:positionV>
            <wp:extent cx="7148830" cy="152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-103505</wp:posOffset>
            </wp:positionV>
            <wp:extent cx="98425" cy="9842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5703570</wp:posOffset>
            </wp:positionH>
            <wp:positionV relativeFrom="paragraph">
              <wp:posOffset>-103505</wp:posOffset>
            </wp:positionV>
            <wp:extent cx="98425" cy="9842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6632575</wp:posOffset>
            </wp:positionH>
            <wp:positionV relativeFrom="paragraph">
              <wp:posOffset>-103505</wp:posOffset>
            </wp:positionV>
            <wp:extent cx="98425" cy="9842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7"/>
          <w:szCs w:val="17"/>
          <w:color w:val="auto"/>
        </w:rPr>
        <w:t>ViacomCBS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54610</wp:posOffset>
            </wp:positionV>
            <wp:extent cx="7148830" cy="152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2918460</wp:posOffset>
            </wp:positionH>
            <wp:positionV relativeFrom="paragraph">
              <wp:posOffset>-103505</wp:posOffset>
            </wp:positionV>
            <wp:extent cx="98425" cy="984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4775200</wp:posOffset>
            </wp:positionH>
            <wp:positionV relativeFrom="paragraph">
              <wp:posOffset>-103505</wp:posOffset>
            </wp:positionV>
            <wp:extent cx="98425" cy="984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6632575</wp:posOffset>
            </wp:positionH>
            <wp:positionV relativeFrom="paragraph">
              <wp:posOffset>-103505</wp:posOffset>
            </wp:positionV>
            <wp:extent cx="98425" cy="9842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Walt Disney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54610</wp:posOffset>
            </wp:positionV>
            <wp:extent cx="7148830" cy="152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-103505</wp:posOffset>
            </wp:positionV>
            <wp:extent cx="98425" cy="9842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2918460</wp:posOffset>
            </wp:positionH>
            <wp:positionV relativeFrom="paragraph">
              <wp:posOffset>-103505</wp:posOffset>
            </wp:positionV>
            <wp:extent cx="98425" cy="9842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4775200</wp:posOffset>
            </wp:positionH>
            <wp:positionV relativeFrom="paragraph">
              <wp:posOffset>-103505</wp:posOffset>
            </wp:positionV>
            <wp:extent cx="98425" cy="9842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347"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71" w:name="page72"/>
    <w:bookmarkEnd w:id="71"/>
    <w:p>
      <w:pPr>
        <w:ind w:left="5"/>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35" w:lineRule="exact"/>
        <w:rPr>
          <w:sz w:val="20"/>
          <w:szCs w:val="20"/>
          <w:color w:val="auto"/>
        </w:rPr>
      </w:pPr>
    </w:p>
    <w:p>
      <w:pPr>
        <w:ind w:left="5"/>
        <w:spacing w:after="0"/>
        <w:rPr>
          <w:sz w:val="20"/>
          <w:szCs w:val="20"/>
          <w:color w:val="auto"/>
        </w:rPr>
      </w:pPr>
      <w:r>
        <w:rPr>
          <w:rFonts w:ascii="Arial" w:cs="Arial" w:eastAsia="Arial" w:hAnsi="Arial"/>
          <w:sz w:val="19"/>
          <w:szCs w:val="19"/>
          <w:color w:val="auto"/>
        </w:rPr>
        <w:t>At the time this peer group was approved, Activision Blizzard was positioned at:</w:t>
      </w:r>
    </w:p>
    <w:p>
      <w:pPr>
        <w:ind w:left="145" w:hanging="145"/>
        <w:spacing w:after="0" w:line="228" w:lineRule="auto"/>
        <w:tabs>
          <w:tab w:leader="none" w:pos="145" w:val="left"/>
        </w:tabs>
        <w:numPr>
          <w:ilvl w:val="0"/>
          <w:numId w:val="86"/>
        </w:numPr>
        <w:rPr>
          <w:rFonts w:ascii="Arial" w:cs="Arial" w:eastAsia="Arial" w:hAnsi="Arial"/>
          <w:sz w:val="38"/>
          <w:szCs w:val="38"/>
          <w:color w:val="125288"/>
          <w:vertAlign w:val="subscript"/>
        </w:rPr>
      </w:pPr>
      <w:r>
        <w:rPr>
          <w:rFonts w:ascii="Arial" w:cs="Arial" w:eastAsia="Arial" w:hAnsi="Arial"/>
          <w:sz w:val="19"/>
          <w:szCs w:val="19"/>
          <w:color w:val="auto"/>
        </w:rPr>
        <w:t>the 29</w:t>
      </w:r>
      <w:r>
        <w:rPr>
          <w:rFonts w:ascii="Arial" w:cs="Arial" w:eastAsia="Arial" w:hAnsi="Arial"/>
          <w:sz w:val="21"/>
          <w:szCs w:val="21"/>
          <w:color w:val="auto"/>
          <w:vertAlign w:val="superscript"/>
        </w:rPr>
        <w:t>th</w:t>
      </w:r>
      <w:r>
        <w:rPr>
          <w:rFonts w:ascii="Arial" w:cs="Arial" w:eastAsia="Arial" w:hAnsi="Arial"/>
          <w:sz w:val="19"/>
          <w:szCs w:val="19"/>
          <w:color w:val="auto"/>
        </w:rPr>
        <w:t xml:space="preserve"> percentile on revenue;</w:t>
      </w:r>
    </w:p>
    <w:p>
      <w:pPr>
        <w:spacing w:after="0" w:line="1" w:lineRule="exact"/>
        <w:rPr>
          <w:rFonts w:ascii="Arial" w:cs="Arial" w:eastAsia="Arial" w:hAnsi="Arial"/>
          <w:sz w:val="38"/>
          <w:szCs w:val="38"/>
          <w:color w:val="125288"/>
          <w:vertAlign w:val="subscript"/>
        </w:rPr>
      </w:pPr>
    </w:p>
    <w:p>
      <w:pPr>
        <w:ind w:left="145" w:hanging="145"/>
        <w:spacing w:after="0" w:line="195" w:lineRule="auto"/>
        <w:tabs>
          <w:tab w:leader="none" w:pos="145" w:val="left"/>
        </w:tabs>
        <w:numPr>
          <w:ilvl w:val="0"/>
          <w:numId w:val="86"/>
        </w:numPr>
        <w:rPr>
          <w:rFonts w:ascii="Arial" w:cs="Arial" w:eastAsia="Arial" w:hAnsi="Arial"/>
          <w:sz w:val="38"/>
          <w:szCs w:val="38"/>
          <w:color w:val="125288"/>
          <w:vertAlign w:val="subscript"/>
        </w:rPr>
      </w:pPr>
      <w:r>
        <w:rPr>
          <w:rFonts w:ascii="Arial" w:cs="Arial" w:eastAsia="Arial" w:hAnsi="Arial"/>
          <w:sz w:val="19"/>
          <w:szCs w:val="19"/>
          <w:color w:val="auto"/>
        </w:rPr>
        <w:t>the 54</w:t>
      </w:r>
      <w:r>
        <w:rPr>
          <w:rFonts w:ascii="Arial" w:cs="Arial" w:eastAsia="Arial" w:hAnsi="Arial"/>
          <w:sz w:val="21"/>
          <w:szCs w:val="21"/>
          <w:color w:val="auto"/>
          <w:vertAlign w:val="superscript"/>
        </w:rPr>
        <w:t>th</w:t>
      </w:r>
      <w:r>
        <w:rPr>
          <w:rFonts w:ascii="Arial" w:cs="Arial" w:eastAsia="Arial" w:hAnsi="Arial"/>
          <w:sz w:val="19"/>
          <w:szCs w:val="19"/>
          <w:color w:val="auto"/>
        </w:rPr>
        <w:t xml:space="preserve"> percentile on market capitalization; and</w:t>
      </w:r>
    </w:p>
    <w:p>
      <w:pPr>
        <w:spacing w:after="0" w:line="1" w:lineRule="exact"/>
        <w:rPr>
          <w:rFonts w:ascii="Arial" w:cs="Arial" w:eastAsia="Arial" w:hAnsi="Arial"/>
          <w:sz w:val="38"/>
          <w:szCs w:val="38"/>
          <w:color w:val="125288"/>
          <w:vertAlign w:val="subscript"/>
        </w:rPr>
      </w:pPr>
    </w:p>
    <w:p>
      <w:pPr>
        <w:ind w:left="145" w:hanging="145"/>
        <w:spacing w:after="0" w:line="195" w:lineRule="auto"/>
        <w:tabs>
          <w:tab w:leader="none" w:pos="145" w:val="left"/>
        </w:tabs>
        <w:numPr>
          <w:ilvl w:val="0"/>
          <w:numId w:val="86"/>
        </w:numPr>
        <w:rPr>
          <w:rFonts w:ascii="Arial" w:cs="Arial" w:eastAsia="Arial" w:hAnsi="Arial"/>
          <w:sz w:val="38"/>
          <w:szCs w:val="38"/>
          <w:color w:val="125288"/>
          <w:vertAlign w:val="subscript"/>
        </w:rPr>
      </w:pPr>
      <w:r>
        <w:rPr>
          <w:rFonts w:ascii="Arial" w:cs="Arial" w:eastAsia="Arial" w:hAnsi="Arial"/>
          <w:sz w:val="19"/>
          <w:szCs w:val="19"/>
          <w:color w:val="auto"/>
        </w:rPr>
        <w:t>the 85</w:t>
      </w:r>
      <w:r>
        <w:rPr>
          <w:rFonts w:ascii="Arial" w:cs="Arial" w:eastAsia="Arial" w:hAnsi="Arial"/>
          <w:sz w:val="21"/>
          <w:szCs w:val="21"/>
          <w:color w:val="auto"/>
          <w:vertAlign w:val="superscript"/>
        </w:rPr>
        <w:t>th</w:t>
      </w:r>
      <w:r>
        <w:rPr>
          <w:rFonts w:ascii="Arial" w:cs="Arial" w:eastAsia="Arial" w:hAnsi="Arial"/>
          <w:sz w:val="19"/>
          <w:szCs w:val="19"/>
          <w:color w:val="auto"/>
        </w:rPr>
        <w:t xml:space="preserve"> percentile on net income growth (2018-2020).</w:t>
      </w:r>
    </w:p>
    <w:p>
      <w:pPr>
        <w:spacing w:after="0" w:line="187" w:lineRule="exact"/>
        <w:rPr>
          <w:sz w:val="20"/>
          <w:szCs w:val="20"/>
          <w:color w:val="auto"/>
        </w:rPr>
      </w:pPr>
    </w:p>
    <w:p>
      <w:pPr>
        <w:jc w:val="both"/>
        <w:ind w:left="5"/>
        <w:spacing w:after="0" w:line="253" w:lineRule="auto"/>
        <w:rPr>
          <w:sz w:val="20"/>
          <w:szCs w:val="20"/>
          <w:color w:val="auto"/>
        </w:rPr>
      </w:pPr>
      <w:r>
        <w:rPr>
          <w:rFonts w:ascii="Arial" w:cs="Arial" w:eastAsia="Arial" w:hAnsi="Arial"/>
          <w:sz w:val="19"/>
          <w:szCs w:val="19"/>
          <w:b w:val="1"/>
          <w:bCs w:val="1"/>
          <w:color w:val="auto"/>
        </w:rPr>
        <w:t>Our closest competitors for talent are Tencent Holdings Ltd., Meta Platforms, Inc., Alphabet Inc., Amazon.com, Inc., and Apple Inc. However, these companies are not included in our peer group because they all have significantly larger market value capitalizations.</w:t>
      </w:r>
    </w:p>
    <w:p>
      <w:pPr>
        <w:spacing w:after="0" w:line="248" w:lineRule="exact"/>
        <w:rPr>
          <w:sz w:val="20"/>
          <w:szCs w:val="20"/>
          <w:color w:val="auto"/>
        </w:rPr>
      </w:pPr>
    </w:p>
    <w:p>
      <w:pPr>
        <w:jc w:val="both"/>
        <w:ind w:left="5"/>
        <w:spacing w:after="0" w:line="237" w:lineRule="auto"/>
        <w:rPr>
          <w:sz w:val="20"/>
          <w:szCs w:val="20"/>
          <w:color w:val="auto"/>
        </w:rPr>
      </w:pPr>
      <w:r>
        <w:rPr>
          <w:rFonts w:ascii="Arial" w:cs="Arial" w:eastAsia="Arial" w:hAnsi="Arial"/>
          <w:sz w:val="19"/>
          <w:szCs w:val="19"/>
          <w:color w:val="auto"/>
        </w:rPr>
        <w:t>In evaluating our executive compensation program, the Compensation Committee utilizes data obtained from SEC filings made by these companies, including NEO target and actual compensation, company-wide equity usage rates, and potential dilution. In addition, the Compensation Committee, with the support of its independent compensation consultant and management, annually consults third-party surveys prepared by compensation specialists with respect to companies with comparable revenues, market capitalization, industry focus, number of employees, and other similar business-related factors in order to discern broader compensation trends in the market. During 2021, we referenced surveys published by Radford as an additional source of data to provide pay information that is not publicly available.</w:t>
      </w:r>
    </w:p>
    <w:p>
      <w:pPr>
        <w:spacing w:after="0" w:line="261" w:lineRule="exact"/>
        <w:rPr>
          <w:sz w:val="20"/>
          <w:szCs w:val="20"/>
          <w:color w:val="auto"/>
        </w:rPr>
      </w:pPr>
    </w:p>
    <w:p>
      <w:pPr>
        <w:jc w:val="both"/>
        <w:ind w:left="5" w:right="20"/>
        <w:spacing w:after="0" w:line="238" w:lineRule="auto"/>
        <w:rPr>
          <w:sz w:val="20"/>
          <w:szCs w:val="20"/>
          <w:color w:val="auto"/>
        </w:rPr>
      </w:pPr>
      <w:r>
        <w:rPr>
          <w:rFonts w:ascii="Arial" w:cs="Arial" w:eastAsia="Arial" w:hAnsi="Arial"/>
          <w:sz w:val="19"/>
          <w:szCs w:val="19"/>
          <w:color w:val="auto"/>
        </w:rPr>
        <w:t>This compensation data provides an important contextual frame of reference with respect to the markets we compete in. The Compensation Committee also considers other sources to inform compensation structure, including practices of other relevant companies and broader industry trends. The Compensation Committee does not target a specific market percentile; instead, it assesses pay levels using a comprehensive approach.</w:t>
      </w:r>
    </w:p>
    <w:p>
      <w:pPr>
        <w:spacing w:after="0" w:line="237" w:lineRule="exact"/>
        <w:rPr>
          <w:sz w:val="20"/>
          <w:szCs w:val="20"/>
          <w:color w:val="auto"/>
        </w:rPr>
      </w:pPr>
    </w:p>
    <w:p>
      <w:pPr>
        <w:ind w:left="5"/>
        <w:spacing w:after="0"/>
        <w:rPr>
          <w:sz w:val="20"/>
          <w:szCs w:val="20"/>
          <w:color w:val="auto"/>
        </w:rPr>
      </w:pPr>
      <w:r>
        <w:rPr>
          <w:rFonts w:ascii="Arial" w:cs="Arial" w:eastAsia="Arial" w:hAnsi="Arial"/>
          <w:sz w:val="24"/>
          <w:szCs w:val="24"/>
          <w:b w:val="1"/>
          <w:bCs w:val="1"/>
          <w:color w:val="auto"/>
        </w:rPr>
        <w:t>Key Participants in the Executive Compensation Decision-Making Process</w:t>
      </w:r>
    </w:p>
    <w:p>
      <w:pPr>
        <w:spacing w:after="0" w:line="143" w:lineRule="exact"/>
        <w:rPr>
          <w:sz w:val="20"/>
          <w:szCs w:val="20"/>
          <w:color w:val="auto"/>
        </w:rPr>
      </w:pPr>
    </w:p>
    <w:p>
      <w:pPr>
        <w:ind w:left="5"/>
        <w:spacing w:after="0"/>
        <w:rPr>
          <w:sz w:val="20"/>
          <w:szCs w:val="20"/>
          <w:color w:val="auto"/>
        </w:rPr>
      </w:pPr>
      <w:r>
        <w:rPr>
          <w:rFonts w:ascii="Arial" w:cs="Arial" w:eastAsia="Arial" w:hAnsi="Arial"/>
          <w:sz w:val="20"/>
          <w:szCs w:val="20"/>
          <w:color w:val="125288"/>
        </w:rPr>
        <w:t>Compensation Committee</w:t>
      </w:r>
    </w:p>
    <w:p>
      <w:pPr>
        <w:ind w:left="145" w:hanging="145"/>
        <w:spacing w:after="0" w:line="207" w:lineRule="auto"/>
        <w:tabs>
          <w:tab w:leader="none" w:pos="145" w:val="left"/>
        </w:tabs>
        <w:numPr>
          <w:ilvl w:val="0"/>
          <w:numId w:val="87"/>
        </w:numPr>
        <w:rPr>
          <w:rFonts w:ascii="Arial" w:cs="Arial" w:eastAsia="Arial" w:hAnsi="Arial"/>
          <w:sz w:val="38"/>
          <w:szCs w:val="38"/>
          <w:color w:val="125288"/>
          <w:vertAlign w:val="subscript"/>
        </w:rPr>
      </w:pPr>
      <w:r>
        <w:rPr>
          <w:rFonts w:ascii="Arial" w:cs="Arial" w:eastAsia="Arial" w:hAnsi="Arial"/>
          <w:sz w:val="19"/>
          <w:szCs w:val="19"/>
          <w:color w:val="auto"/>
        </w:rPr>
        <w:t>Establishes our executive compensation principles.</w:t>
      </w:r>
    </w:p>
    <w:p>
      <w:pPr>
        <w:spacing w:after="0" w:line="129" w:lineRule="exact"/>
        <w:rPr>
          <w:rFonts w:ascii="Arial" w:cs="Arial" w:eastAsia="Arial" w:hAnsi="Arial"/>
          <w:sz w:val="38"/>
          <w:szCs w:val="38"/>
          <w:color w:val="125288"/>
          <w:vertAlign w:val="subscript"/>
        </w:rPr>
      </w:pPr>
    </w:p>
    <w:p>
      <w:pPr>
        <w:ind w:left="145" w:hanging="145"/>
        <w:spacing w:after="0"/>
        <w:tabs>
          <w:tab w:leader="none" w:pos="145" w:val="left"/>
        </w:tabs>
        <w:numPr>
          <w:ilvl w:val="0"/>
          <w:numId w:val="87"/>
        </w:numPr>
        <w:rPr>
          <w:rFonts w:ascii="Arial" w:cs="Arial" w:eastAsia="Arial" w:hAnsi="Arial"/>
          <w:sz w:val="19"/>
          <w:szCs w:val="19"/>
          <w:color w:val="125288"/>
        </w:rPr>
      </w:pPr>
      <w:r>
        <w:rPr>
          <w:rFonts w:ascii="Arial" w:cs="Arial" w:eastAsia="Arial" w:hAnsi="Arial"/>
          <w:sz w:val="19"/>
          <w:szCs w:val="19"/>
          <w:color w:val="auto"/>
        </w:rPr>
        <w:t>Reviews and approves all compensation of our executive officers.</w:t>
      </w:r>
    </w:p>
    <w:p>
      <w:pPr>
        <w:spacing w:after="0" w:line="138" w:lineRule="exact"/>
        <w:rPr>
          <w:rFonts w:ascii="Arial" w:cs="Arial" w:eastAsia="Arial" w:hAnsi="Arial"/>
          <w:sz w:val="19"/>
          <w:szCs w:val="19"/>
          <w:color w:val="125288"/>
        </w:rPr>
      </w:pPr>
    </w:p>
    <w:p>
      <w:pPr>
        <w:ind w:left="145" w:hanging="145"/>
        <w:spacing w:after="0"/>
        <w:tabs>
          <w:tab w:leader="none" w:pos="145" w:val="left"/>
        </w:tabs>
        <w:numPr>
          <w:ilvl w:val="0"/>
          <w:numId w:val="87"/>
        </w:numPr>
        <w:rPr>
          <w:rFonts w:ascii="Arial" w:cs="Arial" w:eastAsia="Arial" w:hAnsi="Arial"/>
          <w:sz w:val="19"/>
          <w:szCs w:val="19"/>
          <w:color w:val="125288"/>
        </w:rPr>
      </w:pPr>
      <w:r>
        <w:rPr>
          <w:rFonts w:ascii="Arial" w:cs="Arial" w:eastAsia="Arial" w:hAnsi="Arial"/>
          <w:sz w:val="19"/>
          <w:szCs w:val="19"/>
          <w:color w:val="auto"/>
        </w:rPr>
        <w:t>Has oversight of the Company’s long-term strategy for employee compensation.</w:t>
      </w:r>
    </w:p>
    <w:p>
      <w:pPr>
        <w:spacing w:after="0" w:line="138" w:lineRule="exact"/>
        <w:rPr>
          <w:rFonts w:ascii="Arial" w:cs="Arial" w:eastAsia="Arial" w:hAnsi="Arial"/>
          <w:sz w:val="19"/>
          <w:szCs w:val="19"/>
          <w:color w:val="125288"/>
        </w:rPr>
      </w:pPr>
    </w:p>
    <w:p>
      <w:pPr>
        <w:ind w:left="145" w:hanging="145"/>
        <w:spacing w:after="0"/>
        <w:tabs>
          <w:tab w:leader="none" w:pos="145" w:val="left"/>
        </w:tabs>
        <w:numPr>
          <w:ilvl w:val="0"/>
          <w:numId w:val="87"/>
        </w:numPr>
        <w:rPr>
          <w:rFonts w:ascii="Arial" w:cs="Arial" w:eastAsia="Arial" w:hAnsi="Arial"/>
          <w:sz w:val="19"/>
          <w:szCs w:val="19"/>
          <w:color w:val="125288"/>
        </w:rPr>
      </w:pPr>
      <w:r>
        <w:rPr>
          <w:rFonts w:ascii="Arial" w:cs="Arial" w:eastAsia="Arial" w:hAnsi="Arial"/>
          <w:sz w:val="19"/>
          <w:szCs w:val="19"/>
          <w:color w:val="auto"/>
        </w:rPr>
        <w:t>Has oversight of the principles underlying the design of our incentive plans.</w:t>
      </w:r>
    </w:p>
    <w:p>
      <w:pPr>
        <w:spacing w:after="0" w:line="138" w:lineRule="exact"/>
        <w:rPr>
          <w:rFonts w:ascii="Arial" w:cs="Arial" w:eastAsia="Arial" w:hAnsi="Arial"/>
          <w:sz w:val="19"/>
          <w:szCs w:val="19"/>
          <w:color w:val="125288"/>
        </w:rPr>
      </w:pPr>
    </w:p>
    <w:p>
      <w:pPr>
        <w:ind w:left="145" w:right="40" w:hanging="145"/>
        <w:spacing w:after="0" w:line="242" w:lineRule="auto"/>
        <w:tabs>
          <w:tab w:leader="none" w:pos="145" w:val="left"/>
        </w:tabs>
        <w:numPr>
          <w:ilvl w:val="0"/>
          <w:numId w:val="87"/>
        </w:numPr>
        <w:rPr>
          <w:rFonts w:ascii="Arial" w:cs="Arial" w:eastAsia="Arial" w:hAnsi="Arial"/>
          <w:sz w:val="19"/>
          <w:szCs w:val="19"/>
          <w:color w:val="125288"/>
        </w:rPr>
      </w:pPr>
      <w:r>
        <w:rPr>
          <w:rFonts w:ascii="Arial" w:cs="Arial" w:eastAsia="Arial" w:hAnsi="Arial"/>
          <w:sz w:val="19"/>
          <w:szCs w:val="19"/>
          <w:color w:val="auto"/>
        </w:rPr>
        <w:t>Reviews and approves the corporate objectives relevant to our Chief Executive Officer’s compensation, evaluates their performance in light of those objectives, and determines compensation based on that evaluation.</w:t>
      </w:r>
    </w:p>
    <w:p>
      <w:pPr>
        <w:spacing w:after="0" w:line="1" w:lineRule="exact"/>
        <w:rPr>
          <w:rFonts w:ascii="Arial" w:cs="Arial" w:eastAsia="Arial" w:hAnsi="Arial"/>
          <w:sz w:val="19"/>
          <w:szCs w:val="19"/>
          <w:color w:val="125288"/>
        </w:rPr>
      </w:pPr>
    </w:p>
    <w:p>
      <w:pPr>
        <w:ind w:left="145" w:hanging="145"/>
        <w:spacing w:after="0" w:line="195" w:lineRule="auto"/>
        <w:tabs>
          <w:tab w:leader="none" w:pos="145" w:val="left"/>
        </w:tabs>
        <w:numPr>
          <w:ilvl w:val="0"/>
          <w:numId w:val="87"/>
        </w:numPr>
        <w:rPr>
          <w:rFonts w:ascii="Arial" w:cs="Arial" w:eastAsia="Arial" w:hAnsi="Arial"/>
          <w:sz w:val="38"/>
          <w:szCs w:val="38"/>
          <w:color w:val="125288"/>
          <w:vertAlign w:val="subscript"/>
        </w:rPr>
      </w:pPr>
      <w:r>
        <w:rPr>
          <w:rFonts w:ascii="Arial" w:cs="Arial" w:eastAsia="Arial" w:hAnsi="Arial"/>
          <w:sz w:val="19"/>
          <w:szCs w:val="19"/>
          <w:color w:val="auto"/>
        </w:rPr>
        <w:t>Selects and monitors the Company’s peer group.</w:t>
      </w:r>
    </w:p>
    <w:p>
      <w:pPr>
        <w:spacing w:after="0" w:line="130" w:lineRule="exact"/>
        <w:rPr>
          <w:rFonts w:ascii="Arial" w:cs="Arial" w:eastAsia="Arial" w:hAnsi="Arial"/>
          <w:sz w:val="38"/>
          <w:szCs w:val="38"/>
          <w:color w:val="125288"/>
          <w:vertAlign w:val="subscript"/>
        </w:rPr>
      </w:pPr>
    </w:p>
    <w:p>
      <w:pPr>
        <w:ind w:left="145" w:hanging="145"/>
        <w:spacing w:after="0"/>
        <w:tabs>
          <w:tab w:leader="none" w:pos="145" w:val="left"/>
        </w:tabs>
        <w:numPr>
          <w:ilvl w:val="0"/>
          <w:numId w:val="87"/>
        </w:numPr>
        <w:rPr>
          <w:rFonts w:ascii="Arial" w:cs="Arial" w:eastAsia="Arial" w:hAnsi="Arial"/>
          <w:sz w:val="19"/>
          <w:szCs w:val="19"/>
          <w:color w:val="125288"/>
        </w:rPr>
      </w:pPr>
      <w:r>
        <w:rPr>
          <w:rFonts w:ascii="Arial" w:cs="Arial" w:eastAsia="Arial" w:hAnsi="Arial"/>
          <w:sz w:val="19"/>
          <w:szCs w:val="19"/>
          <w:color w:val="auto"/>
        </w:rPr>
        <w:t>Evaluates compensation-related information and recommendations provided by management and outside advisors.</w:t>
      </w:r>
    </w:p>
    <w:p>
      <w:pPr>
        <w:spacing w:after="0" w:line="138" w:lineRule="exact"/>
        <w:rPr>
          <w:rFonts w:ascii="Arial" w:cs="Arial" w:eastAsia="Arial" w:hAnsi="Arial"/>
          <w:sz w:val="19"/>
          <w:szCs w:val="19"/>
          <w:color w:val="125288"/>
        </w:rPr>
      </w:pPr>
    </w:p>
    <w:p>
      <w:pPr>
        <w:ind w:left="145" w:hanging="145"/>
        <w:spacing w:after="0"/>
        <w:tabs>
          <w:tab w:leader="none" w:pos="145" w:val="left"/>
        </w:tabs>
        <w:numPr>
          <w:ilvl w:val="0"/>
          <w:numId w:val="87"/>
        </w:numPr>
        <w:rPr>
          <w:rFonts w:ascii="Arial" w:cs="Arial" w:eastAsia="Arial" w:hAnsi="Arial"/>
          <w:sz w:val="19"/>
          <w:szCs w:val="19"/>
          <w:color w:val="125288"/>
        </w:rPr>
      </w:pPr>
      <w:r>
        <w:rPr>
          <w:rFonts w:ascii="Arial" w:cs="Arial" w:eastAsia="Arial" w:hAnsi="Arial"/>
          <w:sz w:val="19"/>
          <w:szCs w:val="19"/>
          <w:color w:val="auto"/>
        </w:rPr>
        <w:t>Annually reviews the compensation payable to our Board.</w:t>
      </w:r>
    </w:p>
    <w:p>
      <w:pPr>
        <w:spacing w:after="0" w:line="9" w:lineRule="exact"/>
        <w:rPr>
          <w:rFonts w:ascii="Arial" w:cs="Arial" w:eastAsia="Arial" w:hAnsi="Arial"/>
          <w:sz w:val="19"/>
          <w:szCs w:val="19"/>
          <w:color w:val="125288"/>
        </w:rPr>
      </w:pPr>
    </w:p>
    <w:p>
      <w:pPr>
        <w:ind w:left="145" w:hanging="145"/>
        <w:spacing w:after="0" w:line="195" w:lineRule="auto"/>
        <w:tabs>
          <w:tab w:leader="none" w:pos="145" w:val="left"/>
        </w:tabs>
        <w:numPr>
          <w:ilvl w:val="0"/>
          <w:numId w:val="87"/>
        </w:numPr>
        <w:rPr>
          <w:rFonts w:ascii="Arial" w:cs="Arial" w:eastAsia="Arial" w:hAnsi="Arial"/>
          <w:sz w:val="38"/>
          <w:szCs w:val="38"/>
          <w:color w:val="125288"/>
          <w:vertAlign w:val="subscript"/>
        </w:rPr>
      </w:pPr>
      <w:r>
        <w:rPr>
          <w:rFonts w:ascii="Arial" w:cs="Arial" w:eastAsia="Arial" w:hAnsi="Arial"/>
          <w:sz w:val="19"/>
          <w:szCs w:val="19"/>
          <w:color w:val="auto"/>
        </w:rPr>
        <w:t>Administers our equity incentive plans, including:</w:t>
      </w:r>
    </w:p>
    <w:p>
      <w:pPr>
        <w:spacing w:after="0" w:line="130" w:lineRule="exact"/>
        <w:rPr>
          <w:rFonts w:ascii="Arial" w:cs="Arial" w:eastAsia="Arial" w:hAnsi="Arial"/>
          <w:sz w:val="38"/>
          <w:szCs w:val="38"/>
          <w:color w:val="125288"/>
          <w:vertAlign w:val="subscript"/>
        </w:rPr>
      </w:pPr>
    </w:p>
    <w:p>
      <w:pPr>
        <w:ind w:left="205"/>
        <w:spacing w:after="0"/>
        <w:rPr>
          <w:rFonts w:ascii="Arial" w:cs="Arial" w:eastAsia="Arial" w:hAnsi="Arial"/>
          <w:sz w:val="38"/>
          <w:szCs w:val="38"/>
          <w:color w:val="125288"/>
          <w:vertAlign w:val="subscript"/>
        </w:rPr>
      </w:pPr>
      <w:r>
        <w:rPr>
          <w:rFonts w:ascii="Arial" w:cs="Arial" w:eastAsia="Arial" w:hAnsi="Arial"/>
          <w:sz w:val="12"/>
          <w:szCs w:val="12"/>
          <w:color w:val="auto"/>
        </w:rPr>
        <w:t xml:space="preserve">–  </w:t>
      </w:r>
      <w:r>
        <w:rPr>
          <w:rFonts w:ascii="Arial" w:cs="Arial" w:eastAsia="Arial" w:hAnsi="Arial"/>
          <w:sz w:val="19"/>
          <w:szCs w:val="19"/>
          <w:color w:val="auto"/>
        </w:rPr>
        <w:t>approving equity award guidelines;</w:t>
      </w:r>
    </w:p>
    <w:p>
      <w:pPr>
        <w:spacing w:after="0" w:line="138" w:lineRule="exact"/>
        <w:rPr>
          <w:rFonts w:ascii="Arial" w:cs="Arial" w:eastAsia="Arial" w:hAnsi="Arial"/>
          <w:sz w:val="38"/>
          <w:szCs w:val="38"/>
          <w:color w:val="125288"/>
          <w:vertAlign w:val="subscript"/>
        </w:rPr>
      </w:pPr>
    </w:p>
    <w:p>
      <w:pPr>
        <w:ind w:left="205"/>
        <w:spacing w:after="0"/>
        <w:rPr>
          <w:rFonts w:ascii="Arial" w:cs="Arial" w:eastAsia="Arial" w:hAnsi="Arial"/>
          <w:sz w:val="38"/>
          <w:szCs w:val="38"/>
          <w:color w:val="125288"/>
          <w:vertAlign w:val="subscript"/>
        </w:rPr>
      </w:pPr>
      <w:r>
        <w:rPr>
          <w:rFonts w:ascii="Arial" w:cs="Arial" w:eastAsia="Arial" w:hAnsi="Arial"/>
          <w:sz w:val="12"/>
          <w:szCs w:val="12"/>
          <w:color w:val="auto"/>
        </w:rPr>
        <w:t xml:space="preserve">–  </w:t>
      </w:r>
      <w:r>
        <w:rPr>
          <w:rFonts w:ascii="Arial" w:cs="Arial" w:eastAsia="Arial" w:hAnsi="Arial"/>
          <w:sz w:val="19"/>
          <w:szCs w:val="19"/>
          <w:color w:val="auto"/>
        </w:rPr>
        <w:t>approving all equity awards; and</w:t>
      </w:r>
    </w:p>
    <w:p>
      <w:pPr>
        <w:spacing w:after="0" w:line="138" w:lineRule="exact"/>
        <w:rPr>
          <w:rFonts w:ascii="Arial" w:cs="Arial" w:eastAsia="Arial" w:hAnsi="Arial"/>
          <w:sz w:val="38"/>
          <w:szCs w:val="38"/>
          <w:color w:val="125288"/>
          <w:vertAlign w:val="subscript"/>
        </w:rPr>
      </w:pPr>
    </w:p>
    <w:p>
      <w:pPr>
        <w:ind w:left="205"/>
        <w:spacing w:after="0"/>
        <w:rPr>
          <w:rFonts w:ascii="Arial" w:cs="Arial" w:eastAsia="Arial" w:hAnsi="Arial"/>
          <w:sz w:val="38"/>
          <w:szCs w:val="38"/>
          <w:color w:val="125288"/>
          <w:vertAlign w:val="subscript"/>
        </w:rPr>
      </w:pPr>
      <w:r>
        <w:rPr>
          <w:rFonts w:ascii="Arial" w:cs="Arial" w:eastAsia="Arial" w:hAnsi="Arial"/>
          <w:sz w:val="12"/>
          <w:szCs w:val="12"/>
          <w:color w:val="auto"/>
        </w:rPr>
        <w:t xml:space="preserve">–  </w:t>
      </w:r>
      <w:r>
        <w:rPr>
          <w:rFonts w:ascii="Arial" w:cs="Arial" w:eastAsia="Arial" w:hAnsi="Arial"/>
          <w:sz w:val="19"/>
          <w:szCs w:val="19"/>
          <w:color w:val="auto"/>
        </w:rPr>
        <w:t>monitoring our equity usage and resulting potential dilution.</w:t>
      </w:r>
    </w:p>
    <w:p>
      <w:pPr>
        <w:spacing w:after="0" w:line="138" w:lineRule="exact"/>
        <w:rPr>
          <w:rFonts w:ascii="Arial" w:cs="Arial" w:eastAsia="Arial" w:hAnsi="Arial"/>
          <w:sz w:val="38"/>
          <w:szCs w:val="38"/>
          <w:color w:val="125288"/>
          <w:vertAlign w:val="subscript"/>
        </w:rPr>
      </w:pPr>
    </w:p>
    <w:p>
      <w:pPr>
        <w:ind w:left="145" w:hanging="145"/>
        <w:spacing w:after="0"/>
        <w:tabs>
          <w:tab w:leader="none" w:pos="145" w:val="left"/>
        </w:tabs>
        <w:numPr>
          <w:ilvl w:val="0"/>
          <w:numId w:val="87"/>
        </w:numPr>
        <w:rPr>
          <w:rFonts w:ascii="Arial" w:cs="Arial" w:eastAsia="Arial" w:hAnsi="Arial"/>
          <w:sz w:val="19"/>
          <w:szCs w:val="19"/>
          <w:color w:val="125288"/>
        </w:rPr>
      </w:pPr>
      <w:r>
        <w:rPr>
          <w:rFonts w:ascii="Arial" w:cs="Arial" w:eastAsia="Arial" w:hAnsi="Arial"/>
          <w:sz w:val="19"/>
          <w:szCs w:val="19"/>
          <w:color w:val="auto"/>
        </w:rPr>
        <w:t>Reviews and approves executive officer employment and severance agreements.</w:t>
      </w:r>
    </w:p>
    <w:p>
      <w:pPr>
        <w:spacing w:after="0" w:line="9" w:lineRule="exact"/>
        <w:rPr>
          <w:rFonts w:ascii="Arial" w:cs="Arial" w:eastAsia="Arial" w:hAnsi="Arial"/>
          <w:sz w:val="19"/>
          <w:szCs w:val="19"/>
          <w:color w:val="125288"/>
        </w:rPr>
      </w:pPr>
    </w:p>
    <w:p>
      <w:pPr>
        <w:ind w:left="145" w:hanging="145"/>
        <w:spacing w:after="0" w:line="195" w:lineRule="auto"/>
        <w:tabs>
          <w:tab w:leader="none" w:pos="145" w:val="left"/>
        </w:tabs>
        <w:numPr>
          <w:ilvl w:val="0"/>
          <w:numId w:val="87"/>
        </w:numPr>
        <w:rPr>
          <w:rFonts w:ascii="Arial" w:cs="Arial" w:eastAsia="Arial" w:hAnsi="Arial"/>
          <w:sz w:val="38"/>
          <w:szCs w:val="38"/>
          <w:color w:val="125288"/>
          <w:vertAlign w:val="subscript"/>
        </w:rPr>
      </w:pPr>
      <w:r>
        <w:rPr>
          <w:rFonts w:ascii="Arial" w:cs="Arial" w:eastAsia="Arial" w:hAnsi="Arial"/>
          <w:sz w:val="19"/>
          <w:szCs w:val="19"/>
          <w:color w:val="auto"/>
        </w:rPr>
        <w:t>Evaluates broad industry trends and practices.</w:t>
      </w:r>
    </w:p>
    <w:p>
      <w:pPr>
        <w:spacing w:after="0" w:line="130" w:lineRule="exact"/>
        <w:rPr>
          <w:rFonts w:ascii="Arial" w:cs="Arial" w:eastAsia="Arial" w:hAnsi="Arial"/>
          <w:sz w:val="38"/>
          <w:szCs w:val="38"/>
          <w:color w:val="125288"/>
          <w:vertAlign w:val="subscript"/>
        </w:rPr>
      </w:pPr>
    </w:p>
    <w:p>
      <w:pPr>
        <w:ind w:left="145" w:hanging="145"/>
        <w:spacing w:after="0"/>
        <w:tabs>
          <w:tab w:leader="none" w:pos="145" w:val="left"/>
        </w:tabs>
        <w:numPr>
          <w:ilvl w:val="0"/>
          <w:numId w:val="87"/>
        </w:numPr>
        <w:rPr>
          <w:rFonts w:ascii="Arial" w:cs="Arial" w:eastAsia="Arial" w:hAnsi="Arial"/>
          <w:sz w:val="19"/>
          <w:szCs w:val="19"/>
          <w:color w:val="125288"/>
        </w:rPr>
      </w:pPr>
      <w:r>
        <w:rPr>
          <w:rFonts w:ascii="Arial" w:cs="Arial" w:eastAsia="Arial" w:hAnsi="Arial"/>
          <w:sz w:val="19"/>
          <w:szCs w:val="19"/>
          <w:color w:val="auto"/>
        </w:rPr>
        <w:t>Engages, retains, and, where appropriate, terminates its engagement with its independent compensation consultant.</w:t>
      </w:r>
    </w:p>
    <w:p>
      <w:pPr>
        <w:spacing w:after="0" w:line="269" w:lineRule="exact"/>
        <w:rPr>
          <w:sz w:val="20"/>
          <w:szCs w:val="20"/>
          <w:color w:val="auto"/>
        </w:rPr>
      </w:pPr>
    </w:p>
    <w:p>
      <w:pPr>
        <w:ind w:left="5" w:right="20"/>
        <w:spacing w:after="0" w:line="245" w:lineRule="auto"/>
        <w:rPr>
          <w:sz w:val="20"/>
          <w:szCs w:val="20"/>
          <w:color w:val="auto"/>
        </w:rPr>
      </w:pPr>
      <w:r>
        <w:rPr>
          <w:rFonts w:ascii="Arial" w:cs="Arial" w:eastAsia="Arial" w:hAnsi="Arial"/>
          <w:sz w:val="19"/>
          <w:szCs w:val="19"/>
          <w:color w:val="auto"/>
        </w:rPr>
        <w:t>For additional information regarding the Compensation Committee, see “Corporate Governance Matters—Board Committees— Compensation Committee” above.</w:t>
      </w:r>
    </w:p>
    <w:p>
      <w:pPr>
        <w:spacing w:after="0" w:line="256" w:lineRule="exact"/>
        <w:rPr>
          <w:sz w:val="20"/>
          <w:szCs w:val="20"/>
          <w:color w:val="auto"/>
        </w:rPr>
      </w:pPr>
    </w:p>
    <w:p>
      <w:pPr>
        <w:ind w:left="5"/>
        <w:spacing w:after="0"/>
        <w:rPr>
          <w:sz w:val="20"/>
          <w:szCs w:val="20"/>
          <w:color w:val="auto"/>
        </w:rPr>
      </w:pPr>
      <w:r>
        <w:rPr>
          <w:rFonts w:ascii="Arial" w:cs="Arial" w:eastAsia="Arial" w:hAnsi="Arial"/>
          <w:sz w:val="20"/>
          <w:szCs w:val="20"/>
          <w:color w:val="125288"/>
        </w:rPr>
        <w:t>Compensation Committee’s Independent Compensation Consultant</w:t>
      </w:r>
    </w:p>
    <w:p>
      <w:pPr>
        <w:spacing w:after="0" w:line="150" w:lineRule="exact"/>
        <w:rPr>
          <w:sz w:val="20"/>
          <w:szCs w:val="20"/>
          <w:color w:val="auto"/>
        </w:rPr>
      </w:pPr>
    </w:p>
    <w:p>
      <w:pPr>
        <w:ind w:left="5"/>
        <w:spacing w:after="0"/>
        <w:rPr>
          <w:sz w:val="20"/>
          <w:szCs w:val="20"/>
          <w:color w:val="auto"/>
        </w:rPr>
      </w:pPr>
      <w:r>
        <w:rPr>
          <w:rFonts w:ascii="Arial" w:cs="Arial" w:eastAsia="Arial" w:hAnsi="Arial"/>
          <w:sz w:val="20"/>
          <w:szCs w:val="20"/>
          <w:color w:val="auto"/>
        </w:rPr>
        <w:t>Independence Determination</w:t>
      </w:r>
    </w:p>
    <w:p>
      <w:pPr>
        <w:spacing w:after="0" w:line="149" w:lineRule="exact"/>
        <w:rPr>
          <w:sz w:val="20"/>
          <w:szCs w:val="20"/>
          <w:color w:val="auto"/>
        </w:rPr>
      </w:pPr>
    </w:p>
    <w:p>
      <w:pPr>
        <w:jc w:val="both"/>
        <w:ind w:left="145" w:right="40" w:hanging="145"/>
        <w:spacing w:after="0"/>
        <w:tabs>
          <w:tab w:leader="none" w:pos="145" w:val="left"/>
        </w:tabs>
        <w:numPr>
          <w:ilvl w:val="0"/>
          <w:numId w:val="88"/>
        </w:numPr>
        <w:rPr>
          <w:rFonts w:ascii="Arial" w:cs="Arial" w:eastAsia="Arial" w:hAnsi="Arial"/>
          <w:sz w:val="19"/>
          <w:szCs w:val="19"/>
          <w:color w:val="125288"/>
        </w:rPr>
      </w:pPr>
      <w:r>
        <w:rPr>
          <w:rFonts w:ascii="Arial" w:cs="Arial" w:eastAsia="Arial" w:hAnsi="Arial"/>
          <w:sz w:val="19"/>
          <w:szCs w:val="19"/>
          <w:color w:val="auto"/>
        </w:rPr>
        <w:t>In accordance with its charter and the Nasdaq Rules, in connection with the engagement of any compensation consultant or advisor, the Compensation Committee assesses the independence of such compensation consultant or advisor using the following factors:</w:t>
      </w:r>
    </w:p>
    <w:p>
      <w:pPr>
        <w:spacing w:after="0" w:line="129" w:lineRule="exact"/>
        <w:rPr>
          <w:rFonts w:ascii="Arial" w:cs="Arial" w:eastAsia="Arial" w:hAnsi="Arial"/>
          <w:sz w:val="19"/>
          <w:szCs w:val="19"/>
          <w:color w:val="125288"/>
        </w:rPr>
      </w:pPr>
    </w:p>
    <w:p>
      <w:pPr>
        <w:ind w:left="205"/>
        <w:spacing w:after="0"/>
        <w:rPr>
          <w:rFonts w:ascii="Arial" w:cs="Arial" w:eastAsia="Arial" w:hAnsi="Arial"/>
          <w:sz w:val="19"/>
          <w:szCs w:val="19"/>
          <w:color w:val="125288"/>
        </w:rPr>
      </w:pPr>
      <w:r>
        <w:rPr>
          <w:rFonts w:ascii="Arial" w:cs="Arial" w:eastAsia="Arial" w:hAnsi="Arial"/>
          <w:sz w:val="12"/>
          <w:szCs w:val="12"/>
          <w:color w:val="auto"/>
        </w:rPr>
        <w:t xml:space="preserve">–  </w:t>
      </w:r>
      <w:r>
        <w:rPr>
          <w:rFonts w:ascii="Arial" w:cs="Arial" w:eastAsia="Arial" w:hAnsi="Arial"/>
          <w:sz w:val="19"/>
          <w:szCs w:val="19"/>
          <w:color w:val="auto"/>
        </w:rPr>
        <w:t>whether the consultant or advisor provides other services to the Company;</w:t>
      </w:r>
    </w:p>
    <w:p>
      <w:pPr>
        <w:sectPr>
          <w:pgSz w:w="11900" w:h="16838" w:orient="portrait"/>
          <w:cols w:equalWidth="0" w:num="1">
            <w:col w:w="11265"/>
          </w:cols>
          <w:pgMar w:left="315" w:top="144" w:right="319" w:bottom="773" w:gutter="0" w:footer="0" w:header="0"/>
        </w:sectPr>
      </w:pPr>
    </w:p>
    <w:p>
      <w:pPr>
        <w:spacing w:after="0" w:line="306" w:lineRule="exact"/>
        <w:rPr>
          <w:sz w:val="20"/>
          <w:szCs w:val="20"/>
          <w:color w:val="auto"/>
        </w:rPr>
      </w:pPr>
    </w:p>
    <w:p>
      <w:pPr>
        <w:ind w:left="5"/>
        <w:spacing w:after="0"/>
        <w:tabs>
          <w:tab w:leader="none" w:pos="7364" w:val="left"/>
          <w:tab w:leader="none" w:pos="9384" w:val="left"/>
          <w:tab w:leader="none" w:pos="1108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773" w:gutter="0" w:footer="0" w:header="0"/>
          <w:type w:val="continuous"/>
        </w:sectPr>
      </w:pPr>
    </w:p>
    <w:bookmarkStart w:id="72" w:name="page73"/>
    <w:bookmarkEnd w:id="72"/>
    <w:p>
      <w:pPr>
        <w:ind w:left="5"/>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35" w:lineRule="exact"/>
        <w:rPr>
          <w:sz w:val="20"/>
          <w:szCs w:val="20"/>
          <w:color w:val="auto"/>
        </w:rPr>
      </w:pPr>
    </w:p>
    <w:p>
      <w:pPr>
        <w:ind w:left="205"/>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9"/>
          <w:szCs w:val="19"/>
          <w:color w:val="auto"/>
        </w:rPr>
        <w:t>the significance of the fees paid by the Company as a percentage of the consultant’s or advisor’s total revenues;</w:t>
      </w:r>
    </w:p>
    <w:p>
      <w:pPr>
        <w:spacing w:after="0" w:line="138" w:lineRule="exact"/>
        <w:rPr>
          <w:sz w:val="20"/>
          <w:szCs w:val="20"/>
          <w:color w:val="auto"/>
        </w:rPr>
      </w:pPr>
    </w:p>
    <w:p>
      <w:pPr>
        <w:ind w:left="205"/>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9"/>
          <w:szCs w:val="19"/>
          <w:color w:val="auto"/>
        </w:rPr>
        <w:t>the consultant’s or advisor’s policies and procedures designed to prevent conflicts of interest;</w:t>
      </w:r>
    </w:p>
    <w:p>
      <w:pPr>
        <w:spacing w:after="0" w:line="138" w:lineRule="exact"/>
        <w:rPr>
          <w:sz w:val="20"/>
          <w:szCs w:val="20"/>
          <w:color w:val="auto"/>
        </w:rPr>
      </w:pPr>
    </w:p>
    <w:p>
      <w:pPr>
        <w:ind w:left="345" w:right="40" w:hanging="131"/>
        <w:spacing w:after="0" w:line="245" w:lineRule="auto"/>
        <w:rPr>
          <w:sz w:val="20"/>
          <w:szCs w:val="20"/>
          <w:color w:val="auto"/>
        </w:rPr>
      </w:pPr>
      <w:r>
        <w:rPr>
          <w:rFonts w:ascii="Arial" w:cs="Arial" w:eastAsia="Arial" w:hAnsi="Arial"/>
          <w:sz w:val="12"/>
          <w:szCs w:val="12"/>
          <w:color w:val="auto"/>
        </w:rPr>
        <w:t xml:space="preserve">– </w:t>
      </w:r>
      <w:r>
        <w:rPr>
          <w:rFonts w:ascii="Arial" w:cs="Arial" w:eastAsia="Arial" w:hAnsi="Arial"/>
          <w:sz w:val="19"/>
          <w:szCs w:val="19"/>
          <w:color w:val="auto"/>
        </w:rPr>
        <w:t>any business or personal relationships between the professionals engaged to advise our Compensation Committee and any</w:t>
      </w:r>
      <w:r>
        <w:rPr>
          <w:rFonts w:ascii="Arial" w:cs="Arial" w:eastAsia="Arial" w:hAnsi="Arial"/>
          <w:sz w:val="12"/>
          <w:szCs w:val="12"/>
          <w:color w:val="auto"/>
        </w:rPr>
        <w:t xml:space="preserve"> </w:t>
      </w:r>
      <w:r>
        <w:rPr>
          <w:rFonts w:ascii="Arial" w:cs="Arial" w:eastAsia="Arial" w:hAnsi="Arial"/>
          <w:sz w:val="19"/>
          <w:szCs w:val="19"/>
          <w:color w:val="auto"/>
        </w:rPr>
        <w:t>members of our Compensation Committee or our executive officers; and</w:t>
      </w:r>
    </w:p>
    <w:p>
      <w:pPr>
        <w:spacing w:after="0" w:line="124" w:lineRule="exact"/>
        <w:rPr>
          <w:sz w:val="20"/>
          <w:szCs w:val="20"/>
          <w:color w:val="auto"/>
        </w:rPr>
      </w:pPr>
    </w:p>
    <w:p>
      <w:pPr>
        <w:ind w:left="205"/>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9"/>
          <w:szCs w:val="19"/>
          <w:color w:val="auto"/>
        </w:rPr>
        <w:t>ownership of any Company stock by the professionals engaged to advise the Compensation Committee.</w:t>
      </w:r>
    </w:p>
    <w:p>
      <w:pPr>
        <w:spacing w:after="0" w:line="270" w:lineRule="exact"/>
        <w:rPr>
          <w:sz w:val="20"/>
          <w:szCs w:val="20"/>
          <w:color w:val="auto"/>
        </w:rPr>
      </w:pPr>
    </w:p>
    <w:p>
      <w:pPr>
        <w:ind w:left="5"/>
        <w:spacing w:after="0"/>
        <w:rPr>
          <w:sz w:val="20"/>
          <w:szCs w:val="20"/>
          <w:color w:val="auto"/>
        </w:rPr>
      </w:pPr>
      <w:r>
        <w:rPr>
          <w:rFonts w:ascii="Arial" w:cs="Arial" w:eastAsia="Arial" w:hAnsi="Arial"/>
          <w:sz w:val="20"/>
          <w:szCs w:val="20"/>
          <w:color w:val="auto"/>
        </w:rPr>
        <w:t>Role of the Consultant</w:t>
      </w:r>
    </w:p>
    <w:p>
      <w:pPr>
        <w:spacing w:after="0" w:line="149" w:lineRule="exact"/>
        <w:rPr>
          <w:sz w:val="20"/>
          <w:szCs w:val="20"/>
          <w:color w:val="auto"/>
        </w:rPr>
      </w:pPr>
    </w:p>
    <w:p>
      <w:pPr>
        <w:ind w:left="145" w:hanging="145"/>
        <w:spacing w:after="0"/>
        <w:tabs>
          <w:tab w:leader="none" w:pos="145" w:val="left"/>
        </w:tabs>
        <w:numPr>
          <w:ilvl w:val="0"/>
          <w:numId w:val="90"/>
        </w:numPr>
        <w:rPr>
          <w:rFonts w:ascii="Arial" w:cs="Arial" w:eastAsia="Arial" w:hAnsi="Arial"/>
          <w:sz w:val="19"/>
          <w:szCs w:val="19"/>
          <w:color w:val="125288"/>
        </w:rPr>
      </w:pPr>
      <w:r>
        <w:rPr>
          <w:rFonts w:ascii="Arial" w:cs="Arial" w:eastAsia="Arial" w:hAnsi="Arial"/>
          <w:sz w:val="19"/>
          <w:szCs w:val="19"/>
          <w:color w:val="auto"/>
        </w:rPr>
        <w:t>Reports directly to the Compensation Committee and regularly attends Compensation Committee meetings.</w:t>
      </w:r>
    </w:p>
    <w:p>
      <w:pPr>
        <w:spacing w:after="0" w:line="138"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90"/>
        </w:numPr>
        <w:rPr>
          <w:rFonts w:ascii="Arial" w:cs="Arial" w:eastAsia="Arial" w:hAnsi="Arial"/>
          <w:sz w:val="19"/>
          <w:szCs w:val="19"/>
          <w:color w:val="125288"/>
        </w:rPr>
      </w:pPr>
      <w:r>
        <w:rPr>
          <w:rFonts w:ascii="Arial" w:cs="Arial" w:eastAsia="Arial" w:hAnsi="Arial"/>
          <w:sz w:val="19"/>
          <w:szCs w:val="19"/>
          <w:color w:val="auto"/>
        </w:rPr>
        <w:t>Consults with the members of the Compensation Committee outside of formal committee meetings and without the participation of management, when requested by the committee.</w:t>
      </w:r>
    </w:p>
    <w:p>
      <w:pPr>
        <w:spacing w:after="0" w:line="124"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90"/>
        </w:numPr>
        <w:rPr>
          <w:rFonts w:ascii="Arial" w:cs="Arial" w:eastAsia="Arial" w:hAnsi="Arial"/>
          <w:sz w:val="19"/>
          <w:szCs w:val="19"/>
          <w:color w:val="125288"/>
        </w:rPr>
      </w:pPr>
      <w:r>
        <w:rPr>
          <w:rFonts w:ascii="Arial" w:cs="Arial" w:eastAsia="Arial" w:hAnsi="Arial"/>
          <w:sz w:val="19"/>
          <w:szCs w:val="19"/>
          <w:color w:val="auto"/>
        </w:rPr>
        <w:t>At the Compensation Committee’s direction, interacts with management to obtain the information the consultant deems necessary to form its recommendations to the committee.</w:t>
      </w:r>
    </w:p>
    <w:p>
      <w:pPr>
        <w:spacing w:after="0" w:line="124"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90"/>
        </w:numPr>
        <w:rPr>
          <w:rFonts w:ascii="Arial" w:cs="Arial" w:eastAsia="Arial" w:hAnsi="Arial"/>
          <w:sz w:val="19"/>
          <w:szCs w:val="19"/>
          <w:color w:val="125288"/>
        </w:rPr>
      </w:pPr>
      <w:r>
        <w:rPr>
          <w:rFonts w:ascii="Arial" w:cs="Arial" w:eastAsia="Arial" w:hAnsi="Arial"/>
          <w:sz w:val="19"/>
          <w:szCs w:val="19"/>
          <w:color w:val="auto"/>
        </w:rPr>
        <w:t>Provides the Compensation Committee advice on whether our executive and director compensation programs are market-competitive and otherwise appropriate.</w:t>
      </w:r>
    </w:p>
    <w:p>
      <w:pPr>
        <w:spacing w:after="0" w:line="124"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90"/>
        </w:numPr>
        <w:rPr>
          <w:rFonts w:ascii="Arial" w:cs="Arial" w:eastAsia="Arial" w:hAnsi="Arial"/>
          <w:sz w:val="19"/>
          <w:szCs w:val="19"/>
          <w:color w:val="125288"/>
        </w:rPr>
      </w:pPr>
      <w:r>
        <w:rPr>
          <w:rFonts w:ascii="Arial" w:cs="Arial" w:eastAsia="Arial" w:hAnsi="Arial"/>
          <w:sz w:val="19"/>
          <w:szCs w:val="19"/>
          <w:color w:val="auto"/>
        </w:rPr>
        <w:t>Presents third-party data and provides advice and expertise on director and executive compensation trends, pay programs and pay levels, and other emerging “best practices” relating to such compensation.</w:t>
      </w:r>
    </w:p>
    <w:p>
      <w:pPr>
        <w:spacing w:after="0" w:line="124"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90"/>
        </w:numPr>
        <w:rPr>
          <w:rFonts w:ascii="Arial" w:cs="Arial" w:eastAsia="Arial" w:hAnsi="Arial"/>
          <w:sz w:val="19"/>
          <w:szCs w:val="19"/>
          <w:color w:val="125288"/>
        </w:rPr>
      </w:pPr>
      <w:r>
        <w:rPr>
          <w:rFonts w:ascii="Arial" w:cs="Arial" w:eastAsia="Arial" w:hAnsi="Arial"/>
          <w:sz w:val="19"/>
          <w:szCs w:val="19"/>
          <w:color w:val="auto"/>
        </w:rPr>
        <w:t>Reviews recommendations provided by management to the Compensation Committee to ensure they are consistent with the Company’s principles with respect to director and executive compensation and reasonable vis-à-vis the Company’s peer group.</w:t>
      </w:r>
    </w:p>
    <w:p>
      <w:pPr>
        <w:spacing w:after="0" w:line="124" w:lineRule="exact"/>
        <w:rPr>
          <w:rFonts w:ascii="Arial" w:cs="Arial" w:eastAsia="Arial" w:hAnsi="Arial"/>
          <w:sz w:val="19"/>
          <w:szCs w:val="19"/>
          <w:color w:val="125288"/>
        </w:rPr>
      </w:pPr>
    </w:p>
    <w:p>
      <w:pPr>
        <w:ind w:left="145" w:hanging="145"/>
        <w:spacing w:after="0"/>
        <w:tabs>
          <w:tab w:leader="none" w:pos="145" w:val="left"/>
        </w:tabs>
        <w:numPr>
          <w:ilvl w:val="0"/>
          <w:numId w:val="90"/>
        </w:numPr>
        <w:rPr>
          <w:rFonts w:ascii="Arial" w:cs="Arial" w:eastAsia="Arial" w:hAnsi="Arial"/>
          <w:sz w:val="19"/>
          <w:szCs w:val="19"/>
          <w:color w:val="125288"/>
        </w:rPr>
      </w:pPr>
      <w:r>
        <w:rPr>
          <w:rFonts w:ascii="Arial" w:cs="Arial" w:eastAsia="Arial" w:hAnsi="Arial"/>
          <w:sz w:val="19"/>
          <w:szCs w:val="19"/>
          <w:color w:val="auto"/>
        </w:rPr>
        <w:t>Helps the Compensation Committee determine which companies should be included in the Company’s peer group.</w:t>
      </w:r>
    </w:p>
    <w:p>
      <w:pPr>
        <w:spacing w:after="0" w:line="138" w:lineRule="exact"/>
        <w:rPr>
          <w:sz w:val="20"/>
          <w:szCs w:val="20"/>
          <w:color w:val="auto"/>
        </w:rPr>
      </w:pPr>
    </w:p>
    <w:p>
      <w:pPr>
        <w:ind w:left="5" w:right="20"/>
        <w:spacing w:after="0" w:line="245" w:lineRule="auto"/>
        <w:rPr>
          <w:sz w:val="20"/>
          <w:szCs w:val="20"/>
          <w:color w:val="auto"/>
        </w:rPr>
      </w:pPr>
      <w:r>
        <w:rPr>
          <w:rFonts w:ascii="Arial" w:cs="Arial" w:eastAsia="Arial" w:hAnsi="Arial"/>
          <w:sz w:val="19"/>
          <w:szCs w:val="19"/>
          <w:color w:val="auto"/>
        </w:rPr>
        <w:t>Since October 2013, the Compensation Committee has retained Exequity as its independent compensation consultant. Our Compensation Committee has also retained Paul Hastings, as its legal advisor.</w:t>
      </w:r>
    </w:p>
    <w:p>
      <w:pPr>
        <w:spacing w:after="0" w:line="256" w:lineRule="exact"/>
        <w:rPr>
          <w:sz w:val="20"/>
          <w:szCs w:val="20"/>
          <w:color w:val="auto"/>
        </w:rPr>
      </w:pPr>
    </w:p>
    <w:p>
      <w:pPr>
        <w:ind w:left="5"/>
        <w:spacing w:after="0"/>
        <w:rPr>
          <w:sz w:val="20"/>
          <w:szCs w:val="20"/>
          <w:color w:val="auto"/>
        </w:rPr>
      </w:pPr>
      <w:r>
        <w:rPr>
          <w:rFonts w:ascii="Arial" w:cs="Arial" w:eastAsia="Arial" w:hAnsi="Arial"/>
          <w:sz w:val="20"/>
          <w:szCs w:val="20"/>
          <w:color w:val="125288"/>
        </w:rPr>
        <w:t>Executive Officers and Management</w:t>
      </w:r>
    </w:p>
    <w:p>
      <w:pPr>
        <w:spacing w:after="0" w:line="149" w:lineRule="exact"/>
        <w:rPr>
          <w:sz w:val="20"/>
          <w:szCs w:val="20"/>
          <w:color w:val="auto"/>
        </w:rPr>
      </w:pPr>
    </w:p>
    <w:p>
      <w:pPr>
        <w:ind w:left="5"/>
        <w:spacing w:after="0"/>
        <w:rPr>
          <w:sz w:val="20"/>
          <w:szCs w:val="20"/>
          <w:color w:val="auto"/>
        </w:rPr>
      </w:pPr>
      <w:r>
        <w:rPr>
          <w:rFonts w:ascii="Arial" w:cs="Arial" w:eastAsia="Arial" w:hAnsi="Arial"/>
          <w:sz w:val="19"/>
          <w:szCs w:val="19"/>
          <w:color w:val="auto"/>
        </w:rPr>
        <w:t>Our named executive officers and our Chief People Officer:</w:t>
      </w:r>
    </w:p>
    <w:p>
      <w:pPr>
        <w:spacing w:after="0" w:line="269" w:lineRule="exact"/>
        <w:rPr>
          <w:sz w:val="20"/>
          <w:szCs w:val="20"/>
          <w:color w:val="auto"/>
        </w:rPr>
      </w:pPr>
    </w:p>
    <w:p>
      <w:pPr>
        <w:ind w:left="145" w:hanging="145"/>
        <w:spacing w:after="0"/>
        <w:tabs>
          <w:tab w:leader="none" w:pos="145" w:val="left"/>
        </w:tabs>
        <w:numPr>
          <w:ilvl w:val="0"/>
          <w:numId w:val="91"/>
        </w:numPr>
        <w:rPr>
          <w:rFonts w:ascii="Arial" w:cs="Arial" w:eastAsia="Arial" w:hAnsi="Arial"/>
          <w:sz w:val="19"/>
          <w:szCs w:val="19"/>
          <w:color w:val="125288"/>
        </w:rPr>
      </w:pPr>
      <w:r>
        <w:rPr>
          <w:rFonts w:ascii="Arial" w:cs="Arial" w:eastAsia="Arial" w:hAnsi="Arial"/>
          <w:sz w:val="19"/>
          <w:szCs w:val="19"/>
          <w:color w:val="auto"/>
        </w:rPr>
        <w:t>Advise the Compensation Committee with respect to our business strategies and operational priorities and plans.</w:t>
      </w:r>
    </w:p>
    <w:p>
      <w:pPr>
        <w:spacing w:after="0" w:line="138"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91"/>
        </w:numPr>
        <w:rPr>
          <w:rFonts w:ascii="Arial" w:cs="Arial" w:eastAsia="Arial" w:hAnsi="Arial"/>
          <w:sz w:val="19"/>
          <w:szCs w:val="19"/>
          <w:color w:val="125288"/>
        </w:rPr>
      </w:pPr>
      <w:r>
        <w:rPr>
          <w:rFonts w:ascii="Arial" w:cs="Arial" w:eastAsia="Arial" w:hAnsi="Arial"/>
          <w:sz w:val="19"/>
          <w:szCs w:val="19"/>
          <w:color w:val="auto"/>
        </w:rPr>
        <w:t>Make recommendations to the Compensation Committee on the Company’s compensation practices, including with respect to incentive awards and the individual performance of our executives, as well as pay equity.</w:t>
      </w:r>
    </w:p>
    <w:p>
      <w:pPr>
        <w:spacing w:after="0" w:line="124" w:lineRule="exact"/>
        <w:rPr>
          <w:rFonts w:ascii="Arial" w:cs="Arial" w:eastAsia="Arial" w:hAnsi="Arial"/>
          <w:sz w:val="19"/>
          <w:szCs w:val="19"/>
          <w:color w:val="125288"/>
        </w:rPr>
      </w:pPr>
    </w:p>
    <w:p>
      <w:pPr>
        <w:ind w:left="145" w:hanging="145"/>
        <w:spacing w:after="0"/>
        <w:tabs>
          <w:tab w:leader="none" w:pos="145" w:val="left"/>
        </w:tabs>
        <w:numPr>
          <w:ilvl w:val="0"/>
          <w:numId w:val="91"/>
        </w:numPr>
        <w:rPr>
          <w:rFonts w:ascii="Arial" w:cs="Arial" w:eastAsia="Arial" w:hAnsi="Arial"/>
          <w:sz w:val="19"/>
          <w:szCs w:val="19"/>
          <w:color w:val="125288"/>
        </w:rPr>
      </w:pPr>
      <w:r>
        <w:rPr>
          <w:rFonts w:ascii="Arial" w:cs="Arial" w:eastAsia="Arial" w:hAnsi="Arial"/>
          <w:sz w:val="19"/>
          <w:szCs w:val="19"/>
          <w:color w:val="auto"/>
        </w:rPr>
        <w:t>Monitor the Company’s peer group and trends in the market.</w:t>
      </w:r>
    </w:p>
    <w:p>
      <w:pPr>
        <w:spacing w:after="0" w:line="138" w:lineRule="exact"/>
        <w:rPr>
          <w:rFonts w:ascii="Arial" w:cs="Arial" w:eastAsia="Arial" w:hAnsi="Arial"/>
          <w:sz w:val="19"/>
          <w:szCs w:val="19"/>
          <w:color w:val="125288"/>
        </w:rPr>
      </w:pPr>
    </w:p>
    <w:p>
      <w:pPr>
        <w:ind w:left="145" w:hanging="145"/>
        <w:spacing w:after="0"/>
        <w:tabs>
          <w:tab w:leader="none" w:pos="145" w:val="left"/>
        </w:tabs>
        <w:numPr>
          <w:ilvl w:val="0"/>
          <w:numId w:val="91"/>
        </w:numPr>
        <w:rPr>
          <w:rFonts w:ascii="Arial" w:cs="Arial" w:eastAsia="Arial" w:hAnsi="Arial"/>
          <w:sz w:val="19"/>
          <w:szCs w:val="19"/>
          <w:color w:val="125288"/>
        </w:rPr>
      </w:pPr>
      <w:r>
        <w:rPr>
          <w:rFonts w:ascii="Arial" w:cs="Arial" w:eastAsia="Arial" w:hAnsi="Arial"/>
          <w:sz w:val="19"/>
          <w:szCs w:val="19"/>
          <w:color w:val="auto"/>
        </w:rPr>
        <w:t>Support the development of the materials for each Compensation Committee meeting.</w:t>
      </w:r>
    </w:p>
    <w:p>
      <w:pPr>
        <w:spacing w:after="0" w:line="138" w:lineRule="exact"/>
        <w:rPr>
          <w:sz w:val="20"/>
          <w:szCs w:val="20"/>
          <w:color w:val="auto"/>
        </w:rPr>
      </w:pPr>
    </w:p>
    <w:p>
      <w:pPr>
        <w:jc w:val="both"/>
        <w:ind w:left="5" w:right="20"/>
        <w:spacing w:after="0" w:line="245" w:lineRule="auto"/>
        <w:rPr>
          <w:sz w:val="20"/>
          <w:szCs w:val="20"/>
          <w:color w:val="auto"/>
        </w:rPr>
      </w:pPr>
      <w:r>
        <w:rPr>
          <w:rFonts w:ascii="Arial" w:cs="Arial" w:eastAsia="Arial" w:hAnsi="Arial"/>
          <w:sz w:val="19"/>
          <w:szCs w:val="19"/>
          <w:color w:val="auto"/>
        </w:rPr>
        <w:t>Our CEO reviews the performance of the Company’s executive officers (other than themself) and provides recommendations to the Compensation Committee with respect to compensation of those officers.</w:t>
      </w:r>
    </w:p>
    <w:p>
      <w:pPr>
        <w:spacing w:after="0" w:line="255" w:lineRule="exact"/>
        <w:rPr>
          <w:sz w:val="20"/>
          <w:szCs w:val="20"/>
          <w:color w:val="auto"/>
        </w:rPr>
      </w:pPr>
    </w:p>
    <w:p>
      <w:pPr>
        <w:jc w:val="both"/>
        <w:ind w:left="5" w:right="20"/>
        <w:spacing w:after="0"/>
        <w:rPr>
          <w:sz w:val="20"/>
          <w:szCs w:val="20"/>
          <w:color w:val="auto"/>
        </w:rPr>
      </w:pPr>
      <w:r>
        <w:rPr>
          <w:rFonts w:ascii="Arial" w:cs="Arial" w:eastAsia="Arial" w:hAnsi="Arial"/>
          <w:sz w:val="19"/>
          <w:szCs w:val="19"/>
          <w:color w:val="auto"/>
        </w:rPr>
        <w:t>No member of management has a direct role in determining their own compensation. Further, decisions pertaining to the compensation of our Chief Executive Officer are reviewed and discussed by the Compensation Committee in executive session, without the presence of the Chief Executive Officer or any other member of management.</w:t>
      </w:r>
    </w:p>
    <w:p>
      <w:pPr>
        <w:spacing w:after="0" w:line="154" w:lineRule="exact"/>
        <w:rPr>
          <w:sz w:val="20"/>
          <w:szCs w:val="20"/>
          <w:color w:val="auto"/>
        </w:rPr>
      </w:pPr>
    </w:p>
    <w:p>
      <w:pPr>
        <w:ind w:left="5"/>
        <w:spacing w:after="0"/>
        <w:tabs>
          <w:tab w:leader="none" w:pos="7364" w:val="left"/>
          <w:tab w:leader="none" w:pos="9384" w:val="left"/>
          <w:tab w:leader="none" w:pos="1108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bookmarkStart w:id="73" w:name="page74"/>
    <w:bookmarkEnd w:id="73"/>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Compensation Policies that Mitigate Risk</w:t>
      </w:r>
    </w:p>
    <w:p>
      <w:pPr>
        <w:spacing w:after="0" w:line="142"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We have adopted policies that are intended to either align our executives’ long-term interests with those of our shareholders or to provide the Company with certain protections.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125288"/>
        </w:rPr>
        <w:t>Clawback Policy</w:t>
      </w: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color w:val="auto"/>
        </w:rPr>
        <w:t>Activision Blizzard has maintained a “clawback policy” for over a decade. In the event of an earnings restatement due to the</w:t>
      </w:r>
    </w:p>
    <w:p>
      <w:pPr>
        <w:spacing w:after="0" w:line="235" w:lineRule="auto"/>
        <w:rPr>
          <w:sz w:val="20"/>
          <w:szCs w:val="20"/>
          <w:color w:val="auto"/>
        </w:rPr>
      </w:pPr>
      <w:r>
        <w:rPr>
          <w:rFonts w:ascii="Arial" w:cs="Arial" w:eastAsia="Arial" w:hAnsi="Arial"/>
          <w:sz w:val="19"/>
          <w:szCs w:val="19"/>
          <w:color w:val="auto"/>
        </w:rPr>
        <w:t>misconduct of an executive officer, the Company may seek to recover performance-based compensation paid or awarded to that</w:t>
      </w:r>
    </w:p>
    <w:p>
      <w:pPr>
        <w:spacing w:after="0" w:line="235" w:lineRule="auto"/>
        <w:rPr>
          <w:sz w:val="20"/>
          <w:szCs w:val="20"/>
          <w:color w:val="auto"/>
        </w:rPr>
      </w:pPr>
      <w:r>
        <w:rPr>
          <w:rFonts w:ascii="Arial" w:cs="Arial" w:eastAsia="Arial" w:hAnsi="Arial"/>
          <w:sz w:val="19"/>
          <w:szCs w:val="19"/>
          <w:color w:val="auto"/>
        </w:rPr>
        <w:t>executive. The policy covers both short-term compensation under the CAIP and long-term incentive awards (e.g., equity awards), and</w:t>
      </w:r>
    </w:p>
    <w:p>
      <w:pPr>
        <w:spacing w:after="0" w:line="235" w:lineRule="auto"/>
        <w:rPr>
          <w:sz w:val="20"/>
          <w:szCs w:val="20"/>
          <w:color w:val="auto"/>
        </w:rPr>
      </w:pPr>
      <w:r>
        <w:rPr>
          <w:rFonts w:ascii="Arial" w:cs="Arial" w:eastAsia="Arial" w:hAnsi="Arial"/>
          <w:sz w:val="19"/>
          <w:szCs w:val="19"/>
          <w:color w:val="auto"/>
        </w:rPr>
        <w:t>applies to any Section 16 officer. The full “Policy on Recoupment of Performance-Based Compensation” can be found on our website</w:t>
      </w:r>
    </w:p>
    <w:p>
      <w:pPr>
        <w:spacing w:after="0" w:line="235" w:lineRule="auto"/>
        <w:rPr>
          <w:sz w:val="20"/>
          <w:szCs w:val="20"/>
          <w:color w:val="auto"/>
        </w:rPr>
      </w:pPr>
      <w:r>
        <w:rPr>
          <w:rFonts w:ascii="Arial" w:cs="Arial" w:eastAsia="Arial" w:hAnsi="Arial"/>
          <w:sz w:val="19"/>
          <w:szCs w:val="19"/>
          <w:color w:val="auto"/>
        </w:rPr>
        <w:t>at</w:t>
      </w:r>
    </w:p>
    <w:p>
      <w:pPr>
        <w:spacing w:after="0"/>
        <w:rPr>
          <w:sz w:val="20"/>
          <w:szCs w:val="20"/>
          <w:color w:val="auto"/>
        </w:rPr>
      </w:pPr>
      <w:r>
        <w:rPr>
          <w:rFonts w:ascii="Arial" w:cs="Arial" w:eastAsia="Arial" w:hAnsi="Arial"/>
          <w:sz w:val="19"/>
          <w:szCs w:val="19"/>
          <w:color w:val="auto"/>
        </w:rPr>
        <w:t>http://investor.activision.com/corporate-governance.cfm.</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125288"/>
        </w:rPr>
        <w:t>Executive Stock Ownership Guidelines</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9"/>
          <w:szCs w:val="19"/>
          <w:color w:val="auto"/>
        </w:rPr>
        <w:t>We believe that every executive officer should maintain a meaningful ownership stake in the Company. To that end, Activision Blizzard has long imposed stock ownership guidelines to further align the interests of our officers with those of our shareholders. The Executive Stock Ownership Guidelines can be found on our website at http://investor.activision.com/corporate-governance.cfm.</w:t>
      </w:r>
    </w:p>
    <w:p>
      <w:pPr>
        <w:spacing w:after="0" w:line="260"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The Chief Executive Officer is required to beneficially own Company stock with a value at least equal to 50 times his then-current base salary. All other executive officers, as well as the President of each of Activision Publishing, Blizzard, and King, are required to beneficially own shares of our Common Stock with a value at least equal to their then-current annual base salary. We do not include restricted stock or restricted stock units in determining compliance with these requirements.</w:t>
      </w:r>
    </w:p>
    <w:p>
      <w:pPr>
        <w:spacing w:after="0" w:line="263"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The individuals subject to these guidelines are expected to accumulate the required stock by the fifth anniversary of the date they became an executive officer. If any such person does not satisfy these guidelines by the end of the five-year period, then, until they satisfy the guidelines, they will be required to hold 50% of the net shares received upon exercise of stock options or upon the vesting of restricted share unit awards received (provided such shares received are under equity awards made after the adoption of the ownership guidelines and that such awards are, per their terms, explicitly subject to them).</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As of April 1, 2022, each person who, as of that date, had been subject to the guidelines for five or more years, satisfied them.</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125288"/>
        </w:rPr>
        <w:t>Anti-Hedging Policy</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We prohibit our directors and employees (including executives) from directly or indirectly “shorting” our securities, engaging in “put” or “call” or other “hedging” transactions involving our stock, or establishing or using a margin account with a broker-dealer to trade our securities. This restriction extends to any entity over which any employee or immediate family member sharing the same household of any employee has or shares voting or investment control.</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125288"/>
        </w:rPr>
        <w:t>Anti-Pledging Policy</w:t>
      </w:r>
    </w:p>
    <w:p>
      <w:pPr>
        <w:spacing w:after="0" w:line="149"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We prohibit our directors, NEOs and other Section 16 officers, and the President of each of Activision Publishing, Blizzard, and King from pledging Company securities as collateral for any type of loan.</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125288"/>
        </w:rPr>
        <w:t>Incentive Design</w:t>
      </w:r>
    </w:p>
    <w:p>
      <w:pPr>
        <w:spacing w:after="0" w:line="149"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See “Corporate Governance Matters—Our Board’s Role in Risk Oversight—Compensation Risk Management” for the features of our incentive compensation plans that help mitigate risk.</w:t>
      </w:r>
    </w:p>
    <w:p>
      <w:pPr>
        <w:spacing w:after="0" w:line="150"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74" w:name="page75"/>
    <w:bookmarkEnd w:id="74"/>
    <w:p>
      <w:pPr>
        <w:ind w:left="5"/>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10" w:lineRule="exact"/>
        <w:rPr>
          <w:sz w:val="20"/>
          <w:szCs w:val="20"/>
          <w:color w:val="auto"/>
        </w:rPr>
      </w:pPr>
    </w:p>
    <w:p>
      <w:pPr>
        <w:ind w:left="5"/>
        <w:spacing w:after="0"/>
        <w:rPr>
          <w:sz w:val="20"/>
          <w:szCs w:val="20"/>
          <w:color w:val="auto"/>
        </w:rPr>
      </w:pPr>
      <w:r>
        <w:rPr>
          <w:rFonts w:ascii="Arial" w:cs="Arial" w:eastAsia="Arial" w:hAnsi="Arial"/>
          <w:sz w:val="26"/>
          <w:szCs w:val="26"/>
          <w:b w:val="1"/>
          <w:bCs w:val="1"/>
          <w:color w:val="auto"/>
        </w:rPr>
        <w:t>ELEMENTS OF OUR EXECUTIVE COMPENSATION PROGRAM FOR 2021</w:t>
      </w:r>
    </w:p>
    <w:p>
      <w:pPr>
        <w:spacing w:after="0" w:line="309" w:lineRule="exact"/>
        <w:rPr>
          <w:sz w:val="20"/>
          <w:szCs w:val="20"/>
          <w:color w:val="auto"/>
        </w:rPr>
      </w:pPr>
    </w:p>
    <w:p>
      <w:pPr>
        <w:jc w:val="both"/>
        <w:ind w:left="5" w:right="20"/>
        <w:spacing w:after="0"/>
        <w:rPr>
          <w:sz w:val="20"/>
          <w:szCs w:val="20"/>
          <w:color w:val="auto"/>
        </w:rPr>
      </w:pPr>
      <w:r>
        <w:rPr>
          <w:rFonts w:ascii="Arial" w:cs="Arial" w:eastAsia="Arial" w:hAnsi="Arial"/>
          <w:sz w:val="19"/>
          <w:szCs w:val="19"/>
          <w:color w:val="auto"/>
        </w:rPr>
        <w:t>The primary elements of our executive compensation program and their purposes are described below. Not all elements are applicable to all NEOs. We aim to incentivize our executives to drive corporate financial and operational performance by basing a significant portion of their compensation on the achievement of financial and strategic objectives.</w:t>
      </w:r>
    </w:p>
    <w:p>
      <w:pPr>
        <w:spacing w:after="0" w:line="234" w:lineRule="exact"/>
        <w:rPr>
          <w:sz w:val="20"/>
          <w:szCs w:val="20"/>
          <w:color w:val="auto"/>
        </w:rPr>
      </w:pPr>
    </w:p>
    <w:p>
      <w:pPr>
        <w:ind w:left="5"/>
        <w:spacing w:after="0"/>
        <w:rPr>
          <w:sz w:val="20"/>
          <w:szCs w:val="20"/>
          <w:color w:val="auto"/>
        </w:rPr>
      </w:pPr>
      <w:r>
        <w:rPr>
          <w:rFonts w:ascii="Arial" w:cs="Arial" w:eastAsia="Arial" w:hAnsi="Arial"/>
          <w:sz w:val="24"/>
          <w:szCs w:val="24"/>
          <w:b w:val="1"/>
          <w:bCs w:val="1"/>
          <w:color w:val="auto"/>
        </w:rPr>
        <w:t>Base Salary</w:t>
      </w:r>
    </w:p>
    <w:p>
      <w:pPr>
        <w:spacing w:after="0" w:line="142" w:lineRule="exact"/>
        <w:rPr>
          <w:sz w:val="20"/>
          <w:szCs w:val="20"/>
          <w:color w:val="auto"/>
        </w:rPr>
      </w:pPr>
    </w:p>
    <w:p>
      <w:pPr>
        <w:jc w:val="both"/>
        <w:ind w:left="5" w:right="20"/>
        <w:spacing w:after="0" w:line="238" w:lineRule="auto"/>
        <w:rPr>
          <w:sz w:val="20"/>
          <w:szCs w:val="20"/>
          <w:color w:val="auto"/>
        </w:rPr>
      </w:pPr>
      <w:r>
        <w:rPr>
          <w:rFonts w:ascii="Arial" w:cs="Arial" w:eastAsia="Arial" w:hAnsi="Arial"/>
          <w:sz w:val="19"/>
          <w:szCs w:val="19"/>
          <w:color w:val="auto"/>
        </w:rPr>
        <w:t>In establishing the annual base salary rate for an executive officer, the Compensation Committee considers the individual’s role, performance, and annualized total compensation opportunities; salaries paid to the executive’s peers within the Company; and the total compensation opportunities of executives in comparable positions or with similar responsibilities at other companies by reference to data from our peer group and published surveys. For information about our peer group, see “—How We Make Decisions About Executive Compensation—How We Use Peer Company Data and Compensation Surveys” above.</w:t>
      </w:r>
    </w:p>
    <w:p>
      <w:pPr>
        <w:spacing w:after="0" w:line="260" w:lineRule="exact"/>
        <w:rPr>
          <w:sz w:val="20"/>
          <w:szCs w:val="20"/>
          <w:color w:val="auto"/>
        </w:rPr>
      </w:pPr>
    </w:p>
    <w:p>
      <w:pPr>
        <w:jc w:val="both"/>
        <w:ind w:left="5" w:right="20"/>
        <w:spacing w:after="0" w:line="245" w:lineRule="auto"/>
        <w:rPr>
          <w:sz w:val="20"/>
          <w:szCs w:val="20"/>
          <w:color w:val="auto"/>
        </w:rPr>
      </w:pPr>
      <w:r>
        <w:rPr>
          <w:rFonts w:ascii="Arial" w:cs="Arial" w:eastAsia="Arial" w:hAnsi="Arial"/>
          <w:sz w:val="19"/>
          <w:szCs w:val="19"/>
          <w:color w:val="auto"/>
        </w:rPr>
        <w:t>None of our NEOs are contractually entitled to salary increases (see “—Employment Agreements” below). Executive officers generally receive salary increases only:</w:t>
      </w:r>
    </w:p>
    <w:p>
      <w:pPr>
        <w:spacing w:after="0" w:line="255" w:lineRule="exact"/>
        <w:rPr>
          <w:sz w:val="20"/>
          <w:szCs w:val="20"/>
          <w:color w:val="auto"/>
        </w:rPr>
      </w:pPr>
    </w:p>
    <w:p>
      <w:pPr>
        <w:ind w:left="145" w:hanging="145"/>
        <w:spacing w:after="0"/>
        <w:tabs>
          <w:tab w:leader="none" w:pos="145" w:val="left"/>
        </w:tabs>
        <w:numPr>
          <w:ilvl w:val="0"/>
          <w:numId w:val="92"/>
        </w:numPr>
        <w:rPr>
          <w:rFonts w:ascii="Arial" w:cs="Arial" w:eastAsia="Arial" w:hAnsi="Arial"/>
          <w:sz w:val="19"/>
          <w:szCs w:val="19"/>
          <w:color w:val="125288"/>
        </w:rPr>
      </w:pPr>
      <w:r>
        <w:rPr>
          <w:rFonts w:ascii="Arial" w:cs="Arial" w:eastAsia="Arial" w:hAnsi="Arial"/>
          <w:sz w:val="19"/>
          <w:szCs w:val="19"/>
          <w:color w:val="auto"/>
        </w:rPr>
        <w:t>when they enter into a new or revised employment agreement with the Company or one of its subsidiaries; or</w:t>
      </w:r>
    </w:p>
    <w:p>
      <w:pPr>
        <w:spacing w:after="0" w:line="138" w:lineRule="exact"/>
        <w:rPr>
          <w:rFonts w:ascii="Arial" w:cs="Arial" w:eastAsia="Arial" w:hAnsi="Arial"/>
          <w:sz w:val="19"/>
          <w:szCs w:val="19"/>
          <w:color w:val="125288"/>
        </w:rPr>
      </w:pPr>
    </w:p>
    <w:p>
      <w:pPr>
        <w:ind w:left="145" w:hanging="145"/>
        <w:spacing w:after="0"/>
        <w:tabs>
          <w:tab w:leader="none" w:pos="145" w:val="left"/>
        </w:tabs>
        <w:numPr>
          <w:ilvl w:val="0"/>
          <w:numId w:val="92"/>
        </w:numPr>
        <w:rPr>
          <w:rFonts w:ascii="Arial" w:cs="Arial" w:eastAsia="Arial" w:hAnsi="Arial"/>
          <w:sz w:val="19"/>
          <w:szCs w:val="19"/>
          <w:color w:val="125288"/>
        </w:rPr>
      </w:pPr>
      <w:r>
        <w:rPr>
          <w:rFonts w:ascii="Arial" w:cs="Arial" w:eastAsia="Arial" w:hAnsi="Arial"/>
          <w:sz w:val="19"/>
          <w:szCs w:val="19"/>
          <w:color w:val="auto"/>
        </w:rPr>
        <w:t>in connection with our annual review of executive base salaries.</w:t>
      </w:r>
    </w:p>
    <w:p>
      <w:pPr>
        <w:spacing w:after="0" w:line="138"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 table below reflects the annual base salary rates since January 1, 2021, along with any other adjustments since that time:</w:t>
      </w:r>
    </w:p>
    <w:p>
      <w:pPr>
        <w:spacing w:after="0" w:line="283" w:lineRule="exact"/>
        <w:rPr>
          <w:sz w:val="20"/>
          <w:szCs w:val="20"/>
          <w:color w:val="auto"/>
        </w:rPr>
      </w:pPr>
    </w:p>
    <w:tbl>
      <w:tblPr>
        <w:tblLayout w:type="fixed"/>
        <w:tblInd w:w="5" w:type="dxa"/>
        <w:tblCellMar>
          <w:top w:w="0" w:type="dxa"/>
          <w:left w:w="0" w:type="dxa"/>
          <w:bottom w:w="0" w:type="dxa"/>
          <w:right w:w="0" w:type="dxa"/>
        </w:tblCellMar>
      </w:tblPr>
      <w:tr>
        <w:trPr>
          <w:trHeight w:val="204"/>
        </w:trPr>
        <w:tc>
          <w:tcPr>
            <w:tcW w:w="18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60" w:type="dxa"/>
            <w:vAlign w:val="bottom"/>
          </w:tcPr>
          <w:p>
            <w:pPr>
              <w:jc w:val="right"/>
              <w:ind w:right="201"/>
              <w:spacing w:after="0"/>
              <w:rPr>
                <w:sz w:val="20"/>
                <w:szCs w:val="20"/>
                <w:color w:val="auto"/>
              </w:rPr>
            </w:pPr>
            <w:r>
              <w:rPr>
                <w:rFonts w:ascii="Arial" w:cs="Arial" w:eastAsia="Arial" w:hAnsi="Arial"/>
                <w:sz w:val="15"/>
                <w:szCs w:val="15"/>
                <w:b w:val="1"/>
                <w:bCs w:val="1"/>
                <w:color w:val="125288"/>
              </w:rPr>
              <w:t>Salary rate</w:t>
            </w:r>
          </w:p>
        </w:tc>
      </w:tr>
      <w:tr>
        <w:trPr>
          <w:trHeight w:val="214"/>
        </w:trPr>
        <w:tc>
          <w:tcPr>
            <w:tcW w:w="1860" w:type="dxa"/>
            <w:vAlign w:val="bottom"/>
          </w:tcPr>
          <w:p>
            <w:pPr>
              <w:spacing w:after="0"/>
              <w:rPr>
                <w:sz w:val="18"/>
                <w:szCs w:val="18"/>
                <w:color w:val="auto"/>
              </w:rPr>
            </w:pPr>
          </w:p>
        </w:tc>
        <w:tc>
          <w:tcPr>
            <w:tcW w:w="2440" w:type="dxa"/>
            <w:vAlign w:val="bottom"/>
          </w:tcPr>
          <w:p>
            <w:pPr>
              <w:jc w:val="right"/>
              <w:ind w:right="399"/>
              <w:spacing w:after="0"/>
              <w:rPr>
                <w:sz w:val="20"/>
                <w:szCs w:val="20"/>
                <w:color w:val="auto"/>
              </w:rPr>
            </w:pPr>
            <w:r>
              <w:rPr>
                <w:rFonts w:ascii="Arial" w:cs="Arial" w:eastAsia="Arial" w:hAnsi="Arial"/>
                <w:sz w:val="15"/>
                <w:szCs w:val="15"/>
                <w:b w:val="1"/>
                <w:bCs w:val="1"/>
                <w:color w:val="125288"/>
              </w:rPr>
              <w:t>Salary at</w:t>
            </w:r>
          </w:p>
        </w:tc>
        <w:tc>
          <w:tcPr>
            <w:tcW w:w="1740" w:type="dxa"/>
            <w:vAlign w:val="bottom"/>
          </w:tcPr>
          <w:p>
            <w:pPr>
              <w:spacing w:after="0"/>
              <w:rPr>
                <w:sz w:val="18"/>
                <w:szCs w:val="18"/>
                <w:color w:val="auto"/>
              </w:rPr>
            </w:pPr>
          </w:p>
        </w:tc>
        <w:tc>
          <w:tcPr>
            <w:tcW w:w="1720" w:type="dxa"/>
            <w:vAlign w:val="bottom"/>
          </w:tcPr>
          <w:p>
            <w:pPr>
              <w:jc w:val="right"/>
              <w:ind w:right="400"/>
              <w:spacing w:after="0"/>
              <w:rPr>
                <w:sz w:val="20"/>
                <w:szCs w:val="20"/>
                <w:color w:val="auto"/>
              </w:rPr>
            </w:pPr>
            <w:r>
              <w:rPr>
                <w:rFonts w:ascii="Arial" w:cs="Arial" w:eastAsia="Arial" w:hAnsi="Arial"/>
                <w:sz w:val="15"/>
                <w:szCs w:val="15"/>
                <w:b w:val="1"/>
                <w:bCs w:val="1"/>
                <w:color w:val="125288"/>
              </w:rPr>
              <w:t>Salary at end</w:t>
            </w:r>
          </w:p>
        </w:tc>
        <w:tc>
          <w:tcPr>
            <w:tcW w:w="1840" w:type="dxa"/>
            <w:vAlign w:val="bottom"/>
          </w:tcPr>
          <w:p>
            <w:pPr>
              <w:jc w:val="right"/>
              <w:ind w:right="360"/>
              <w:spacing w:after="0"/>
              <w:rPr>
                <w:sz w:val="20"/>
                <w:szCs w:val="20"/>
                <w:color w:val="auto"/>
              </w:rPr>
            </w:pPr>
            <w:r>
              <w:rPr>
                <w:rFonts w:ascii="Arial" w:cs="Arial" w:eastAsia="Arial" w:hAnsi="Arial"/>
                <w:sz w:val="15"/>
                <w:szCs w:val="15"/>
                <w:b w:val="1"/>
                <w:bCs w:val="1"/>
                <w:color w:val="125288"/>
              </w:rPr>
              <w:t>Changes to</w:t>
            </w:r>
          </w:p>
        </w:tc>
        <w:tc>
          <w:tcPr>
            <w:tcW w:w="1660" w:type="dxa"/>
            <w:vAlign w:val="bottom"/>
          </w:tcPr>
          <w:p>
            <w:pPr>
              <w:jc w:val="right"/>
              <w:ind w:right="201"/>
              <w:spacing w:after="0"/>
              <w:rPr>
                <w:sz w:val="20"/>
                <w:szCs w:val="20"/>
                <w:color w:val="auto"/>
              </w:rPr>
            </w:pPr>
            <w:r>
              <w:rPr>
                <w:rFonts w:ascii="Arial" w:cs="Arial" w:eastAsia="Arial" w:hAnsi="Arial"/>
                <w:sz w:val="15"/>
                <w:szCs w:val="15"/>
                <w:b w:val="1"/>
                <w:bCs w:val="1"/>
                <w:color w:val="125288"/>
              </w:rPr>
              <w:t>effective</w:t>
            </w:r>
          </w:p>
        </w:tc>
      </w:tr>
      <w:tr>
        <w:trPr>
          <w:trHeight w:val="214"/>
        </w:trPr>
        <w:tc>
          <w:tcPr>
            <w:tcW w:w="1860" w:type="dxa"/>
            <w:vAlign w:val="bottom"/>
          </w:tcPr>
          <w:p>
            <w:pPr>
              <w:spacing w:after="0"/>
              <w:rPr>
                <w:sz w:val="18"/>
                <w:szCs w:val="18"/>
                <w:color w:val="auto"/>
              </w:rPr>
            </w:pPr>
          </w:p>
        </w:tc>
        <w:tc>
          <w:tcPr>
            <w:tcW w:w="2440" w:type="dxa"/>
            <w:vAlign w:val="bottom"/>
          </w:tcPr>
          <w:p>
            <w:pPr>
              <w:jc w:val="right"/>
              <w:ind w:right="339"/>
              <w:spacing w:after="0"/>
              <w:rPr>
                <w:sz w:val="20"/>
                <w:szCs w:val="20"/>
                <w:color w:val="auto"/>
              </w:rPr>
            </w:pPr>
            <w:r>
              <w:rPr>
                <w:rFonts w:ascii="Arial" w:cs="Arial" w:eastAsia="Arial" w:hAnsi="Arial"/>
                <w:sz w:val="15"/>
                <w:szCs w:val="15"/>
                <w:b w:val="1"/>
                <w:bCs w:val="1"/>
                <w:color w:val="125288"/>
              </w:rPr>
              <w:t>beginning of 2021</w:t>
            </w:r>
          </w:p>
        </w:tc>
        <w:tc>
          <w:tcPr>
            <w:tcW w:w="1740" w:type="dxa"/>
            <w:vAlign w:val="bottom"/>
          </w:tcPr>
          <w:p>
            <w:pPr>
              <w:jc w:val="right"/>
              <w:ind w:right="403"/>
              <w:spacing w:after="0"/>
              <w:rPr>
                <w:sz w:val="20"/>
                <w:szCs w:val="20"/>
                <w:color w:val="auto"/>
              </w:rPr>
            </w:pPr>
            <w:r>
              <w:rPr>
                <w:rFonts w:ascii="Arial" w:cs="Arial" w:eastAsia="Arial" w:hAnsi="Arial"/>
                <w:sz w:val="15"/>
                <w:szCs w:val="15"/>
                <w:b w:val="1"/>
                <w:bCs w:val="1"/>
                <w:color w:val="125288"/>
              </w:rPr>
              <w:t>Changes</w:t>
            </w:r>
          </w:p>
        </w:tc>
        <w:tc>
          <w:tcPr>
            <w:tcW w:w="1720" w:type="dxa"/>
            <w:vAlign w:val="bottom"/>
          </w:tcPr>
          <w:p>
            <w:pPr>
              <w:jc w:val="right"/>
              <w:ind w:right="360"/>
              <w:spacing w:after="0"/>
              <w:rPr>
                <w:sz w:val="20"/>
                <w:szCs w:val="20"/>
                <w:color w:val="auto"/>
              </w:rPr>
            </w:pPr>
            <w:r>
              <w:rPr>
                <w:rFonts w:ascii="Arial" w:cs="Arial" w:eastAsia="Arial" w:hAnsi="Arial"/>
                <w:sz w:val="15"/>
                <w:szCs w:val="15"/>
                <w:b w:val="1"/>
                <w:bCs w:val="1"/>
                <w:color w:val="125288"/>
              </w:rPr>
              <w:t>of 2021</w:t>
            </w:r>
          </w:p>
        </w:tc>
        <w:tc>
          <w:tcPr>
            <w:tcW w:w="1840" w:type="dxa"/>
            <w:vAlign w:val="bottom"/>
          </w:tcPr>
          <w:p>
            <w:pPr>
              <w:jc w:val="right"/>
              <w:ind w:right="360"/>
              <w:spacing w:after="0"/>
              <w:rPr>
                <w:sz w:val="20"/>
                <w:szCs w:val="20"/>
                <w:color w:val="auto"/>
              </w:rPr>
            </w:pPr>
            <w:r>
              <w:rPr>
                <w:rFonts w:ascii="Arial" w:cs="Arial" w:eastAsia="Arial" w:hAnsi="Arial"/>
                <w:sz w:val="15"/>
                <w:szCs w:val="15"/>
                <w:b w:val="1"/>
                <w:bCs w:val="1"/>
                <w:color w:val="125288"/>
              </w:rPr>
              <w:t>rate of salary in</w:t>
            </w:r>
          </w:p>
        </w:tc>
        <w:tc>
          <w:tcPr>
            <w:tcW w:w="1660" w:type="dxa"/>
            <w:vAlign w:val="bottom"/>
          </w:tcPr>
          <w:p>
            <w:pPr>
              <w:jc w:val="right"/>
              <w:ind w:right="201"/>
              <w:spacing w:after="0"/>
              <w:rPr>
                <w:sz w:val="20"/>
                <w:szCs w:val="20"/>
                <w:color w:val="auto"/>
              </w:rPr>
            </w:pPr>
            <w:r>
              <w:rPr>
                <w:rFonts w:ascii="Arial" w:cs="Arial" w:eastAsia="Arial" w:hAnsi="Arial"/>
                <w:sz w:val="15"/>
                <w:szCs w:val="15"/>
                <w:b w:val="1"/>
                <w:bCs w:val="1"/>
                <w:color w:val="125288"/>
              </w:rPr>
              <w:t>January 1, 2022</w:t>
            </w:r>
          </w:p>
        </w:tc>
      </w:tr>
      <w:tr>
        <w:trPr>
          <w:trHeight w:val="214"/>
        </w:trPr>
        <w:tc>
          <w:tcPr>
            <w:tcW w:w="1860" w:type="dxa"/>
            <w:vAlign w:val="bottom"/>
          </w:tcPr>
          <w:p>
            <w:pPr>
              <w:ind w:left="40"/>
              <w:spacing w:after="0"/>
              <w:rPr>
                <w:sz w:val="20"/>
                <w:szCs w:val="20"/>
                <w:color w:val="auto"/>
              </w:rPr>
            </w:pPr>
            <w:r>
              <w:rPr>
                <w:rFonts w:ascii="Arial" w:cs="Arial" w:eastAsia="Arial" w:hAnsi="Arial"/>
                <w:sz w:val="15"/>
                <w:szCs w:val="15"/>
                <w:b w:val="1"/>
                <w:bCs w:val="1"/>
                <w:color w:val="125288"/>
              </w:rPr>
              <w:t>Name</w:t>
            </w:r>
          </w:p>
        </w:tc>
        <w:tc>
          <w:tcPr>
            <w:tcW w:w="2440" w:type="dxa"/>
            <w:vAlign w:val="bottom"/>
          </w:tcPr>
          <w:p>
            <w:pPr>
              <w:jc w:val="right"/>
              <w:ind w:right="339"/>
              <w:spacing w:after="0"/>
              <w:rPr>
                <w:sz w:val="20"/>
                <w:szCs w:val="20"/>
                <w:color w:val="auto"/>
              </w:rPr>
            </w:pPr>
            <w:r>
              <w:rPr>
                <w:rFonts w:ascii="Arial" w:cs="Arial" w:eastAsia="Arial" w:hAnsi="Arial"/>
                <w:sz w:val="15"/>
                <w:szCs w:val="15"/>
                <w:b w:val="1"/>
                <w:bCs w:val="1"/>
                <w:color w:val="125288"/>
              </w:rPr>
              <w:t>($)</w:t>
            </w:r>
          </w:p>
        </w:tc>
        <w:tc>
          <w:tcPr>
            <w:tcW w:w="1740" w:type="dxa"/>
            <w:vAlign w:val="bottom"/>
          </w:tcPr>
          <w:p>
            <w:pPr>
              <w:jc w:val="right"/>
              <w:ind w:right="363"/>
              <w:spacing w:after="0"/>
              <w:rPr>
                <w:sz w:val="20"/>
                <w:szCs w:val="20"/>
                <w:color w:val="auto"/>
              </w:rPr>
            </w:pPr>
            <w:r>
              <w:rPr>
                <w:rFonts w:ascii="Arial" w:cs="Arial" w:eastAsia="Arial" w:hAnsi="Arial"/>
                <w:sz w:val="15"/>
                <w:szCs w:val="15"/>
                <w:b w:val="1"/>
                <w:bCs w:val="1"/>
                <w:color w:val="125288"/>
              </w:rPr>
              <w:t>during 2021</w:t>
            </w:r>
          </w:p>
        </w:tc>
        <w:tc>
          <w:tcPr>
            <w:tcW w:w="1720" w:type="dxa"/>
            <w:vAlign w:val="bottom"/>
          </w:tcPr>
          <w:p>
            <w:pPr>
              <w:jc w:val="right"/>
              <w:ind w:right="360"/>
              <w:spacing w:after="0"/>
              <w:rPr>
                <w:sz w:val="20"/>
                <w:szCs w:val="20"/>
                <w:color w:val="auto"/>
              </w:rPr>
            </w:pPr>
            <w:r>
              <w:rPr>
                <w:rFonts w:ascii="Arial" w:cs="Arial" w:eastAsia="Arial" w:hAnsi="Arial"/>
                <w:sz w:val="15"/>
                <w:szCs w:val="15"/>
                <w:b w:val="1"/>
                <w:bCs w:val="1"/>
                <w:color w:val="125288"/>
              </w:rPr>
              <w:t>($)</w:t>
            </w:r>
          </w:p>
        </w:tc>
        <w:tc>
          <w:tcPr>
            <w:tcW w:w="1840" w:type="dxa"/>
            <w:vAlign w:val="bottom"/>
          </w:tcPr>
          <w:p>
            <w:pPr>
              <w:jc w:val="right"/>
              <w:ind w:right="320"/>
              <w:spacing w:after="0"/>
              <w:rPr>
                <w:sz w:val="20"/>
                <w:szCs w:val="20"/>
                <w:color w:val="auto"/>
              </w:rPr>
            </w:pPr>
            <w:r>
              <w:rPr>
                <w:rFonts w:ascii="Arial" w:cs="Arial" w:eastAsia="Arial" w:hAnsi="Arial"/>
                <w:sz w:val="15"/>
                <w:szCs w:val="15"/>
                <w:b w:val="1"/>
                <w:bCs w:val="1"/>
                <w:color w:val="125288"/>
              </w:rPr>
              <w:t>2022 vs. 2021</w:t>
            </w:r>
          </w:p>
        </w:tc>
        <w:tc>
          <w:tcPr>
            <w:tcW w:w="1660" w:type="dxa"/>
            <w:vAlign w:val="bottom"/>
          </w:tcPr>
          <w:p>
            <w:pPr>
              <w:jc w:val="right"/>
              <w:ind w:right="201"/>
              <w:spacing w:after="0"/>
              <w:rPr>
                <w:sz w:val="20"/>
                <w:szCs w:val="20"/>
                <w:color w:val="auto"/>
              </w:rPr>
            </w:pPr>
            <w:r>
              <w:rPr>
                <w:rFonts w:ascii="Arial" w:cs="Arial" w:eastAsia="Arial" w:hAnsi="Arial"/>
                <w:sz w:val="15"/>
                <w:szCs w:val="15"/>
                <w:b w:val="1"/>
                <w:bCs w:val="1"/>
                <w:color w:val="125288"/>
              </w:rPr>
              <w:t>($)</w:t>
            </w:r>
          </w:p>
        </w:tc>
      </w:tr>
      <w:tr>
        <w:trPr>
          <w:trHeight w:val="41"/>
        </w:trPr>
        <w:tc>
          <w:tcPr>
            <w:tcW w:w="1860" w:type="dxa"/>
            <w:vAlign w:val="bottom"/>
            <w:tcBorders>
              <w:bottom w:val="single" w:sz="8" w:color="125288"/>
            </w:tcBorders>
          </w:tcPr>
          <w:p>
            <w:pPr>
              <w:spacing w:after="0"/>
              <w:rPr>
                <w:sz w:val="3"/>
                <w:szCs w:val="3"/>
                <w:color w:val="auto"/>
              </w:rPr>
            </w:pPr>
          </w:p>
        </w:tc>
        <w:tc>
          <w:tcPr>
            <w:tcW w:w="2440" w:type="dxa"/>
            <w:vAlign w:val="bottom"/>
            <w:tcBorders>
              <w:bottom w:val="single" w:sz="8" w:color="125288"/>
            </w:tcBorders>
          </w:tcPr>
          <w:p>
            <w:pPr>
              <w:spacing w:after="0"/>
              <w:rPr>
                <w:sz w:val="3"/>
                <w:szCs w:val="3"/>
                <w:color w:val="auto"/>
              </w:rPr>
            </w:pPr>
          </w:p>
        </w:tc>
        <w:tc>
          <w:tcPr>
            <w:tcW w:w="1740" w:type="dxa"/>
            <w:vAlign w:val="bottom"/>
            <w:tcBorders>
              <w:bottom w:val="single" w:sz="8" w:color="125288"/>
            </w:tcBorders>
          </w:tcPr>
          <w:p>
            <w:pPr>
              <w:spacing w:after="0"/>
              <w:rPr>
                <w:sz w:val="3"/>
                <w:szCs w:val="3"/>
                <w:color w:val="auto"/>
              </w:rPr>
            </w:pPr>
          </w:p>
        </w:tc>
        <w:tc>
          <w:tcPr>
            <w:tcW w:w="1720" w:type="dxa"/>
            <w:vAlign w:val="bottom"/>
            <w:tcBorders>
              <w:bottom w:val="single" w:sz="8" w:color="125288"/>
            </w:tcBorders>
          </w:tcPr>
          <w:p>
            <w:pPr>
              <w:spacing w:after="0"/>
              <w:rPr>
                <w:sz w:val="3"/>
                <w:szCs w:val="3"/>
                <w:color w:val="auto"/>
              </w:rPr>
            </w:pPr>
          </w:p>
        </w:tc>
        <w:tc>
          <w:tcPr>
            <w:tcW w:w="1840" w:type="dxa"/>
            <w:vAlign w:val="bottom"/>
            <w:tcBorders>
              <w:bottom w:val="single" w:sz="8" w:color="125288"/>
            </w:tcBorders>
          </w:tcPr>
          <w:p>
            <w:pPr>
              <w:spacing w:after="0"/>
              <w:rPr>
                <w:sz w:val="3"/>
                <w:szCs w:val="3"/>
                <w:color w:val="auto"/>
              </w:rPr>
            </w:pPr>
          </w:p>
        </w:tc>
        <w:tc>
          <w:tcPr>
            <w:tcW w:w="1660" w:type="dxa"/>
            <w:vAlign w:val="bottom"/>
            <w:tcBorders>
              <w:bottom w:val="single" w:sz="8" w:color="125288"/>
            </w:tcBorders>
          </w:tcPr>
          <w:p>
            <w:pPr>
              <w:spacing w:after="0"/>
              <w:rPr>
                <w:sz w:val="3"/>
                <w:szCs w:val="3"/>
                <w:color w:val="auto"/>
              </w:rPr>
            </w:pPr>
          </w:p>
        </w:tc>
      </w:tr>
      <w:tr>
        <w:trPr>
          <w:trHeight w:val="360"/>
        </w:trPr>
        <w:tc>
          <w:tcPr>
            <w:tcW w:w="1860" w:type="dxa"/>
            <w:vAlign w:val="bottom"/>
            <w:tcBorders>
              <w:bottom w:val="single" w:sz="8" w:color="125288"/>
            </w:tcBorders>
          </w:tcPr>
          <w:p>
            <w:pPr>
              <w:ind w:left="40"/>
              <w:spacing w:after="0"/>
              <w:rPr>
                <w:sz w:val="20"/>
                <w:szCs w:val="20"/>
                <w:color w:val="auto"/>
              </w:rPr>
            </w:pPr>
            <w:r>
              <w:rPr>
                <w:rFonts w:ascii="Arial" w:cs="Arial" w:eastAsia="Arial" w:hAnsi="Arial"/>
                <w:sz w:val="17"/>
                <w:szCs w:val="17"/>
                <w:b w:val="1"/>
                <w:bCs w:val="1"/>
                <w:color w:val="auto"/>
              </w:rPr>
              <w:t>Robert Kotick</w:t>
            </w:r>
          </w:p>
        </w:tc>
        <w:tc>
          <w:tcPr>
            <w:tcW w:w="2440" w:type="dxa"/>
            <w:vAlign w:val="bottom"/>
            <w:tcBorders>
              <w:bottom w:val="single" w:sz="8" w:color="125288"/>
            </w:tcBorders>
          </w:tcPr>
          <w:p>
            <w:pPr>
              <w:jc w:val="right"/>
              <w:ind w:right="339"/>
              <w:spacing w:after="0"/>
              <w:rPr>
                <w:sz w:val="20"/>
                <w:szCs w:val="20"/>
                <w:color w:val="auto"/>
              </w:rPr>
            </w:pPr>
            <w:r>
              <w:rPr>
                <w:rFonts w:ascii="Arial" w:cs="Arial" w:eastAsia="Arial" w:hAnsi="Arial"/>
                <w:sz w:val="17"/>
                <w:szCs w:val="17"/>
                <w:color w:val="auto"/>
              </w:rPr>
              <w:t>875,000</w:t>
            </w:r>
          </w:p>
        </w:tc>
        <w:tc>
          <w:tcPr>
            <w:tcW w:w="1740" w:type="dxa"/>
            <w:vAlign w:val="bottom"/>
            <w:tcBorders>
              <w:bottom w:val="single" w:sz="8" w:color="125288"/>
            </w:tcBorders>
          </w:tcPr>
          <w:p>
            <w:pPr>
              <w:jc w:val="right"/>
              <w:ind w:right="183"/>
              <w:spacing w:after="0"/>
              <w:rPr>
                <w:sz w:val="20"/>
                <w:szCs w:val="20"/>
                <w:color w:val="auto"/>
              </w:rPr>
            </w:pPr>
            <w:r>
              <w:rPr>
                <w:rFonts w:ascii="Arial" w:cs="Arial" w:eastAsia="Arial" w:hAnsi="Arial"/>
                <w:sz w:val="17"/>
                <w:szCs w:val="17"/>
                <w:color w:val="auto"/>
              </w:rPr>
              <w:t>-93%</w:t>
            </w:r>
            <w:r>
              <w:rPr>
                <w:rFonts w:ascii="Arial" w:cs="Arial" w:eastAsia="Arial" w:hAnsi="Arial"/>
                <w:sz w:val="27"/>
                <w:szCs w:val="27"/>
                <w:color w:val="auto"/>
                <w:vertAlign w:val="superscript"/>
              </w:rPr>
              <w:t>(1)</w:t>
            </w:r>
          </w:p>
        </w:tc>
        <w:tc>
          <w:tcPr>
            <w:tcW w:w="1720" w:type="dxa"/>
            <w:vAlign w:val="bottom"/>
            <w:tcBorders>
              <w:bottom w:val="single" w:sz="8" w:color="125288"/>
            </w:tcBorders>
          </w:tcPr>
          <w:p>
            <w:pPr>
              <w:jc w:val="right"/>
              <w:ind w:right="200"/>
              <w:spacing w:after="0"/>
              <w:rPr>
                <w:sz w:val="20"/>
                <w:szCs w:val="20"/>
                <w:color w:val="auto"/>
              </w:rPr>
            </w:pPr>
            <w:r>
              <w:rPr>
                <w:rFonts w:ascii="Arial" w:cs="Arial" w:eastAsia="Arial" w:hAnsi="Arial"/>
                <w:sz w:val="17"/>
                <w:szCs w:val="17"/>
                <w:color w:val="auto"/>
              </w:rPr>
              <w:t>62,500</w:t>
            </w:r>
            <w:r>
              <w:rPr>
                <w:rFonts w:ascii="Arial" w:cs="Arial" w:eastAsia="Arial" w:hAnsi="Arial"/>
                <w:sz w:val="27"/>
                <w:szCs w:val="27"/>
                <w:color w:val="auto"/>
                <w:vertAlign w:val="superscript"/>
              </w:rPr>
              <w:t>(1)</w:t>
            </w:r>
          </w:p>
        </w:tc>
        <w:tc>
          <w:tcPr>
            <w:tcW w:w="1840" w:type="dxa"/>
            <w:vAlign w:val="bottom"/>
            <w:tcBorders>
              <w:bottom w:val="single" w:sz="8" w:color="125288"/>
            </w:tcBorders>
          </w:tcPr>
          <w:p>
            <w:pPr>
              <w:jc w:val="right"/>
              <w:ind w:right="320"/>
              <w:spacing w:after="0"/>
              <w:rPr>
                <w:sz w:val="20"/>
                <w:szCs w:val="20"/>
                <w:color w:val="auto"/>
              </w:rPr>
            </w:pPr>
            <w:r>
              <w:rPr>
                <w:rFonts w:ascii="Arial" w:cs="Arial" w:eastAsia="Arial" w:hAnsi="Arial"/>
                <w:sz w:val="17"/>
                <w:szCs w:val="17"/>
                <w:color w:val="auto"/>
              </w:rPr>
              <w:t>0%</w:t>
            </w:r>
          </w:p>
        </w:tc>
        <w:tc>
          <w:tcPr>
            <w:tcW w:w="1660" w:type="dxa"/>
            <w:vAlign w:val="bottom"/>
            <w:tcBorders>
              <w:bottom w:val="single" w:sz="8" w:color="125288"/>
            </w:tcBorders>
          </w:tcPr>
          <w:p>
            <w:pPr>
              <w:jc w:val="right"/>
              <w:ind w:right="201"/>
              <w:spacing w:after="0"/>
              <w:rPr>
                <w:sz w:val="20"/>
                <w:szCs w:val="20"/>
                <w:color w:val="auto"/>
              </w:rPr>
            </w:pPr>
            <w:r>
              <w:rPr>
                <w:rFonts w:ascii="Arial" w:cs="Arial" w:eastAsia="Arial" w:hAnsi="Arial"/>
                <w:sz w:val="17"/>
                <w:szCs w:val="17"/>
                <w:color w:val="auto"/>
              </w:rPr>
              <w:t>62,500</w:t>
            </w:r>
          </w:p>
        </w:tc>
      </w:tr>
      <w:tr>
        <w:trPr>
          <w:trHeight w:val="360"/>
        </w:trPr>
        <w:tc>
          <w:tcPr>
            <w:tcW w:w="1860" w:type="dxa"/>
            <w:vAlign w:val="bottom"/>
            <w:tcBorders>
              <w:bottom w:val="single" w:sz="8" w:color="125288"/>
            </w:tcBorders>
          </w:tcPr>
          <w:p>
            <w:pPr>
              <w:ind w:left="40"/>
              <w:spacing w:after="0"/>
              <w:rPr>
                <w:sz w:val="20"/>
                <w:szCs w:val="20"/>
                <w:color w:val="auto"/>
              </w:rPr>
            </w:pPr>
            <w:r>
              <w:rPr>
                <w:rFonts w:ascii="Arial" w:cs="Arial" w:eastAsia="Arial" w:hAnsi="Arial"/>
                <w:sz w:val="17"/>
                <w:szCs w:val="17"/>
                <w:b w:val="1"/>
                <w:bCs w:val="1"/>
                <w:color w:val="auto"/>
              </w:rPr>
              <w:t>Dennis Durkin</w:t>
            </w:r>
          </w:p>
        </w:tc>
        <w:tc>
          <w:tcPr>
            <w:tcW w:w="2440" w:type="dxa"/>
            <w:vAlign w:val="bottom"/>
            <w:tcBorders>
              <w:bottom w:val="single" w:sz="8" w:color="125288"/>
            </w:tcBorders>
          </w:tcPr>
          <w:p>
            <w:pPr>
              <w:jc w:val="right"/>
              <w:ind w:right="339"/>
              <w:spacing w:after="0"/>
              <w:rPr>
                <w:sz w:val="20"/>
                <w:szCs w:val="20"/>
                <w:color w:val="auto"/>
              </w:rPr>
            </w:pPr>
            <w:r>
              <w:rPr>
                <w:rFonts w:ascii="Arial" w:cs="Arial" w:eastAsia="Arial" w:hAnsi="Arial"/>
                <w:sz w:val="17"/>
                <w:szCs w:val="17"/>
                <w:color w:val="auto"/>
              </w:rPr>
              <w:t>900,000</w:t>
            </w:r>
          </w:p>
        </w:tc>
        <w:tc>
          <w:tcPr>
            <w:tcW w:w="1740" w:type="dxa"/>
            <w:vAlign w:val="bottom"/>
            <w:tcBorders>
              <w:bottom w:val="single" w:sz="8" w:color="125288"/>
            </w:tcBorders>
          </w:tcPr>
          <w:p>
            <w:pPr>
              <w:jc w:val="right"/>
              <w:ind w:right="183"/>
              <w:spacing w:after="0" w:line="356" w:lineRule="exact"/>
              <w:rPr>
                <w:sz w:val="20"/>
                <w:szCs w:val="20"/>
                <w:color w:val="auto"/>
              </w:rPr>
            </w:pPr>
            <w:r>
              <w:rPr>
                <w:rFonts w:ascii="Arial" w:cs="Arial" w:eastAsia="Arial" w:hAnsi="Arial"/>
                <w:sz w:val="33"/>
                <w:szCs w:val="33"/>
                <w:color w:val="auto"/>
                <w:vertAlign w:val="subscript"/>
              </w:rPr>
              <w:t>—%</w:t>
            </w:r>
            <w:r>
              <w:rPr>
                <w:rFonts w:ascii="Arial" w:cs="Arial" w:eastAsia="Arial" w:hAnsi="Arial"/>
                <w:sz w:val="14"/>
                <w:szCs w:val="14"/>
                <w:color w:val="auto"/>
              </w:rPr>
              <w:t>(2)</w:t>
            </w:r>
          </w:p>
        </w:tc>
        <w:tc>
          <w:tcPr>
            <w:tcW w:w="1720" w:type="dxa"/>
            <w:vAlign w:val="bottom"/>
            <w:tcBorders>
              <w:bottom w:val="single" w:sz="8" w:color="125288"/>
            </w:tcBorders>
          </w:tcPr>
          <w:p>
            <w:pPr>
              <w:jc w:val="right"/>
              <w:ind w:right="200"/>
              <w:spacing w:after="0" w:line="356" w:lineRule="exact"/>
              <w:rPr>
                <w:sz w:val="20"/>
                <w:szCs w:val="20"/>
                <w:color w:val="auto"/>
              </w:rPr>
            </w:pPr>
            <w:r>
              <w:rPr>
                <w:rFonts w:ascii="Arial" w:cs="Arial" w:eastAsia="Arial" w:hAnsi="Arial"/>
                <w:sz w:val="33"/>
                <w:szCs w:val="33"/>
                <w:color w:val="auto"/>
                <w:vertAlign w:val="subscript"/>
              </w:rPr>
              <w:t>—</w:t>
            </w:r>
            <w:r>
              <w:rPr>
                <w:rFonts w:ascii="Arial" w:cs="Arial" w:eastAsia="Arial" w:hAnsi="Arial"/>
                <w:sz w:val="14"/>
                <w:szCs w:val="14"/>
                <w:color w:val="auto"/>
              </w:rPr>
              <w:t>(2)</w:t>
            </w:r>
          </w:p>
        </w:tc>
        <w:tc>
          <w:tcPr>
            <w:tcW w:w="1840" w:type="dxa"/>
            <w:vAlign w:val="bottom"/>
            <w:tcBorders>
              <w:bottom w:val="single" w:sz="8" w:color="125288"/>
            </w:tcBorders>
          </w:tcPr>
          <w:p>
            <w:pPr>
              <w:jc w:val="right"/>
              <w:ind w:right="140"/>
              <w:spacing w:after="0" w:line="356" w:lineRule="exact"/>
              <w:rPr>
                <w:sz w:val="20"/>
                <w:szCs w:val="20"/>
                <w:color w:val="auto"/>
              </w:rPr>
            </w:pPr>
            <w:r>
              <w:rPr>
                <w:rFonts w:ascii="Arial" w:cs="Arial" w:eastAsia="Arial" w:hAnsi="Arial"/>
                <w:sz w:val="33"/>
                <w:szCs w:val="33"/>
                <w:color w:val="auto"/>
                <w:vertAlign w:val="subscript"/>
              </w:rPr>
              <w:t>—%</w:t>
            </w:r>
            <w:r>
              <w:rPr>
                <w:rFonts w:ascii="Arial" w:cs="Arial" w:eastAsia="Arial" w:hAnsi="Arial"/>
                <w:sz w:val="14"/>
                <w:szCs w:val="14"/>
                <w:color w:val="auto"/>
              </w:rPr>
              <w:t>(2)</w:t>
            </w:r>
          </w:p>
        </w:tc>
        <w:tc>
          <w:tcPr>
            <w:tcW w:w="1660" w:type="dxa"/>
            <w:vAlign w:val="bottom"/>
            <w:tcBorders>
              <w:bottom w:val="single" w:sz="8" w:color="125288"/>
            </w:tcBorders>
          </w:tcPr>
          <w:p>
            <w:pPr>
              <w:jc w:val="right"/>
              <w:ind w:right="41"/>
              <w:spacing w:after="0" w:line="356" w:lineRule="exact"/>
              <w:rPr>
                <w:sz w:val="20"/>
                <w:szCs w:val="20"/>
                <w:color w:val="auto"/>
              </w:rPr>
            </w:pPr>
            <w:r>
              <w:rPr>
                <w:rFonts w:ascii="Arial" w:cs="Arial" w:eastAsia="Arial" w:hAnsi="Arial"/>
                <w:sz w:val="33"/>
                <w:szCs w:val="33"/>
                <w:color w:val="auto"/>
                <w:vertAlign w:val="subscript"/>
              </w:rPr>
              <w:t>—</w:t>
            </w:r>
            <w:r>
              <w:rPr>
                <w:rFonts w:ascii="Arial" w:cs="Arial" w:eastAsia="Arial" w:hAnsi="Arial"/>
                <w:sz w:val="14"/>
                <w:szCs w:val="14"/>
                <w:color w:val="auto"/>
              </w:rPr>
              <w:t>(2)</w:t>
            </w:r>
          </w:p>
        </w:tc>
      </w:tr>
      <w:tr>
        <w:trPr>
          <w:trHeight w:val="360"/>
        </w:trPr>
        <w:tc>
          <w:tcPr>
            <w:tcW w:w="1860" w:type="dxa"/>
            <w:vAlign w:val="bottom"/>
            <w:tcBorders>
              <w:bottom w:val="single" w:sz="8" w:color="125288"/>
            </w:tcBorders>
          </w:tcPr>
          <w:p>
            <w:pPr>
              <w:ind w:left="40"/>
              <w:spacing w:after="0"/>
              <w:rPr>
                <w:sz w:val="20"/>
                <w:szCs w:val="20"/>
                <w:color w:val="auto"/>
              </w:rPr>
            </w:pPr>
            <w:r>
              <w:rPr>
                <w:rFonts w:ascii="Arial" w:cs="Arial" w:eastAsia="Arial" w:hAnsi="Arial"/>
                <w:sz w:val="17"/>
                <w:szCs w:val="17"/>
                <w:b w:val="1"/>
                <w:bCs w:val="1"/>
                <w:color w:val="auto"/>
              </w:rPr>
              <w:t>Armin Zerza</w:t>
            </w:r>
          </w:p>
        </w:tc>
        <w:tc>
          <w:tcPr>
            <w:tcW w:w="2440" w:type="dxa"/>
            <w:vAlign w:val="bottom"/>
            <w:tcBorders>
              <w:bottom w:val="single" w:sz="8" w:color="125288"/>
            </w:tcBorders>
          </w:tcPr>
          <w:p>
            <w:pPr>
              <w:jc w:val="right"/>
              <w:ind w:right="339"/>
              <w:spacing w:after="0"/>
              <w:rPr>
                <w:sz w:val="20"/>
                <w:szCs w:val="20"/>
                <w:color w:val="auto"/>
              </w:rPr>
            </w:pPr>
            <w:r>
              <w:rPr>
                <w:rFonts w:ascii="Arial" w:cs="Arial" w:eastAsia="Arial" w:hAnsi="Arial"/>
                <w:sz w:val="17"/>
                <w:szCs w:val="17"/>
                <w:color w:val="auto"/>
              </w:rPr>
              <w:t>633,500</w:t>
            </w:r>
          </w:p>
        </w:tc>
        <w:tc>
          <w:tcPr>
            <w:tcW w:w="1740" w:type="dxa"/>
            <w:vAlign w:val="bottom"/>
            <w:tcBorders>
              <w:bottom w:val="single" w:sz="8" w:color="125288"/>
            </w:tcBorders>
          </w:tcPr>
          <w:p>
            <w:pPr>
              <w:jc w:val="right"/>
              <w:ind w:right="183"/>
              <w:spacing w:after="0"/>
              <w:rPr>
                <w:sz w:val="20"/>
                <w:szCs w:val="20"/>
                <w:color w:val="auto"/>
              </w:rPr>
            </w:pPr>
            <w:r>
              <w:rPr>
                <w:rFonts w:ascii="Arial" w:cs="Arial" w:eastAsia="Arial" w:hAnsi="Arial"/>
                <w:sz w:val="17"/>
                <w:szCs w:val="17"/>
                <w:color w:val="auto"/>
              </w:rPr>
              <w:t>26%</w:t>
            </w:r>
            <w:r>
              <w:rPr>
                <w:rFonts w:ascii="Arial" w:cs="Arial" w:eastAsia="Arial" w:hAnsi="Arial"/>
                <w:sz w:val="27"/>
                <w:szCs w:val="27"/>
                <w:color w:val="auto"/>
                <w:vertAlign w:val="superscript"/>
              </w:rPr>
              <w:t>(3)</w:t>
            </w:r>
          </w:p>
        </w:tc>
        <w:tc>
          <w:tcPr>
            <w:tcW w:w="1720" w:type="dxa"/>
            <w:vAlign w:val="bottom"/>
            <w:tcBorders>
              <w:bottom w:val="single" w:sz="8" w:color="125288"/>
            </w:tcBorders>
          </w:tcPr>
          <w:p>
            <w:pPr>
              <w:jc w:val="right"/>
              <w:ind w:right="360"/>
              <w:spacing w:after="0"/>
              <w:rPr>
                <w:sz w:val="20"/>
                <w:szCs w:val="20"/>
                <w:color w:val="auto"/>
              </w:rPr>
            </w:pPr>
            <w:r>
              <w:rPr>
                <w:rFonts w:ascii="Arial" w:cs="Arial" w:eastAsia="Arial" w:hAnsi="Arial"/>
                <w:sz w:val="17"/>
                <w:szCs w:val="17"/>
                <w:color w:val="auto"/>
              </w:rPr>
              <w:t>800,000</w:t>
            </w:r>
          </w:p>
        </w:tc>
        <w:tc>
          <w:tcPr>
            <w:tcW w:w="1840" w:type="dxa"/>
            <w:vAlign w:val="bottom"/>
            <w:tcBorders>
              <w:bottom w:val="single" w:sz="8" w:color="125288"/>
            </w:tcBorders>
          </w:tcPr>
          <w:p>
            <w:pPr>
              <w:jc w:val="right"/>
              <w:ind w:right="320"/>
              <w:spacing w:after="0"/>
              <w:rPr>
                <w:sz w:val="20"/>
                <w:szCs w:val="20"/>
                <w:color w:val="auto"/>
              </w:rPr>
            </w:pPr>
            <w:r>
              <w:rPr>
                <w:rFonts w:ascii="Arial" w:cs="Arial" w:eastAsia="Arial" w:hAnsi="Arial"/>
                <w:sz w:val="17"/>
                <w:szCs w:val="17"/>
                <w:color w:val="auto"/>
              </w:rPr>
              <w:t>0%</w:t>
            </w:r>
          </w:p>
        </w:tc>
        <w:tc>
          <w:tcPr>
            <w:tcW w:w="1660" w:type="dxa"/>
            <w:vAlign w:val="bottom"/>
            <w:tcBorders>
              <w:bottom w:val="single" w:sz="8" w:color="125288"/>
            </w:tcBorders>
          </w:tcPr>
          <w:p>
            <w:pPr>
              <w:jc w:val="right"/>
              <w:ind w:right="201"/>
              <w:spacing w:after="0"/>
              <w:rPr>
                <w:sz w:val="20"/>
                <w:szCs w:val="20"/>
                <w:color w:val="auto"/>
              </w:rPr>
            </w:pPr>
            <w:r>
              <w:rPr>
                <w:rFonts w:ascii="Arial" w:cs="Arial" w:eastAsia="Arial" w:hAnsi="Arial"/>
                <w:sz w:val="17"/>
                <w:szCs w:val="17"/>
                <w:color w:val="auto"/>
              </w:rPr>
              <w:t>800,000</w:t>
            </w:r>
          </w:p>
        </w:tc>
      </w:tr>
      <w:tr>
        <w:trPr>
          <w:trHeight w:val="276"/>
        </w:trPr>
        <w:tc>
          <w:tcPr>
            <w:tcW w:w="1860" w:type="dxa"/>
            <w:vAlign w:val="bottom"/>
          </w:tcPr>
          <w:p>
            <w:pPr>
              <w:ind w:left="40"/>
              <w:spacing w:after="0"/>
              <w:rPr>
                <w:sz w:val="20"/>
                <w:szCs w:val="20"/>
                <w:color w:val="auto"/>
              </w:rPr>
            </w:pPr>
            <w:r>
              <w:rPr>
                <w:rFonts w:ascii="Arial" w:cs="Arial" w:eastAsia="Arial" w:hAnsi="Arial"/>
                <w:sz w:val="17"/>
                <w:szCs w:val="17"/>
                <w:b w:val="1"/>
                <w:bCs w:val="1"/>
                <w:color w:val="auto"/>
              </w:rPr>
              <w:t>Daniel Alegre</w:t>
            </w:r>
          </w:p>
        </w:tc>
        <w:tc>
          <w:tcPr>
            <w:tcW w:w="2440" w:type="dxa"/>
            <w:vAlign w:val="bottom"/>
          </w:tcPr>
          <w:p>
            <w:pPr>
              <w:jc w:val="right"/>
              <w:ind w:right="339"/>
              <w:spacing w:after="0"/>
              <w:rPr>
                <w:sz w:val="20"/>
                <w:szCs w:val="20"/>
                <w:color w:val="auto"/>
              </w:rPr>
            </w:pPr>
            <w:r>
              <w:rPr>
                <w:rFonts w:ascii="Arial" w:cs="Arial" w:eastAsia="Arial" w:hAnsi="Arial"/>
                <w:sz w:val="17"/>
                <w:szCs w:val="17"/>
                <w:color w:val="auto"/>
              </w:rPr>
              <w:t>1,350,000</w:t>
            </w:r>
          </w:p>
        </w:tc>
        <w:tc>
          <w:tcPr>
            <w:tcW w:w="1740" w:type="dxa"/>
            <w:vAlign w:val="bottom"/>
          </w:tcPr>
          <w:p>
            <w:pPr>
              <w:jc w:val="right"/>
              <w:ind w:right="363"/>
              <w:spacing w:after="0"/>
              <w:rPr>
                <w:sz w:val="20"/>
                <w:szCs w:val="20"/>
                <w:color w:val="auto"/>
              </w:rPr>
            </w:pPr>
            <w:r>
              <w:rPr>
                <w:rFonts w:ascii="Arial" w:cs="Arial" w:eastAsia="Arial" w:hAnsi="Arial"/>
                <w:sz w:val="17"/>
                <w:szCs w:val="17"/>
                <w:color w:val="auto"/>
              </w:rPr>
              <w:t>0%</w:t>
            </w:r>
          </w:p>
        </w:tc>
        <w:tc>
          <w:tcPr>
            <w:tcW w:w="1720" w:type="dxa"/>
            <w:vAlign w:val="bottom"/>
          </w:tcPr>
          <w:p>
            <w:pPr>
              <w:jc w:val="right"/>
              <w:ind w:right="360"/>
              <w:spacing w:after="0"/>
              <w:rPr>
                <w:sz w:val="20"/>
                <w:szCs w:val="20"/>
                <w:color w:val="auto"/>
              </w:rPr>
            </w:pPr>
            <w:r>
              <w:rPr>
                <w:rFonts w:ascii="Arial" w:cs="Arial" w:eastAsia="Arial" w:hAnsi="Arial"/>
                <w:sz w:val="17"/>
                <w:szCs w:val="17"/>
                <w:color w:val="auto"/>
              </w:rPr>
              <w:t>1,350,000</w:t>
            </w:r>
          </w:p>
        </w:tc>
        <w:tc>
          <w:tcPr>
            <w:tcW w:w="1840" w:type="dxa"/>
            <w:vAlign w:val="bottom"/>
          </w:tcPr>
          <w:p>
            <w:pPr>
              <w:jc w:val="right"/>
              <w:ind w:right="320"/>
              <w:spacing w:after="0"/>
              <w:rPr>
                <w:sz w:val="20"/>
                <w:szCs w:val="20"/>
                <w:color w:val="auto"/>
              </w:rPr>
            </w:pPr>
            <w:r>
              <w:rPr>
                <w:rFonts w:ascii="Arial" w:cs="Arial" w:eastAsia="Arial" w:hAnsi="Arial"/>
                <w:sz w:val="17"/>
                <w:szCs w:val="17"/>
                <w:color w:val="auto"/>
              </w:rPr>
              <w:t>0%</w:t>
            </w:r>
          </w:p>
        </w:tc>
        <w:tc>
          <w:tcPr>
            <w:tcW w:w="1660" w:type="dxa"/>
            <w:vAlign w:val="bottom"/>
          </w:tcPr>
          <w:p>
            <w:pPr>
              <w:jc w:val="right"/>
              <w:ind w:right="201"/>
              <w:spacing w:after="0"/>
              <w:rPr>
                <w:sz w:val="20"/>
                <w:szCs w:val="20"/>
                <w:color w:val="auto"/>
              </w:rPr>
            </w:pPr>
            <w:r>
              <w:rPr>
                <w:rFonts w:ascii="Arial" w:cs="Arial" w:eastAsia="Arial" w:hAnsi="Arial"/>
                <w:sz w:val="17"/>
                <w:szCs w:val="17"/>
                <w:color w:val="auto"/>
              </w:rPr>
              <w:t>1,350,000</w:t>
            </w:r>
          </w:p>
        </w:tc>
      </w:tr>
      <w:tr>
        <w:trPr>
          <w:trHeight w:val="85"/>
        </w:trPr>
        <w:tc>
          <w:tcPr>
            <w:tcW w:w="1860" w:type="dxa"/>
            <w:vAlign w:val="bottom"/>
            <w:tcBorders>
              <w:bottom w:val="single" w:sz="8" w:color="125288"/>
            </w:tcBorders>
          </w:tcPr>
          <w:p>
            <w:pPr>
              <w:spacing w:after="0"/>
              <w:rPr>
                <w:sz w:val="7"/>
                <w:szCs w:val="7"/>
                <w:color w:val="auto"/>
              </w:rPr>
            </w:pPr>
          </w:p>
        </w:tc>
        <w:tc>
          <w:tcPr>
            <w:tcW w:w="2440" w:type="dxa"/>
            <w:vAlign w:val="bottom"/>
            <w:tcBorders>
              <w:bottom w:val="single" w:sz="8" w:color="125288"/>
            </w:tcBorders>
          </w:tcPr>
          <w:p>
            <w:pPr>
              <w:spacing w:after="0"/>
              <w:rPr>
                <w:sz w:val="7"/>
                <w:szCs w:val="7"/>
                <w:color w:val="auto"/>
              </w:rPr>
            </w:pPr>
          </w:p>
        </w:tc>
        <w:tc>
          <w:tcPr>
            <w:tcW w:w="1740" w:type="dxa"/>
            <w:vAlign w:val="bottom"/>
            <w:tcBorders>
              <w:bottom w:val="single" w:sz="8" w:color="125288"/>
            </w:tcBorders>
          </w:tcPr>
          <w:p>
            <w:pPr>
              <w:spacing w:after="0"/>
              <w:rPr>
                <w:sz w:val="7"/>
                <w:szCs w:val="7"/>
                <w:color w:val="auto"/>
              </w:rPr>
            </w:pPr>
          </w:p>
        </w:tc>
        <w:tc>
          <w:tcPr>
            <w:tcW w:w="1720" w:type="dxa"/>
            <w:vAlign w:val="bottom"/>
            <w:tcBorders>
              <w:bottom w:val="single" w:sz="8" w:color="125288"/>
            </w:tcBorders>
          </w:tcPr>
          <w:p>
            <w:pPr>
              <w:spacing w:after="0"/>
              <w:rPr>
                <w:sz w:val="7"/>
                <w:szCs w:val="7"/>
                <w:color w:val="auto"/>
              </w:rPr>
            </w:pPr>
          </w:p>
        </w:tc>
        <w:tc>
          <w:tcPr>
            <w:tcW w:w="1840" w:type="dxa"/>
            <w:vAlign w:val="bottom"/>
            <w:tcBorders>
              <w:bottom w:val="single" w:sz="8" w:color="125288"/>
            </w:tcBorders>
          </w:tcPr>
          <w:p>
            <w:pPr>
              <w:spacing w:after="0"/>
              <w:rPr>
                <w:sz w:val="7"/>
                <w:szCs w:val="7"/>
                <w:color w:val="auto"/>
              </w:rPr>
            </w:pPr>
          </w:p>
        </w:tc>
        <w:tc>
          <w:tcPr>
            <w:tcW w:w="1660" w:type="dxa"/>
            <w:vAlign w:val="bottom"/>
            <w:tcBorders>
              <w:bottom w:val="single" w:sz="8" w:color="125288"/>
            </w:tcBorders>
          </w:tcPr>
          <w:p>
            <w:pPr>
              <w:spacing w:after="0"/>
              <w:rPr>
                <w:sz w:val="7"/>
                <w:szCs w:val="7"/>
                <w:color w:val="auto"/>
              </w:rPr>
            </w:pPr>
          </w:p>
        </w:tc>
      </w:tr>
      <w:tr>
        <w:trPr>
          <w:trHeight w:val="360"/>
        </w:trPr>
        <w:tc>
          <w:tcPr>
            <w:tcW w:w="1860" w:type="dxa"/>
            <w:vAlign w:val="bottom"/>
            <w:tcBorders>
              <w:bottom w:val="single" w:sz="8" w:color="125288"/>
            </w:tcBorders>
          </w:tcPr>
          <w:p>
            <w:pPr>
              <w:ind w:left="40"/>
              <w:spacing w:after="0"/>
              <w:rPr>
                <w:sz w:val="20"/>
                <w:szCs w:val="20"/>
                <w:color w:val="auto"/>
              </w:rPr>
            </w:pPr>
            <w:r>
              <w:rPr>
                <w:rFonts w:ascii="Arial" w:cs="Arial" w:eastAsia="Arial" w:hAnsi="Arial"/>
                <w:sz w:val="17"/>
                <w:szCs w:val="17"/>
                <w:b w:val="1"/>
                <w:bCs w:val="1"/>
                <w:color w:val="auto"/>
              </w:rPr>
              <w:t>Brian Bulatao</w:t>
            </w:r>
          </w:p>
        </w:tc>
        <w:tc>
          <w:tcPr>
            <w:tcW w:w="2440" w:type="dxa"/>
            <w:vAlign w:val="bottom"/>
            <w:tcBorders>
              <w:bottom w:val="single" w:sz="8" w:color="125288"/>
            </w:tcBorders>
          </w:tcPr>
          <w:p>
            <w:pPr>
              <w:jc w:val="right"/>
              <w:ind w:right="339"/>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125288"/>
            </w:tcBorders>
          </w:tcPr>
          <w:p>
            <w:pPr>
              <w:jc w:val="right"/>
              <w:ind w:right="183"/>
              <w:spacing w:after="0" w:line="356" w:lineRule="exact"/>
              <w:rPr>
                <w:sz w:val="20"/>
                <w:szCs w:val="20"/>
                <w:color w:val="auto"/>
              </w:rPr>
            </w:pPr>
            <w:r>
              <w:rPr>
                <w:rFonts w:ascii="Arial" w:cs="Arial" w:eastAsia="Arial" w:hAnsi="Arial"/>
                <w:sz w:val="33"/>
                <w:szCs w:val="33"/>
                <w:color w:val="auto"/>
                <w:vertAlign w:val="subscript"/>
              </w:rPr>
              <w:t>—%</w:t>
            </w:r>
            <w:r>
              <w:rPr>
                <w:rFonts w:ascii="Arial" w:cs="Arial" w:eastAsia="Arial" w:hAnsi="Arial"/>
                <w:sz w:val="14"/>
                <w:szCs w:val="14"/>
                <w:color w:val="auto"/>
              </w:rPr>
              <w:t>(4)</w:t>
            </w:r>
          </w:p>
        </w:tc>
        <w:tc>
          <w:tcPr>
            <w:tcW w:w="1720" w:type="dxa"/>
            <w:vAlign w:val="bottom"/>
            <w:tcBorders>
              <w:bottom w:val="single" w:sz="8" w:color="125288"/>
            </w:tcBorders>
          </w:tcPr>
          <w:p>
            <w:pPr>
              <w:jc w:val="right"/>
              <w:ind w:right="360"/>
              <w:spacing w:after="0"/>
              <w:rPr>
                <w:sz w:val="20"/>
                <w:szCs w:val="20"/>
                <w:color w:val="auto"/>
              </w:rPr>
            </w:pPr>
            <w:r>
              <w:rPr>
                <w:rFonts w:ascii="Arial" w:cs="Arial" w:eastAsia="Arial" w:hAnsi="Arial"/>
                <w:sz w:val="17"/>
                <w:szCs w:val="17"/>
                <w:color w:val="auto"/>
              </w:rPr>
              <w:t>1,000,000</w:t>
            </w:r>
          </w:p>
        </w:tc>
        <w:tc>
          <w:tcPr>
            <w:tcW w:w="1840" w:type="dxa"/>
            <w:vAlign w:val="bottom"/>
            <w:tcBorders>
              <w:bottom w:val="single" w:sz="8" w:color="125288"/>
            </w:tcBorders>
          </w:tcPr>
          <w:p>
            <w:pPr>
              <w:jc w:val="right"/>
              <w:ind w:right="320"/>
              <w:spacing w:after="0"/>
              <w:rPr>
                <w:sz w:val="20"/>
                <w:szCs w:val="20"/>
                <w:color w:val="auto"/>
              </w:rPr>
            </w:pPr>
            <w:r>
              <w:rPr>
                <w:rFonts w:ascii="Arial" w:cs="Arial" w:eastAsia="Arial" w:hAnsi="Arial"/>
                <w:sz w:val="17"/>
                <w:szCs w:val="17"/>
                <w:color w:val="auto"/>
              </w:rPr>
              <w:t>0%</w:t>
            </w:r>
          </w:p>
        </w:tc>
        <w:tc>
          <w:tcPr>
            <w:tcW w:w="1660" w:type="dxa"/>
            <w:vAlign w:val="bottom"/>
            <w:tcBorders>
              <w:bottom w:val="single" w:sz="8" w:color="125288"/>
            </w:tcBorders>
          </w:tcPr>
          <w:p>
            <w:pPr>
              <w:jc w:val="right"/>
              <w:ind w:right="201"/>
              <w:spacing w:after="0"/>
              <w:rPr>
                <w:sz w:val="20"/>
                <w:szCs w:val="20"/>
                <w:color w:val="auto"/>
              </w:rPr>
            </w:pPr>
            <w:r>
              <w:rPr>
                <w:rFonts w:ascii="Arial" w:cs="Arial" w:eastAsia="Arial" w:hAnsi="Arial"/>
                <w:sz w:val="17"/>
                <w:szCs w:val="17"/>
                <w:color w:val="auto"/>
              </w:rPr>
              <w:t>1,000,000</w:t>
            </w:r>
          </w:p>
        </w:tc>
      </w:tr>
      <w:tr>
        <w:trPr>
          <w:trHeight w:val="427"/>
        </w:trPr>
        <w:tc>
          <w:tcPr>
            <w:tcW w:w="1860" w:type="dxa"/>
            <w:vAlign w:val="bottom"/>
          </w:tcPr>
          <w:p>
            <w:pPr>
              <w:ind w:left="40"/>
              <w:spacing w:after="0"/>
              <w:rPr>
                <w:sz w:val="20"/>
                <w:szCs w:val="20"/>
                <w:color w:val="auto"/>
              </w:rPr>
            </w:pPr>
            <w:r>
              <w:rPr>
                <w:rFonts w:ascii="Arial" w:cs="Arial" w:eastAsia="Arial" w:hAnsi="Arial"/>
                <w:sz w:val="17"/>
                <w:szCs w:val="17"/>
                <w:b w:val="1"/>
                <w:bCs w:val="1"/>
                <w:color w:val="auto"/>
              </w:rPr>
              <w:t>Grant Dixton</w:t>
            </w:r>
          </w:p>
        </w:tc>
        <w:tc>
          <w:tcPr>
            <w:tcW w:w="2440" w:type="dxa"/>
            <w:vAlign w:val="bottom"/>
          </w:tcPr>
          <w:p>
            <w:pPr>
              <w:jc w:val="right"/>
              <w:ind w:right="339"/>
              <w:spacing w:after="0"/>
              <w:rPr>
                <w:sz w:val="20"/>
                <w:szCs w:val="20"/>
                <w:color w:val="auto"/>
              </w:rPr>
            </w:pPr>
            <w:r>
              <w:rPr>
                <w:rFonts w:ascii="Arial" w:cs="Arial" w:eastAsia="Arial" w:hAnsi="Arial"/>
                <w:sz w:val="17"/>
                <w:szCs w:val="17"/>
                <w:color w:val="auto"/>
              </w:rPr>
              <w:t>—</w:t>
            </w:r>
          </w:p>
        </w:tc>
        <w:tc>
          <w:tcPr>
            <w:tcW w:w="1740" w:type="dxa"/>
            <w:vAlign w:val="bottom"/>
          </w:tcPr>
          <w:p>
            <w:pPr>
              <w:jc w:val="right"/>
              <w:ind w:right="183"/>
              <w:spacing w:after="0"/>
              <w:rPr>
                <w:sz w:val="20"/>
                <w:szCs w:val="20"/>
                <w:color w:val="auto"/>
              </w:rPr>
            </w:pPr>
            <w:r>
              <w:rPr>
                <w:rFonts w:ascii="Arial" w:cs="Arial" w:eastAsia="Arial" w:hAnsi="Arial"/>
                <w:sz w:val="33"/>
                <w:szCs w:val="33"/>
                <w:color w:val="auto"/>
                <w:vertAlign w:val="subscript"/>
              </w:rPr>
              <w:t>—%</w:t>
            </w:r>
            <w:r>
              <w:rPr>
                <w:rFonts w:ascii="Arial" w:cs="Arial" w:eastAsia="Arial" w:hAnsi="Arial"/>
                <w:sz w:val="14"/>
                <w:szCs w:val="14"/>
                <w:color w:val="auto"/>
              </w:rPr>
              <w:t>(5)</w:t>
            </w:r>
          </w:p>
        </w:tc>
        <w:tc>
          <w:tcPr>
            <w:tcW w:w="1720" w:type="dxa"/>
            <w:vAlign w:val="bottom"/>
          </w:tcPr>
          <w:p>
            <w:pPr>
              <w:jc w:val="right"/>
              <w:ind w:right="360"/>
              <w:spacing w:after="0"/>
              <w:rPr>
                <w:sz w:val="20"/>
                <w:szCs w:val="20"/>
                <w:color w:val="auto"/>
              </w:rPr>
            </w:pPr>
            <w:r>
              <w:rPr>
                <w:rFonts w:ascii="Arial" w:cs="Arial" w:eastAsia="Arial" w:hAnsi="Arial"/>
                <w:sz w:val="17"/>
                <w:szCs w:val="17"/>
                <w:color w:val="auto"/>
              </w:rPr>
              <w:t>750,000</w:t>
            </w:r>
          </w:p>
        </w:tc>
        <w:tc>
          <w:tcPr>
            <w:tcW w:w="1840" w:type="dxa"/>
            <w:vAlign w:val="bottom"/>
          </w:tcPr>
          <w:p>
            <w:pPr>
              <w:jc w:val="right"/>
              <w:ind w:right="320"/>
              <w:spacing w:after="0"/>
              <w:rPr>
                <w:sz w:val="20"/>
                <w:szCs w:val="20"/>
                <w:color w:val="auto"/>
              </w:rPr>
            </w:pPr>
            <w:r>
              <w:rPr>
                <w:rFonts w:ascii="Arial" w:cs="Arial" w:eastAsia="Arial" w:hAnsi="Arial"/>
                <w:sz w:val="17"/>
                <w:szCs w:val="17"/>
                <w:color w:val="auto"/>
              </w:rPr>
              <w:t>0%</w:t>
            </w:r>
          </w:p>
        </w:tc>
        <w:tc>
          <w:tcPr>
            <w:tcW w:w="1660" w:type="dxa"/>
            <w:vAlign w:val="bottom"/>
          </w:tcPr>
          <w:p>
            <w:pPr>
              <w:jc w:val="right"/>
              <w:ind w:right="201"/>
              <w:spacing w:after="0"/>
              <w:rPr>
                <w:sz w:val="20"/>
                <w:szCs w:val="20"/>
                <w:color w:val="auto"/>
              </w:rPr>
            </w:pPr>
            <w:r>
              <w:rPr>
                <w:rFonts w:ascii="Arial" w:cs="Arial" w:eastAsia="Arial" w:hAnsi="Arial"/>
                <w:sz w:val="17"/>
                <w:szCs w:val="17"/>
                <w:color w:val="auto"/>
              </w:rPr>
              <w:t>750,000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8830" cy="152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ind w:left="325" w:right="80" w:hanging="277"/>
        <w:spacing w:after="0" w:line="266" w:lineRule="auto"/>
        <w:tabs>
          <w:tab w:leader="none" w:pos="325" w:val="left"/>
        </w:tabs>
        <w:numPr>
          <w:ilvl w:val="0"/>
          <w:numId w:val="93"/>
        </w:numPr>
        <w:rPr>
          <w:rFonts w:ascii="Arial" w:cs="Arial" w:eastAsia="Arial" w:hAnsi="Arial"/>
          <w:sz w:val="15"/>
          <w:szCs w:val="15"/>
          <w:color w:val="auto"/>
        </w:rPr>
      </w:pPr>
      <w:r>
        <w:rPr>
          <w:rFonts w:ascii="Arial" w:cs="Arial" w:eastAsia="Arial" w:hAnsi="Arial"/>
          <w:sz w:val="15"/>
          <w:szCs w:val="15"/>
          <w:color w:val="auto"/>
        </w:rPr>
        <w:t>Mr. Kotick’s annual base salary remained the same through October 27, 2021, after which his salary for the remainder of the year was, at his request, reduced to $62,500.</w:t>
      </w:r>
    </w:p>
    <w:p>
      <w:pPr>
        <w:spacing w:after="0" w:line="9" w:lineRule="exact"/>
        <w:rPr>
          <w:rFonts w:ascii="Arial" w:cs="Arial" w:eastAsia="Arial" w:hAnsi="Arial"/>
          <w:sz w:val="15"/>
          <w:szCs w:val="15"/>
          <w:color w:val="auto"/>
        </w:rPr>
      </w:pPr>
    </w:p>
    <w:p>
      <w:pPr>
        <w:ind w:left="325" w:hanging="277"/>
        <w:spacing w:after="0"/>
        <w:tabs>
          <w:tab w:leader="none" w:pos="325" w:val="left"/>
        </w:tabs>
        <w:numPr>
          <w:ilvl w:val="0"/>
          <w:numId w:val="93"/>
        </w:numPr>
        <w:rPr>
          <w:rFonts w:ascii="Arial" w:cs="Arial" w:eastAsia="Arial" w:hAnsi="Arial"/>
          <w:sz w:val="15"/>
          <w:szCs w:val="15"/>
          <w:color w:val="auto"/>
        </w:rPr>
      </w:pPr>
      <w:r>
        <w:rPr>
          <w:rFonts w:ascii="Arial" w:cs="Arial" w:eastAsia="Arial" w:hAnsi="Arial"/>
          <w:sz w:val="15"/>
          <w:szCs w:val="15"/>
          <w:color w:val="auto"/>
        </w:rPr>
        <w:t>Mr. Durkin’s employment with us ended on May 31, 2021.</w:t>
      </w:r>
    </w:p>
    <w:p>
      <w:pPr>
        <w:spacing w:after="0" w:line="41" w:lineRule="exact"/>
        <w:rPr>
          <w:rFonts w:ascii="Arial" w:cs="Arial" w:eastAsia="Arial" w:hAnsi="Arial"/>
          <w:sz w:val="15"/>
          <w:szCs w:val="15"/>
          <w:color w:val="auto"/>
        </w:rPr>
      </w:pPr>
    </w:p>
    <w:p>
      <w:pPr>
        <w:ind w:left="325" w:hanging="277"/>
        <w:spacing w:after="0"/>
        <w:tabs>
          <w:tab w:leader="none" w:pos="325" w:val="left"/>
        </w:tabs>
        <w:numPr>
          <w:ilvl w:val="0"/>
          <w:numId w:val="93"/>
        </w:numPr>
        <w:rPr>
          <w:rFonts w:ascii="Arial" w:cs="Arial" w:eastAsia="Arial" w:hAnsi="Arial"/>
          <w:sz w:val="15"/>
          <w:szCs w:val="15"/>
          <w:color w:val="auto"/>
        </w:rPr>
      </w:pPr>
      <w:r>
        <w:rPr>
          <w:rFonts w:ascii="Arial" w:cs="Arial" w:eastAsia="Arial" w:hAnsi="Arial"/>
          <w:sz w:val="15"/>
          <w:szCs w:val="15"/>
          <w:color w:val="auto"/>
        </w:rPr>
        <w:t>Mr. Zerza’s annual base salary was increased to $800,000 as of April 1, 2021, in connection with his election as our Chief Financial Officer.</w:t>
      </w:r>
    </w:p>
    <w:p>
      <w:pPr>
        <w:spacing w:after="0" w:line="41" w:lineRule="exact"/>
        <w:rPr>
          <w:rFonts w:ascii="Arial" w:cs="Arial" w:eastAsia="Arial" w:hAnsi="Arial"/>
          <w:sz w:val="15"/>
          <w:szCs w:val="15"/>
          <w:color w:val="auto"/>
        </w:rPr>
      </w:pPr>
    </w:p>
    <w:p>
      <w:pPr>
        <w:ind w:left="325" w:hanging="277"/>
        <w:spacing w:after="0"/>
        <w:tabs>
          <w:tab w:leader="none" w:pos="325" w:val="left"/>
        </w:tabs>
        <w:numPr>
          <w:ilvl w:val="0"/>
          <w:numId w:val="93"/>
        </w:numPr>
        <w:rPr>
          <w:rFonts w:ascii="Arial" w:cs="Arial" w:eastAsia="Arial" w:hAnsi="Arial"/>
          <w:sz w:val="15"/>
          <w:szCs w:val="15"/>
          <w:color w:val="auto"/>
        </w:rPr>
      </w:pPr>
      <w:r>
        <w:rPr>
          <w:rFonts w:ascii="Arial" w:cs="Arial" w:eastAsia="Arial" w:hAnsi="Arial"/>
          <w:sz w:val="15"/>
          <w:szCs w:val="15"/>
          <w:color w:val="auto"/>
        </w:rPr>
        <w:t>Mr. Bulatao’s employment with us began on February 1, 2021.</w:t>
      </w:r>
    </w:p>
    <w:p>
      <w:pPr>
        <w:spacing w:after="0" w:line="41" w:lineRule="exact"/>
        <w:rPr>
          <w:rFonts w:ascii="Arial" w:cs="Arial" w:eastAsia="Arial" w:hAnsi="Arial"/>
          <w:sz w:val="15"/>
          <w:szCs w:val="15"/>
          <w:color w:val="auto"/>
        </w:rPr>
      </w:pPr>
    </w:p>
    <w:p>
      <w:pPr>
        <w:ind w:left="325" w:hanging="277"/>
        <w:spacing w:after="0"/>
        <w:tabs>
          <w:tab w:leader="none" w:pos="325" w:val="left"/>
        </w:tabs>
        <w:numPr>
          <w:ilvl w:val="0"/>
          <w:numId w:val="93"/>
        </w:numPr>
        <w:rPr>
          <w:rFonts w:ascii="Arial" w:cs="Arial" w:eastAsia="Arial" w:hAnsi="Arial"/>
          <w:sz w:val="15"/>
          <w:szCs w:val="15"/>
          <w:color w:val="auto"/>
        </w:rPr>
      </w:pPr>
      <w:r>
        <w:rPr>
          <w:rFonts w:ascii="Arial" w:cs="Arial" w:eastAsia="Arial" w:hAnsi="Arial"/>
          <w:sz w:val="15"/>
          <w:szCs w:val="15"/>
          <w:color w:val="auto"/>
        </w:rPr>
        <w:t>Mr. Dixton’s employment with us began on June 14, 2021.</w:t>
      </w:r>
    </w:p>
    <w:p>
      <w:pPr>
        <w:spacing w:after="0" w:line="308" w:lineRule="exact"/>
        <w:rPr>
          <w:sz w:val="20"/>
          <w:szCs w:val="20"/>
          <w:color w:val="auto"/>
        </w:rPr>
      </w:pPr>
    </w:p>
    <w:p>
      <w:pPr>
        <w:ind w:left="5"/>
        <w:spacing w:after="0"/>
        <w:tabs>
          <w:tab w:leader="none" w:pos="7364" w:val="left"/>
          <w:tab w:leader="none" w:pos="9384" w:val="left"/>
          <w:tab w:leader="none" w:pos="1108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bookmarkStart w:id="75" w:name="page76"/>
    <w:bookmarkEnd w:id="75"/>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Corporate Annual Incentive Plan (CAIP) Bonuses</w:t>
      </w:r>
    </w:p>
    <w:p>
      <w:pPr>
        <w:spacing w:after="0" w:line="142"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The CAIP is designed to drive our financial results and to incentivize individual contributions toward operational and strategic initiatives. In response to shareholder feedback, the fundamental structure of the plan was updated for 2021, with 80% (as compared to 60% for 2020) of an executive officer’s opportunity contingent on financial objectives, and the remaining 20% (as compared to 40% for 2020) contingent on individual strategic objectives aligned with our long-term strategic priorities. This reflects a one-year acceleration of our commitment to transition our NEOs to 80% financial objectives and 20% individual strategic objectives effective for 2022, other than for the CEO, where this was to be implemented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313690</wp:posOffset>
            </wp:positionV>
            <wp:extent cx="5382260" cy="46799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382260" cy="467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In addition, for any bonus to be earned, the Company must achieve a threshold level of AB Adjusted OI, set at 90% of the operating income target. If this threshold is not achieved, no executive officer is eligible to receive a bonus under the CAIP.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53910" cy="22371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391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0" w:right="120"/>
        <w:spacing w:after="0" w:line="272" w:lineRule="auto"/>
        <w:rPr>
          <w:sz w:val="20"/>
          <w:szCs w:val="20"/>
          <w:color w:val="auto"/>
        </w:rPr>
      </w:pPr>
      <w:r>
        <w:rPr>
          <w:rFonts w:ascii="Arial" w:cs="Arial" w:eastAsia="Arial" w:hAnsi="Arial"/>
          <w:sz w:val="19"/>
          <w:szCs w:val="19"/>
          <w:b w:val="1"/>
          <w:bCs w:val="1"/>
          <w:color w:val="125288"/>
        </w:rPr>
        <w:t>Regardless of performance in the above areas, if AB Adjusted OI is below 90% of target (AOP) no CAIP bonuses will be earned.</w:t>
      </w:r>
    </w:p>
    <w:p>
      <w:pPr>
        <w:spacing w:after="0" w:line="362"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76" w:name="page77"/>
    <w:bookmarkEnd w:id="76"/>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125288"/>
        </w:rPr>
        <w:t>Target CAIP Awards</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In establishing the target payout opportunities for the executive officers under the CAIP for 2021, the Compensation Committee considered the bonus targets set forth in their employment agreements, their annualized total compensation opportunities, our desired pay mix, and the total compensation opportunities of their peers within the Company and in comparable positions or with similar responsibilities at other companies by reference to data from our peer group and published surveys. The following target opportunities were approved for 2021:</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3780" w:type="dxa"/>
            <w:vAlign w:val="bottom"/>
          </w:tcPr>
          <w:p>
            <w:pPr>
              <w:jc w:val="right"/>
              <w:ind w:right="878"/>
              <w:spacing w:after="0"/>
              <w:rPr>
                <w:sz w:val="20"/>
                <w:szCs w:val="20"/>
                <w:color w:val="auto"/>
              </w:rPr>
            </w:pPr>
            <w:r>
              <w:rPr>
                <w:rFonts w:ascii="Arial" w:cs="Arial" w:eastAsia="Arial" w:hAnsi="Arial"/>
                <w:sz w:val="15"/>
                <w:szCs w:val="15"/>
                <w:b w:val="1"/>
                <w:bCs w:val="1"/>
                <w:color w:val="125288"/>
              </w:rPr>
              <w:t>Eligible Salary</w:t>
            </w:r>
          </w:p>
        </w:tc>
        <w:tc>
          <w:tcPr>
            <w:tcW w:w="2640" w:type="dxa"/>
            <w:vAlign w:val="bottom"/>
          </w:tcPr>
          <w:p>
            <w:pPr>
              <w:jc w:val="right"/>
              <w:ind w:right="920"/>
              <w:spacing w:after="0"/>
              <w:rPr>
                <w:sz w:val="20"/>
                <w:szCs w:val="20"/>
                <w:color w:val="auto"/>
              </w:rPr>
            </w:pPr>
            <w:r>
              <w:rPr>
                <w:rFonts w:ascii="Arial" w:cs="Arial" w:eastAsia="Arial" w:hAnsi="Arial"/>
                <w:sz w:val="15"/>
                <w:szCs w:val="15"/>
                <w:b w:val="1"/>
                <w:bCs w:val="1"/>
                <w:color w:val="125288"/>
              </w:rPr>
              <w:t>CAIP Target</w:t>
            </w:r>
          </w:p>
        </w:tc>
        <w:tc>
          <w:tcPr>
            <w:tcW w:w="1960" w:type="dxa"/>
            <w:vAlign w:val="bottom"/>
          </w:tcPr>
          <w:p>
            <w:pPr>
              <w:jc w:val="right"/>
              <w:ind w:right="238"/>
              <w:spacing w:after="0"/>
              <w:rPr>
                <w:sz w:val="20"/>
                <w:szCs w:val="20"/>
                <w:color w:val="auto"/>
              </w:rPr>
            </w:pPr>
            <w:r>
              <w:rPr>
                <w:rFonts w:ascii="Arial" w:cs="Arial" w:eastAsia="Arial" w:hAnsi="Arial"/>
                <w:sz w:val="15"/>
                <w:szCs w:val="15"/>
                <w:b w:val="1"/>
                <w:bCs w:val="1"/>
                <w:color w:val="125288"/>
              </w:rPr>
              <w:t>CAIP Target</w:t>
            </w:r>
          </w:p>
        </w:tc>
      </w:tr>
      <w:tr>
        <w:trPr>
          <w:trHeight w:val="279"/>
        </w:trPr>
        <w:tc>
          <w:tcPr>
            <w:tcW w:w="2880" w:type="dxa"/>
            <w:vAlign w:val="bottom"/>
            <w:tcBorders>
              <w:bottom w:val="single" w:sz="8" w:color="125288"/>
            </w:tcBorders>
          </w:tcPr>
          <w:p>
            <w:pPr>
              <w:ind w:left="40"/>
              <w:spacing w:after="0"/>
              <w:rPr>
                <w:sz w:val="20"/>
                <w:szCs w:val="20"/>
                <w:color w:val="auto"/>
              </w:rPr>
            </w:pPr>
            <w:r>
              <w:rPr>
                <w:rFonts w:ascii="Arial" w:cs="Arial" w:eastAsia="Arial" w:hAnsi="Arial"/>
                <w:sz w:val="15"/>
                <w:szCs w:val="15"/>
                <w:b w:val="1"/>
                <w:bCs w:val="1"/>
                <w:color w:val="125288"/>
              </w:rPr>
              <w:t>Executive</w:t>
            </w:r>
          </w:p>
        </w:tc>
        <w:tc>
          <w:tcPr>
            <w:tcW w:w="3780" w:type="dxa"/>
            <w:vAlign w:val="bottom"/>
            <w:tcBorders>
              <w:bottom w:val="single" w:sz="8" w:color="125288"/>
            </w:tcBorders>
          </w:tcPr>
          <w:p>
            <w:pPr>
              <w:jc w:val="right"/>
              <w:ind w:right="838"/>
              <w:spacing w:after="0" w:line="275" w:lineRule="exact"/>
              <w:rPr>
                <w:sz w:val="20"/>
                <w:szCs w:val="20"/>
                <w:color w:val="auto"/>
              </w:rPr>
            </w:pPr>
            <w:r>
              <w:rPr>
                <w:rFonts w:ascii="Arial" w:cs="Arial" w:eastAsia="Arial" w:hAnsi="Arial"/>
                <w:sz w:val="15"/>
                <w:szCs w:val="15"/>
                <w:b w:val="1"/>
                <w:bCs w:val="1"/>
                <w:color w:val="125288"/>
              </w:rPr>
              <w:t>($)</w:t>
            </w:r>
            <w:r>
              <w:rPr>
                <w:rFonts w:ascii="Arial" w:cs="Arial" w:eastAsia="Arial" w:hAnsi="Arial"/>
                <w:sz w:val="25"/>
                <w:szCs w:val="25"/>
                <w:b w:val="1"/>
                <w:bCs w:val="1"/>
                <w:color w:val="125288"/>
                <w:vertAlign w:val="superscript"/>
              </w:rPr>
              <w:t>(1)</w:t>
            </w:r>
          </w:p>
        </w:tc>
        <w:tc>
          <w:tcPr>
            <w:tcW w:w="2640" w:type="dxa"/>
            <w:vAlign w:val="bottom"/>
            <w:tcBorders>
              <w:bottom w:val="single" w:sz="8" w:color="125288"/>
            </w:tcBorders>
          </w:tcPr>
          <w:p>
            <w:pPr>
              <w:jc w:val="right"/>
              <w:ind w:right="860"/>
              <w:spacing w:after="0"/>
              <w:rPr>
                <w:sz w:val="20"/>
                <w:szCs w:val="20"/>
                <w:color w:val="auto"/>
              </w:rPr>
            </w:pPr>
            <w:r>
              <w:rPr>
                <w:rFonts w:ascii="Arial" w:cs="Arial" w:eastAsia="Arial" w:hAnsi="Arial"/>
                <w:sz w:val="15"/>
                <w:szCs w:val="15"/>
                <w:b w:val="1"/>
                <w:bCs w:val="1"/>
                <w:color w:val="125288"/>
              </w:rPr>
              <w:t>(% of Salary)</w:t>
            </w:r>
          </w:p>
        </w:tc>
        <w:tc>
          <w:tcPr>
            <w:tcW w:w="1960" w:type="dxa"/>
            <w:vAlign w:val="bottom"/>
            <w:tcBorders>
              <w:bottom w:val="single" w:sz="8" w:color="125288"/>
            </w:tcBorders>
          </w:tcPr>
          <w:p>
            <w:pPr>
              <w:jc w:val="right"/>
              <w:ind w:right="198"/>
              <w:spacing w:after="0"/>
              <w:rPr>
                <w:sz w:val="20"/>
                <w:szCs w:val="20"/>
                <w:color w:val="auto"/>
              </w:rPr>
            </w:pPr>
            <w:r>
              <w:rPr>
                <w:rFonts w:ascii="Arial" w:cs="Arial" w:eastAsia="Arial" w:hAnsi="Arial"/>
                <w:sz w:val="15"/>
                <w:szCs w:val="15"/>
                <w:b w:val="1"/>
                <w:bCs w:val="1"/>
                <w:color w:val="125288"/>
              </w:rPr>
              <w:t>($)</w:t>
            </w:r>
          </w:p>
        </w:tc>
      </w:tr>
      <w:tr>
        <w:trPr>
          <w:trHeight w:val="372"/>
        </w:trPr>
        <w:tc>
          <w:tcPr>
            <w:tcW w:w="2880" w:type="dxa"/>
            <w:vAlign w:val="bottom"/>
            <w:tcBorders>
              <w:bottom w:val="single" w:sz="8" w:color="125288"/>
            </w:tcBorders>
          </w:tcPr>
          <w:p>
            <w:pPr>
              <w:ind w:left="40"/>
              <w:spacing w:after="0"/>
              <w:rPr>
                <w:sz w:val="20"/>
                <w:szCs w:val="20"/>
                <w:color w:val="auto"/>
              </w:rPr>
            </w:pPr>
            <w:r>
              <w:rPr>
                <w:rFonts w:ascii="Arial" w:cs="Arial" w:eastAsia="Arial" w:hAnsi="Arial"/>
                <w:sz w:val="17"/>
                <w:szCs w:val="17"/>
                <w:b w:val="1"/>
                <w:bCs w:val="1"/>
                <w:color w:val="auto"/>
              </w:rPr>
              <w:t>Robert Kotick</w:t>
            </w:r>
          </w:p>
        </w:tc>
        <w:tc>
          <w:tcPr>
            <w:tcW w:w="3780" w:type="dxa"/>
            <w:vAlign w:val="bottom"/>
            <w:tcBorders>
              <w:bottom w:val="single" w:sz="8" w:color="125288"/>
            </w:tcBorders>
          </w:tcPr>
          <w:p>
            <w:pPr>
              <w:jc w:val="right"/>
              <w:ind w:right="678"/>
              <w:spacing w:after="0"/>
              <w:rPr>
                <w:sz w:val="20"/>
                <w:szCs w:val="20"/>
                <w:color w:val="auto"/>
              </w:rPr>
            </w:pPr>
            <w:r>
              <w:rPr>
                <w:rFonts w:ascii="Arial" w:cs="Arial" w:eastAsia="Arial" w:hAnsi="Arial"/>
                <w:sz w:val="17"/>
                <w:szCs w:val="17"/>
                <w:color w:val="auto"/>
              </w:rPr>
              <w:t>743,750</w:t>
            </w:r>
            <w:r>
              <w:rPr>
                <w:rFonts w:ascii="Arial" w:cs="Arial" w:eastAsia="Arial" w:hAnsi="Arial"/>
                <w:sz w:val="27"/>
                <w:szCs w:val="27"/>
                <w:color w:val="auto"/>
                <w:vertAlign w:val="superscript"/>
              </w:rPr>
              <w:t>(2)</w:t>
            </w:r>
          </w:p>
        </w:tc>
        <w:tc>
          <w:tcPr>
            <w:tcW w:w="2640" w:type="dxa"/>
            <w:vAlign w:val="bottom"/>
            <w:tcBorders>
              <w:bottom w:val="single" w:sz="8" w:color="125288"/>
            </w:tcBorders>
          </w:tcPr>
          <w:p>
            <w:pPr>
              <w:jc w:val="right"/>
              <w:ind w:right="700"/>
              <w:spacing w:after="0" w:line="369" w:lineRule="exact"/>
              <w:rPr>
                <w:sz w:val="20"/>
                <w:szCs w:val="20"/>
                <w:color w:val="auto"/>
              </w:rPr>
            </w:pPr>
            <w:r>
              <w:rPr>
                <w:rFonts w:ascii="Arial" w:cs="Arial" w:eastAsia="Arial" w:hAnsi="Arial"/>
                <w:sz w:val="33"/>
                <w:szCs w:val="33"/>
                <w:color w:val="auto"/>
                <w:vertAlign w:val="subscript"/>
              </w:rPr>
              <w:t>200</w:t>
            </w:r>
            <w:r>
              <w:rPr>
                <w:rFonts w:ascii="Arial" w:cs="Arial" w:eastAsia="Arial" w:hAnsi="Arial"/>
                <w:sz w:val="14"/>
                <w:szCs w:val="14"/>
                <w:color w:val="auto"/>
              </w:rPr>
              <w:t>(2)</w:t>
            </w:r>
          </w:p>
        </w:tc>
        <w:tc>
          <w:tcPr>
            <w:tcW w:w="1960" w:type="dxa"/>
            <w:vAlign w:val="bottom"/>
            <w:tcBorders>
              <w:bottom w:val="single" w:sz="8" w:color="125288"/>
            </w:tcBorders>
          </w:tcPr>
          <w:p>
            <w:pPr>
              <w:jc w:val="right"/>
              <w:ind w:right="38"/>
              <w:spacing w:after="0"/>
              <w:rPr>
                <w:sz w:val="20"/>
                <w:szCs w:val="20"/>
                <w:color w:val="auto"/>
              </w:rPr>
            </w:pPr>
            <w:r>
              <w:rPr>
                <w:rFonts w:ascii="Arial" w:cs="Arial" w:eastAsia="Arial" w:hAnsi="Arial"/>
                <w:sz w:val="17"/>
                <w:szCs w:val="17"/>
                <w:color w:val="auto"/>
              </w:rPr>
              <w:t>1,487,500</w:t>
            </w:r>
            <w:r>
              <w:rPr>
                <w:rFonts w:ascii="Arial" w:cs="Arial" w:eastAsia="Arial" w:hAnsi="Arial"/>
                <w:sz w:val="27"/>
                <w:szCs w:val="27"/>
                <w:color w:val="auto"/>
                <w:vertAlign w:val="superscript"/>
              </w:rPr>
              <w:t>(2)</w:t>
            </w:r>
          </w:p>
        </w:tc>
      </w:tr>
      <w:tr>
        <w:trPr>
          <w:trHeight w:val="372"/>
        </w:trPr>
        <w:tc>
          <w:tcPr>
            <w:tcW w:w="2880" w:type="dxa"/>
            <w:vAlign w:val="bottom"/>
            <w:tcBorders>
              <w:bottom w:val="single" w:sz="8" w:color="125288"/>
            </w:tcBorders>
          </w:tcPr>
          <w:p>
            <w:pPr>
              <w:ind w:left="40"/>
              <w:spacing w:after="0"/>
              <w:rPr>
                <w:sz w:val="20"/>
                <w:szCs w:val="20"/>
                <w:color w:val="auto"/>
              </w:rPr>
            </w:pPr>
            <w:r>
              <w:rPr>
                <w:rFonts w:ascii="Arial" w:cs="Arial" w:eastAsia="Arial" w:hAnsi="Arial"/>
                <w:sz w:val="17"/>
                <w:szCs w:val="17"/>
                <w:b w:val="1"/>
                <w:bCs w:val="1"/>
                <w:color w:val="auto"/>
              </w:rPr>
              <w:t>Armin Zerza</w:t>
            </w:r>
          </w:p>
        </w:tc>
        <w:tc>
          <w:tcPr>
            <w:tcW w:w="3780" w:type="dxa"/>
            <w:vAlign w:val="bottom"/>
            <w:tcBorders>
              <w:bottom w:val="single" w:sz="8" w:color="125288"/>
            </w:tcBorders>
          </w:tcPr>
          <w:p>
            <w:pPr>
              <w:jc w:val="right"/>
              <w:ind w:right="838"/>
              <w:spacing w:after="0"/>
              <w:rPr>
                <w:sz w:val="20"/>
                <w:szCs w:val="20"/>
                <w:color w:val="auto"/>
              </w:rPr>
            </w:pPr>
            <w:r>
              <w:rPr>
                <w:rFonts w:ascii="Arial" w:cs="Arial" w:eastAsia="Arial" w:hAnsi="Arial"/>
                <w:sz w:val="17"/>
                <w:szCs w:val="17"/>
                <w:color w:val="auto"/>
              </w:rPr>
              <w:t>756,454</w:t>
            </w:r>
          </w:p>
        </w:tc>
        <w:tc>
          <w:tcPr>
            <w:tcW w:w="2640" w:type="dxa"/>
            <w:vAlign w:val="bottom"/>
            <w:tcBorders>
              <w:bottom w:val="single" w:sz="8" w:color="125288"/>
            </w:tcBorders>
          </w:tcPr>
          <w:p>
            <w:pPr>
              <w:jc w:val="right"/>
              <w:ind w:right="700"/>
              <w:spacing w:after="0"/>
              <w:rPr>
                <w:sz w:val="20"/>
                <w:szCs w:val="20"/>
                <w:color w:val="auto"/>
              </w:rPr>
            </w:pPr>
            <w:r>
              <w:rPr>
                <w:rFonts w:ascii="Arial" w:cs="Arial" w:eastAsia="Arial" w:hAnsi="Arial"/>
                <w:sz w:val="17"/>
                <w:szCs w:val="17"/>
                <w:color w:val="auto"/>
              </w:rPr>
              <w:t>132</w:t>
            </w:r>
            <w:r>
              <w:rPr>
                <w:rFonts w:ascii="Arial" w:cs="Arial" w:eastAsia="Arial" w:hAnsi="Arial"/>
                <w:sz w:val="27"/>
                <w:szCs w:val="27"/>
                <w:color w:val="auto"/>
                <w:vertAlign w:val="superscript"/>
              </w:rPr>
              <w:t>(3)</w:t>
            </w:r>
          </w:p>
        </w:tc>
        <w:tc>
          <w:tcPr>
            <w:tcW w:w="1960" w:type="dxa"/>
            <w:vAlign w:val="bottom"/>
            <w:tcBorders>
              <w:bottom w:val="single" w:sz="8" w:color="125288"/>
            </w:tcBorders>
          </w:tcPr>
          <w:p>
            <w:pPr>
              <w:jc w:val="right"/>
              <w:ind w:right="198"/>
              <w:spacing w:after="0"/>
              <w:rPr>
                <w:sz w:val="20"/>
                <w:szCs w:val="20"/>
                <w:color w:val="auto"/>
              </w:rPr>
            </w:pPr>
            <w:r>
              <w:rPr>
                <w:rFonts w:ascii="Arial" w:cs="Arial" w:eastAsia="Arial" w:hAnsi="Arial"/>
                <w:sz w:val="17"/>
                <w:szCs w:val="17"/>
                <w:color w:val="auto"/>
              </w:rPr>
              <w:t>994,789</w:t>
            </w:r>
          </w:p>
        </w:tc>
      </w:tr>
      <w:tr>
        <w:trPr>
          <w:trHeight w:val="372"/>
        </w:trPr>
        <w:tc>
          <w:tcPr>
            <w:tcW w:w="2880" w:type="dxa"/>
            <w:vAlign w:val="bottom"/>
            <w:tcBorders>
              <w:bottom w:val="single" w:sz="8" w:color="125288"/>
            </w:tcBorders>
          </w:tcPr>
          <w:p>
            <w:pPr>
              <w:ind w:left="40"/>
              <w:spacing w:after="0"/>
              <w:rPr>
                <w:sz w:val="20"/>
                <w:szCs w:val="20"/>
                <w:color w:val="auto"/>
              </w:rPr>
            </w:pPr>
            <w:r>
              <w:rPr>
                <w:rFonts w:ascii="Arial" w:cs="Arial" w:eastAsia="Arial" w:hAnsi="Arial"/>
                <w:sz w:val="17"/>
                <w:szCs w:val="17"/>
                <w:b w:val="1"/>
                <w:bCs w:val="1"/>
                <w:color w:val="auto"/>
              </w:rPr>
              <w:t>Daniel Alegre</w:t>
            </w:r>
          </w:p>
        </w:tc>
        <w:tc>
          <w:tcPr>
            <w:tcW w:w="3780" w:type="dxa"/>
            <w:vAlign w:val="bottom"/>
            <w:tcBorders>
              <w:bottom w:val="single" w:sz="8" w:color="125288"/>
            </w:tcBorders>
          </w:tcPr>
          <w:p>
            <w:pPr>
              <w:jc w:val="right"/>
              <w:ind w:right="838"/>
              <w:spacing w:after="0"/>
              <w:rPr>
                <w:sz w:val="20"/>
                <w:szCs w:val="20"/>
                <w:color w:val="auto"/>
              </w:rPr>
            </w:pPr>
            <w:r>
              <w:rPr>
                <w:rFonts w:ascii="Arial" w:cs="Arial" w:eastAsia="Arial" w:hAnsi="Arial"/>
                <w:sz w:val="17"/>
                <w:szCs w:val="17"/>
                <w:color w:val="auto"/>
              </w:rPr>
              <w:t>1,350,000</w:t>
            </w:r>
          </w:p>
        </w:tc>
        <w:tc>
          <w:tcPr>
            <w:tcW w:w="2640" w:type="dxa"/>
            <w:vAlign w:val="bottom"/>
            <w:tcBorders>
              <w:bottom w:val="single" w:sz="8" w:color="125288"/>
            </w:tcBorders>
          </w:tcPr>
          <w:p>
            <w:pPr>
              <w:jc w:val="right"/>
              <w:ind w:right="700"/>
              <w:spacing w:after="0"/>
              <w:rPr>
                <w:sz w:val="20"/>
                <w:szCs w:val="20"/>
                <w:color w:val="auto"/>
              </w:rPr>
            </w:pPr>
            <w:r>
              <w:rPr>
                <w:rFonts w:ascii="Arial" w:cs="Arial" w:eastAsia="Arial" w:hAnsi="Arial"/>
                <w:sz w:val="17"/>
                <w:szCs w:val="17"/>
                <w:color w:val="auto"/>
              </w:rPr>
              <w:t>100</w:t>
            </w:r>
            <w:r>
              <w:rPr>
                <w:rFonts w:ascii="Arial" w:cs="Arial" w:eastAsia="Arial" w:hAnsi="Arial"/>
                <w:sz w:val="27"/>
                <w:szCs w:val="27"/>
                <w:color w:val="auto"/>
                <w:vertAlign w:val="superscript"/>
              </w:rPr>
              <w:t>(4)</w:t>
            </w:r>
          </w:p>
        </w:tc>
        <w:tc>
          <w:tcPr>
            <w:tcW w:w="1960" w:type="dxa"/>
            <w:vAlign w:val="bottom"/>
            <w:tcBorders>
              <w:bottom w:val="single" w:sz="8" w:color="125288"/>
            </w:tcBorders>
          </w:tcPr>
          <w:p>
            <w:pPr>
              <w:jc w:val="right"/>
              <w:ind w:right="198"/>
              <w:spacing w:after="0"/>
              <w:rPr>
                <w:sz w:val="20"/>
                <w:szCs w:val="20"/>
                <w:color w:val="auto"/>
              </w:rPr>
            </w:pPr>
            <w:r>
              <w:rPr>
                <w:rFonts w:ascii="Arial" w:cs="Arial" w:eastAsia="Arial" w:hAnsi="Arial"/>
                <w:sz w:val="17"/>
                <w:szCs w:val="17"/>
                <w:color w:val="auto"/>
              </w:rPr>
              <w:t>1,350,000</w:t>
            </w:r>
          </w:p>
        </w:tc>
      </w:tr>
      <w:tr>
        <w:trPr>
          <w:trHeight w:val="276"/>
        </w:trPr>
        <w:tc>
          <w:tcPr>
            <w:tcW w:w="2880" w:type="dxa"/>
            <w:vAlign w:val="bottom"/>
          </w:tcPr>
          <w:p>
            <w:pPr>
              <w:ind w:left="40"/>
              <w:spacing w:after="0"/>
              <w:rPr>
                <w:sz w:val="20"/>
                <w:szCs w:val="20"/>
                <w:color w:val="auto"/>
              </w:rPr>
            </w:pPr>
            <w:r>
              <w:rPr>
                <w:rFonts w:ascii="Arial" w:cs="Arial" w:eastAsia="Arial" w:hAnsi="Arial"/>
                <w:sz w:val="17"/>
                <w:szCs w:val="17"/>
                <w:b w:val="1"/>
                <w:bCs w:val="1"/>
                <w:color w:val="auto"/>
              </w:rPr>
              <w:t>Brian Bulatao</w:t>
            </w:r>
          </w:p>
        </w:tc>
        <w:tc>
          <w:tcPr>
            <w:tcW w:w="3780" w:type="dxa"/>
            <w:vAlign w:val="bottom"/>
          </w:tcPr>
          <w:p>
            <w:pPr>
              <w:jc w:val="right"/>
              <w:ind w:right="838"/>
              <w:spacing w:after="0"/>
              <w:rPr>
                <w:sz w:val="20"/>
                <w:szCs w:val="20"/>
                <w:color w:val="auto"/>
              </w:rPr>
            </w:pPr>
            <w:r>
              <w:rPr>
                <w:rFonts w:ascii="Arial" w:cs="Arial" w:eastAsia="Arial" w:hAnsi="Arial"/>
                <w:sz w:val="17"/>
                <w:szCs w:val="17"/>
                <w:color w:val="auto"/>
              </w:rPr>
              <w:t>903,846</w:t>
            </w:r>
          </w:p>
        </w:tc>
        <w:tc>
          <w:tcPr>
            <w:tcW w:w="2640" w:type="dxa"/>
            <w:vAlign w:val="bottom"/>
          </w:tcPr>
          <w:p>
            <w:pPr>
              <w:jc w:val="right"/>
              <w:ind w:right="860"/>
              <w:spacing w:after="0"/>
              <w:rPr>
                <w:sz w:val="20"/>
                <w:szCs w:val="20"/>
                <w:color w:val="auto"/>
              </w:rPr>
            </w:pPr>
            <w:r>
              <w:rPr>
                <w:rFonts w:ascii="Arial" w:cs="Arial" w:eastAsia="Arial" w:hAnsi="Arial"/>
                <w:sz w:val="17"/>
                <w:szCs w:val="17"/>
                <w:color w:val="auto"/>
              </w:rPr>
              <w:t>100</w:t>
            </w:r>
          </w:p>
        </w:tc>
        <w:tc>
          <w:tcPr>
            <w:tcW w:w="1960" w:type="dxa"/>
            <w:vAlign w:val="bottom"/>
          </w:tcPr>
          <w:p>
            <w:pPr>
              <w:jc w:val="right"/>
              <w:ind w:right="198"/>
              <w:spacing w:after="0"/>
              <w:rPr>
                <w:sz w:val="20"/>
                <w:szCs w:val="20"/>
                <w:color w:val="auto"/>
              </w:rPr>
            </w:pPr>
            <w:r>
              <w:rPr>
                <w:rFonts w:ascii="Arial" w:cs="Arial" w:eastAsia="Arial" w:hAnsi="Arial"/>
                <w:sz w:val="17"/>
                <w:szCs w:val="17"/>
                <w:color w:val="auto"/>
              </w:rPr>
              <w:t>903,846</w:t>
            </w:r>
          </w:p>
        </w:tc>
      </w:tr>
      <w:tr>
        <w:trPr>
          <w:trHeight w:val="85"/>
        </w:trPr>
        <w:tc>
          <w:tcPr>
            <w:tcW w:w="2880" w:type="dxa"/>
            <w:vAlign w:val="bottom"/>
            <w:tcBorders>
              <w:bottom w:val="single" w:sz="8" w:color="125288"/>
            </w:tcBorders>
          </w:tcPr>
          <w:p>
            <w:pPr>
              <w:spacing w:after="0"/>
              <w:rPr>
                <w:sz w:val="7"/>
                <w:szCs w:val="7"/>
                <w:color w:val="auto"/>
              </w:rPr>
            </w:pPr>
          </w:p>
        </w:tc>
        <w:tc>
          <w:tcPr>
            <w:tcW w:w="3780" w:type="dxa"/>
            <w:vAlign w:val="bottom"/>
            <w:tcBorders>
              <w:bottom w:val="single" w:sz="8" w:color="125288"/>
            </w:tcBorders>
          </w:tcPr>
          <w:p>
            <w:pPr>
              <w:spacing w:after="0"/>
              <w:rPr>
                <w:sz w:val="7"/>
                <w:szCs w:val="7"/>
                <w:color w:val="auto"/>
              </w:rPr>
            </w:pPr>
          </w:p>
        </w:tc>
        <w:tc>
          <w:tcPr>
            <w:tcW w:w="2640" w:type="dxa"/>
            <w:vAlign w:val="bottom"/>
            <w:tcBorders>
              <w:bottom w:val="single" w:sz="8" w:color="125288"/>
            </w:tcBorders>
          </w:tcPr>
          <w:p>
            <w:pPr>
              <w:spacing w:after="0"/>
              <w:rPr>
                <w:sz w:val="7"/>
                <w:szCs w:val="7"/>
                <w:color w:val="auto"/>
              </w:rPr>
            </w:pPr>
          </w:p>
        </w:tc>
        <w:tc>
          <w:tcPr>
            <w:tcW w:w="1960" w:type="dxa"/>
            <w:vAlign w:val="bottom"/>
            <w:tcBorders>
              <w:bottom w:val="single" w:sz="8" w:color="125288"/>
            </w:tcBorders>
          </w:tcPr>
          <w:p>
            <w:pPr>
              <w:spacing w:after="0"/>
              <w:rPr>
                <w:sz w:val="7"/>
                <w:szCs w:val="7"/>
                <w:color w:val="auto"/>
              </w:rPr>
            </w:pPr>
          </w:p>
        </w:tc>
      </w:tr>
      <w:tr>
        <w:trPr>
          <w:trHeight w:val="276"/>
        </w:trPr>
        <w:tc>
          <w:tcPr>
            <w:tcW w:w="2880" w:type="dxa"/>
            <w:vAlign w:val="bottom"/>
          </w:tcPr>
          <w:p>
            <w:pPr>
              <w:ind w:left="40"/>
              <w:spacing w:after="0"/>
              <w:rPr>
                <w:sz w:val="20"/>
                <w:szCs w:val="20"/>
                <w:color w:val="auto"/>
              </w:rPr>
            </w:pPr>
            <w:r>
              <w:rPr>
                <w:rFonts w:ascii="Arial" w:cs="Arial" w:eastAsia="Arial" w:hAnsi="Arial"/>
                <w:sz w:val="17"/>
                <w:szCs w:val="17"/>
                <w:b w:val="1"/>
                <w:bCs w:val="1"/>
                <w:color w:val="auto"/>
              </w:rPr>
              <w:t>Grant Dixton</w:t>
            </w:r>
          </w:p>
        </w:tc>
        <w:tc>
          <w:tcPr>
            <w:tcW w:w="3780" w:type="dxa"/>
            <w:vAlign w:val="bottom"/>
          </w:tcPr>
          <w:p>
            <w:pPr>
              <w:jc w:val="right"/>
              <w:ind w:right="838"/>
              <w:spacing w:after="0"/>
              <w:rPr>
                <w:sz w:val="20"/>
                <w:szCs w:val="20"/>
                <w:color w:val="auto"/>
              </w:rPr>
            </w:pPr>
            <w:r>
              <w:rPr>
                <w:rFonts w:ascii="Arial" w:cs="Arial" w:eastAsia="Arial" w:hAnsi="Arial"/>
                <w:sz w:val="17"/>
                <w:szCs w:val="17"/>
                <w:color w:val="auto"/>
              </w:rPr>
              <w:t>403,846</w:t>
            </w:r>
          </w:p>
        </w:tc>
        <w:tc>
          <w:tcPr>
            <w:tcW w:w="2640" w:type="dxa"/>
            <w:vAlign w:val="bottom"/>
          </w:tcPr>
          <w:p>
            <w:pPr>
              <w:jc w:val="right"/>
              <w:ind w:right="860"/>
              <w:spacing w:after="0"/>
              <w:rPr>
                <w:sz w:val="20"/>
                <w:szCs w:val="20"/>
                <w:color w:val="auto"/>
              </w:rPr>
            </w:pPr>
            <w:r>
              <w:rPr>
                <w:rFonts w:ascii="Arial" w:cs="Arial" w:eastAsia="Arial" w:hAnsi="Arial"/>
                <w:sz w:val="17"/>
                <w:szCs w:val="17"/>
                <w:color w:val="auto"/>
              </w:rPr>
              <w:t>75</w:t>
            </w:r>
          </w:p>
        </w:tc>
        <w:tc>
          <w:tcPr>
            <w:tcW w:w="1960" w:type="dxa"/>
            <w:vAlign w:val="bottom"/>
          </w:tcPr>
          <w:p>
            <w:pPr>
              <w:jc w:val="right"/>
              <w:ind w:right="198"/>
              <w:spacing w:after="0"/>
              <w:rPr>
                <w:sz w:val="20"/>
                <w:szCs w:val="20"/>
                <w:color w:val="auto"/>
              </w:rPr>
            </w:pPr>
            <w:r>
              <w:rPr>
                <w:rFonts w:ascii="Arial" w:cs="Arial" w:eastAsia="Arial" w:hAnsi="Arial"/>
                <w:sz w:val="17"/>
                <w:szCs w:val="17"/>
                <w:color w:val="auto"/>
              </w:rPr>
              <w:t>302,885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148830" cy="152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135" w:lineRule="exact"/>
        <w:rPr>
          <w:sz w:val="20"/>
          <w:szCs w:val="20"/>
          <w:color w:val="auto"/>
        </w:rPr>
      </w:pPr>
    </w:p>
    <w:p>
      <w:pPr>
        <w:ind w:left="320" w:hanging="277"/>
        <w:spacing w:after="0"/>
        <w:tabs>
          <w:tab w:leader="none" w:pos="320" w:val="left"/>
        </w:tabs>
        <w:numPr>
          <w:ilvl w:val="0"/>
          <w:numId w:val="94"/>
        </w:numPr>
        <w:rPr>
          <w:rFonts w:ascii="Arial" w:cs="Arial" w:eastAsia="Arial" w:hAnsi="Arial"/>
          <w:sz w:val="15"/>
          <w:szCs w:val="15"/>
          <w:color w:val="auto"/>
        </w:rPr>
      </w:pPr>
      <w:r>
        <w:rPr>
          <w:rFonts w:ascii="Arial" w:cs="Arial" w:eastAsia="Arial" w:hAnsi="Arial"/>
          <w:sz w:val="15"/>
          <w:szCs w:val="15"/>
          <w:color w:val="auto"/>
        </w:rPr>
        <w:t>“Eligible Salary” is the amount actually paid in 2021.</w:t>
      </w:r>
    </w:p>
    <w:p>
      <w:pPr>
        <w:spacing w:after="0" w:line="41" w:lineRule="exact"/>
        <w:rPr>
          <w:rFonts w:ascii="Arial" w:cs="Arial" w:eastAsia="Arial" w:hAnsi="Arial"/>
          <w:sz w:val="15"/>
          <w:szCs w:val="15"/>
          <w:color w:val="auto"/>
        </w:rPr>
      </w:pPr>
    </w:p>
    <w:p>
      <w:pPr>
        <w:ind w:left="320" w:right="80" w:hanging="277"/>
        <w:spacing w:after="0" w:line="266" w:lineRule="auto"/>
        <w:tabs>
          <w:tab w:leader="none" w:pos="320" w:val="left"/>
        </w:tabs>
        <w:numPr>
          <w:ilvl w:val="0"/>
          <w:numId w:val="94"/>
        </w:numPr>
        <w:rPr>
          <w:rFonts w:ascii="Arial" w:cs="Arial" w:eastAsia="Arial" w:hAnsi="Arial"/>
          <w:sz w:val="15"/>
          <w:szCs w:val="15"/>
          <w:color w:val="auto"/>
        </w:rPr>
      </w:pPr>
      <w:r>
        <w:rPr>
          <w:rFonts w:ascii="Arial" w:cs="Arial" w:eastAsia="Arial" w:hAnsi="Arial"/>
          <w:sz w:val="15"/>
          <w:szCs w:val="15"/>
          <w:color w:val="auto"/>
        </w:rPr>
        <w:t>Mr. Kotick did not receive a bonus during 2021. If and when the Workplace Responsibility Committee determines that the Company has made appropriate progress toward the achievement of the Transformational Goals, Mr. Kotick will be eligible to receive an annual bonus.</w:t>
      </w:r>
    </w:p>
    <w:p>
      <w:pPr>
        <w:spacing w:after="0" w:line="9" w:lineRule="exact"/>
        <w:rPr>
          <w:rFonts w:ascii="Arial" w:cs="Arial" w:eastAsia="Arial" w:hAnsi="Arial"/>
          <w:sz w:val="15"/>
          <w:szCs w:val="15"/>
          <w:color w:val="auto"/>
        </w:rPr>
      </w:pPr>
    </w:p>
    <w:p>
      <w:pPr>
        <w:ind w:left="320" w:right="80" w:hanging="277"/>
        <w:spacing w:after="0" w:line="266" w:lineRule="auto"/>
        <w:tabs>
          <w:tab w:leader="none" w:pos="320" w:val="left"/>
        </w:tabs>
        <w:numPr>
          <w:ilvl w:val="0"/>
          <w:numId w:val="94"/>
        </w:numPr>
        <w:rPr>
          <w:rFonts w:ascii="Arial" w:cs="Arial" w:eastAsia="Arial" w:hAnsi="Arial"/>
          <w:sz w:val="15"/>
          <w:szCs w:val="15"/>
          <w:color w:val="auto"/>
        </w:rPr>
      </w:pPr>
      <w:r>
        <w:rPr>
          <w:rFonts w:ascii="Arial" w:cs="Arial" w:eastAsia="Arial" w:hAnsi="Arial"/>
          <w:sz w:val="15"/>
          <w:szCs w:val="15"/>
          <w:color w:val="auto"/>
        </w:rPr>
        <w:t>Mr. Zerza’s target bonus opportunity under the CAIP was increased from 75% to 150% of his base salary when he was elected as our Chief Financial Officer on April 1, 2021.</w:t>
      </w:r>
    </w:p>
    <w:p>
      <w:pPr>
        <w:spacing w:after="0" w:line="9" w:lineRule="exact"/>
        <w:rPr>
          <w:rFonts w:ascii="Arial" w:cs="Arial" w:eastAsia="Arial" w:hAnsi="Arial"/>
          <w:sz w:val="15"/>
          <w:szCs w:val="15"/>
          <w:color w:val="auto"/>
        </w:rPr>
      </w:pPr>
    </w:p>
    <w:p>
      <w:pPr>
        <w:jc w:val="both"/>
        <w:ind w:left="320" w:right="80" w:hanging="277"/>
        <w:spacing w:after="0" w:line="252" w:lineRule="auto"/>
        <w:tabs>
          <w:tab w:leader="none" w:pos="320" w:val="left"/>
        </w:tabs>
        <w:numPr>
          <w:ilvl w:val="0"/>
          <w:numId w:val="94"/>
        </w:numPr>
        <w:rPr>
          <w:rFonts w:ascii="Arial" w:cs="Arial" w:eastAsia="Arial" w:hAnsi="Arial"/>
          <w:sz w:val="15"/>
          <w:szCs w:val="15"/>
          <w:color w:val="auto"/>
        </w:rPr>
      </w:pPr>
      <w:r>
        <w:rPr>
          <w:rFonts w:ascii="Arial" w:cs="Arial" w:eastAsia="Arial" w:hAnsi="Arial"/>
          <w:sz w:val="15"/>
          <w:szCs w:val="15"/>
          <w:color w:val="auto"/>
        </w:rPr>
        <w:t>Mr. Alegre has an opportunity to receive a bonus with a target amount of 100% of his base salary. This target is increased by up to 100% of his base salary for each year in which AB Adjusted EPS is at least 10% greater than the higher of (x) the AB Adjusted EPS AOP objective for the prior year and (y) the prior year’s actual AB Adjusted EPS (the higher of the two, the “EPS Objective”). As AB Adjusted EPS for 2021 was less than 10% of the EPS Objective, Mr. Alegre’s target bonus for 2021 remained 100% of his base salary. For more information on Mr. Alegre’s bonus opportunity under the CAIP, see “—Employment Agreements—Daniel Alegre—Annual Bonus” below.</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color w:val="125288"/>
        </w:rPr>
        <w:t>Actual CAIP Awards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53910" cy="6921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3910" cy="692150"/>
                    </a:xfrm>
                    <a:prstGeom prst="rect">
                      <a:avLst/>
                    </a:prstGeom>
                    <a:noFill/>
                  </pic:spPr>
                </pic:pic>
              </a:graphicData>
            </a:graphic>
          </wp:anchor>
        </w:drawing>
      </w:r>
    </w:p>
    <w:p>
      <w:pPr>
        <w:spacing w:after="0" w:line="177" w:lineRule="exact"/>
        <w:rPr>
          <w:sz w:val="20"/>
          <w:szCs w:val="20"/>
          <w:color w:val="auto"/>
        </w:rPr>
      </w:pPr>
    </w:p>
    <w:p>
      <w:pPr>
        <w:jc w:val="both"/>
        <w:ind w:left="100" w:right="100"/>
        <w:spacing w:after="0" w:line="247" w:lineRule="auto"/>
        <w:rPr>
          <w:sz w:val="20"/>
          <w:szCs w:val="20"/>
          <w:color w:val="auto"/>
        </w:rPr>
      </w:pPr>
      <w:r>
        <w:rPr>
          <w:rFonts w:ascii="Arial" w:cs="Arial" w:eastAsia="Arial" w:hAnsi="Arial"/>
          <w:sz w:val="19"/>
          <w:szCs w:val="19"/>
          <w:b w:val="1"/>
          <w:bCs w:val="1"/>
          <w:color w:val="125288"/>
        </w:rPr>
        <w:t>AB Adjusted OI must meet 90% of the operating income target for the NEOs to be entitled to their bonuses. As we did not reach threshold AB Adjusted OI for 2021, the NEOs did not receive any payouts under the CAIP. Nevertheless, management reviewed financial and strategic objective achievements for the NEOs with the Compensation Committee. The details of their achievements follow.</w:t>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color w:val="125288"/>
        </w:rPr>
        <w:t>Financial Performance Score (80%)</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financial metrics underlying the target opportunity for the NEOs under the CAIP for 2021 were AB Adjusted EPS, AB Adjusted OI, and AB Adjusted Free Cash Flow. The Compensation Committee believes these financial measures are robust indicators of our overall performance, capturing fluctuations in sales as well as operating costs, and, as such, provide incentives to our executives to achieve objectives that contribute to increasing shareholder value.</w:t>
      </w:r>
    </w:p>
    <w:p>
      <w:pPr>
        <w:spacing w:after="0" w:line="263"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CAIP goals are determined by reference to our AOP, which is set through a rigorous process and includes a detailed review of market trends, a “bottoms-up” build of financial objectives based on each franchise’s content plans, and the creation of a detailed budget with respect to all anticipated operating costs. Ranges are established around the AOP “target” to reflect the minimum level of performance that will be rewarded, and a maximum level of performance that reflects potential “stretch” scenarios. While a number of companies in our peer group require achievement at 105% to 125% of the target to earn maximum payouts, our plan requires achievement of 150% to 200% of target performance to earn maximum payouts.</w:t>
      </w:r>
    </w:p>
    <w:p>
      <w:pPr>
        <w:spacing w:after="0" w:line="157"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77" w:name="page78"/>
    <w:bookmarkEnd w:id="77"/>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35" w:lineRule="exact"/>
        <w:rPr>
          <w:sz w:val="20"/>
          <w:szCs w:val="20"/>
          <w:color w:val="auto"/>
        </w:rPr>
      </w:pPr>
    </w:p>
    <w:p>
      <w:pPr>
        <w:ind w:right="20"/>
        <w:spacing w:after="0" w:line="245" w:lineRule="auto"/>
        <w:rPr>
          <w:sz w:val="20"/>
          <w:szCs w:val="20"/>
          <w:color w:val="auto"/>
        </w:rPr>
      </w:pPr>
      <w:r>
        <w:rPr>
          <w:rFonts w:ascii="Arial" w:cs="Arial" w:eastAsia="Arial" w:hAnsi="Arial"/>
          <w:sz w:val="19"/>
          <w:szCs w:val="19"/>
          <w:color w:val="auto"/>
        </w:rPr>
        <w:t>In 2021, our AOP targets represented significant growth in two of three financial metrics. The threshold, target and maximum performance goals shown below were deemed to be appropriate in the context of our AOP.</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380" w:type="dxa"/>
            <w:vAlign w:val="bottom"/>
            <w:gridSpan w:val="5"/>
          </w:tcPr>
          <w:p>
            <w:pPr>
              <w:ind w:left="500"/>
              <w:spacing w:after="0"/>
              <w:rPr>
                <w:sz w:val="20"/>
                <w:szCs w:val="20"/>
                <w:color w:val="auto"/>
              </w:rPr>
            </w:pPr>
            <w:r>
              <w:rPr>
                <w:rFonts w:ascii="Arial" w:cs="Arial" w:eastAsia="Arial" w:hAnsi="Arial"/>
                <w:sz w:val="15"/>
                <w:szCs w:val="15"/>
                <w:b w:val="1"/>
                <w:bCs w:val="1"/>
                <w:color w:val="125288"/>
              </w:rPr>
              <w:t>2021 Financial Performance Objectives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46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Borders>
              <w:bottom w:val="single" w:sz="8" w:color="125288"/>
            </w:tcBorders>
          </w:tcPr>
          <w:p>
            <w:pPr>
              <w:spacing w:after="0"/>
              <w:rPr>
                <w:sz w:val="3"/>
                <w:szCs w:val="3"/>
                <w:color w:val="auto"/>
              </w:rPr>
            </w:pPr>
          </w:p>
        </w:tc>
        <w:tc>
          <w:tcPr>
            <w:tcW w:w="600" w:type="dxa"/>
            <w:vAlign w:val="bottom"/>
            <w:tcBorders>
              <w:bottom w:val="single" w:sz="8" w:color="125288"/>
            </w:tcBorders>
          </w:tcPr>
          <w:p>
            <w:pPr>
              <w:spacing w:after="0"/>
              <w:rPr>
                <w:sz w:val="3"/>
                <w:szCs w:val="3"/>
                <w:color w:val="auto"/>
              </w:rPr>
            </w:pPr>
          </w:p>
        </w:tc>
        <w:tc>
          <w:tcPr>
            <w:tcW w:w="420" w:type="dxa"/>
            <w:vAlign w:val="bottom"/>
            <w:tcBorders>
              <w:bottom w:val="single" w:sz="8" w:color="125288"/>
            </w:tcBorders>
          </w:tcPr>
          <w:p>
            <w:pPr>
              <w:spacing w:after="0"/>
              <w:rPr>
                <w:sz w:val="3"/>
                <w:szCs w:val="3"/>
                <w:color w:val="auto"/>
              </w:rPr>
            </w:pPr>
          </w:p>
        </w:tc>
        <w:tc>
          <w:tcPr>
            <w:tcW w:w="660" w:type="dxa"/>
            <w:vAlign w:val="bottom"/>
            <w:tcBorders>
              <w:bottom w:val="single" w:sz="8" w:color="125288"/>
            </w:tcBorders>
          </w:tcPr>
          <w:p>
            <w:pPr>
              <w:spacing w:after="0"/>
              <w:rPr>
                <w:sz w:val="3"/>
                <w:szCs w:val="3"/>
                <w:color w:val="auto"/>
              </w:rPr>
            </w:pPr>
          </w:p>
        </w:tc>
        <w:tc>
          <w:tcPr>
            <w:tcW w:w="1560" w:type="dxa"/>
            <w:vAlign w:val="bottom"/>
            <w:tcBorders>
              <w:bottom w:val="single" w:sz="8" w:color="125288"/>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4660" w:type="dxa"/>
            <w:vAlign w:val="bottom"/>
            <w:vMerge w:val="restart"/>
          </w:tcPr>
          <w:p>
            <w:pPr>
              <w:ind w:left="60"/>
              <w:spacing w:after="0"/>
              <w:rPr>
                <w:sz w:val="20"/>
                <w:szCs w:val="20"/>
                <w:color w:val="auto"/>
              </w:rPr>
            </w:pPr>
            <w:r>
              <w:rPr>
                <w:rFonts w:ascii="Arial" w:cs="Arial" w:eastAsia="Arial" w:hAnsi="Arial"/>
                <w:sz w:val="15"/>
                <w:szCs w:val="15"/>
                <w:b w:val="1"/>
                <w:bCs w:val="1"/>
                <w:color w:val="125288"/>
              </w:rPr>
              <w:t>Financial Performance Measures</w:t>
            </w:r>
            <w:r>
              <w:rPr>
                <w:rFonts w:ascii="Arial" w:cs="Arial" w:eastAsia="Arial" w:hAnsi="Arial"/>
                <w:sz w:val="25"/>
                <w:szCs w:val="25"/>
                <w:b w:val="1"/>
                <w:bCs w:val="1"/>
                <w:color w:val="125288"/>
                <w:vertAlign w:val="superscript"/>
              </w:rPr>
              <w:t>(1)</w:t>
            </w:r>
          </w:p>
        </w:tc>
        <w:tc>
          <w:tcPr>
            <w:tcW w:w="2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5"/>
                <w:szCs w:val="15"/>
                <w:b w:val="1"/>
                <w:bCs w:val="1"/>
                <w:color w:val="125288"/>
              </w:rPr>
              <w:t>2021 Maximum</w:t>
            </w:r>
          </w:p>
        </w:tc>
        <w:tc>
          <w:tcPr>
            <w:tcW w:w="0" w:type="dxa"/>
            <w:vAlign w:val="bottom"/>
          </w:tcPr>
          <w:p>
            <w:pPr>
              <w:spacing w:after="0"/>
              <w:rPr>
                <w:sz w:val="1"/>
                <w:szCs w:val="1"/>
                <w:color w:val="auto"/>
              </w:rPr>
            </w:pPr>
          </w:p>
        </w:tc>
      </w:tr>
      <w:tr>
        <w:trPr>
          <w:trHeight w:val="224"/>
        </w:trPr>
        <w:tc>
          <w:tcPr>
            <w:tcW w:w="4660" w:type="dxa"/>
            <w:vAlign w:val="bottom"/>
            <w:vMerge w:val="continue"/>
          </w:tcPr>
          <w:p>
            <w:pPr>
              <w:spacing w:after="0"/>
              <w:rPr>
                <w:sz w:val="19"/>
                <w:szCs w:val="19"/>
                <w:color w:val="auto"/>
              </w:rPr>
            </w:pPr>
          </w:p>
        </w:tc>
        <w:tc>
          <w:tcPr>
            <w:tcW w:w="2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jc w:val="right"/>
              <w:ind w:right="58"/>
              <w:spacing w:after="0"/>
              <w:rPr>
                <w:sz w:val="20"/>
                <w:szCs w:val="20"/>
                <w:color w:val="auto"/>
              </w:rPr>
            </w:pPr>
            <w:r>
              <w:rPr>
                <w:rFonts w:ascii="Arial" w:cs="Arial" w:eastAsia="Arial" w:hAnsi="Arial"/>
                <w:sz w:val="15"/>
                <w:szCs w:val="15"/>
                <w:b w:val="1"/>
                <w:bCs w:val="1"/>
                <w:color w:val="125288"/>
              </w:rPr>
              <w:t>2021</w:t>
            </w: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60" w:type="dxa"/>
            <w:vAlign w:val="bottom"/>
            <w:gridSpan w:val="2"/>
          </w:tcPr>
          <w:p>
            <w:pPr>
              <w:jc w:val="center"/>
              <w:ind w:left="20"/>
              <w:spacing w:after="0"/>
              <w:rPr>
                <w:sz w:val="20"/>
                <w:szCs w:val="20"/>
                <w:color w:val="auto"/>
              </w:rPr>
            </w:pPr>
            <w:r>
              <w:rPr>
                <w:rFonts w:ascii="Arial" w:cs="Arial" w:eastAsia="Arial" w:hAnsi="Arial"/>
                <w:sz w:val="15"/>
                <w:szCs w:val="15"/>
                <w:b w:val="1"/>
                <w:bCs w:val="1"/>
                <w:i w:val="1"/>
                <w:iCs w:val="1"/>
                <w:color w:val="125288"/>
              </w:rPr>
              <w:t>(200% Payout for OI</w:t>
            </w:r>
          </w:p>
        </w:tc>
        <w:tc>
          <w:tcPr>
            <w:tcW w:w="0" w:type="dxa"/>
            <w:vAlign w:val="bottom"/>
          </w:tcPr>
          <w:p>
            <w:pPr>
              <w:spacing w:after="0"/>
              <w:rPr>
                <w:sz w:val="1"/>
                <w:szCs w:val="1"/>
                <w:color w:val="auto"/>
              </w:rPr>
            </w:pPr>
          </w:p>
        </w:tc>
      </w:tr>
      <w:tr>
        <w:trPr>
          <w:trHeight w:val="204"/>
        </w:trPr>
        <w:tc>
          <w:tcPr>
            <w:tcW w:w="4660" w:type="dxa"/>
            <w:vAlign w:val="bottom"/>
          </w:tcPr>
          <w:p>
            <w:pPr>
              <w:ind w:left="60"/>
              <w:spacing w:after="0"/>
              <w:rPr>
                <w:sz w:val="20"/>
                <w:szCs w:val="20"/>
                <w:color w:val="auto"/>
              </w:rPr>
            </w:pPr>
            <w:r>
              <w:rPr>
                <w:rFonts w:ascii="Arial" w:cs="Arial" w:eastAsia="Arial" w:hAnsi="Arial"/>
                <w:sz w:val="15"/>
                <w:szCs w:val="15"/>
                <w:b w:val="1"/>
                <w:bCs w:val="1"/>
                <w:color w:val="125288"/>
              </w:rPr>
              <w:t>(dollars in millions, except share-based</w:t>
            </w:r>
          </w:p>
        </w:tc>
        <w:tc>
          <w:tcPr>
            <w:tcW w:w="2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gridSpan w:val="2"/>
          </w:tcPr>
          <w:p>
            <w:pPr>
              <w:jc w:val="right"/>
              <w:ind w:right="58"/>
              <w:spacing w:after="0"/>
              <w:rPr>
                <w:sz w:val="20"/>
                <w:szCs w:val="20"/>
                <w:color w:val="auto"/>
              </w:rPr>
            </w:pPr>
            <w:r>
              <w:rPr>
                <w:rFonts w:ascii="Arial" w:cs="Arial" w:eastAsia="Arial" w:hAnsi="Arial"/>
                <w:sz w:val="15"/>
                <w:szCs w:val="15"/>
                <w:b w:val="1"/>
                <w:bCs w:val="1"/>
                <w:color w:val="125288"/>
              </w:rPr>
              <w:t>Threshold</w:t>
            </w:r>
          </w:p>
        </w:tc>
        <w:tc>
          <w:tcPr>
            <w:tcW w:w="1080" w:type="dxa"/>
            <w:vAlign w:val="bottom"/>
            <w:gridSpan w:val="2"/>
          </w:tcPr>
          <w:p>
            <w:pPr>
              <w:jc w:val="right"/>
              <w:ind w:right="17"/>
              <w:spacing w:after="0"/>
              <w:rPr>
                <w:sz w:val="20"/>
                <w:szCs w:val="20"/>
                <w:color w:val="auto"/>
              </w:rPr>
            </w:pPr>
            <w:r>
              <w:rPr>
                <w:rFonts w:ascii="Arial" w:cs="Arial" w:eastAsia="Arial" w:hAnsi="Arial"/>
                <w:sz w:val="15"/>
                <w:szCs w:val="15"/>
                <w:b w:val="1"/>
                <w:bCs w:val="1"/>
                <w:color w:val="125288"/>
              </w:rPr>
              <w:t>2021 Target</w:t>
            </w:r>
          </w:p>
        </w:tc>
        <w:tc>
          <w:tcPr>
            <w:tcW w:w="1560" w:type="dxa"/>
            <w:vAlign w:val="bottom"/>
            <w:gridSpan w:val="2"/>
          </w:tcPr>
          <w:p>
            <w:pPr>
              <w:jc w:val="right"/>
              <w:spacing w:after="0"/>
              <w:rPr>
                <w:sz w:val="20"/>
                <w:szCs w:val="20"/>
                <w:color w:val="auto"/>
              </w:rPr>
            </w:pPr>
            <w:r>
              <w:rPr>
                <w:rFonts w:ascii="Arial" w:cs="Arial" w:eastAsia="Arial" w:hAnsi="Arial"/>
                <w:sz w:val="15"/>
                <w:szCs w:val="15"/>
                <w:b w:val="1"/>
                <w:bCs w:val="1"/>
                <w:i w:val="1"/>
                <w:iCs w:val="1"/>
                <w:color w:val="125288"/>
              </w:rPr>
              <w:t>and EPS and 150%</w:t>
            </w:r>
          </w:p>
        </w:tc>
        <w:tc>
          <w:tcPr>
            <w:tcW w:w="0" w:type="dxa"/>
            <w:vAlign w:val="bottom"/>
          </w:tcPr>
          <w:p>
            <w:pPr>
              <w:spacing w:after="0"/>
              <w:rPr>
                <w:sz w:val="1"/>
                <w:szCs w:val="1"/>
                <w:color w:val="auto"/>
              </w:rPr>
            </w:pPr>
          </w:p>
        </w:tc>
      </w:tr>
      <w:tr>
        <w:trPr>
          <w:trHeight w:val="214"/>
        </w:trPr>
        <w:tc>
          <w:tcPr>
            <w:tcW w:w="4660" w:type="dxa"/>
            <w:vAlign w:val="bottom"/>
          </w:tcPr>
          <w:p>
            <w:pPr>
              <w:ind w:left="60"/>
              <w:spacing w:after="0"/>
              <w:rPr>
                <w:sz w:val="20"/>
                <w:szCs w:val="20"/>
                <w:color w:val="auto"/>
              </w:rPr>
            </w:pPr>
            <w:r>
              <w:rPr>
                <w:rFonts w:ascii="Arial" w:cs="Arial" w:eastAsia="Arial" w:hAnsi="Arial"/>
                <w:sz w:val="15"/>
                <w:szCs w:val="15"/>
                <w:b w:val="1"/>
                <w:bCs w:val="1"/>
                <w:color w:val="125288"/>
              </w:rPr>
              <w:t>amounts)</w:t>
            </w:r>
          </w:p>
        </w:tc>
        <w:tc>
          <w:tcPr>
            <w:tcW w:w="2780" w:type="dxa"/>
            <w:vAlign w:val="bottom"/>
            <w:gridSpan w:val="2"/>
          </w:tcPr>
          <w:p>
            <w:pPr>
              <w:jc w:val="right"/>
              <w:ind w:right="117"/>
              <w:spacing w:after="0"/>
              <w:rPr>
                <w:sz w:val="20"/>
                <w:szCs w:val="20"/>
                <w:color w:val="auto"/>
              </w:rPr>
            </w:pPr>
            <w:r>
              <w:rPr>
                <w:rFonts w:ascii="Arial" w:cs="Arial" w:eastAsia="Arial" w:hAnsi="Arial"/>
                <w:sz w:val="15"/>
                <w:szCs w:val="15"/>
                <w:b w:val="1"/>
                <w:bCs w:val="1"/>
                <w:color w:val="125288"/>
              </w:rPr>
              <w:t>2020 Actual</w:t>
            </w:r>
          </w:p>
        </w:tc>
        <w:tc>
          <w:tcPr>
            <w:tcW w:w="2260" w:type="dxa"/>
            <w:vAlign w:val="bottom"/>
            <w:gridSpan w:val="4"/>
          </w:tcPr>
          <w:p>
            <w:pPr>
              <w:jc w:val="right"/>
              <w:spacing w:after="0"/>
              <w:rPr>
                <w:sz w:val="20"/>
                <w:szCs w:val="20"/>
                <w:color w:val="auto"/>
              </w:rPr>
            </w:pPr>
            <w:r>
              <w:rPr>
                <w:rFonts w:ascii="Arial" w:cs="Arial" w:eastAsia="Arial" w:hAnsi="Arial"/>
                <w:sz w:val="15"/>
                <w:szCs w:val="15"/>
                <w:b w:val="1"/>
                <w:bCs w:val="1"/>
                <w:color w:val="125288"/>
              </w:rPr>
              <w:t>(50% Payout) (100% Payout)</w:t>
            </w:r>
          </w:p>
        </w:tc>
        <w:tc>
          <w:tcPr>
            <w:tcW w:w="1560" w:type="dxa"/>
            <w:vAlign w:val="bottom"/>
            <w:gridSpan w:val="2"/>
          </w:tcPr>
          <w:p>
            <w:pPr>
              <w:jc w:val="right"/>
              <w:spacing w:after="0"/>
              <w:rPr>
                <w:sz w:val="20"/>
                <w:szCs w:val="20"/>
                <w:color w:val="auto"/>
              </w:rPr>
            </w:pPr>
            <w:r>
              <w:rPr>
                <w:rFonts w:ascii="Arial" w:cs="Arial" w:eastAsia="Arial" w:hAnsi="Arial"/>
                <w:sz w:val="15"/>
                <w:szCs w:val="15"/>
                <w:b w:val="1"/>
                <w:bCs w:val="1"/>
                <w:i w:val="1"/>
                <w:iCs w:val="1"/>
                <w:color w:val="125288"/>
              </w:rPr>
              <w:t>Payout for FCF)</w:t>
            </w:r>
          </w:p>
        </w:tc>
        <w:tc>
          <w:tcPr>
            <w:tcW w:w="0" w:type="dxa"/>
            <w:vAlign w:val="bottom"/>
          </w:tcPr>
          <w:p>
            <w:pPr>
              <w:spacing w:after="0"/>
              <w:rPr>
                <w:sz w:val="1"/>
                <w:szCs w:val="1"/>
                <w:color w:val="auto"/>
              </w:rPr>
            </w:pPr>
          </w:p>
        </w:tc>
      </w:tr>
      <w:tr>
        <w:trPr>
          <w:trHeight w:val="41"/>
        </w:trPr>
        <w:tc>
          <w:tcPr>
            <w:tcW w:w="4660" w:type="dxa"/>
            <w:vAlign w:val="bottom"/>
            <w:tcBorders>
              <w:bottom w:val="single" w:sz="8" w:color="125288"/>
            </w:tcBorders>
          </w:tcPr>
          <w:p>
            <w:pPr>
              <w:spacing w:after="0"/>
              <w:rPr>
                <w:sz w:val="3"/>
                <w:szCs w:val="3"/>
                <w:color w:val="auto"/>
              </w:rPr>
            </w:pPr>
          </w:p>
        </w:tc>
        <w:tc>
          <w:tcPr>
            <w:tcW w:w="2080" w:type="dxa"/>
            <w:vAlign w:val="bottom"/>
            <w:tcBorders>
              <w:bottom w:val="single" w:sz="8" w:color="125288"/>
            </w:tcBorders>
          </w:tcPr>
          <w:p>
            <w:pPr>
              <w:spacing w:after="0"/>
              <w:rPr>
                <w:sz w:val="3"/>
                <w:szCs w:val="3"/>
                <w:color w:val="auto"/>
              </w:rPr>
            </w:pPr>
          </w:p>
        </w:tc>
        <w:tc>
          <w:tcPr>
            <w:tcW w:w="700" w:type="dxa"/>
            <w:vAlign w:val="bottom"/>
            <w:tcBorders>
              <w:bottom w:val="single" w:sz="8" w:color="125288"/>
            </w:tcBorders>
          </w:tcPr>
          <w:p>
            <w:pPr>
              <w:spacing w:after="0"/>
              <w:rPr>
                <w:sz w:val="3"/>
                <w:szCs w:val="3"/>
                <w:color w:val="auto"/>
              </w:rPr>
            </w:pPr>
          </w:p>
        </w:tc>
        <w:tc>
          <w:tcPr>
            <w:tcW w:w="580" w:type="dxa"/>
            <w:vAlign w:val="bottom"/>
            <w:tcBorders>
              <w:bottom w:val="single" w:sz="8" w:color="125288"/>
            </w:tcBorders>
          </w:tcPr>
          <w:p>
            <w:pPr>
              <w:spacing w:after="0"/>
              <w:rPr>
                <w:sz w:val="3"/>
                <w:szCs w:val="3"/>
                <w:color w:val="auto"/>
              </w:rPr>
            </w:pPr>
          </w:p>
        </w:tc>
        <w:tc>
          <w:tcPr>
            <w:tcW w:w="600" w:type="dxa"/>
            <w:vAlign w:val="bottom"/>
            <w:tcBorders>
              <w:bottom w:val="single" w:sz="8" w:color="125288"/>
            </w:tcBorders>
          </w:tcPr>
          <w:p>
            <w:pPr>
              <w:spacing w:after="0"/>
              <w:rPr>
                <w:sz w:val="3"/>
                <w:szCs w:val="3"/>
                <w:color w:val="auto"/>
              </w:rPr>
            </w:pPr>
          </w:p>
        </w:tc>
        <w:tc>
          <w:tcPr>
            <w:tcW w:w="420" w:type="dxa"/>
            <w:vAlign w:val="bottom"/>
            <w:tcBorders>
              <w:bottom w:val="single" w:sz="8" w:color="125288"/>
            </w:tcBorders>
          </w:tcPr>
          <w:p>
            <w:pPr>
              <w:spacing w:after="0"/>
              <w:rPr>
                <w:sz w:val="3"/>
                <w:szCs w:val="3"/>
                <w:color w:val="auto"/>
              </w:rPr>
            </w:pPr>
          </w:p>
        </w:tc>
        <w:tc>
          <w:tcPr>
            <w:tcW w:w="660" w:type="dxa"/>
            <w:vAlign w:val="bottom"/>
            <w:tcBorders>
              <w:bottom w:val="single" w:sz="8" w:color="125288"/>
            </w:tcBorders>
          </w:tcPr>
          <w:p>
            <w:pPr>
              <w:spacing w:after="0"/>
              <w:rPr>
                <w:sz w:val="3"/>
                <w:szCs w:val="3"/>
                <w:color w:val="auto"/>
              </w:rPr>
            </w:pPr>
          </w:p>
        </w:tc>
        <w:tc>
          <w:tcPr>
            <w:tcW w:w="1120" w:type="dxa"/>
            <w:vAlign w:val="bottom"/>
            <w:tcBorders>
              <w:bottom w:val="single" w:sz="8" w:color="125288"/>
            </w:tcBorders>
          </w:tcPr>
          <w:p>
            <w:pPr>
              <w:spacing w:after="0"/>
              <w:rPr>
                <w:sz w:val="3"/>
                <w:szCs w:val="3"/>
                <w:color w:val="auto"/>
              </w:rPr>
            </w:pPr>
          </w:p>
        </w:tc>
        <w:tc>
          <w:tcPr>
            <w:tcW w:w="440" w:type="dxa"/>
            <w:vAlign w:val="bottom"/>
            <w:tcBorders>
              <w:bottom w:val="single" w:sz="8" w:color="125288"/>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4660" w:type="dxa"/>
            <w:vAlign w:val="bottom"/>
          </w:tcPr>
          <w:p>
            <w:pPr>
              <w:ind w:left="60"/>
              <w:spacing w:after="0"/>
              <w:rPr>
                <w:sz w:val="20"/>
                <w:szCs w:val="20"/>
                <w:color w:val="auto"/>
              </w:rPr>
            </w:pPr>
            <w:r>
              <w:rPr>
                <w:rFonts w:ascii="Arial" w:cs="Arial" w:eastAsia="Arial" w:hAnsi="Arial"/>
                <w:sz w:val="17"/>
                <w:szCs w:val="17"/>
                <w:color w:val="auto"/>
              </w:rPr>
              <w:t>AB Adjusted OI</w:t>
            </w:r>
          </w:p>
        </w:tc>
        <w:tc>
          <w:tcPr>
            <w:tcW w:w="208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17"/>
              <w:spacing w:after="0"/>
              <w:rPr>
                <w:sz w:val="20"/>
                <w:szCs w:val="20"/>
                <w:color w:val="auto"/>
              </w:rPr>
            </w:pPr>
            <w:r>
              <w:rPr>
                <w:rFonts w:ascii="Arial" w:cs="Arial" w:eastAsia="Arial" w:hAnsi="Arial"/>
                <w:sz w:val="17"/>
                <w:szCs w:val="17"/>
                <w:b w:val="1"/>
                <w:bCs w:val="1"/>
                <w:color w:val="auto"/>
              </w:rPr>
              <w:t>3,392</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58"/>
              <w:spacing w:after="0"/>
              <w:rPr>
                <w:sz w:val="20"/>
                <w:szCs w:val="20"/>
                <w:color w:val="auto"/>
              </w:rPr>
            </w:pPr>
            <w:r>
              <w:rPr>
                <w:rFonts w:ascii="Arial" w:cs="Arial" w:eastAsia="Arial" w:hAnsi="Arial"/>
                <w:sz w:val="17"/>
                <w:szCs w:val="17"/>
                <w:color w:val="auto"/>
              </w:rPr>
              <w:t>3,429</w:t>
            </w:r>
          </w:p>
        </w:tc>
        <w:tc>
          <w:tcPr>
            <w:tcW w:w="420" w:type="dxa"/>
            <w:vAlign w:val="bottom"/>
          </w:tcPr>
          <w:p>
            <w:pPr>
              <w:jc w:val="right"/>
              <w:ind w:right="58"/>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17"/>
              <w:spacing w:after="0"/>
              <w:rPr>
                <w:sz w:val="20"/>
                <w:szCs w:val="20"/>
                <w:color w:val="auto"/>
              </w:rPr>
            </w:pPr>
            <w:r>
              <w:rPr>
                <w:rFonts w:ascii="Arial" w:cs="Arial" w:eastAsia="Arial" w:hAnsi="Arial"/>
                <w:sz w:val="17"/>
                <w:szCs w:val="17"/>
                <w:b w:val="1"/>
                <w:bCs w:val="1"/>
                <w:color w:val="auto"/>
              </w:rPr>
              <w:t>3,810</w:t>
            </w:r>
          </w:p>
        </w:tc>
        <w:tc>
          <w:tcPr>
            <w:tcW w:w="1120" w:type="dxa"/>
            <w:vAlign w:val="bottom"/>
          </w:tcPr>
          <w:p>
            <w:pPr>
              <w:jc w:val="center"/>
              <w:ind w:left="480"/>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3"/>
              </w:rPr>
              <w:t>7,620</w:t>
            </w:r>
          </w:p>
        </w:tc>
        <w:tc>
          <w:tcPr>
            <w:tcW w:w="0" w:type="dxa"/>
            <w:vAlign w:val="bottom"/>
          </w:tcPr>
          <w:p>
            <w:pPr>
              <w:spacing w:after="0"/>
              <w:rPr>
                <w:sz w:val="1"/>
                <w:szCs w:val="1"/>
                <w:color w:val="auto"/>
              </w:rPr>
            </w:pPr>
          </w:p>
        </w:tc>
      </w:tr>
      <w:tr>
        <w:trPr>
          <w:trHeight w:val="85"/>
        </w:trPr>
        <w:tc>
          <w:tcPr>
            <w:tcW w:w="4660" w:type="dxa"/>
            <w:vAlign w:val="bottom"/>
            <w:tcBorders>
              <w:bottom w:val="single" w:sz="8" w:color="125288"/>
            </w:tcBorders>
          </w:tcPr>
          <w:p>
            <w:pPr>
              <w:spacing w:after="0"/>
              <w:rPr>
                <w:sz w:val="7"/>
                <w:szCs w:val="7"/>
                <w:color w:val="auto"/>
              </w:rPr>
            </w:pPr>
          </w:p>
        </w:tc>
        <w:tc>
          <w:tcPr>
            <w:tcW w:w="2080" w:type="dxa"/>
            <w:vAlign w:val="bottom"/>
            <w:tcBorders>
              <w:bottom w:val="single" w:sz="8" w:color="125288"/>
            </w:tcBorders>
          </w:tcPr>
          <w:p>
            <w:pPr>
              <w:spacing w:after="0"/>
              <w:rPr>
                <w:sz w:val="7"/>
                <w:szCs w:val="7"/>
                <w:color w:val="auto"/>
              </w:rPr>
            </w:pPr>
          </w:p>
        </w:tc>
        <w:tc>
          <w:tcPr>
            <w:tcW w:w="700" w:type="dxa"/>
            <w:vAlign w:val="bottom"/>
            <w:tcBorders>
              <w:bottom w:val="single" w:sz="8" w:color="125288"/>
            </w:tcBorders>
          </w:tcPr>
          <w:p>
            <w:pPr>
              <w:spacing w:after="0"/>
              <w:rPr>
                <w:sz w:val="7"/>
                <w:szCs w:val="7"/>
                <w:color w:val="auto"/>
              </w:rPr>
            </w:pPr>
          </w:p>
        </w:tc>
        <w:tc>
          <w:tcPr>
            <w:tcW w:w="580" w:type="dxa"/>
            <w:vAlign w:val="bottom"/>
            <w:tcBorders>
              <w:bottom w:val="single" w:sz="8" w:color="125288"/>
            </w:tcBorders>
          </w:tcPr>
          <w:p>
            <w:pPr>
              <w:spacing w:after="0"/>
              <w:rPr>
                <w:sz w:val="7"/>
                <w:szCs w:val="7"/>
                <w:color w:val="auto"/>
              </w:rPr>
            </w:pPr>
          </w:p>
        </w:tc>
        <w:tc>
          <w:tcPr>
            <w:tcW w:w="600" w:type="dxa"/>
            <w:vAlign w:val="bottom"/>
            <w:tcBorders>
              <w:bottom w:val="single" w:sz="8" w:color="125288"/>
            </w:tcBorders>
          </w:tcPr>
          <w:p>
            <w:pPr>
              <w:spacing w:after="0"/>
              <w:rPr>
                <w:sz w:val="7"/>
                <w:szCs w:val="7"/>
                <w:color w:val="auto"/>
              </w:rPr>
            </w:pPr>
          </w:p>
        </w:tc>
        <w:tc>
          <w:tcPr>
            <w:tcW w:w="420" w:type="dxa"/>
            <w:vAlign w:val="bottom"/>
            <w:tcBorders>
              <w:bottom w:val="single" w:sz="8" w:color="125288"/>
            </w:tcBorders>
          </w:tcPr>
          <w:p>
            <w:pPr>
              <w:spacing w:after="0"/>
              <w:rPr>
                <w:sz w:val="7"/>
                <w:szCs w:val="7"/>
                <w:color w:val="auto"/>
              </w:rPr>
            </w:pPr>
          </w:p>
        </w:tc>
        <w:tc>
          <w:tcPr>
            <w:tcW w:w="660" w:type="dxa"/>
            <w:vAlign w:val="bottom"/>
            <w:tcBorders>
              <w:bottom w:val="single" w:sz="8" w:color="125288"/>
            </w:tcBorders>
          </w:tcPr>
          <w:p>
            <w:pPr>
              <w:spacing w:after="0"/>
              <w:rPr>
                <w:sz w:val="7"/>
                <w:szCs w:val="7"/>
                <w:color w:val="auto"/>
              </w:rPr>
            </w:pPr>
          </w:p>
        </w:tc>
        <w:tc>
          <w:tcPr>
            <w:tcW w:w="1120" w:type="dxa"/>
            <w:vAlign w:val="bottom"/>
            <w:tcBorders>
              <w:bottom w:val="single" w:sz="8" w:color="125288"/>
            </w:tcBorders>
          </w:tcPr>
          <w:p>
            <w:pPr>
              <w:spacing w:after="0"/>
              <w:rPr>
                <w:sz w:val="7"/>
                <w:szCs w:val="7"/>
                <w:color w:val="auto"/>
              </w:rPr>
            </w:pPr>
          </w:p>
        </w:tc>
        <w:tc>
          <w:tcPr>
            <w:tcW w:w="440" w:type="dxa"/>
            <w:vAlign w:val="bottom"/>
            <w:tcBorders>
              <w:bottom w:val="single" w:sz="8" w:color="125288"/>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4660" w:type="dxa"/>
            <w:vAlign w:val="bottom"/>
          </w:tcPr>
          <w:p>
            <w:pPr>
              <w:ind w:left="60"/>
              <w:spacing w:after="0"/>
              <w:rPr>
                <w:sz w:val="20"/>
                <w:szCs w:val="20"/>
                <w:color w:val="auto"/>
              </w:rPr>
            </w:pPr>
            <w:r>
              <w:rPr>
                <w:rFonts w:ascii="Arial" w:cs="Arial" w:eastAsia="Arial" w:hAnsi="Arial"/>
                <w:sz w:val="17"/>
                <w:szCs w:val="17"/>
                <w:color w:val="auto"/>
              </w:rPr>
              <w:t>AB Adjusted EPS</w:t>
            </w:r>
          </w:p>
        </w:tc>
        <w:tc>
          <w:tcPr>
            <w:tcW w:w="208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17"/>
              <w:spacing w:after="0"/>
              <w:rPr>
                <w:sz w:val="20"/>
                <w:szCs w:val="20"/>
                <w:color w:val="auto"/>
              </w:rPr>
            </w:pPr>
            <w:r>
              <w:rPr>
                <w:rFonts w:ascii="Arial" w:cs="Arial" w:eastAsia="Arial" w:hAnsi="Arial"/>
                <w:sz w:val="17"/>
                <w:szCs w:val="17"/>
                <w:b w:val="1"/>
                <w:bCs w:val="1"/>
                <w:color w:val="auto"/>
              </w:rPr>
              <w:t>3.51</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58"/>
              <w:spacing w:after="0"/>
              <w:rPr>
                <w:sz w:val="20"/>
                <w:szCs w:val="20"/>
                <w:color w:val="auto"/>
              </w:rPr>
            </w:pPr>
            <w:r>
              <w:rPr>
                <w:rFonts w:ascii="Arial" w:cs="Arial" w:eastAsia="Arial" w:hAnsi="Arial"/>
                <w:sz w:val="17"/>
                <w:szCs w:val="17"/>
                <w:color w:val="auto"/>
              </w:rPr>
              <w:t>3.47</w:t>
            </w:r>
          </w:p>
        </w:tc>
        <w:tc>
          <w:tcPr>
            <w:tcW w:w="420" w:type="dxa"/>
            <w:vAlign w:val="bottom"/>
          </w:tcPr>
          <w:p>
            <w:pPr>
              <w:jc w:val="right"/>
              <w:ind w:right="58"/>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17"/>
              <w:spacing w:after="0"/>
              <w:rPr>
                <w:sz w:val="20"/>
                <w:szCs w:val="20"/>
                <w:color w:val="auto"/>
              </w:rPr>
            </w:pPr>
            <w:r>
              <w:rPr>
                <w:rFonts w:ascii="Arial" w:cs="Arial" w:eastAsia="Arial" w:hAnsi="Arial"/>
                <w:sz w:val="17"/>
                <w:szCs w:val="17"/>
                <w:b w:val="1"/>
                <w:bCs w:val="1"/>
                <w:color w:val="auto"/>
              </w:rPr>
              <w:t>3.85</w:t>
            </w:r>
          </w:p>
        </w:tc>
        <w:tc>
          <w:tcPr>
            <w:tcW w:w="1120" w:type="dxa"/>
            <w:vAlign w:val="bottom"/>
          </w:tcPr>
          <w:p>
            <w:pPr>
              <w:jc w:val="center"/>
              <w:ind w:left="480"/>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7.70</w:t>
            </w:r>
          </w:p>
        </w:tc>
        <w:tc>
          <w:tcPr>
            <w:tcW w:w="0" w:type="dxa"/>
            <w:vAlign w:val="bottom"/>
          </w:tcPr>
          <w:p>
            <w:pPr>
              <w:spacing w:after="0"/>
              <w:rPr>
                <w:sz w:val="1"/>
                <w:szCs w:val="1"/>
                <w:color w:val="auto"/>
              </w:rPr>
            </w:pPr>
          </w:p>
        </w:tc>
      </w:tr>
      <w:tr>
        <w:trPr>
          <w:trHeight w:val="85"/>
        </w:trPr>
        <w:tc>
          <w:tcPr>
            <w:tcW w:w="4660" w:type="dxa"/>
            <w:vAlign w:val="bottom"/>
            <w:tcBorders>
              <w:bottom w:val="single" w:sz="8" w:color="125288"/>
            </w:tcBorders>
          </w:tcPr>
          <w:p>
            <w:pPr>
              <w:spacing w:after="0"/>
              <w:rPr>
                <w:sz w:val="7"/>
                <w:szCs w:val="7"/>
                <w:color w:val="auto"/>
              </w:rPr>
            </w:pPr>
          </w:p>
        </w:tc>
        <w:tc>
          <w:tcPr>
            <w:tcW w:w="2080" w:type="dxa"/>
            <w:vAlign w:val="bottom"/>
            <w:tcBorders>
              <w:bottom w:val="single" w:sz="8" w:color="125288"/>
            </w:tcBorders>
          </w:tcPr>
          <w:p>
            <w:pPr>
              <w:spacing w:after="0"/>
              <w:rPr>
                <w:sz w:val="7"/>
                <w:szCs w:val="7"/>
                <w:color w:val="auto"/>
              </w:rPr>
            </w:pPr>
          </w:p>
        </w:tc>
        <w:tc>
          <w:tcPr>
            <w:tcW w:w="700" w:type="dxa"/>
            <w:vAlign w:val="bottom"/>
            <w:tcBorders>
              <w:bottom w:val="single" w:sz="8" w:color="125288"/>
            </w:tcBorders>
          </w:tcPr>
          <w:p>
            <w:pPr>
              <w:spacing w:after="0"/>
              <w:rPr>
                <w:sz w:val="7"/>
                <w:szCs w:val="7"/>
                <w:color w:val="auto"/>
              </w:rPr>
            </w:pPr>
          </w:p>
        </w:tc>
        <w:tc>
          <w:tcPr>
            <w:tcW w:w="580" w:type="dxa"/>
            <w:vAlign w:val="bottom"/>
            <w:tcBorders>
              <w:bottom w:val="single" w:sz="8" w:color="125288"/>
            </w:tcBorders>
          </w:tcPr>
          <w:p>
            <w:pPr>
              <w:spacing w:after="0"/>
              <w:rPr>
                <w:sz w:val="7"/>
                <w:szCs w:val="7"/>
                <w:color w:val="auto"/>
              </w:rPr>
            </w:pPr>
          </w:p>
        </w:tc>
        <w:tc>
          <w:tcPr>
            <w:tcW w:w="600" w:type="dxa"/>
            <w:vAlign w:val="bottom"/>
            <w:tcBorders>
              <w:bottom w:val="single" w:sz="8" w:color="125288"/>
            </w:tcBorders>
          </w:tcPr>
          <w:p>
            <w:pPr>
              <w:spacing w:after="0"/>
              <w:rPr>
                <w:sz w:val="7"/>
                <w:szCs w:val="7"/>
                <w:color w:val="auto"/>
              </w:rPr>
            </w:pPr>
          </w:p>
        </w:tc>
        <w:tc>
          <w:tcPr>
            <w:tcW w:w="420" w:type="dxa"/>
            <w:vAlign w:val="bottom"/>
            <w:tcBorders>
              <w:bottom w:val="single" w:sz="8" w:color="125288"/>
            </w:tcBorders>
          </w:tcPr>
          <w:p>
            <w:pPr>
              <w:spacing w:after="0"/>
              <w:rPr>
                <w:sz w:val="7"/>
                <w:szCs w:val="7"/>
                <w:color w:val="auto"/>
              </w:rPr>
            </w:pPr>
          </w:p>
        </w:tc>
        <w:tc>
          <w:tcPr>
            <w:tcW w:w="660" w:type="dxa"/>
            <w:vAlign w:val="bottom"/>
            <w:tcBorders>
              <w:bottom w:val="single" w:sz="8" w:color="125288"/>
            </w:tcBorders>
          </w:tcPr>
          <w:p>
            <w:pPr>
              <w:spacing w:after="0"/>
              <w:rPr>
                <w:sz w:val="7"/>
                <w:szCs w:val="7"/>
                <w:color w:val="auto"/>
              </w:rPr>
            </w:pPr>
          </w:p>
        </w:tc>
        <w:tc>
          <w:tcPr>
            <w:tcW w:w="1120" w:type="dxa"/>
            <w:vAlign w:val="bottom"/>
            <w:tcBorders>
              <w:bottom w:val="single" w:sz="8" w:color="125288"/>
            </w:tcBorders>
          </w:tcPr>
          <w:p>
            <w:pPr>
              <w:spacing w:after="0"/>
              <w:rPr>
                <w:sz w:val="7"/>
                <w:szCs w:val="7"/>
                <w:color w:val="auto"/>
              </w:rPr>
            </w:pPr>
          </w:p>
        </w:tc>
        <w:tc>
          <w:tcPr>
            <w:tcW w:w="440" w:type="dxa"/>
            <w:vAlign w:val="bottom"/>
            <w:tcBorders>
              <w:bottom w:val="single" w:sz="8" w:color="125288"/>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4660" w:type="dxa"/>
            <w:vAlign w:val="bottom"/>
          </w:tcPr>
          <w:p>
            <w:pPr>
              <w:ind w:left="60"/>
              <w:spacing w:after="0"/>
              <w:rPr>
                <w:sz w:val="20"/>
                <w:szCs w:val="20"/>
                <w:color w:val="auto"/>
              </w:rPr>
            </w:pPr>
            <w:r>
              <w:rPr>
                <w:rFonts w:ascii="Arial" w:cs="Arial" w:eastAsia="Arial" w:hAnsi="Arial"/>
                <w:sz w:val="17"/>
                <w:szCs w:val="17"/>
                <w:color w:val="auto"/>
              </w:rPr>
              <w:t>AB Adjusted Free Cash Flow</w:t>
            </w:r>
          </w:p>
        </w:tc>
        <w:tc>
          <w:tcPr>
            <w:tcW w:w="208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17"/>
              <w:spacing w:after="0"/>
              <w:rPr>
                <w:sz w:val="20"/>
                <w:szCs w:val="20"/>
                <w:color w:val="auto"/>
              </w:rPr>
            </w:pPr>
            <w:r>
              <w:rPr>
                <w:rFonts w:ascii="Arial" w:cs="Arial" w:eastAsia="Arial" w:hAnsi="Arial"/>
                <w:sz w:val="17"/>
                <w:szCs w:val="17"/>
                <w:b w:val="1"/>
                <w:bCs w:val="1"/>
                <w:color w:val="auto"/>
              </w:rPr>
              <w:t>2,282</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58"/>
              <w:spacing w:after="0"/>
              <w:rPr>
                <w:sz w:val="20"/>
                <w:szCs w:val="20"/>
                <w:color w:val="auto"/>
              </w:rPr>
            </w:pPr>
            <w:r>
              <w:rPr>
                <w:rFonts w:ascii="Arial" w:cs="Arial" w:eastAsia="Arial" w:hAnsi="Arial"/>
                <w:sz w:val="17"/>
                <w:szCs w:val="17"/>
                <w:color w:val="auto"/>
              </w:rPr>
              <w:t>2,352</w:t>
            </w:r>
          </w:p>
        </w:tc>
        <w:tc>
          <w:tcPr>
            <w:tcW w:w="420" w:type="dxa"/>
            <w:vAlign w:val="bottom"/>
          </w:tcPr>
          <w:p>
            <w:pPr>
              <w:jc w:val="right"/>
              <w:ind w:right="58"/>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17"/>
              <w:spacing w:after="0"/>
              <w:rPr>
                <w:sz w:val="20"/>
                <w:szCs w:val="20"/>
                <w:color w:val="auto"/>
              </w:rPr>
            </w:pPr>
            <w:r>
              <w:rPr>
                <w:rFonts w:ascii="Arial" w:cs="Arial" w:eastAsia="Arial" w:hAnsi="Arial"/>
                <w:sz w:val="17"/>
                <w:szCs w:val="17"/>
                <w:b w:val="1"/>
                <w:bCs w:val="1"/>
                <w:color w:val="auto"/>
              </w:rPr>
              <w:t>2,613</w:t>
            </w:r>
          </w:p>
        </w:tc>
        <w:tc>
          <w:tcPr>
            <w:tcW w:w="1120" w:type="dxa"/>
            <w:vAlign w:val="bottom"/>
          </w:tcPr>
          <w:p>
            <w:pPr>
              <w:jc w:val="center"/>
              <w:ind w:left="480"/>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3"/>
              </w:rPr>
              <w:t>3,920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148830" cy="152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135" w:lineRule="exact"/>
        <w:rPr>
          <w:sz w:val="20"/>
          <w:szCs w:val="20"/>
          <w:color w:val="auto"/>
        </w:rPr>
      </w:pPr>
    </w:p>
    <w:p>
      <w:pPr>
        <w:jc w:val="both"/>
        <w:ind w:left="340" w:right="100" w:hanging="285"/>
        <w:spacing w:after="0" w:line="257" w:lineRule="auto"/>
        <w:tabs>
          <w:tab w:leader="none" w:pos="340" w:val="left"/>
        </w:tabs>
        <w:numPr>
          <w:ilvl w:val="0"/>
          <w:numId w:val="95"/>
        </w:numPr>
        <w:rPr>
          <w:rFonts w:ascii="Arial" w:cs="Arial" w:eastAsia="Arial" w:hAnsi="Arial"/>
          <w:sz w:val="15"/>
          <w:szCs w:val="15"/>
          <w:color w:val="auto"/>
        </w:rPr>
      </w:pPr>
      <w:r>
        <w:rPr>
          <w:rFonts w:ascii="Arial" w:cs="Arial" w:eastAsia="Arial" w:hAnsi="Arial"/>
          <w:sz w:val="15"/>
          <w:szCs w:val="15"/>
          <w:color w:val="auto"/>
        </w:rPr>
        <w:t>These are non-GAAP measures. For more information, including how these measures are calculated and why our Compensation Committee believes they are appropriate for assessing our executives’ performance, see “General—Financial Measures Used in this Proxy Statement—Financial Metrics Used to Measure 2021 Compensation-Related Performance” above.</w:t>
      </w:r>
    </w:p>
    <w:p>
      <w:pPr>
        <w:spacing w:after="0" w:line="283" w:lineRule="exact"/>
        <w:rPr>
          <w:sz w:val="20"/>
          <w:szCs w:val="20"/>
          <w:color w:val="auto"/>
        </w:rPr>
      </w:pPr>
    </w:p>
    <w:p>
      <w:pPr>
        <w:jc w:val="both"/>
        <w:ind w:right="20"/>
        <w:spacing w:after="0" w:line="252" w:lineRule="auto"/>
        <w:rPr>
          <w:sz w:val="20"/>
          <w:szCs w:val="20"/>
          <w:color w:val="auto"/>
        </w:rPr>
      </w:pPr>
      <w:r>
        <w:rPr>
          <w:rFonts w:ascii="Arial" w:cs="Arial" w:eastAsia="Arial" w:hAnsi="Arial"/>
          <w:sz w:val="19"/>
          <w:szCs w:val="19"/>
          <w:b w:val="1"/>
          <w:bCs w:val="1"/>
          <w:i w:val="1"/>
          <w:iCs w:val="1"/>
          <w:color w:val="auto"/>
        </w:rPr>
        <w:t xml:space="preserve">Actual performance resulted in year-over-year growth in adjusted EPS and adjusted free cash flow, as well as stable year-over-year adjusted operating income, in each case following record performance in 2020, </w:t>
      </w:r>
      <w:r>
        <w:rPr>
          <w:rFonts w:ascii="Arial" w:cs="Arial" w:eastAsia="Arial" w:hAnsi="Arial"/>
          <w:sz w:val="19"/>
          <w:szCs w:val="19"/>
          <w:color w:val="auto"/>
        </w:rPr>
        <w:t>but results were still below their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targets for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4880" w:type="dxa"/>
            <w:vAlign w:val="bottom"/>
          </w:tcPr>
          <w:p>
            <w:pPr>
              <w:ind w:left="60"/>
              <w:spacing w:after="0"/>
              <w:rPr>
                <w:sz w:val="20"/>
                <w:szCs w:val="20"/>
                <w:color w:val="auto"/>
              </w:rPr>
            </w:pPr>
            <w:r>
              <w:rPr>
                <w:rFonts w:ascii="Arial" w:cs="Arial" w:eastAsia="Arial" w:hAnsi="Arial"/>
                <w:sz w:val="15"/>
                <w:szCs w:val="15"/>
                <w:b w:val="1"/>
                <w:bCs w:val="1"/>
                <w:color w:val="125288"/>
              </w:rPr>
              <w:t>Financial Performance Measures</w:t>
            </w:r>
            <w:r>
              <w:rPr>
                <w:rFonts w:ascii="Arial" w:cs="Arial" w:eastAsia="Arial" w:hAnsi="Arial"/>
                <w:sz w:val="25"/>
                <w:szCs w:val="25"/>
                <w:b w:val="1"/>
                <w:bCs w:val="1"/>
                <w:color w:val="125288"/>
                <w:vertAlign w:val="superscript"/>
              </w:rPr>
              <w:t>(1)</w:t>
            </w: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tcBorders>
              <w:bottom w:val="single" w:sz="8" w:color="125288"/>
            </w:tcBorders>
            <w:gridSpan w:val="5"/>
          </w:tcPr>
          <w:p>
            <w:pPr>
              <w:jc w:val="right"/>
              <w:ind w:right="84"/>
              <w:spacing w:after="0"/>
              <w:rPr>
                <w:sz w:val="20"/>
                <w:szCs w:val="20"/>
                <w:color w:val="auto"/>
              </w:rPr>
            </w:pPr>
            <w:r>
              <w:rPr>
                <w:rFonts w:ascii="Arial" w:cs="Arial" w:eastAsia="Arial" w:hAnsi="Arial"/>
                <w:sz w:val="15"/>
                <w:szCs w:val="15"/>
                <w:b w:val="1"/>
                <w:bCs w:val="1"/>
                <w:color w:val="125288"/>
              </w:rPr>
              <w:t>Performance Objectives and Actual Results</w:t>
            </w:r>
          </w:p>
        </w:tc>
      </w:tr>
      <w:tr>
        <w:trPr>
          <w:trHeight w:val="212"/>
        </w:trPr>
        <w:tc>
          <w:tcPr>
            <w:tcW w:w="4880" w:type="dxa"/>
            <w:vAlign w:val="bottom"/>
          </w:tcPr>
          <w:p>
            <w:pPr>
              <w:ind w:left="60"/>
              <w:spacing w:after="0"/>
              <w:rPr>
                <w:sz w:val="20"/>
                <w:szCs w:val="20"/>
                <w:color w:val="auto"/>
              </w:rPr>
            </w:pPr>
            <w:r>
              <w:rPr>
                <w:rFonts w:ascii="Arial" w:cs="Arial" w:eastAsia="Arial" w:hAnsi="Arial"/>
                <w:sz w:val="15"/>
                <w:szCs w:val="15"/>
                <w:b w:val="1"/>
                <w:bCs w:val="1"/>
                <w:color w:val="125288"/>
              </w:rPr>
              <w:t>(dollars in millions, except share-based</w:t>
            </w: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79"/>
              <w:spacing w:after="0"/>
              <w:rPr>
                <w:sz w:val="20"/>
                <w:szCs w:val="20"/>
                <w:color w:val="auto"/>
              </w:rPr>
            </w:pPr>
            <w:r>
              <w:rPr>
                <w:rFonts w:ascii="Arial" w:cs="Arial" w:eastAsia="Arial" w:hAnsi="Arial"/>
                <w:sz w:val="15"/>
                <w:szCs w:val="15"/>
                <w:b w:val="1"/>
                <w:bCs w:val="1"/>
                <w:color w:val="125288"/>
              </w:rPr>
              <w:t>Actual</w:t>
            </w:r>
          </w:p>
        </w:tc>
        <w:tc>
          <w:tcPr>
            <w:tcW w:w="920" w:type="dxa"/>
            <w:vAlign w:val="bottom"/>
          </w:tcPr>
          <w:p>
            <w:pPr>
              <w:jc w:val="right"/>
              <w:ind w:right="118"/>
              <w:spacing w:after="0"/>
              <w:rPr>
                <w:sz w:val="20"/>
                <w:szCs w:val="20"/>
                <w:color w:val="auto"/>
              </w:rPr>
            </w:pPr>
            <w:r>
              <w:rPr>
                <w:rFonts w:ascii="Arial" w:cs="Arial" w:eastAsia="Arial" w:hAnsi="Arial"/>
                <w:sz w:val="15"/>
                <w:szCs w:val="15"/>
                <w:b w:val="1"/>
                <w:bCs w:val="1"/>
                <w:color w:val="125288"/>
              </w:rPr>
              <w:t>Actual</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125288"/>
              </w:rPr>
              <w:t>Weighted</w:t>
            </w:r>
          </w:p>
        </w:tc>
      </w:tr>
      <w:tr>
        <w:trPr>
          <w:trHeight w:val="214"/>
        </w:trPr>
        <w:tc>
          <w:tcPr>
            <w:tcW w:w="4880" w:type="dxa"/>
            <w:vAlign w:val="bottom"/>
          </w:tcPr>
          <w:p>
            <w:pPr>
              <w:ind w:left="60"/>
              <w:spacing w:after="0"/>
              <w:rPr>
                <w:sz w:val="20"/>
                <w:szCs w:val="20"/>
                <w:color w:val="auto"/>
              </w:rPr>
            </w:pPr>
            <w:r>
              <w:rPr>
                <w:rFonts w:ascii="Arial" w:cs="Arial" w:eastAsia="Arial" w:hAnsi="Arial"/>
                <w:sz w:val="15"/>
                <w:szCs w:val="15"/>
                <w:b w:val="1"/>
                <w:bCs w:val="1"/>
                <w:color w:val="125288"/>
              </w:rPr>
              <w:t>amounts)</w:t>
            </w:r>
          </w:p>
        </w:tc>
        <w:tc>
          <w:tcPr>
            <w:tcW w:w="2580" w:type="dxa"/>
            <w:vAlign w:val="bottom"/>
          </w:tcPr>
          <w:p>
            <w:pPr>
              <w:jc w:val="right"/>
              <w:ind w:right="38"/>
              <w:spacing w:after="0"/>
              <w:rPr>
                <w:sz w:val="20"/>
                <w:szCs w:val="20"/>
                <w:color w:val="auto"/>
              </w:rPr>
            </w:pPr>
            <w:r>
              <w:rPr>
                <w:rFonts w:ascii="Arial" w:cs="Arial" w:eastAsia="Arial" w:hAnsi="Arial"/>
                <w:sz w:val="15"/>
                <w:szCs w:val="15"/>
                <w:b w:val="1"/>
                <w:bCs w:val="1"/>
                <w:color w:val="125288"/>
              </w:rPr>
              <w:t>Weight</w:t>
            </w:r>
          </w:p>
        </w:tc>
        <w:tc>
          <w:tcPr>
            <w:tcW w:w="220" w:type="dxa"/>
            <w:vAlign w:val="bottom"/>
          </w:tcPr>
          <w:p>
            <w:pPr>
              <w:spacing w:after="0"/>
              <w:rPr>
                <w:sz w:val="18"/>
                <w:szCs w:val="18"/>
                <w:color w:val="auto"/>
              </w:rPr>
            </w:pPr>
          </w:p>
        </w:tc>
        <w:tc>
          <w:tcPr>
            <w:tcW w:w="700" w:type="dxa"/>
            <w:vAlign w:val="bottom"/>
          </w:tcPr>
          <w:p>
            <w:pPr>
              <w:jc w:val="right"/>
              <w:ind w:right="59"/>
              <w:spacing w:after="0"/>
              <w:rPr>
                <w:sz w:val="20"/>
                <w:szCs w:val="20"/>
                <w:color w:val="auto"/>
              </w:rPr>
            </w:pPr>
            <w:r>
              <w:rPr>
                <w:rFonts w:ascii="Arial" w:cs="Arial" w:eastAsia="Arial" w:hAnsi="Arial"/>
                <w:sz w:val="15"/>
                <w:szCs w:val="15"/>
                <w:b w:val="1"/>
                <w:bCs w:val="1"/>
                <w:color w:val="125288"/>
              </w:rPr>
              <w:t>Target</w:t>
            </w:r>
          </w:p>
        </w:tc>
        <w:tc>
          <w:tcPr>
            <w:tcW w:w="240" w:type="dxa"/>
            <w:vAlign w:val="bottom"/>
          </w:tcPr>
          <w:p>
            <w:pPr>
              <w:spacing w:after="0"/>
              <w:rPr>
                <w:sz w:val="18"/>
                <w:szCs w:val="18"/>
                <w:color w:val="auto"/>
              </w:rPr>
            </w:pPr>
          </w:p>
        </w:tc>
        <w:tc>
          <w:tcPr>
            <w:tcW w:w="2640" w:type="dxa"/>
            <w:vAlign w:val="bottom"/>
            <w:gridSpan w:val="3"/>
          </w:tcPr>
          <w:p>
            <w:pPr>
              <w:jc w:val="right"/>
              <w:spacing w:after="0"/>
              <w:rPr>
                <w:sz w:val="20"/>
                <w:szCs w:val="20"/>
                <w:color w:val="auto"/>
              </w:rPr>
            </w:pPr>
            <w:r>
              <w:rPr>
                <w:rFonts w:ascii="Arial" w:cs="Arial" w:eastAsia="Arial" w:hAnsi="Arial"/>
                <w:sz w:val="15"/>
                <w:szCs w:val="15"/>
                <w:b w:val="1"/>
                <w:bCs w:val="1"/>
                <w:color w:val="125288"/>
              </w:rPr>
              <w:t>Results Achievement Achievement</w:t>
            </w:r>
          </w:p>
        </w:tc>
      </w:tr>
      <w:tr>
        <w:trPr>
          <w:trHeight w:val="41"/>
        </w:trPr>
        <w:tc>
          <w:tcPr>
            <w:tcW w:w="4880" w:type="dxa"/>
            <w:vAlign w:val="bottom"/>
            <w:tcBorders>
              <w:bottom w:val="single" w:sz="8" w:color="125288"/>
            </w:tcBorders>
          </w:tcPr>
          <w:p>
            <w:pPr>
              <w:spacing w:after="0"/>
              <w:rPr>
                <w:sz w:val="3"/>
                <w:szCs w:val="3"/>
                <w:color w:val="auto"/>
              </w:rPr>
            </w:pPr>
          </w:p>
        </w:tc>
        <w:tc>
          <w:tcPr>
            <w:tcW w:w="2580" w:type="dxa"/>
            <w:vAlign w:val="bottom"/>
            <w:tcBorders>
              <w:bottom w:val="single" w:sz="8" w:color="125288"/>
            </w:tcBorders>
          </w:tcPr>
          <w:p>
            <w:pPr>
              <w:spacing w:after="0"/>
              <w:rPr>
                <w:sz w:val="3"/>
                <w:szCs w:val="3"/>
                <w:color w:val="auto"/>
              </w:rPr>
            </w:pPr>
          </w:p>
        </w:tc>
        <w:tc>
          <w:tcPr>
            <w:tcW w:w="220" w:type="dxa"/>
            <w:vAlign w:val="bottom"/>
            <w:tcBorders>
              <w:bottom w:val="single" w:sz="8" w:color="125288"/>
            </w:tcBorders>
          </w:tcPr>
          <w:p>
            <w:pPr>
              <w:spacing w:after="0"/>
              <w:rPr>
                <w:sz w:val="3"/>
                <w:szCs w:val="3"/>
                <w:color w:val="auto"/>
              </w:rPr>
            </w:pPr>
          </w:p>
        </w:tc>
        <w:tc>
          <w:tcPr>
            <w:tcW w:w="700" w:type="dxa"/>
            <w:vAlign w:val="bottom"/>
            <w:tcBorders>
              <w:bottom w:val="single" w:sz="8" w:color="125288"/>
            </w:tcBorders>
          </w:tcPr>
          <w:p>
            <w:pPr>
              <w:spacing w:after="0"/>
              <w:rPr>
                <w:sz w:val="3"/>
                <w:szCs w:val="3"/>
                <w:color w:val="auto"/>
              </w:rPr>
            </w:pPr>
          </w:p>
        </w:tc>
        <w:tc>
          <w:tcPr>
            <w:tcW w:w="240" w:type="dxa"/>
            <w:vAlign w:val="bottom"/>
            <w:tcBorders>
              <w:bottom w:val="single" w:sz="8" w:color="125288"/>
            </w:tcBorders>
          </w:tcPr>
          <w:p>
            <w:pPr>
              <w:spacing w:after="0"/>
              <w:rPr>
                <w:sz w:val="3"/>
                <w:szCs w:val="3"/>
                <w:color w:val="auto"/>
              </w:rPr>
            </w:pPr>
          </w:p>
        </w:tc>
        <w:tc>
          <w:tcPr>
            <w:tcW w:w="820" w:type="dxa"/>
            <w:vAlign w:val="bottom"/>
            <w:tcBorders>
              <w:bottom w:val="single" w:sz="8" w:color="125288"/>
            </w:tcBorders>
          </w:tcPr>
          <w:p>
            <w:pPr>
              <w:spacing w:after="0"/>
              <w:rPr>
                <w:sz w:val="3"/>
                <w:szCs w:val="3"/>
                <w:color w:val="auto"/>
              </w:rPr>
            </w:pPr>
          </w:p>
        </w:tc>
        <w:tc>
          <w:tcPr>
            <w:tcW w:w="920" w:type="dxa"/>
            <w:vAlign w:val="bottom"/>
            <w:tcBorders>
              <w:bottom w:val="single" w:sz="8" w:color="125288"/>
            </w:tcBorders>
          </w:tcPr>
          <w:p>
            <w:pPr>
              <w:spacing w:after="0"/>
              <w:rPr>
                <w:sz w:val="3"/>
                <w:szCs w:val="3"/>
                <w:color w:val="auto"/>
              </w:rPr>
            </w:pPr>
          </w:p>
        </w:tc>
        <w:tc>
          <w:tcPr>
            <w:tcW w:w="900" w:type="dxa"/>
            <w:vAlign w:val="bottom"/>
            <w:tcBorders>
              <w:bottom w:val="single" w:sz="8" w:color="125288"/>
            </w:tcBorders>
          </w:tcPr>
          <w:p>
            <w:pPr>
              <w:spacing w:after="0"/>
              <w:rPr>
                <w:sz w:val="3"/>
                <w:szCs w:val="3"/>
                <w:color w:val="auto"/>
              </w:rPr>
            </w:pPr>
          </w:p>
        </w:tc>
      </w:tr>
      <w:tr>
        <w:trPr>
          <w:trHeight w:val="396"/>
        </w:trPr>
        <w:tc>
          <w:tcPr>
            <w:tcW w:w="4880" w:type="dxa"/>
            <w:vAlign w:val="bottom"/>
            <w:tcBorders>
              <w:bottom w:val="single" w:sz="8" w:color="125288"/>
            </w:tcBorders>
          </w:tcPr>
          <w:p>
            <w:pPr>
              <w:ind w:left="60"/>
              <w:spacing w:after="0"/>
              <w:rPr>
                <w:sz w:val="20"/>
                <w:szCs w:val="20"/>
                <w:color w:val="auto"/>
              </w:rPr>
            </w:pPr>
            <w:r>
              <w:rPr>
                <w:rFonts w:ascii="Arial" w:cs="Arial" w:eastAsia="Arial" w:hAnsi="Arial"/>
                <w:sz w:val="17"/>
                <w:szCs w:val="17"/>
                <w:color w:val="auto"/>
              </w:rPr>
              <w:t>AB Adjusted OI</w:t>
            </w:r>
          </w:p>
        </w:tc>
        <w:tc>
          <w:tcPr>
            <w:tcW w:w="2580" w:type="dxa"/>
            <w:vAlign w:val="bottom"/>
            <w:tcBorders>
              <w:bottom w:val="single" w:sz="8" w:color="125288"/>
            </w:tcBorders>
          </w:tcPr>
          <w:p>
            <w:pPr>
              <w:jc w:val="right"/>
              <w:ind w:right="38"/>
              <w:spacing w:after="0"/>
              <w:rPr>
                <w:sz w:val="20"/>
                <w:szCs w:val="20"/>
                <w:color w:val="auto"/>
              </w:rPr>
            </w:pPr>
            <w:r>
              <w:rPr>
                <w:rFonts w:ascii="Arial" w:cs="Arial" w:eastAsia="Arial" w:hAnsi="Arial"/>
                <w:sz w:val="17"/>
                <w:szCs w:val="17"/>
                <w:color w:val="auto"/>
              </w:rPr>
              <w:t>48%</w:t>
            </w:r>
          </w:p>
        </w:tc>
        <w:tc>
          <w:tcPr>
            <w:tcW w:w="220" w:type="dxa"/>
            <w:vAlign w:val="bottom"/>
            <w:tcBorders>
              <w:bottom w:val="single" w:sz="8" w:color="125288"/>
            </w:tcBorders>
          </w:tcPr>
          <w:p>
            <w:pPr>
              <w:jc w:val="right"/>
              <w:spacing w:after="0"/>
              <w:rPr>
                <w:sz w:val="20"/>
                <w:szCs w:val="20"/>
                <w:color w:val="auto"/>
              </w:rPr>
            </w:pPr>
            <w:r>
              <w:rPr>
                <w:rFonts w:ascii="Arial" w:cs="Arial" w:eastAsia="Arial" w:hAnsi="Arial"/>
                <w:sz w:val="17"/>
                <w:szCs w:val="17"/>
                <w:b w:val="1"/>
                <w:bCs w:val="1"/>
                <w:color w:val="auto"/>
              </w:rPr>
              <w:t>$</w:t>
            </w:r>
          </w:p>
        </w:tc>
        <w:tc>
          <w:tcPr>
            <w:tcW w:w="700" w:type="dxa"/>
            <w:vAlign w:val="bottom"/>
            <w:tcBorders>
              <w:bottom w:val="single" w:sz="8" w:color="125288"/>
            </w:tcBorders>
          </w:tcPr>
          <w:p>
            <w:pPr>
              <w:jc w:val="right"/>
              <w:ind w:right="59"/>
              <w:spacing w:after="0"/>
              <w:rPr>
                <w:sz w:val="20"/>
                <w:szCs w:val="20"/>
                <w:color w:val="auto"/>
              </w:rPr>
            </w:pPr>
            <w:r>
              <w:rPr>
                <w:rFonts w:ascii="Arial" w:cs="Arial" w:eastAsia="Arial" w:hAnsi="Arial"/>
                <w:sz w:val="17"/>
                <w:szCs w:val="17"/>
                <w:b w:val="1"/>
                <w:bCs w:val="1"/>
                <w:color w:val="auto"/>
              </w:rPr>
              <w:t>3,810</w:t>
            </w:r>
          </w:p>
        </w:tc>
        <w:tc>
          <w:tcPr>
            <w:tcW w:w="240" w:type="dxa"/>
            <w:vAlign w:val="bottom"/>
            <w:tcBorders>
              <w:bottom w:val="single" w:sz="8" w:color="125288"/>
            </w:tcBorders>
          </w:tcPr>
          <w:p>
            <w:pPr>
              <w:jc w:val="right"/>
              <w:spacing w:after="0"/>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125288"/>
            </w:tcBorders>
          </w:tcPr>
          <w:p>
            <w:pPr>
              <w:jc w:val="right"/>
              <w:ind w:right="179"/>
              <w:spacing w:after="0"/>
              <w:rPr>
                <w:sz w:val="20"/>
                <w:szCs w:val="20"/>
                <w:color w:val="auto"/>
              </w:rPr>
            </w:pPr>
            <w:r>
              <w:rPr>
                <w:rFonts w:ascii="Arial" w:cs="Arial" w:eastAsia="Arial" w:hAnsi="Arial"/>
                <w:sz w:val="17"/>
                <w:szCs w:val="17"/>
                <w:b w:val="1"/>
                <w:bCs w:val="1"/>
                <w:color w:val="auto"/>
              </w:rPr>
              <w:t>3,403</w:t>
            </w:r>
          </w:p>
        </w:tc>
        <w:tc>
          <w:tcPr>
            <w:tcW w:w="920" w:type="dxa"/>
            <w:vAlign w:val="bottom"/>
            <w:tcBorders>
              <w:bottom w:val="single" w:sz="8" w:color="125288"/>
            </w:tcBorders>
          </w:tcPr>
          <w:p>
            <w:pPr>
              <w:jc w:val="right"/>
              <w:ind w:right="78"/>
              <w:spacing w:after="0"/>
              <w:rPr>
                <w:sz w:val="20"/>
                <w:szCs w:val="20"/>
                <w:color w:val="auto"/>
              </w:rPr>
            </w:pPr>
            <w:r>
              <w:rPr>
                <w:rFonts w:ascii="Arial" w:cs="Arial" w:eastAsia="Arial" w:hAnsi="Arial"/>
                <w:sz w:val="17"/>
                <w:szCs w:val="17"/>
                <w:color w:val="auto"/>
              </w:rPr>
              <w:t>89.3%</w:t>
            </w:r>
          </w:p>
        </w:tc>
        <w:tc>
          <w:tcPr>
            <w:tcW w:w="900" w:type="dxa"/>
            <w:vAlign w:val="bottom"/>
            <w:tcBorders>
              <w:bottom w:val="single" w:sz="8" w:color="125288"/>
            </w:tcBorders>
          </w:tcPr>
          <w:p>
            <w:pPr>
              <w:jc w:val="right"/>
              <w:spacing w:after="0"/>
              <w:rPr>
                <w:sz w:val="20"/>
                <w:szCs w:val="20"/>
                <w:color w:val="auto"/>
              </w:rPr>
            </w:pPr>
            <w:r>
              <w:rPr>
                <w:rFonts w:ascii="Arial" w:cs="Arial" w:eastAsia="Arial" w:hAnsi="Arial"/>
                <w:sz w:val="33"/>
                <w:szCs w:val="33"/>
                <w:color w:val="auto"/>
                <w:vertAlign w:val="subscript"/>
              </w:rPr>
              <w:t>0%</w:t>
            </w:r>
            <w:r>
              <w:rPr>
                <w:rFonts w:ascii="Arial" w:cs="Arial" w:eastAsia="Arial" w:hAnsi="Arial"/>
                <w:sz w:val="14"/>
                <w:szCs w:val="14"/>
                <w:color w:val="auto"/>
              </w:rPr>
              <w:t>(2)</w:t>
            </w:r>
          </w:p>
        </w:tc>
      </w:tr>
      <w:tr>
        <w:trPr>
          <w:trHeight w:val="276"/>
        </w:trPr>
        <w:tc>
          <w:tcPr>
            <w:tcW w:w="4880" w:type="dxa"/>
            <w:vAlign w:val="bottom"/>
          </w:tcPr>
          <w:p>
            <w:pPr>
              <w:ind w:left="60"/>
              <w:spacing w:after="0"/>
              <w:rPr>
                <w:sz w:val="20"/>
                <w:szCs w:val="20"/>
                <w:color w:val="auto"/>
              </w:rPr>
            </w:pPr>
            <w:r>
              <w:rPr>
                <w:rFonts w:ascii="Arial" w:cs="Arial" w:eastAsia="Arial" w:hAnsi="Arial"/>
                <w:sz w:val="17"/>
                <w:szCs w:val="17"/>
                <w:color w:val="auto"/>
              </w:rPr>
              <w:t>AB Adjusted EPS</w:t>
            </w:r>
          </w:p>
        </w:tc>
        <w:tc>
          <w:tcPr>
            <w:tcW w:w="2580" w:type="dxa"/>
            <w:vAlign w:val="bottom"/>
          </w:tcPr>
          <w:p>
            <w:pPr>
              <w:jc w:val="right"/>
              <w:ind w:right="38"/>
              <w:spacing w:after="0"/>
              <w:rPr>
                <w:sz w:val="20"/>
                <w:szCs w:val="20"/>
                <w:color w:val="auto"/>
              </w:rPr>
            </w:pPr>
            <w:r>
              <w:rPr>
                <w:rFonts w:ascii="Arial" w:cs="Arial" w:eastAsia="Arial" w:hAnsi="Arial"/>
                <w:sz w:val="17"/>
                <w:szCs w:val="17"/>
                <w:color w:val="auto"/>
              </w:rPr>
              <w:t>16%</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59"/>
              <w:spacing w:after="0"/>
              <w:rPr>
                <w:sz w:val="20"/>
                <w:szCs w:val="20"/>
                <w:color w:val="auto"/>
              </w:rPr>
            </w:pPr>
            <w:r>
              <w:rPr>
                <w:rFonts w:ascii="Arial" w:cs="Arial" w:eastAsia="Arial" w:hAnsi="Arial"/>
                <w:sz w:val="17"/>
                <w:szCs w:val="17"/>
                <w:b w:val="1"/>
                <w:bCs w:val="1"/>
                <w:color w:val="auto"/>
              </w:rPr>
              <w:t>3.85</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jc w:val="right"/>
              <w:ind w:right="179"/>
              <w:spacing w:after="0"/>
              <w:rPr>
                <w:sz w:val="20"/>
                <w:szCs w:val="20"/>
                <w:color w:val="auto"/>
              </w:rPr>
            </w:pPr>
            <w:r>
              <w:rPr>
                <w:rFonts w:ascii="Arial" w:cs="Arial" w:eastAsia="Arial" w:hAnsi="Arial"/>
                <w:sz w:val="17"/>
                <w:szCs w:val="17"/>
                <w:b w:val="1"/>
                <w:bCs w:val="1"/>
                <w:color w:val="auto"/>
              </w:rPr>
              <w:t>3.62</w:t>
            </w:r>
          </w:p>
        </w:tc>
        <w:tc>
          <w:tcPr>
            <w:tcW w:w="920" w:type="dxa"/>
            <w:vAlign w:val="bottom"/>
          </w:tcPr>
          <w:p>
            <w:pPr>
              <w:jc w:val="right"/>
              <w:ind w:right="78"/>
              <w:spacing w:after="0"/>
              <w:rPr>
                <w:sz w:val="20"/>
                <w:szCs w:val="20"/>
                <w:color w:val="auto"/>
              </w:rPr>
            </w:pPr>
            <w:r>
              <w:rPr>
                <w:rFonts w:ascii="Arial" w:cs="Arial" w:eastAsia="Arial" w:hAnsi="Arial"/>
                <w:sz w:val="17"/>
                <w:szCs w:val="17"/>
                <w:color w:val="auto"/>
              </w:rPr>
              <w:t>94.1%</w:t>
            </w:r>
          </w:p>
        </w:tc>
        <w:tc>
          <w:tcPr>
            <w:tcW w:w="9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85"/>
        </w:trPr>
        <w:tc>
          <w:tcPr>
            <w:tcW w:w="4880" w:type="dxa"/>
            <w:vAlign w:val="bottom"/>
            <w:tcBorders>
              <w:bottom w:val="single" w:sz="8" w:color="125288"/>
            </w:tcBorders>
          </w:tcPr>
          <w:p>
            <w:pPr>
              <w:spacing w:after="0"/>
              <w:rPr>
                <w:sz w:val="7"/>
                <w:szCs w:val="7"/>
                <w:color w:val="auto"/>
              </w:rPr>
            </w:pPr>
          </w:p>
        </w:tc>
        <w:tc>
          <w:tcPr>
            <w:tcW w:w="2580" w:type="dxa"/>
            <w:vAlign w:val="bottom"/>
            <w:tcBorders>
              <w:bottom w:val="single" w:sz="8" w:color="125288"/>
            </w:tcBorders>
          </w:tcPr>
          <w:p>
            <w:pPr>
              <w:spacing w:after="0"/>
              <w:rPr>
                <w:sz w:val="7"/>
                <w:szCs w:val="7"/>
                <w:color w:val="auto"/>
              </w:rPr>
            </w:pPr>
          </w:p>
        </w:tc>
        <w:tc>
          <w:tcPr>
            <w:tcW w:w="220" w:type="dxa"/>
            <w:vAlign w:val="bottom"/>
            <w:tcBorders>
              <w:bottom w:val="single" w:sz="8" w:color="125288"/>
            </w:tcBorders>
          </w:tcPr>
          <w:p>
            <w:pPr>
              <w:spacing w:after="0"/>
              <w:rPr>
                <w:sz w:val="7"/>
                <w:szCs w:val="7"/>
                <w:color w:val="auto"/>
              </w:rPr>
            </w:pPr>
          </w:p>
        </w:tc>
        <w:tc>
          <w:tcPr>
            <w:tcW w:w="700" w:type="dxa"/>
            <w:vAlign w:val="bottom"/>
            <w:tcBorders>
              <w:bottom w:val="single" w:sz="8" w:color="125288"/>
            </w:tcBorders>
          </w:tcPr>
          <w:p>
            <w:pPr>
              <w:spacing w:after="0"/>
              <w:rPr>
                <w:sz w:val="7"/>
                <w:szCs w:val="7"/>
                <w:color w:val="auto"/>
              </w:rPr>
            </w:pPr>
          </w:p>
        </w:tc>
        <w:tc>
          <w:tcPr>
            <w:tcW w:w="240" w:type="dxa"/>
            <w:vAlign w:val="bottom"/>
            <w:tcBorders>
              <w:bottom w:val="single" w:sz="8" w:color="125288"/>
            </w:tcBorders>
          </w:tcPr>
          <w:p>
            <w:pPr>
              <w:spacing w:after="0"/>
              <w:rPr>
                <w:sz w:val="7"/>
                <w:szCs w:val="7"/>
                <w:color w:val="auto"/>
              </w:rPr>
            </w:pPr>
          </w:p>
        </w:tc>
        <w:tc>
          <w:tcPr>
            <w:tcW w:w="820" w:type="dxa"/>
            <w:vAlign w:val="bottom"/>
            <w:tcBorders>
              <w:bottom w:val="single" w:sz="8" w:color="125288"/>
            </w:tcBorders>
          </w:tcPr>
          <w:p>
            <w:pPr>
              <w:spacing w:after="0"/>
              <w:rPr>
                <w:sz w:val="7"/>
                <w:szCs w:val="7"/>
                <w:color w:val="auto"/>
              </w:rPr>
            </w:pPr>
          </w:p>
        </w:tc>
        <w:tc>
          <w:tcPr>
            <w:tcW w:w="920" w:type="dxa"/>
            <w:vAlign w:val="bottom"/>
            <w:tcBorders>
              <w:bottom w:val="single" w:sz="8" w:color="125288"/>
            </w:tcBorders>
          </w:tcPr>
          <w:p>
            <w:pPr>
              <w:spacing w:after="0"/>
              <w:rPr>
                <w:sz w:val="7"/>
                <w:szCs w:val="7"/>
                <w:color w:val="auto"/>
              </w:rPr>
            </w:pPr>
          </w:p>
        </w:tc>
        <w:tc>
          <w:tcPr>
            <w:tcW w:w="900" w:type="dxa"/>
            <w:vAlign w:val="bottom"/>
            <w:tcBorders>
              <w:bottom w:val="single" w:sz="8" w:color="125288"/>
            </w:tcBorders>
          </w:tcPr>
          <w:p>
            <w:pPr>
              <w:spacing w:after="0"/>
              <w:rPr>
                <w:sz w:val="7"/>
                <w:szCs w:val="7"/>
                <w:color w:val="auto"/>
              </w:rPr>
            </w:pPr>
          </w:p>
        </w:tc>
      </w:tr>
      <w:tr>
        <w:trPr>
          <w:trHeight w:val="276"/>
        </w:trPr>
        <w:tc>
          <w:tcPr>
            <w:tcW w:w="4880" w:type="dxa"/>
            <w:vAlign w:val="bottom"/>
          </w:tcPr>
          <w:p>
            <w:pPr>
              <w:ind w:left="60"/>
              <w:spacing w:after="0"/>
              <w:rPr>
                <w:sz w:val="20"/>
                <w:szCs w:val="20"/>
                <w:color w:val="auto"/>
              </w:rPr>
            </w:pPr>
            <w:r>
              <w:rPr>
                <w:rFonts w:ascii="Arial" w:cs="Arial" w:eastAsia="Arial" w:hAnsi="Arial"/>
                <w:sz w:val="17"/>
                <w:szCs w:val="17"/>
                <w:color w:val="auto"/>
              </w:rPr>
              <w:t>AB Adjusted Free Cash Flow</w:t>
            </w:r>
          </w:p>
        </w:tc>
        <w:tc>
          <w:tcPr>
            <w:tcW w:w="2580" w:type="dxa"/>
            <w:vAlign w:val="bottom"/>
          </w:tcPr>
          <w:p>
            <w:pPr>
              <w:jc w:val="right"/>
              <w:ind w:right="38"/>
              <w:spacing w:after="0"/>
              <w:rPr>
                <w:sz w:val="20"/>
                <w:szCs w:val="20"/>
                <w:color w:val="auto"/>
              </w:rPr>
            </w:pPr>
            <w:r>
              <w:rPr>
                <w:rFonts w:ascii="Arial" w:cs="Arial" w:eastAsia="Arial" w:hAnsi="Arial"/>
                <w:sz w:val="17"/>
                <w:szCs w:val="17"/>
                <w:color w:val="auto"/>
              </w:rPr>
              <w:t>16%</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59"/>
              <w:spacing w:after="0"/>
              <w:rPr>
                <w:sz w:val="20"/>
                <w:szCs w:val="20"/>
                <w:color w:val="auto"/>
              </w:rPr>
            </w:pPr>
            <w:r>
              <w:rPr>
                <w:rFonts w:ascii="Arial" w:cs="Arial" w:eastAsia="Arial" w:hAnsi="Arial"/>
                <w:sz w:val="17"/>
                <w:szCs w:val="17"/>
                <w:b w:val="1"/>
                <w:bCs w:val="1"/>
                <w:color w:val="auto"/>
              </w:rPr>
              <w:t>2,613</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jc w:val="right"/>
              <w:ind w:right="179"/>
              <w:spacing w:after="0"/>
              <w:rPr>
                <w:sz w:val="20"/>
                <w:szCs w:val="20"/>
                <w:color w:val="auto"/>
              </w:rPr>
            </w:pPr>
            <w:r>
              <w:rPr>
                <w:rFonts w:ascii="Arial" w:cs="Arial" w:eastAsia="Arial" w:hAnsi="Arial"/>
                <w:sz w:val="17"/>
                <w:szCs w:val="17"/>
                <w:b w:val="1"/>
                <w:bCs w:val="1"/>
                <w:color w:val="auto"/>
              </w:rPr>
              <w:t>2,369</w:t>
            </w:r>
          </w:p>
        </w:tc>
        <w:tc>
          <w:tcPr>
            <w:tcW w:w="920" w:type="dxa"/>
            <w:vAlign w:val="bottom"/>
          </w:tcPr>
          <w:p>
            <w:pPr>
              <w:jc w:val="right"/>
              <w:ind w:right="78"/>
              <w:spacing w:after="0"/>
              <w:rPr>
                <w:sz w:val="20"/>
                <w:szCs w:val="20"/>
                <w:color w:val="auto"/>
              </w:rPr>
            </w:pPr>
            <w:r>
              <w:rPr>
                <w:rFonts w:ascii="Arial" w:cs="Arial" w:eastAsia="Arial" w:hAnsi="Arial"/>
                <w:sz w:val="17"/>
                <w:szCs w:val="17"/>
                <w:color w:val="auto"/>
              </w:rPr>
              <w:t>90.7%</w:t>
            </w:r>
          </w:p>
        </w:tc>
        <w:tc>
          <w:tcPr>
            <w:tcW w:w="9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85"/>
        </w:trPr>
        <w:tc>
          <w:tcPr>
            <w:tcW w:w="4880" w:type="dxa"/>
            <w:vAlign w:val="bottom"/>
            <w:tcBorders>
              <w:bottom w:val="single" w:sz="8" w:color="125288"/>
            </w:tcBorders>
          </w:tcPr>
          <w:p>
            <w:pPr>
              <w:spacing w:after="0"/>
              <w:rPr>
                <w:sz w:val="7"/>
                <w:szCs w:val="7"/>
                <w:color w:val="auto"/>
              </w:rPr>
            </w:pPr>
          </w:p>
        </w:tc>
        <w:tc>
          <w:tcPr>
            <w:tcW w:w="2580" w:type="dxa"/>
            <w:vAlign w:val="bottom"/>
            <w:tcBorders>
              <w:bottom w:val="single" w:sz="8" w:color="125288"/>
            </w:tcBorders>
          </w:tcPr>
          <w:p>
            <w:pPr>
              <w:spacing w:after="0"/>
              <w:rPr>
                <w:sz w:val="7"/>
                <w:szCs w:val="7"/>
                <w:color w:val="auto"/>
              </w:rPr>
            </w:pPr>
          </w:p>
        </w:tc>
        <w:tc>
          <w:tcPr>
            <w:tcW w:w="220" w:type="dxa"/>
            <w:vAlign w:val="bottom"/>
            <w:tcBorders>
              <w:bottom w:val="single" w:sz="8" w:color="125288"/>
            </w:tcBorders>
          </w:tcPr>
          <w:p>
            <w:pPr>
              <w:spacing w:after="0"/>
              <w:rPr>
                <w:sz w:val="7"/>
                <w:szCs w:val="7"/>
                <w:color w:val="auto"/>
              </w:rPr>
            </w:pPr>
          </w:p>
        </w:tc>
        <w:tc>
          <w:tcPr>
            <w:tcW w:w="700" w:type="dxa"/>
            <w:vAlign w:val="bottom"/>
            <w:tcBorders>
              <w:bottom w:val="single" w:sz="8" w:color="125288"/>
            </w:tcBorders>
          </w:tcPr>
          <w:p>
            <w:pPr>
              <w:spacing w:after="0"/>
              <w:rPr>
                <w:sz w:val="7"/>
                <w:szCs w:val="7"/>
                <w:color w:val="auto"/>
              </w:rPr>
            </w:pPr>
          </w:p>
        </w:tc>
        <w:tc>
          <w:tcPr>
            <w:tcW w:w="240" w:type="dxa"/>
            <w:vAlign w:val="bottom"/>
            <w:tcBorders>
              <w:bottom w:val="single" w:sz="8" w:color="125288"/>
            </w:tcBorders>
          </w:tcPr>
          <w:p>
            <w:pPr>
              <w:spacing w:after="0"/>
              <w:rPr>
                <w:sz w:val="7"/>
                <w:szCs w:val="7"/>
                <w:color w:val="auto"/>
              </w:rPr>
            </w:pPr>
          </w:p>
        </w:tc>
        <w:tc>
          <w:tcPr>
            <w:tcW w:w="820" w:type="dxa"/>
            <w:vAlign w:val="bottom"/>
            <w:tcBorders>
              <w:bottom w:val="single" w:sz="8" w:color="125288"/>
            </w:tcBorders>
          </w:tcPr>
          <w:p>
            <w:pPr>
              <w:spacing w:after="0"/>
              <w:rPr>
                <w:sz w:val="7"/>
                <w:szCs w:val="7"/>
                <w:color w:val="auto"/>
              </w:rPr>
            </w:pPr>
          </w:p>
        </w:tc>
        <w:tc>
          <w:tcPr>
            <w:tcW w:w="920" w:type="dxa"/>
            <w:vAlign w:val="bottom"/>
            <w:tcBorders>
              <w:bottom w:val="single" w:sz="8" w:color="125288"/>
            </w:tcBorders>
          </w:tcPr>
          <w:p>
            <w:pPr>
              <w:spacing w:after="0"/>
              <w:rPr>
                <w:sz w:val="7"/>
                <w:szCs w:val="7"/>
                <w:color w:val="auto"/>
              </w:rPr>
            </w:pPr>
          </w:p>
        </w:tc>
        <w:tc>
          <w:tcPr>
            <w:tcW w:w="900" w:type="dxa"/>
            <w:vAlign w:val="bottom"/>
            <w:tcBorders>
              <w:bottom w:val="single" w:sz="8" w:color="125288"/>
            </w:tcBorders>
          </w:tcPr>
          <w:p>
            <w:pPr>
              <w:spacing w:after="0"/>
              <w:rPr>
                <w:sz w:val="7"/>
                <w:szCs w:val="7"/>
                <w:color w:val="auto"/>
              </w:rPr>
            </w:pPr>
          </w:p>
        </w:tc>
      </w:tr>
      <w:tr>
        <w:trPr>
          <w:trHeight w:val="447"/>
        </w:trPr>
        <w:tc>
          <w:tcPr>
            <w:tcW w:w="4880" w:type="dxa"/>
            <w:vAlign w:val="bottom"/>
          </w:tcPr>
          <w:p>
            <w:pPr>
              <w:ind w:left="60"/>
              <w:spacing w:after="0"/>
              <w:rPr>
                <w:sz w:val="20"/>
                <w:szCs w:val="20"/>
                <w:color w:val="auto"/>
              </w:rPr>
            </w:pPr>
            <w:r>
              <w:rPr>
                <w:rFonts w:ascii="Arial" w:cs="Arial" w:eastAsia="Arial" w:hAnsi="Arial"/>
                <w:sz w:val="17"/>
                <w:szCs w:val="17"/>
                <w:b w:val="1"/>
                <w:bCs w:val="1"/>
                <w:color w:val="125288"/>
              </w:rPr>
              <w:t>TOTAL WEIGHT/ACHIEVEMENT</w:t>
            </w:r>
          </w:p>
        </w:tc>
        <w:tc>
          <w:tcPr>
            <w:tcW w:w="2580" w:type="dxa"/>
            <w:vAlign w:val="bottom"/>
          </w:tcPr>
          <w:p>
            <w:pPr>
              <w:jc w:val="right"/>
              <w:ind w:right="38"/>
              <w:spacing w:after="0"/>
              <w:rPr>
                <w:sz w:val="20"/>
                <w:szCs w:val="20"/>
                <w:color w:val="auto"/>
              </w:rPr>
            </w:pPr>
            <w:r>
              <w:rPr>
                <w:rFonts w:ascii="Arial" w:cs="Arial" w:eastAsia="Arial" w:hAnsi="Arial"/>
                <w:sz w:val="17"/>
                <w:szCs w:val="17"/>
                <w:b w:val="1"/>
                <w:bCs w:val="1"/>
                <w:color w:val="125288"/>
              </w:rPr>
              <w:t>80%</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33"/>
                <w:szCs w:val="33"/>
                <w:b w:val="1"/>
                <w:bCs w:val="1"/>
                <w:color w:val="125288"/>
                <w:vertAlign w:val="subscript"/>
              </w:rPr>
              <w:t>0%</w:t>
            </w:r>
            <w:r>
              <w:rPr>
                <w:rFonts w:ascii="Arial" w:cs="Arial" w:eastAsia="Arial" w:hAnsi="Arial"/>
                <w:sz w:val="14"/>
                <w:szCs w:val="14"/>
                <w:b w:val="1"/>
                <w:bCs w:val="1"/>
                <w:color w:val="125288"/>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wp:posOffset>
            </wp:positionV>
            <wp:extent cx="7148830" cy="152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jc w:val="both"/>
        <w:ind w:left="340" w:right="100" w:hanging="285"/>
        <w:spacing w:after="0" w:line="252" w:lineRule="auto"/>
        <w:tabs>
          <w:tab w:leader="none" w:pos="340" w:val="left"/>
        </w:tabs>
        <w:numPr>
          <w:ilvl w:val="0"/>
          <w:numId w:val="96"/>
        </w:numPr>
        <w:rPr>
          <w:rFonts w:ascii="Arial" w:cs="Arial" w:eastAsia="Arial" w:hAnsi="Arial"/>
          <w:sz w:val="15"/>
          <w:szCs w:val="15"/>
          <w:color w:val="auto"/>
        </w:rPr>
      </w:pPr>
      <w:r>
        <w:rPr>
          <w:rFonts w:ascii="Arial" w:cs="Arial" w:eastAsia="Arial" w:hAnsi="Arial"/>
          <w:sz w:val="15"/>
          <w:szCs w:val="15"/>
          <w:color w:val="auto"/>
        </w:rPr>
        <w:t>These are non-GAAP measures. Results for AB Adjusted OI and AB Adjusted EPS include $160 million and $0.16, respectively, associated with share-based compensation expense related to achievement against 2021 performance targets which was not excluded from the financial objectives used by management and our Compensation Committee to assess the performance of our NEOs. For more information, including how these measures are calculated and why our Compensation Committee believes they are an appropriate way to assess our executives’ performance, see “General—Financial Measures Used in this Proxy Statement—Financial Metrics Used to Measure 2021 Compensation-Related Performance” at the beginning of this proxy statement.</w:t>
      </w:r>
    </w:p>
    <w:p>
      <w:pPr>
        <w:spacing w:after="0" w:line="21" w:lineRule="exact"/>
        <w:rPr>
          <w:rFonts w:ascii="Arial" w:cs="Arial" w:eastAsia="Arial" w:hAnsi="Arial"/>
          <w:sz w:val="15"/>
          <w:szCs w:val="15"/>
          <w:color w:val="auto"/>
        </w:rPr>
      </w:pPr>
    </w:p>
    <w:p>
      <w:pPr>
        <w:ind w:left="340" w:hanging="285"/>
        <w:spacing w:after="0"/>
        <w:tabs>
          <w:tab w:leader="none" w:pos="340" w:val="left"/>
        </w:tabs>
        <w:numPr>
          <w:ilvl w:val="0"/>
          <w:numId w:val="96"/>
        </w:numPr>
        <w:rPr>
          <w:rFonts w:ascii="Arial" w:cs="Arial" w:eastAsia="Arial" w:hAnsi="Arial"/>
          <w:sz w:val="15"/>
          <w:szCs w:val="15"/>
          <w:color w:val="auto"/>
        </w:rPr>
      </w:pPr>
      <w:r>
        <w:rPr>
          <w:rFonts w:ascii="Arial" w:cs="Arial" w:eastAsia="Arial" w:hAnsi="Arial"/>
          <w:sz w:val="15"/>
          <w:szCs w:val="15"/>
          <w:color w:val="auto"/>
        </w:rPr>
        <w:t>As AB Adjusted OI did not meet the 90% threshold, executive officers were not eligible to receive a bonus under the CAIP for 2021.</w:t>
      </w: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color w:val="125288"/>
        </w:rPr>
        <w:t>Individual Strategic Objectives (20%)</w:t>
      </w:r>
    </w:p>
    <w:p>
      <w:pPr>
        <w:spacing w:after="0" w:line="149"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For each NEO, 20% of the target opportunity was based on strategic priorities established by the Compensation Committee for the year. Payouts in respect of the strategic objectives can range from 0% to 120% of an executive officer’s target opportunity.</w:t>
      </w:r>
    </w:p>
    <w:p>
      <w:pPr>
        <w:spacing w:after="0" w:line="255"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 xml:space="preserve">The Compensation Committee believes that using strategic objectives, in addition to financial objectives, allows us to incentivize the specific behaviors the Compensation Committee thinks are most critical to the Company’s success. The exact objectives for 2021 varied by executive officer, reflecting areas of importance and influence by role. As demonstrated by the Compensation Committee’s assessment of each NEO’s performance below, ESG initiatives feature more prominently in our executive officers’ bonus opportunities than in prior years, with </w:t>
      </w:r>
      <w:r>
        <w:rPr>
          <w:rFonts w:ascii="Arial" w:cs="Arial" w:eastAsia="Arial" w:hAnsi="Arial"/>
          <w:sz w:val="19"/>
          <w:szCs w:val="19"/>
          <w:i w:val="1"/>
          <w:iCs w:val="1"/>
          <w:color w:val="auto"/>
        </w:rPr>
        <w:t>all</w:t>
      </w:r>
      <w:r>
        <w:rPr>
          <w:rFonts w:ascii="Arial" w:cs="Arial" w:eastAsia="Arial" w:hAnsi="Arial"/>
          <w:sz w:val="19"/>
          <w:szCs w:val="19"/>
          <w:color w:val="auto"/>
        </w:rPr>
        <w:t xml:space="preserve"> strategic objectives underlying the CEO’s 2021 bonus opportunity directly related to ESG.</w:t>
      </w:r>
    </w:p>
    <w:p>
      <w:pPr>
        <w:spacing w:after="0" w:line="154"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78" w:name="page79"/>
    <w:bookmarkEnd w:id="78"/>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Strategic Objectives for Robert Kotick</w:t>
      </w:r>
    </w:p>
    <w:p>
      <w:pPr>
        <w:spacing w:after="0" w:line="307" w:lineRule="exact"/>
        <w:rPr>
          <w:sz w:val="20"/>
          <w:szCs w:val="20"/>
          <w:color w:val="auto"/>
        </w:rPr>
      </w:pPr>
    </w:p>
    <w:p>
      <w:pPr>
        <w:ind w:left="7700"/>
        <w:spacing w:after="0"/>
        <w:rPr>
          <w:sz w:val="20"/>
          <w:szCs w:val="20"/>
          <w:color w:val="auto"/>
        </w:rPr>
      </w:pPr>
      <w:r>
        <w:rPr>
          <w:rFonts w:ascii="Arial" w:cs="Arial" w:eastAsia="Arial" w:hAnsi="Arial"/>
          <w:sz w:val="15"/>
          <w:szCs w:val="15"/>
          <w:b w:val="1"/>
          <w:bCs w:val="1"/>
          <w:color w:val="125288"/>
        </w:rPr>
        <w:t>Weighting (as a</w:t>
      </w:r>
    </w:p>
    <w:p>
      <w:pPr>
        <w:spacing w:after="0" w:line="41" w:lineRule="exact"/>
        <w:rPr>
          <w:sz w:val="20"/>
          <w:szCs w:val="20"/>
          <w:color w:val="auto"/>
        </w:rPr>
      </w:pPr>
    </w:p>
    <w:p>
      <w:pPr>
        <w:ind w:left="7800"/>
        <w:spacing w:after="0"/>
        <w:tabs>
          <w:tab w:leader="none" w:pos="9020" w:val="left"/>
          <w:tab w:leader="none" w:pos="10660" w:val="left"/>
        </w:tabs>
        <w:rPr>
          <w:sz w:val="20"/>
          <w:szCs w:val="20"/>
          <w:color w:val="auto"/>
        </w:rPr>
      </w:pPr>
      <w:r>
        <w:rPr>
          <w:rFonts w:ascii="Arial" w:cs="Arial" w:eastAsia="Arial" w:hAnsi="Arial"/>
          <w:sz w:val="15"/>
          <w:szCs w:val="15"/>
          <w:b w:val="1"/>
          <w:bCs w:val="1"/>
          <w:color w:val="125288"/>
        </w:rPr>
        <w:t>% of Strategic</w:t>
        <w:tab/>
        <w:t>Below</w:t>
      </w:r>
      <w:r>
        <w:rPr>
          <w:sz w:val="20"/>
          <w:szCs w:val="20"/>
          <w:color w:val="auto"/>
        </w:rPr>
        <w:tab/>
      </w:r>
      <w:r>
        <w:rPr>
          <w:rFonts w:ascii="Arial" w:cs="Arial" w:eastAsia="Arial" w:hAnsi="Arial"/>
          <w:sz w:val="15"/>
          <w:szCs w:val="15"/>
          <w:b w:val="1"/>
          <w:bCs w:val="1"/>
          <w:color w:val="125288"/>
        </w:rPr>
        <w:t>Above</w:t>
      </w:r>
    </w:p>
    <w:p>
      <w:pPr>
        <w:spacing w:after="0" w:line="41" w:lineRule="exact"/>
        <w:rPr>
          <w:sz w:val="20"/>
          <w:szCs w:val="20"/>
          <w:color w:val="auto"/>
        </w:rPr>
      </w:pPr>
    </w:p>
    <w:p>
      <w:pPr>
        <w:ind w:left="60"/>
        <w:spacing w:after="0"/>
        <w:tabs>
          <w:tab w:leader="none" w:pos="3880" w:val="left"/>
          <w:tab w:leader="none" w:pos="7980" w:val="left"/>
          <w:tab w:leader="none" w:pos="9040" w:val="left"/>
          <w:tab w:leader="none" w:pos="9820" w:val="left"/>
          <w:tab w:leader="none" w:pos="10720" w:val="left"/>
        </w:tabs>
        <w:rPr>
          <w:sz w:val="20"/>
          <w:szCs w:val="20"/>
          <w:color w:val="auto"/>
        </w:rPr>
      </w:pPr>
      <w:r>
        <w:rPr>
          <w:rFonts w:ascii="Arial" w:cs="Arial" w:eastAsia="Arial" w:hAnsi="Arial"/>
          <w:sz w:val="15"/>
          <w:szCs w:val="15"/>
          <w:b w:val="1"/>
          <w:bCs w:val="1"/>
          <w:color w:val="125288"/>
        </w:rPr>
        <w:t>Area and Summary of Goals</w:t>
      </w:r>
      <w:r>
        <w:rPr>
          <w:sz w:val="20"/>
          <w:szCs w:val="20"/>
          <w:color w:val="auto"/>
        </w:rPr>
        <w:tab/>
      </w:r>
      <w:r>
        <w:rPr>
          <w:rFonts w:ascii="Arial" w:cs="Arial" w:eastAsia="Arial" w:hAnsi="Arial"/>
          <w:sz w:val="15"/>
          <w:szCs w:val="15"/>
          <w:b w:val="1"/>
          <w:bCs w:val="1"/>
          <w:color w:val="125288"/>
        </w:rPr>
        <w:t>Achievement Details</w:t>
      </w:r>
      <w:r>
        <w:rPr>
          <w:sz w:val="20"/>
          <w:szCs w:val="20"/>
          <w:color w:val="auto"/>
        </w:rPr>
        <w:tab/>
      </w:r>
      <w:r>
        <w:rPr>
          <w:rFonts w:ascii="Arial" w:cs="Arial" w:eastAsia="Arial" w:hAnsi="Arial"/>
          <w:sz w:val="15"/>
          <w:szCs w:val="15"/>
          <w:b w:val="1"/>
          <w:bCs w:val="1"/>
          <w:color w:val="125288"/>
        </w:rPr>
        <w:t>Objectives)</w:t>
        <w:tab/>
        <w:t>Target</w:t>
      </w:r>
      <w:r>
        <w:rPr>
          <w:sz w:val="20"/>
          <w:szCs w:val="20"/>
          <w:color w:val="auto"/>
        </w:rPr>
        <w:tab/>
      </w:r>
      <w:r>
        <w:rPr>
          <w:rFonts w:ascii="Arial" w:cs="Arial" w:eastAsia="Arial" w:hAnsi="Arial"/>
          <w:sz w:val="15"/>
          <w:szCs w:val="15"/>
          <w:b w:val="1"/>
          <w:bCs w:val="1"/>
          <w:color w:val="125288"/>
        </w:rPr>
        <w:t>Target</w:t>
      </w:r>
      <w:r>
        <w:rPr>
          <w:sz w:val="20"/>
          <w:szCs w:val="20"/>
          <w:color w:val="auto"/>
        </w:rPr>
        <w:tab/>
      </w:r>
      <w:r>
        <w:rPr>
          <w:rFonts w:ascii="Arial" w:cs="Arial" w:eastAsia="Arial" w:hAnsi="Arial"/>
          <w:sz w:val="15"/>
          <w:szCs w:val="15"/>
          <w:b w:val="1"/>
          <w:bCs w:val="1"/>
          <w:color w:val="125288"/>
        </w:rPr>
        <w:t>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43815</wp:posOffset>
            </wp:positionV>
            <wp:extent cx="7148830" cy="152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p>
      <w:pPr>
        <w:spacing w:after="0" w:line="132" w:lineRule="exact"/>
        <w:rPr>
          <w:sz w:val="20"/>
          <w:szCs w:val="20"/>
          <w:color w:val="auto"/>
        </w:rPr>
      </w:pPr>
    </w:p>
    <w:p>
      <w:pPr>
        <w:ind w:left="200" w:right="240" w:hanging="145"/>
        <w:spacing w:after="0" w:line="269" w:lineRule="auto"/>
        <w:tabs>
          <w:tab w:leader="none" w:pos="200" w:val="left"/>
        </w:tabs>
        <w:numPr>
          <w:ilvl w:val="0"/>
          <w:numId w:val="97"/>
        </w:numPr>
        <w:rPr>
          <w:rFonts w:ascii="Arial" w:cs="Arial" w:eastAsia="Arial" w:hAnsi="Arial"/>
          <w:sz w:val="16"/>
          <w:szCs w:val="16"/>
          <w:color w:val="125288"/>
        </w:rPr>
      </w:pPr>
      <w:r>
        <w:rPr>
          <w:rFonts w:ascii="Arial" w:cs="Arial" w:eastAsia="Arial" w:hAnsi="Arial"/>
          <w:sz w:val="16"/>
          <w:szCs w:val="16"/>
          <w:color w:val="auto"/>
        </w:rPr>
        <w:t>Improve diversity and veteran representation across the Company</w:t>
      </w:r>
    </w:p>
    <w:p>
      <w:pPr>
        <w:spacing w:after="0" w:line="200" w:lineRule="exact"/>
        <w:rPr>
          <w:rFonts w:ascii="Arial" w:cs="Arial" w:eastAsia="Arial" w:hAnsi="Arial"/>
          <w:sz w:val="16"/>
          <w:szCs w:val="16"/>
          <w:color w:val="125288"/>
        </w:rPr>
      </w:pPr>
    </w:p>
    <w:p>
      <w:pPr>
        <w:spacing w:after="0" w:line="200" w:lineRule="exact"/>
        <w:rPr>
          <w:rFonts w:ascii="Arial" w:cs="Arial" w:eastAsia="Arial" w:hAnsi="Arial"/>
          <w:sz w:val="16"/>
          <w:szCs w:val="16"/>
          <w:color w:val="125288"/>
        </w:rPr>
      </w:pPr>
    </w:p>
    <w:p>
      <w:pPr>
        <w:spacing w:after="0" w:line="200" w:lineRule="exact"/>
        <w:rPr>
          <w:rFonts w:ascii="Arial" w:cs="Arial" w:eastAsia="Arial" w:hAnsi="Arial"/>
          <w:sz w:val="16"/>
          <w:szCs w:val="16"/>
          <w:color w:val="125288"/>
        </w:rPr>
      </w:pPr>
    </w:p>
    <w:p>
      <w:pPr>
        <w:spacing w:after="0" w:line="200" w:lineRule="exact"/>
        <w:rPr>
          <w:rFonts w:ascii="Arial" w:cs="Arial" w:eastAsia="Arial" w:hAnsi="Arial"/>
          <w:sz w:val="16"/>
          <w:szCs w:val="16"/>
          <w:color w:val="125288"/>
        </w:rPr>
      </w:pPr>
    </w:p>
    <w:p>
      <w:pPr>
        <w:spacing w:after="0" w:line="261" w:lineRule="exact"/>
        <w:rPr>
          <w:rFonts w:ascii="Arial" w:cs="Arial" w:eastAsia="Arial" w:hAnsi="Arial"/>
          <w:sz w:val="16"/>
          <w:szCs w:val="16"/>
          <w:color w:val="125288"/>
        </w:rPr>
      </w:pPr>
    </w:p>
    <w:p>
      <w:pPr>
        <w:ind w:left="200" w:hanging="145"/>
        <w:spacing w:after="0" w:line="269" w:lineRule="auto"/>
        <w:tabs>
          <w:tab w:leader="none" w:pos="200" w:val="left"/>
        </w:tabs>
        <w:numPr>
          <w:ilvl w:val="0"/>
          <w:numId w:val="97"/>
        </w:numPr>
        <w:rPr>
          <w:rFonts w:ascii="Arial" w:cs="Arial" w:eastAsia="Arial" w:hAnsi="Arial"/>
          <w:sz w:val="16"/>
          <w:szCs w:val="16"/>
          <w:color w:val="125288"/>
        </w:rPr>
      </w:pPr>
      <w:r>
        <w:rPr>
          <w:rFonts w:ascii="Arial" w:cs="Arial" w:eastAsia="Arial" w:hAnsi="Arial"/>
          <w:sz w:val="16"/>
          <w:szCs w:val="16"/>
          <w:color w:val="auto"/>
        </w:rPr>
        <w:t>Make progress on key ESG initiatives beyond representation and hiring goals</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4500" w:type="dxa"/>
            <w:vAlign w:val="bottom"/>
          </w:tcPr>
          <w:p>
            <w:pPr>
              <w:ind w:left="640"/>
              <w:spacing w:after="0"/>
              <w:rPr>
                <w:sz w:val="20"/>
                <w:szCs w:val="20"/>
                <w:color w:val="auto"/>
              </w:rPr>
            </w:pPr>
            <w:r>
              <w:rPr>
                <w:rFonts w:ascii="Arial" w:cs="Arial" w:eastAsia="Arial" w:hAnsi="Arial"/>
                <w:sz w:val="17"/>
                <w:szCs w:val="17"/>
                <w:color w:val="auto"/>
              </w:rPr>
              <w:t>Met the targeted hiring rate of women</w:t>
            </w:r>
          </w:p>
        </w:tc>
        <w:tc>
          <w:tcPr>
            <w:tcW w:w="3500" w:type="dxa"/>
            <w:vAlign w:val="bottom"/>
          </w:tcPr>
          <w:p>
            <w:pPr>
              <w:jc w:val="right"/>
              <w:ind w:right="2337"/>
              <w:spacing w:after="0"/>
              <w:rPr>
                <w:sz w:val="20"/>
                <w:szCs w:val="20"/>
                <w:color w:val="auto"/>
              </w:rPr>
            </w:pPr>
            <w:r>
              <w:rPr>
                <w:rFonts w:ascii="Arial" w:cs="Arial" w:eastAsia="Arial" w:hAnsi="Arial"/>
                <w:sz w:val="17"/>
                <w:szCs w:val="17"/>
                <w:color w:val="auto"/>
              </w:rPr>
              <w:t>30%</w:t>
            </w:r>
          </w:p>
        </w:tc>
      </w:tr>
      <w:tr>
        <w:trPr>
          <w:trHeight w:val="180"/>
        </w:trPr>
        <w:tc>
          <w:tcPr>
            <w:tcW w:w="4500" w:type="dxa"/>
            <w:vAlign w:val="bottom"/>
            <w:tcBorders>
              <w:bottom w:val="single" w:sz="8" w:color="125288"/>
            </w:tcBorders>
          </w:tcPr>
          <w:p>
            <w:pPr>
              <w:spacing w:after="0"/>
              <w:rPr>
                <w:sz w:val="15"/>
                <w:szCs w:val="15"/>
                <w:color w:val="auto"/>
              </w:rPr>
            </w:pPr>
          </w:p>
        </w:tc>
        <w:tc>
          <w:tcPr>
            <w:tcW w:w="3500" w:type="dxa"/>
            <w:vAlign w:val="bottom"/>
            <w:tcBorders>
              <w:bottom w:val="single" w:sz="8" w:color="125288"/>
            </w:tcBorders>
          </w:tcPr>
          <w:p>
            <w:pPr>
              <w:spacing w:after="0"/>
              <w:rPr>
                <w:sz w:val="15"/>
                <w:szCs w:val="15"/>
                <w:color w:val="auto"/>
              </w:rPr>
            </w:pPr>
          </w:p>
        </w:tc>
      </w:tr>
      <w:tr>
        <w:trPr>
          <w:trHeight w:val="265"/>
        </w:trPr>
        <w:tc>
          <w:tcPr>
            <w:tcW w:w="4500" w:type="dxa"/>
            <w:vAlign w:val="bottom"/>
          </w:tcPr>
          <w:p>
            <w:pPr>
              <w:ind w:left="640"/>
              <w:spacing w:after="0"/>
              <w:rPr>
                <w:sz w:val="20"/>
                <w:szCs w:val="20"/>
                <w:color w:val="auto"/>
              </w:rPr>
            </w:pPr>
            <w:r>
              <w:rPr>
                <w:rFonts w:ascii="Arial" w:cs="Arial" w:eastAsia="Arial" w:hAnsi="Arial"/>
                <w:sz w:val="17"/>
                <w:szCs w:val="17"/>
                <w:color w:val="auto"/>
              </w:rPr>
              <w:t>Met the targeted hiring rate of</w:t>
            </w:r>
          </w:p>
        </w:tc>
        <w:tc>
          <w:tcPr>
            <w:tcW w:w="3500" w:type="dxa"/>
            <w:vAlign w:val="bottom"/>
          </w:tcPr>
          <w:p>
            <w:pPr>
              <w:jc w:val="right"/>
              <w:ind w:right="2337"/>
              <w:spacing w:after="0"/>
              <w:rPr>
                <w:sz w:val="20"/>
                <w:szCs w:val="20"/>
                <w:color w:val="auto"/>
              </w:rPr>
            </w:pPr>
            <w:r>
              <w:rPr>
                <w:rFonts w:ascii="Arial" w:cs="Arial" w:eastAsia="Arial" w:hAnsi="Arial"/>
                <w:sz w:val="17"/>
                <w:szCs w:val="17"/>
                <w:color w:val="auto"/>
              </w:rPr>
              <w:t>30%</w:t>
            </w:r>
          </w:p>
        </w:tc>
      </w:tr>
      <w:tr>
        <w:trPr>
          <w:trHeight w:val="201"/>
        </w:trPr>
        <w:tc>
          <w:tcPr>
            <w:tcW w:w="4500" w:type="dxa"/>
            <w:vAlign w:val="bottom"/>
          </w:tcPr>
          <w:p>
            <w:pPr>
              <w:ind w:left="640"/>
              <w:spacing w:after="0"/>
              <w:rPr>
                <w:sz w:val="20"/>
                <w:szCs w:val="20"/>
                <w:color w:val="auto"/>
              </w:rPr>
            </w:pPr>
            <w:r>
              <w:rPr>
                <w:rFonts w:ascii="Arial" w:cs="Arial" w:eastAsia="Arial" w:hAnsi="Arial"/>
                <w:sz w:val="17"/>
                <w:szCs w:val="17"/>
                <w:color w:val="auto"/>
              </w:rPr>
              <w:t>underrepresented ethnic groups</w:t>
            </w:r>
          </w:p>
        </w:tc>
        <w:tc>
          <w:tcPr>
            <w:tcW w:w="3500" w:type="dxa"/>
            <w:vAlign w:val="bottom"/>
          </w:tcPr>
          <w:p>
            <w:pPr>
              <w:spacing w:after="0"/>
              <w:rPr>
                <w:sz w:val="17"/>
                <w:szCs w:val="17"/>
                <w:color w:val="auto"/>
              </w:rPr>
            </w:pPr>
          </w:p>
        </w:tc>
      </w:tr>
      <w:tr>
        <w:trPr>
          <w:trHeight w:val="85"/>
        </w:trPr>
        <w:tc>
          <w:tcPr>
            <w:tcW w:w="4500" w:type="dxa"/>
            <w:vAlign w:val="bottom"/>
            <w:tcBorders>
              <w:bottom w:val="single" w:sz="8" w:color="125288"/>
            </w:tcBorders>
          </w:tcPr>
          <w:p>
            <w:pPr>
              <w:spacing w:after="0"/>
              <w:rPr>
                <w:sz w:val="7"/>
                <w:szCs w:val="7"/>
                <w:color w:val="auto"/>
              </w:rPr>
            </w:pPr>
          </w:p>
        </w:tc>
        <w:tc>
          <w:tcPr>
            <w:tcW w:w="3500" w:type="dxa"/>
            <w:vAlign w:val="bottom"/>
            <w:tcBorders>
              <w:bottom w:val="single" w:sz="8" w:color="125288"/>
            </w:tcBorders>
          </w:tcPr>
          <w:p>
            <w:pPr>
              <w:spacing w:after="0"/>
              <w:rPr>
                <w:sz w:val="7"/>
                <w:szCs w:val="7"/>
                <w:color w:val="auto"/>
              </w:rPr>
            </w:pPr>
          </w:p>
        </w:tc>
      </w:tr>
      <w:tr>
        <w:trPr>
          <w:trHeight w:val="276"/>
        </w:trPr>
        <w:tc>
          <w:tcPr>
            <w:tcW w:w="4500" w:type="dxa"/>
            <w:vAlign w:val="bottom"/>
          </w:tcPr>
          <w:p>
            <w:pPr>
              <w:ind w:left="640"/>
              <w:spacing w:after="0"/>
              <w:rPr>
                <w:sz w:val="20"/>
                <w:szCs w:val="20"/>
                <w:color w:val="auto"/>
              </w:rPr>
            </w:pPr>
            <w:r>
              <w:rPr>
                <w:rFonts w:ascii="Arial" w:cs="Arial" w:eastAsia="Arial" w:hAnsi="Arial"/>
                <w:sz w:val="17"/>
                <w:szCs w:val="17"/>
                <w:color w:val="auto"/>
              </w:rPr>
              <w:t>Met the targeted hiring rate of veterans</w:t>
            </w:r>
          </w:p>
        </w:tc>
        <w:tc>
          <w:tcPr>
            <w:tcW w:w="3500" w:type="dxa"/>
            <w:vAlign w:val="bottom"/>
          </w:tcPr>
          <w:p>
            <w:pPr>
              <w:jc w:val="right"/>
              <w:ind w:right="2337"/>
              <w:spacing w:after="0"/>
              <w:rPr>
                <w:sz w:val="20"/>
                <w:szCs w:val="20"/>
                <w:color w:val="auto"/>
              </w:rPr>
            </w:pPr>
            <w:r>
              <w:rPr>
                <w:rFonts w:ascii="Arial" w:cs="Arial" w:eastAsia="Arial" w:hAnsi="Arial"/>
                <w:sz w:val="17"/>
                <w:szCs w:val="17"/>
                <w:color w:val="auto"/>
              </w:rPr>
              <w:t>15%</w:t>
            </w:r>
          </w:p>
        </w:tc>
      </w:tr>
      <w:tr>
        <w:trPr>
          <w:trHeight w:val="85"/>
        </w:trPr>
        <w:tc>
          <w:tcPr>
            <w:tcW w:w="4500" w:type="dxa"/>
            <w:vAlign w:val="bottom"/>
            <w:tcBorders>
              <w:bottom w:val="single" w:sz="8" w:color="125288"/>
            </w:tcBorders>
          </w:tcPr>
          <w:p>
            <w:pPr>
              <w:spacing w:after="0"/>
              <w:rPr>
                <w:sz w:val="7"/>
                <w:szCs w:val="7"/>
                <w:color w:val="auto"/>
              </w:rPr>
            </w:pPr>
          </w:p>
        </w:tc>
        <w:tc>
          <w:tcPr>
            <w:tcW w:w="3500" w:type="dxa"/>
            <w:vAlign w:val="bottom"/>
            <w:tcBorders>
              <w:bottom w:val="single" w:sz="8" w:color="125288"/>
            </w:tcBorders>
          </w:tcPr>
          <w:p>
            <w:pPr>
              <w:spacing w:after="0"/>
              <w:rPr>
                <w:sz w:val="7"/>
                <w:szCs w:val="7"/>
                <w:color w:val="auto"/>
              </w:rPr>
            </w:pPr>
          </w:p>
        </w:tc>
      </w:tr>
      <w:tr>
        <w:trPr>
          <w:trHeight w:val="265"/>
        </w:trPr>
        <w:tc>
          <w:tcPr>
            <w:tcW w:w="4500" w:type="dxa"/>
            <w:vAlign w:val="bottom"/>
          </w:tcPr>
          <w:p>
            <w:pPr>
              <w:ind w:left="640"/>
              <w:spacing w:after="0"/>
              <w:rPr>
                <w:sz w:val="20"/>
                <w:szCs w:val="20"/>
                <w:color w:val="auto"/>
              </w:rPr>
            </w:pPr>
            <w:r>
              <w:rPr>
                <w:rFonts w:ascii="Arial" w:cs="Arial" w:eastAsia="Arial" w:hAnsi="Arial"/>
                <w:sz w:val="17"/>
                <w:szCs w:val="17"/>
                <w:color w:val="auto"/>
              </w:rPr>
              <w:t>Furthered sustainability and measurement</w:t>
            </w:r>
          </w:p>
        </w:tc>
        <w:tc>
          <w:tcPr>
            <w:tcW w:w="3500" w:type="dxa"/>
            <w:vAlign w:val="bottom"/>
          </w:tcPr>
          <w:p>
            <w:pPr>
              <w:jc w:val="right"/>
              <w:ind w:right="2337"/>
              <w:spacing w:after="0"/>
              <w:rPr>
                <w:sz w:val="20"/>
                <w:szCs w:val="20"/>
                <w:color w:val="auto"/>
              </w:rPr>
            </w:pPr>
            <w:r>
              <w:rPr>
                <w:rFonts w:ascii="Arial" w:cs="Arial" w:eastAsia="Arial" w:hAnsi="Arial"/>
                <w:sz w:val="17"/>
                <w:szCs w:val="17"/>
                <w:color w:val="auto"/>
              </w:rPr>
              <w:t>25%</w:t>
            </w:r>
          </w:p>
        </w:tc>
      </w:tr>
      <w:tr>
        <w:trPr>
          <w:trHeight w:val="190"/>
        </w:trPr>
        <w:tc>
          <w:tcPr>
            <w:tcW w:w="4500" w:type="dxa"/>
            <w:vAlign w:val="bottom"/>
          </w:tcPr>
          <w:p>
            <w:pPr>
              <w:ind w:left="640"/>
              <w:spacing w:after="0" w:line="190" w:lineRule="exact"/>
              <w:rPr>
                <w:sz w:val="20"/>
                <w:szCs w:val="20"/>
                <w:color w:val="auto"/>
              </w:rPr>
            </w:pPr>
            <w:r>
              <w:rPr>
                <w:rFonts w:ascii="Arial" w:cs="Arial" w:eastAsia="Arial" w:hAnsi="Arial"/>
                <w:sz w:val="17"/>
                <w:szCs w:val="17"/>
                <w:color w:val="auto"/>
              </w:rPr>
              <w:t>initiatives, including the reduction in plastic</w:t>
            </w:r>
          </w:p>
        </w:tc>
        <w:tc>
          <w:tcPr>
            <w:tcW w:w="3500" w:type="dxa"/>
            <w:vAlign w:val="bottom"/>
          </w:tcPr>
          <w:p>
            <w:pPr>
              <w:spacing w:after="0"/>
              <w:rPr>
                <w:sz w:val="16"/>
                <w:szCs w:val="16"/>
                <w:color w:val="auto"/>
              </w:rPr>
            </w:pPr>
          </w:p>
        </w:tc>
      </w:tr>
      <w:tr>
        <w:trPr>
          <w:trHeight w:val="201"/>
        </w:trPr>
        <w:tc>
          <w:tcPr>
            <w:tcW w:w="4500" w:type="dxa"/>
            <w:vAlign w:val="bottom"/>
          </w:tcPr>
          <w:p>
            <w:pPr>
              <w:ind w:left="640"/>
              <w:spacing w:after="0"/>
              <w:rPr>
                <w:sz w:val="20"/>
                <w:szCs w:val="20"/>
                <w:color w:val="auto"/>
              </w:rPr>
            </w:pPr>
            <w:r>
              <w:rPr>
                <w:rFonts w:ascii="Arial" w:cs="Arial" w:eastAsia="Arial" w:hAnsi="Arial"/>
                <w:sz w:val="17"/>
                <w:szCs w:val="17"/>
                <w:color w:val="auto"/>
              </w:rPr>
              <w:t>packaging versus 2020</w:t>
            </w:r>
          </w:p>
        </w:tc>
        <w:tc>
          <w:tcPr>
            <w:tcW w:w="35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-2072640</wp:posOffset>
            </wp:positionH>
            <wp:positionV relativeFrom="paragraph">
              <wp:posOffset>51435</wp:posOffset>
            </wp:positionV>
            <wp:extent cx="7148830" cy="152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-1276985</wp:posOffset>
            </wp:positionV>
            <wp:extent cx="98425" cy="9842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4275455</wp:posOffset>
            </wp:positionH>
            <wp:positionV relativeFrom="paragraph">
              <wp:posOffset>-974725</wp:posOffset>
            </wp:positionV>
            <wp:extent cx="98425" cy="9842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4275455</wp:posOffset>
            </wp:positionH>
            <wp:positionV relativeFrom="paragraph">
              <wp:posOffset>-612140</wp:posOffset>
            </wp:positionV>
            <wp:extent cx="98425" cy="9842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4275455</wp:posOffset>
            </wp:positionH>
            <wp:positionV relativeFrom="paragraph">
              <wp:posOffset>-370840</wp:posOffset>
            </wp:positionV>
            <wp:extent cx="98425" cy="9842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80" w:space="180"/>
            <w:col w:w="8000"/>
          </w:cols>
          <w:pgMar w:left="320" w:top="144" w:right="319" w:bottom="1440" w:gutter="0" w:footer="0" w:header="0"/>
          <w:type w:val="continuous"/>
        </w:sectPr>
      </w:pP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Strategic Objectives for Armin Zerza</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660" w:type="dxa"/>
            <w:vAlign w:val="bottom"/>
          </w:tcPr>
          <w:p>
            <w:pPr>
              <w:jc w:val="right"/>
              <w:ind w:right="21"/>
              <w:spacing w:after="0"/>
              <w:rPr>
                <w:sz w:val="20"/>
                <w:szCs w:val="20"/>
                <w:color w:val="auto"/>
              </w:rPr>
            </w:pPr>
            <w:r>
              <w:rPr>
                <w:rFonts w:ascii="Arial" w:cs="Arial" w:eastAsia="Arial" w:hAnsi="Arial"/>
                <w:sz w:val="15"/>
                <w:szCs w:val="15"/>
                <w:b w:val="1"/>
                <w:bCs w:val="1"/>
                <w:color w:val="125288"/>
              </w:rPr>
              <w:t>Weighting (as</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14"/>
        </w:trPr>
        <w:tc>
          <w:tcPr>
            <w:tcW w:w="1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660" w:type="dxa"/>
            <w:vAlign w:val="bottom"/>
          </w:tcPr>
          <w:p>
            <w:pPr>
              <w:jc w:val="right"/>
              <w:ind w:right="21"/>
              <w:spacing w:after="0"/>
              <w:rPr>
                <w:sz w:val="20"/>
                <w:szCs w:val="20"/>
                <w:color w:val="auto"/>
              </w:rPr>
            </w:pPr>
            <w:r>
              <w:rPr>
                <w:rFonts w:ascii="Arial" w:cs="Arial" w:eastAsia="Arial" w:hAnsi="Arial"/>
                <w:sz w:val="15"/>
                <w:szCs w:val="15"/>
                <w:b w:val="1"/>
                <w:bCs w:val="1"/>
                <w:color w:val="125288"/>
              </w:rPr>
              <w:t>a % of</w:t>
            </w: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4"/>
        </w:trPr>
        <w:tc>
          <w:tcPr>
            <w:tcW w:w="1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660" w:type="dxa"/>
            <w:vAlign w:val="bottom"/>
          </w:tcPr>
          <w:p>
            <w:pPr>
              <w:jc w:val="right"/>
              <w:ind w:right="21"/>
              <w:spacing w:after="0"/>
              <w:rPr>
                <w:sz w:val="20"/>
                <w:szCs w:val="20"/>
                <w:color w:val="auto"/>
              </w:rPr>
            </w:pPr>
            <w:r>
              <w:rPr>
                <w:rFonts w:ascii="Arial" w:cs="Arial" w:eastAsia="Arial" w:hAnsi="Arial"/>
                <w:sz w:val="15"/>
                <w:szCs w:val="15"/>
                <w:b w:val="1"/>
                <w:bCs w:val="1"/>
                <w:color w:val="125288"/>
              </w:rPr>
              <w:t>Strategic</w:t>
            </w:r>
          </w:p>
        </w:tc>
        <w:tc>
          <w:tcPr>
            <w:tcW w:w="740" w:type="dxa"/>
            <w:vAlign w:val="bottom"/>
          </w:tcPr>
          <w:p>
            <w:pPr>
              <w:ind w:left="100"/>
              <w:spacing w:after="0"/>
              <w:rPr>
                <w:sz w:val="20"/>
                <w:szCs w:val="20"/>
                <w:color w:val="auto"/>
              </w:rPr>
            </w:pPr>
            <w:r>
              <w:rPr>
                <w:rFonts w:ascii="Arial" w:cs="Arial" w:eastAsia="Arial" w:hAnsi="Arial"/>
                <w:sz w:val="15"/>
                <w:szCs w:val="15"/>
                <w:b w:val="1"/>
                <w:bCs w:val="1"/>
                <w:color w:val="125288"/>
              </w:rPr>
              <w:t>Below</w:t>
            </w:r>
          </w:p>
        </w:tc>
        <w:tc>
          <w:tcPr>
            <w:tcW w:w="820" w:type="dxa"/>
            <w:vAlign w:val="bottom"/>
          </w:tcPr>
          <w:p>
            <w:pPr>
              <w:spacing w:after="0"/>
              <w:rPr>
                <w:sz w:val="18"/>
                <w:szCs w:val="18"/>
                <w:color w:val="auto"/>
              </w:rPr>
            </w:pPr>
          </w:p>
        </w:tc>
        <w:tc>
          <w:tcPr>
            <w:tcW w:w="760" w:type="dxa"/>
            <w:vAlign w:val="bottom"/>
            <w:gridSpan w:val="2"/>
          </w:tcPr>
          <w:p>
            <w:pPr>
              <w:jc w:val="right"/>
              <w:ind w:right="29"/>
              <w:spacing w:after="0"/>
              <w:rPr>
                <w:sz w:val="20"/>
                <w:szCs w:val="20"/>
                <w:color w:val="auto"/>
              </w:rPr>
            </w:pPr>
            <w:r>
              <w:rPr>
                <w:rFonts w:ascii="Arial" w:cs="Arial" w:eastAsia="Arial" w:hAnsi="Arial"/>
                <w:sz w:val="15"/>
                <w:szCs w:val="15"/>
                <w:b w:val="1"/>
                <w:bCs w:val="1"/>
                <w:color w:val="125288"/>
              </w:rPr>
              <w:t>Above</w:t>
            </w:r>
          </w:p>
        </w:tc>
      </w:tr>
      <w:tr>
        <w:trPr>
          <w:trHeight w:val="214"/>
        </w:trPr>
        <w:tc>
          <w:tcPr>
            <w:tcW w:w="3460" w:type="dxa"/>
            <w:vAlign w:val="bottom"/>
            <w:gridSpan w:val="2"/>
          </w:tcPr>
          <w:p>
            <w:pPr>
              <w:ind w:left="60"/>
              <w:spacing w:after="0"/>
              <w:rPr>
                <w:sz w:val="20"/>
                <w:szCs w:val="20"/>
                <w:color w:val="auto"/>
              </w:rPr>
            </w:pPr>
            <w:r>
              <w:rPr>
                <w:rFonts w:ascii="Arial" w:cs="Arial" w:eastAsia="Arial" w:hAnsi="Arial"/>
                <w:sz w:val="15"/>
                <w:szCs w:val="15"/>
                <w:b w:val="1"/>
                <w:bCs w:val="1"/>
                <w:color w:val="125288"/>
              </w:rPr>
              <w:t>Area and Summary of Goals</w:t>
            </w:r>
          </w:p>
        </w:tc>
        <w:tc>
          <w:tcPr>
            <w:tcW w:w="3820" w:type="dxa"/>
            <w:vAlign w:val="bottom"/>
          </w:tcPr>
          <w:p>
            <w:pPr>
              <w:ind w:left="440"/>
              <w:spacing w:after="0"/>
              <w:rPr>
                <w:sz w:val="20"/>
                <w:szCs w:val="20"/>
                <w:color w:val="auto"/>
              </w:rPr>
            </w:pPr>
            <w:r>
              <w:rPr>
                <w:rFonts w:ascii="Arial" w:cs="Arial" w:eastAsia="Arial" w:hAnsi="Arial"/>
                <w:sz w:val="15"/>
                <w:szCs w:val="15"/>
                <w:b w:val="1"/>
                <w:bCs w:val="1"/>
                <w:color w:val="125288"/>
              </w:rPr>
              <w:t>Achievement Details</w:t>
            </w:r>
          </w:p>
        </w:tc>
        <w:tc>
          <w:tcPr>
            <w:tcW w:w="1660" w:type="dxa"/>
            <w:vAlign w:val="bottom"/>
          </w:tcPr>
          <w:p>
            <w:pPr>
              <w:jc w:val="right"/>
              <w:ind w:right="21"/>
              <w:spacing w:after="0"/>
              <w:rPr>
                <w:sz w:val="20"/>
                <w:szCs w:val="20"/>
                <w:color w:val="auto"/>
              </w:rPr>
            </w:pPr>
            <w:r>
              <w:rPr>
                <w:rFonts w:ascii="Arial" w:cs="Arial" w:eastAsia="Arial" w:hAnsi="Arial"/>
                <w:sz w:val="15"/>
                <w:szCs w:val="15"/>
                <w:b w:val="1"/>
                <w:bCs w:val="1"/>
                <w:color w:val="125288"/>
              </w:rPr>
              <w:t>Objectives)</w:t>
            </w:r>
          </w:p>
        </w:tc>
        <w:tc>
          <w:tcPr>
            <w:tcW w:w="740" w:type="dxa"/>
            <w:vAlign w:val="bottom"/>
          </w:tcPr>
          <w:p>
            <w:pPr>
              <w:ind w:left="120"/>
              <w:spacing w:after="0"/>
              <w:rPr>
                <w:sz w:val="20"/>
                <w:szCs w:val="20"/>
                <w:color w:val="auto"/>
              </w:rPr>
            </w:pPr>
            <w:r>
              <w:rPr>
                <w:rFonts w:ascii="Arial" w:cs="Arial" w:eastAsia="Arial" w:hAnsi="Arial"/>
                <w:sz w:val="15"/>
                <w:szCs w:val="15"/>
                <w:b w:val="1"/>
                <w:bCs w:val="1"/>
                <w:color w:val="125288"/>
              </w:rPr>
              <w:t>Target</w:t>
            </w:r>
          </w:p>
        </w:tc>
        <w:tc>
          <w:tcPr>
            <w:tcW w:w="820" w:type="dxa"/>
            <w:vAlign w:val="bottom"/>
          </w:tcPr>
          <w:p>
            <w:pPr>
              <w:ind w:left="160"/>
              <w:spacing w:after="0"/>
              <w:rPr>
                <w:sz w:val="20"/>
                <w:szCs w:val="20"/>
                <w:color w:val="auto"/>
              </w:rPr>
            </w:pPr>
            <w:r>
              <w:rPr>
                <w:rFonts w:ascii="Arial" w:cs="Arial" w:eastAsia="Arial" w:hAnsi="Arial"/>
                <w:sz w:val="15"/>
                <w:szCs w:val="15"/>
                <w:b w:val="1"/>
                <w:bCs w:val="1"/>
                <w:color w:val="125288"/>
              </w:rPr>
              <w:t>Target</w:t>
            </w:r>
          </w:p>
        </w:tc>
        <w:tc>
          <w:tcPr>
            <w:tcW w:w="760" w:type="dxa"/>
            <w:vAlign w:val="bottom"/>
            <w:gridSpan w:val="2"/>
          </w:tcPr>
          <w:p>
            <w:pPr>
              <w:jc w:val="right"/>
              <w:spacing w:after="0"/>
              <w:rPr>
                <w:sz w:val="20"/>
                <w:szCs w:val="20"/>
                <w:color w:val="auto"/>
              </w:rPr>
            </w:pPr>
            <w:r>
              <w:rPr>
                <w:rFonts w:ascii="Arial" w:cs="Arial" w:eastAsia="Arial" w:hAnsi="Arial"/>
                <w:sz w:val="15"/>
                <w:szCs w:val="15"/>
                <w:b w:val="1"/>
                <w:bCs w:val="1"/>
                <w:color w:val="125288"/>
              </w:rPr>
              <w:t>Target</w:t>
            </w:r>
          </w:p>
        </w:tc>
      </w:tr>
      <w:tr>
        <w:trPr>
          <w:trHeight w:val="41"/>
        </w:trPr>
        <w:tc>
          <w:tcPr>
            <w:tcW w:w="160" w:type="dxa"/>
            <w:vAlign w:val="bottom"/>
            <w:tcBorders>
              <w:bottom w:val="single" w:sz="8" w:color="125288"/>
            </w:tcBorders>
          </w:tcPr>
          <w:p>
            <w:pPr>
              <w:spacing w:after="0"/>
              <w:rPr>
                <w:sz w:val="3"/>
                <w:szCs w:val="3"/>
                <w:color w:val="auto"/>
              </w:rPr>
            </w:pPr>
          </w:p>
        </w:tc>
        <w:tc>
          <w:tcPr>
            <w:tcW w:w="3300" w:type="dxa"/>
            <w:vAlign w:val="bottom"/>
            <w:tcBorders>
              <w:bottom w:val="single" w:sz="8" w:color="125288"/>
            </w:tcBorders>
          </w:tcPr>
          <w:p>
            <w:pPr>
              <w:spacing w:after="0"/>
              <w:rPr>
                <w:sz w:val="3"/>
                <w:szCs w:val="3"/>
                <w:color w:val="auto"/>
              </w:rPr>
            </w:pPr>
          </w:p>
        </w:tc>
        <w:tc>
          <w:tcPr>
            <w:tcW w:w="3820" w:type="dxa"/>
            <w:vAlign w:val="bottom"/>
            <w:tcBorders>
              <w:bottom w:val="single" w:sz="8" w:color="125288"/>
            </w:tcBorders>
          </w:tcPr>
          <w:p>
            <w:pPr>
              <w:spacing w:after="0"/>
              <w:rPr>
                <w:sz w:val="3"/>
                <w:szCs w:val="3"/>
                <w:color w:val="auto"/>
              </w:rPr>
            </w:pPr>
          </w:p>
        </w:tc>
        <w:tc>
          <w:tcPr>
            <w:tcW w:w="1660" w:type="dxa"/>
            <w:vAlign w:val="bottom"/>
            <w:tcBorders>
              <w:bottom w:val="single" w:sz="8" w:color="125288"/>
            </w:tcBorders>
          </w:tcPr>
          <w:p>
            <w:pPr>
              <w:spacing w:after="0"/>
              <w:rPr>
                <w:sz w:val="3"/>
                <w:szCs w:val="3"/>
                <w:color w:val="auto"/>
              </w:rPr>
            </w:pPr>
          </w:p>
        </w:tc>
        <w:tc>
          <w:tcPr>
            <w:tcW w:w="740" w:type="dxa"/>
            <w:vAlign w:val="bottom"/>
            <w:tcBorders>
              <w:bottom w:val="single" w:sz="8" w:color="125288"/>
            </w:tcBorders>
          </w:tcPr>
          <w:p>
            <w:pPr>
              <w:spacing w:after="0"/>
              <w:rPr>
                <w:sz w:val="3"/>
                <w:szCs w:val="3"/>
                <w:color w:val="auto"/>
              </w:rPr>
            </w:pPr>
          </w:p>
        </w:tc>
        <w:tc>
          <w:tcPr>
            <w:tcW w:w="820" w:type="dxa"/>
            <w:vAlign w:val="bottom"/>
            <w:tcBorders>
              <w:bottom w:val="single" w:sz="8" w:color="125288"/>
            </w:tcBorders>
          </w:tcPr>
          <w:p>
            <w:pPr>
              <w:spacing w:after="0"/>
              <w:rPr>
                <w:sz w:val="3"/>
                <w:szCs w:val="3"/>
                <w:color w:val="auto"/>
              </w:rPr>
            </w:pPr>
          </w:p>
        </w:tc>
        <w:tc>
          <w:tcPr>
            <w:tcW w:w="460" w:type="dxa"/>
            <w:vAlign w:val="bottom"/>
            <w:tcBorders>
              <w:bottom w:val="single" w:sz="8" w:color="125288"/>
            </w:tcBorders>
          </w:tcPr>
          <w:p>
            <w:pPr>
              <w:spacing w:after="0"/>
              <w:rPr>
                <w:sz w:val="3"/>
                <w:szCs w:val="3"/>
                <w:color w:val="auto"/>
              </w:rPr>
            </w:pPr>
          </w:p>
        </w:tc>
        <w:tc>
          <w:tcPr>
            <w:tcW w:w="300" w:type="dxa"/>
            <w:vAlign w:val="bottom"/>
            <w:tcBorders>
              <w:bottom w:val="single" w:sz="8" w:color="125288"/>
            </w:tcBorders>
          </w:tcPr>
          <w:p>
            <w:pPr>
              <w:spacing w:after="0"/>
              <w:rPr>
                <w:sz w:val="3"/>
                <w:szCs w:val="3"/>
                <w:color w:val="auto"/>
              </w:rPr>
            </w:pPr>
          </w:p>
        </w:tc>
      </w:tr>
      <w:tr>
        <w:trPr>
          <w:trHeight w:val="265"/>
        </w:trPr>
        <w:tc>
          <w:tcPr>
            <w:tcW w:w="160" w:type="dxa"/>
            <w:vAlign w:val="bottom"/>
          </w:tcPr>
          <w:p>
            <w:pPr>
              <w:ind w:left="60"/>
              <w:spacing w:after="0"/>
              <w:rPr>
                <w:sz w:val="20"/>
                <w:szCs w:val="20"/>
                <w:color w:val="auto"/>
              </w:rPr>
            </w:pPr>
            <w:r>
              <w:rPr>
                <w:rFonts w:ascii="Arial" w:cs="Arial" w:eastAsia="Arial" w:hAnsi="Arial"/>
                <w:sz w:val="17"/>
                <w:szCs w:val="17"/>
                <w:color w:val="125288"/>
              </w:rPr>
              <w:t>•</w:t>
            </w:r>
          </w:p>
        </w:tc>
        <w:tc>
          <w:tcPr>
            <w:tcW w:w="3300" w:type="dxa"/>
            <w:vAlign w:val="bottom"/>
          </w:tcPr>
          <w:p>
            <w:pPr>
              <w:ind w:left="40"/>
              <w:spacing w:after="0"/>
              <w:rPr>
                <w:sz w:val="20"/>
                <w:szCs w:val="20"/>
                <w:color w:val="auto"/>
              </w:rPr>
            </w:pPr>
            <w:r>
              <w:rPr>
                <w:rFonts w:ascii="Arial" w:cs="Arial" w:eastAsia="Arial" w:hAnsi="Arial"/>
                <w:sz w:val="17"/>
                <w:szCs w:val="17"/>
                <w:color w:val="auto"/>
              </w:rPr>
              <w:t>Increase efficiency and ensure proper</w:t>
            </w:r>
          </w:p>
        </w:tc>
        <w:tc>
          <w:tcPr>
            <w:tcW w:w="3820" w:type="dxa"/>
            <w:vAlign w:val="bottom"/>
          </w:tcPr>
          <w:p>
            <w:pPr>
              <w:ind w:left="440"/>
              <w:spacing w:after="0"/>
              <w:rPr>
                <w:sz w:val="20"/>
                <w:szCs w:val="20"/>
                <w:color w:val="auto"/>
              </w:rPr>
            </w:pPr>
            <w:r>
              <w:rPr>
                <w:rFonts w:ascii="Arial" w:cs="Arial" w:eastAsia="Arial" w:hAnsi="Arial"/>
                <w:sz w:val="17"/>
                <w:szCs w:val="17"/>
                <w:color w:val="auto"/>
              </w:rPr>
              <w:t>Successfully developed short-term and long-</w:t>
            </w:r>
          </w:p>
        </w:tc>
        <w:tc>
          <w:tcPr>
            <w:tcW w:w="1660" w:type="dxa"/>
            <w:vAlign w:val="bottom"/>
          </w:tcPr>
          <w:p>
            <w:pPr>
              <w:jc w:val="right"/>
              <w:ind w:right="21"/>
              <w:spacing w:after="0"/>
              <w:rPr>
                <w:sz w:val="20"/>
                <w:szCs w:val="20"/>
                <w:color w:val="auto"/>
              </w:rPr>
            </w:pPr>
            <w:r>
              <w:rPr>
                <w:rFonts w:ascii="Arial" w:cs="Arial" w:eastAsia="Arial" w:hAnsi="Arial"/>
                <w:sz w:val="17"/>
                <w:szCs w:val="17"/>
                <w:color w:val="auto"/>
              </w:rPr>
              <w:t>50%</w:t>
            </w: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190"/>
        </w:trPr>
        <w:tc>
          <w:tcPr>
            <w:tcW w:w="160" w:type="dxa"/>
            <w:vAlign w:val="bottom"/>
          </w:tcPr>
          <w:p>
            <w:pPr>
              <w:spacing w:after="0"/>
              <w:rPr>
                <w:sz w:val="16"/>
                <w:szCs w:val="16"/>
                <w:color w:val="auto"/>
              </w:rPr>
            </w:pPr>
          </w:p>
        </w:tc>
        <w:tc>
          <w:tcPr>
            <w:tcW w:w="3300" w:type="dxa"/>
            <w:vAlign w:val="bottom"/>
          </w:tcPr>
          <w:p>
            <w:pPr>
              <w:ind w:left="40"/>
              <w:spacing w:after="0" w:line="190" w:lineRule="exact"/>
              <w:rPr>
                <w:sz w:val="20"/>
                <w:szCs w:val="20"/>
                <w:color w:val="auto"/>
              </w:rPr>
            </w:pPr>
            <w:r>
              <w:rPr>
                <w:rFonts w:ascii="Arial" w:cs="Arial" w:eastAsia="Arial" w:hAnsi="Arial"/>
                <w:sz w:val="17"/>
                <w:szCs w:val="17"/>
                <w:color w:val="auto"/>
              </w:rPr>
              <w:t>investment levels in core areas of our</w:t>
            </w:r>
          </w:p>
        </w:tc>
        <w:tc>
          <w:tcPr>
            <w:tcW w:w="3820" w:type="dxa"/>
            <w:vAlign w:val="bottom"/>
          </w:tcPr>
          <w:p>
            <w:pPr>
              <w:ind w:left="440"/>
              <w:spacing w:after="0" w:line="190" w:lineRule="exact"/>
              <w:rPr>
                <w:sz w:val="20"/>
                <w:szCs w:val="20"/>
                <w:color w:val="auto"/>
              </w:rPr>
            </w:pPr>
            <w:r>
              <w:rPr>
                <w:rFonts w:ascii="Arial" w:cs="Arial" w:eastAsia="Arial" w:hAnsi="Arial"/>
                <w:sz w:val="17"/>
                <w:szCs w:val="17"/>
                <w:color w:val="auto"/>
              </w:rPr>
              <w:t>term planning around various initiatives, but</w:t>
            </w:r>
          </w:p>
        </w:tc>
        <w:tc>
          <w:tcPr>
            <w:tcW w:w="1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24"/>
        </w:trPr>
        <w:tc>
          <w:tcPr>
            <w:tcW w:w="160" w:type="dxa"/>
            <w:vAlign w:val="bottom"/>
          </w:tcPr>
          <w:p>
            <w:pPr>
              <w:spacing w:after="0"/>
              <w:rPr>
                <w:sz w:val="19"/>
                <w:szCs w:val="19"/>
                <w:color w:val="auto"/>
              </w:rPr>
            </w:pPr>
          </w:p>
        </w:tc>
        <w:tc>
          <w:tcPr>
            <w:tcW w:w="3300" w:type="dxa"/>
            <w:vAlign w:val="bottom"/>
          </w:tcPr>
          <w:p>
            <w:pPr>
              <w:ind w:left="40"/>
              <w:spacing w:after="0"/>
              <w:rPr>
                <w:sz w:val="20"/>
                <w:szCs w:val="20"/>
                <w:color w:val="auto"/>
              </w:rPr>
            </w:pPr>
            <w:r>
              <w:rPr>
                <w:rFonts w:ascii="Arial" w:cs="Arial" w:eastAsia="Arial" w:hAnsi="Arial"/>
                <w:sz w:val="17"/>
                <w:szCs w:val="17"/>
                <w:color w:val="auto"/>
              </w:rPr>
              <w:t>business</w:t>
            </w:r>
          </w:p>
        </w:tc>
        <w:tc>
          <w:tcPr>
            <w:tcW w:w="3820" w:type="dxa"/>
            <w:vAlign w:val="bottom"/>
          </w:tcPr>
          <w:p>
            <w:pPr>
              <w:ind w:left="440"/>
              <w:spacing w:after="0"/>
              <w:rPr>
                <w:sz w:val="20"/>
                <w:szCs w:val="20"/>
                <w:color w:val="auto"/>
              </w:rPr>
            </w:pPr>
            <w:r>
              <w:rPr>
                <w:rFonts w:ascii="Arial" w:cs="Arial" w:eastAsia="Arial" w:hAnsi="Arial"/>
                <w:sz w:val="17"/>
                <w:szCs w:val="17"/>
                <w:color w:val="auto"/>
              </w:rPr>
              <w:t>did not meet all cost and growth objectives</w:t>
            </w:r>
          </w:p>
        </w:tc>
        <w:tc>
          <w:tcPr>
            <w:tcW w:w="1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85"/>
        </w:trPr>
        <w:tc>
          <w:tcPr>
            <w:tcW w:w="160" w:type="dxa"/>
            <w:vAlign w:val="bottom"/>
            <w:tcBorders>
              <w:bottom w:val="single" w:sz="8" w:color="125288"/>
            </w:tcBorders>
          </w:tcPr>
          <w:p>
            <w:pPr>
              <w:spacing w:after="0"/>
              <w:rPr>
                <w:sz w:val="7"/>
                <w:szCs w:val="7"/>
                <w:color w:val="auto"/>
              </w:rPr>
            </w:pPr>
          </w:p>
        </w:tc>
        <w:tc>
          <w:tcPr>
            <w:tcW w:w="3300" w:type="dxa"/>
            <w:vAlign w:val="bottom"/>
            <w:tcBorders>
              <w:bottom w:val="single" w:sz="8" w:color="125288"/>
            </w:tcBorders>
          </w:tcPr>
          <w:p>
            <w:pPr>
              <w:spacing w:after="0"/>
              <w:rPr>
                <w:sz w:val="7"/>
                <w:szCs w:val="7"/>
                <w:color w:val="auto"/>
              </w:rPr>
            </w:pPr>
          </w:p>
        </w:tc>
        <w:tc>
          <w:tcPr>
            <w:tcW w:w="3820" w:type="dxa"/>
            <w:vAlign w:val="bottom"/>
            <w:tcBorders>
              <w:bottom w:val="single" w:sz="8" w:color="125288"/>
            </w:tcBorders>
          </w:tcPr>
          <w:p>
            <w:pPr>
              <w:spacing w:after="0"/>
              <w:rPr>
                <w:sz w:val="7"/>
                <w:szCs w:val="7"/>
                <w:color w:val="auto"/>
              </w:rPr>
            </w:pPr>
          </w:p>
        </w:tc>
        <w:tc>
          <w:tcPr>
            <w:tcW w:w="1660" w:type="dxa"/>
            <w:vAlign w:val="bottom"/>
            <w:tcBorders>
              <w:bottom w:val="single" w:sz="8" w:color="125288"/>
            </w:tcBorders>
          </w:tcPr>
          <w:p>
            <w:pPr>
              <w:spacing w:after="0"/>
              <w:rPr>
                <w:sz w:val="7"/>
                <w:szCs w:val="7"/>
                <w:color w:val="auto"/>
              </w:rPr>
            </w:pPr>
          </w:p>
        </w:tc>
        <w:tc>
          <w:tcPr>
            <w:tcW w:w="740" w:type="dxa"/>
            <w:vAlign w:val="bottom"/>
            <w:tcBorders>
              <w:bottom w:val="single" w:sz="8" w:color="125288"/>
            </w:tcBorders>
          </w:tcPr>
          <w:p>
            <w:pPr>
              <w:spacing w:after="0"/>
              <w:rPr>
                <w:sz w:val="7"/>
                <w:szCs w:val="7"/>
                <w:color w:val="auto"/>
              </w:rPr>
            </w:pPr>
          </w:p>
        </w:tc>
        <w:tc>
          <w:tcPr>
            <w:tcW w:w="820" w:type="dxa"/>
            <w:vAlign w:val="bottom"/>
            <w:tcBorders>
              <w:bottom w:val="single" w:sz="8" w:color="125288"/>
            </w:tcBorders>
          </w:tcPr>
          <w:p>
            <w:pPr>
              <w:spacing w:after="0"/>
              <w:rPr>
                <w:sz w:val="7"/>
                <w:szCs w:val="7"/>
                <w:color w:val="auto"/>
              </w:rPr>
            </w:pPr>
          </w:p>
        </w:tc>
        <w:tc>
          <w:tcPr>
            <w:tcW w:w="460" w:type="dxa"/>
            <w:vAlign w:val="bottom"/>
            <w:tcBorders>
              <w:bottom w:val="single" w:sz="8" w:color="125288"/>
            </w:tcBorders>
          </w:tcPr>
          <w:p>
            <w:pPr>
              <w:spacing w:after="0"/>
              <w:rPr>
                <w:sz w:val="7"/>
                <w:szCs w:val="7"/>
                <w:color w:val="auto"/>
              </w:rPr>
            </w:pPr>
          </w:p>
        </w:tc>
        <w:tc>
          <w:tcPr>
            <w:tcW w:w="300" w:type="dxa"/>
            <w:vAlign w:val="bottom"/>
            <w:tcBorders>
              <w:bottom w:val="single" w:sz="8" w:color="125288"/>
            </w:tcBorders>
          </w:tcPr>
          <w:p>
            <w:pPr>
              <w:spacing w:after="0"/>
              <w:rPr>
                <w:sz w:val="7"/>
                <w:szCs w:val="7"/>
                <w:color w:val="auto"/>
              </w:rPr>
            </w:pPr>
          </w:p>
        </w:tc>
      </w:tr>
      <w:tr>
        <w:trPr>
          <w:trHeight w:val="265"/>
        </w:trPr>
        <w:tc>
          <w:tcPr>
            <w:tcW w:w="160" w:type="dxa"/>
            <w:vAlign w:val="bottom"/>
          </w:tcPr>
          <w:p>
            <w:pPr>
              <w:ind w:left="60"/>
              <w:spacing w:after="0"/>
              <w:rPr>
                <w:sz w:val="20"/>
                <w:szCs w:val="20"/>
                <w:color w:val="auto"/>
              </w:rPr>
            </w:pPr>
            <w:r>
              <w:rPr>
                <w:rFonts w:ascii="Arial" w:cs="Arial" w:eastAsia="Arial" w:hAnsi="Arial"/>
                <w:sz w:val="17"/>
                <w:szCs w:val="17"/>
                <w:color w:val="125288"/>
              </w:rPr>
              <w:t>•</w:t>
            </w:r>
          </w:p>
        </w:tc>
        <w:tc>
          <w:tcPr>
            <w:tcW w:w="3300" w:type="dxa"/>
            <w:vAlign w:val="bottom"/>
          </w:tcPr>
          <w:p>
            <w:pPr>
              <w:ind w:left="40"/>
              <w:spacing w:after="0"/>
              <w:rPr>
                <w:sz w:val="20"/>
                <w:szCs w:val="20"/>
                <w:color w:val="auto"/>
              </w:rPr>
            </w:pPr>
            <w:r>
              <w:rPr>
                <w:rFonts w:ascii="Arial" w:cs="Arial" w:eastAsia="Arial" w:hAnsi="Arial"/>
                <w:sz w:val="17"/>
                <w:szCs w:val="17"/>
                <w:color w:val="auto"/>
              </w:rPr>
              <w:t>Ensure staffing and succession plans</w:t>
            </w:r>
          </w:p>
        </w:tc>
        <w:tc>
          <w:tcPr>
            <w:tcW w:w="3820" w:type="dxa"/>
            <w:vAlign w:val="bottom"/>
          </w:tcPr>
          <w:p>
            <w:pPr>
              <w:ind w:left="440"/>
              <w:spacing w:after="0"/>
              <w:rPr>
                <w:sz w:val="20"/>
                <w:szCs w:val="20"/>
                <w:color w:val="auto"/>
              </w:rPr>
            </w:pPr>
            <w:r>
              <w:rPr>
                <w:rFonts w:ascii="Arial" w:cs="Arial" w:eastAsia="Arial" w:hAnsi="Arial"/>
                <w:sz w:val="17"/>
                <w:szCs w:val="17"/>
                <w:color w:val="auto"/>
              </w:rPr>
              <w:t>Hired and promoted diverse candidates for</w:t>
            </w:r>
          </w:p>
        </w:tc>
        <w:tc>
          <w:tcPr>
            <w:tcW w:w="1660" w:type="dxa"/>
            <w:vAlign w:val="bottom"/>
          </w:tcPr>
          <w:p>
            <w:pPr>
              <w:jc w:val="right"/>
              <w:ind w:right="21"/>
              <w:spacing w:after="0"/>
              <w:rPr>
                <w:sz w:val="20"/>
                <w:szCs w:val="20"/>
                <w:color w:val="auto"/>
              </w:rPr>
            </w:pPr>
            <w:r>
              <w:rPr>
                <w:rFonts w:ascii="Arial" w:cs="Arial" w:eastAsia="Arial" w:hAnsi="Arial"/>
                <w:sz w:val="17"/>
                <w:szCs w:val="17"/>
                <w:color w:val="auto"/>
              </w:rPr>
              <w:t>20%</w:t>
            </w: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190"/>
        </w:trPr>
        <w:tc>
          <w:tcPr>
            <w:tcW w:w="160" w:type="dxa"/>
            <w:vAlign w:val="bottom"/>
          </w:tcPr>
          <w:p>
            <w:pPr>
              <w:spacing w:after="0"/>
              <w:rPr>
                <w:sz w:val="16"/>
                <w:szCs w:val="16"/>
                <w:color w:val="auto"/>
              </w:rPr>
            </w:pPr>
          </w:p>
        </w:tc>
        <w:tc>
          <w:tcPr>
            <w:tcW w:w="3300" w:type="dxa"/>
            <w:vAlign w:val="bottom"/>
          </w:tcPr>
          <w:p>
            <w:pPr>
              <w:ind w:left="40"/>
              <w:spacing w:after="0" w:line="190" w:lineRule="exact"/>
              <w:rPr>
                <w:sz w:val="20"/>
                <w:szCs w:val="20"/>
                <w:color w:val="auto"/>
              </w:rPr>
            </w:pPr>
            <w:r>
              <w:rPr>
                <w:rFonts w:ascii="Arial" w:cs="Arial" w:eastAsia="Arial" w:hAnsi="Arial"/>
                <w:sz w:val="17"/>
                <w:szCs w:val="17"/>
                <w:color w:val="auto"/>
              </w:rPr>
              <w:t>support annual and long-range growth</w:t>
            </w:r>
          </w:p>
        </w:tc>
        <w:tc>
          <w:tcPr>
            <w:tcW w:w="3820" w:type="dxa"/>
            <w:vAlign w:val="bottom"/>
          </w:tcPr>
          <w:p>
            <w:pPr>
              <w:ind w:left="440"/>
              <w:spacing w:after="0" w:line="190" w:lineRule="exact"/>
              <w:rPr>
                <w:sz w:val="20"/>
                <w:szCs w:val="20"/>
                <w:color w:val="auto"/>
              </w:rPr>
            </w:pPr>
            <w:r>
              <w:rPr>
                <w:rFonts w:ascii="Arial" w:cs="Arial" w:eastAsia="Arial" w:hAnsi="Arial"/>
                <w:sz w:val="17"/>
                <w:szCs w:val="17"/>
                <w:color w:val="auto"/>
              </w:rPr>
              <w:t>senior roles in the finance organization and</w:t>
            </w:r>
          </w:p>
        </w:tc>
        <w:tc>
          <w:tcPr>
            <w:tcW w:w="1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14"/>
        </w:trPr>
        <w:tc>
          <w:tcPr>
            <w:tcW w:w="160" w:type="dxa"/>
            <w:vAlign w:val="bottom"/>
          </w:tcPr>
          <w:p>
            <w:pPr>
              <w:spacing w:after="0"/>
              <w:rPr>
                <w:sz w:val="18"/>
                <w:szCs w:val="18"/>
                <w:color w:val="auto"/>
              </w:rPr>
            </w:pPr>
          </w:p>
        </w:tc>
        <w:tc>
          <w:tcPr>
            <w:tcW w:w="3300" w:type="dxa"/>
            <w:vAlign w:val="bottom"/>
          </w:tcPr>
          <w:p>
            <w:pPr>
              <w:ind w:left="40"/>
              <w:spacing w:after="0"/>
              <w:rPr>
                <w:sz w:val="20"/>
                <w:szCs w:val="20"/>
                <w:color w:val="auto"/>
              </w:rPr>
            </w:pPr>
            <w:r>
              <w:rPr>
                <w:rFonts w:ascii="Arial" w:cs="Arial" w:eastAsia="Arial" w:hAnsi="Arial"/>
                <w:sz w:val="17"/>
                <w:szCs w:val="17"/>
                <w:color w:val="auto"/>
              </w:rPr>
              <w:t>plans with an emphasis on diversity</w:t>
            </w:r>
          </w:p>
        </w:tc>
        <w:tc>
          <w:tcPr>
            <w:tcW w:w="3820" w:type="dxa"/>
            <w:vAlign w:val="bottom"/>
          </w:tcPr>
          <w:p>
            <w:pPr>
              <w:ind w:left="440"/>
              <w:spacing w:after="0"/>
              <w:rPr>
                <w:sz w:val="20"/>
                <w:szCs w:val="20"/>
                <w:color w:val="auto"/>
              </w:rPr>
            </w:pPr>
            <w:r>
              <w:rPr>
                <w:rFonts w:ascii="Arial" w:cs="Arial" w:eastAsia="Arial" w:hAnsi="Arial"/>
                <w:sz w:val="17"/>
                <w:szCs w:val="17"/>
                <w:color w:val="auto"/>
              </w:rPr>
              <w:t>established a production accounting function</w:t>
            </w:r>
          </w:p>
        </w:tc>
        <w:tc>
          <w:tcPr>
            <w:tcW w:w="1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1"/>
        </w:trPr>
        <w:tc>
          <w:tcPr>
            <w:tcW w:w="160" w:type="dxa"/>
            <w:vAlign w:val="bottom"/>
          </w:tcPr>
          <w:p>
            <w:pPr>
              <w:spacing w:after="0"/>
              <w:rPr>
                <w:sz w:val="17"/>
                <w:szCs w:val="17"/>
                <w:color w:val="auto"/>
              </w:rPr>
            </w:pPr>
          </w:p>
        </w:tc>
        <w:tc>
          <w:tcPr>
            <w:tcW w:w="3300" w:type="dxa"/>
            <w:vAlign w:val="bottom"/>
          </w:tcPr>
          <w:p>
            <w:pPr>
              <w:ind w:left="40"/>
              <w:spacing w:after="0"/>
              <w:rPr>
                <w:sz w:val="20"/>
                <w:szCs w:val="20"/>
                <w:color w:val="auto"/>
              </w:rPr>
            </w:pPr>
            <w:r>
              <w:rPr>
                <w:rFonts w:ascii="Arial" w:cs="Arial" w:eastAsia="Arial" w:hAnsi="Arial"/>
                <w:sz w:val="17"/>
                <w:szCs w:val="17"/>
                <w:color w:val="auto"/>
              </w:rPr>
              <w:t>and inclusion</w:t>
            </w:r>
          </w:p>
        </w:tc>
        <w:tc>
          <w:tcPr>
            <w:tcW w:w="3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85"/>
        </w:trPr>
        <w:tc>
          <w:tcPr>
            <w:tcW w:w="160" w:type="dxa"/>
            <w:vAlign w:val="bottom"/>
            <w:tcBorders>
              <w:bottom w:val="single" w:sz="8" w:color="125288"/>
            </w:tcBorders>
          </w:tcPr>
          <w:p>
            <w:pPr>
              <w:spacing w:after="0"/>
              <w:rPr>
                <w:sz w:val="7"/>
                <w:szCs w:val="7"/>
                <w:color w:val="auto"/>
              </w:rPr>
            </w:pPr>
          </w:p>
        </w:tc>
        <w:tc>
          <w:tcPr>
            <w:tcW w:w="3300" w:type="dxa"/>
            <w:vAlign w:val="bottom"/>
            <w:tcBorders>
              <w:bottom w:val="single" w:sz="8" w:color="125288"/>
            </w:tcBorders>
          </w:tcPr>
          <w:p>
            <w:pPr>
              <w:spacing w:after="0"/>
              <w:rPr>
                <w:sz w:val="7"/>
                <w:szCs w:val="7"/>
                <w:color w:val="auto"/>
              </w:rPr>
            </w:pPr>
          </w:p>
        </w:tc>
        <w:tc>
          <w:tcPr>
            <w:tcW w:w="3820" w:type="dxa"/>
            <w:vAlign w:val="bottom"/>
            <w:tcBorders>
              <w:bottom w:val="single" w:sz="8" w:color="125288"/>
            </w:tcBorders>
          </w:tcPr>
          <w:p>
            <w:pPr>
              <w:spacing w:after="0"/>
              <w:rPr>
                <w:sz w:val="7"/>
                <w:szCs w:val="7"/>
                <w:color w:val="auto"/>
              </w:rPr>
            </w:pPr>
          </w:p>
        </w:tc>
        <w:tc>
          <w:tcPr>
            <w:tcW w:w="1660" w:type="dxa"/>
            <w:vAlign w:val="bottom"/>
            <w:tcBorders>
              <w:bottom w:val="single" w:sz="8" w:color="125288"/>
            </w:tcBorders>
          </w:tcPr>
          <w:p>
            <w:pPr>
              <w:spacing w:after="0"/>
              <w:rPr>
                <w:sz w:val="7"/>
                <w:szCs w:val="7"/>
                <w:color w:val="auto"/>
              </w:rPr>
            </w:pPr>
          </w:p>
        </w:tc>
        <w:tc>
          <w:tcPr>
            <w:tcW w:w="740" w:type="dxa"/>
            <w:vAlign w:val="bottom"/>
            <w:tcBorders>
              <w:bottom w:val="single" w:sz="8" w:color="125288"/>
            </w:tcBorders>
          </w:tcPr>
          <w:p>
            <w:pPr>
              <w:spacing w:after="0"/>
              <w:rPr>
                <w:sz w:val="7"/>
                <w:szCs w:val="7"/>
                <w:color w:val="auto"/>
              </w:rPr>
            </w:pPr>
          </w:p>
        </w:tc>
        <w:tc>
          <w:tcPr>
            <w:tcW w:w="820" w:type="dxa"/>
            <w:vAlign w:val="bottom"/>
            <w:tcBorders>
              <w:bottom w:val="single" w:sz="8" w:color="125288"/>
            </w:tcBorders>
          </w:tcPr>
          <w:p>
            <w:pPr>
              <w:spacing w:after="0"/>
              <w:rPr>
                <w:sz w:val="7"/>
                <w:szCs w:val="7"/>
                <w:color w:val="auto"/>
              </w:rPr>
            </w:pPr>
          </w:p>
        </w:tc>
        <w:tc>
          <w:tcPr>
            <w:tcW w:w="460" w:type="dxa"/>
            <w:vAlign w:val="bottom"/>
            <w:tcBorders>
              <w:bottom w:val="single" w:sz="8" w:color="125288"/>
            </w:tcBorders>
          </w:tcPr>
          <w:p>
            <w:pPr>
              <w:spacing w:after="0"/>
              <w:rPr>
                <w:sz w:val="7"/>
                <w:szCs w:val="7"/>
                <w:color w:val="auto"/>
              </w:rPr>
            </w:pPr>
          </w:p>
        </w:tc>
        <w:tc>
          <w:tcPr>
            <w:tcW w:w="300" w:type="dxa"/>
            <w:vAlign w:val="bottom"/>
            <w:tcBorders>
              <w:bottom w:val="single" w:sz="8" w:color="125288"/>
            </w:tcBorders>
          </w:tcPr>
          <w:p>
            <w:pPr>
              <w:spacing w:after="0"/>
              <w:rPr>
                <w:sz w:val="7"/>
                <w:szCs w:val="7"/>
                <w:color w:val="auto"/>
              </w:rPr>
            </w:pPr>
          </w:p>
        </w:tc>
      </w:tr>
      <w:tr>
        <w:trPr>
          <w:trHeight w:val="265"/>
        </w:trPr>
        <w:tc>
          <w:tcPr>
            <w:tcW w:w="160" w:type="dxa"/>
            <w:vAlign w:val="bottom"/>
          </w:tcPr>
          <w:p>
            <w:pPr>
              <w:ind w:left="60"/>
              <w:spacing w:after="0"/>
              <w:rPr>
                <w:sz w:val="20"/>
                <w:szCs w:val="20"/>
                <w:color w:val="auto"/>
              </w:rPr>
            </w:pPr>
            <w:r>
              <w:rPr>
                <w:rFonts w:ascii="Arial" w:cs="Arial" w:eastAsia="Arial" w:hAnsi="Arial"/>
                <w:sz w:val="17"/>
                <w:szCs w:val="17"/>
                <w:color w:val="125288"/>
              </w:rPr>
              <w:t>•</w:t>
            </w:r>
          </w:p>
        </w:tc>
        <w:tc>
          <w:tcPr>
            <w:tcW w:w="3300" w:type="dxa"/>
            <w:vAlign w:val="bottom"/>
          </w:tcPr>
          <w:p>
            <w:pPr>
              <w:ind w:left="40"/>
              <w:spacing w:after="0"/>
              <w:rPr>
                <w:sz w:val="20"/>
                <w:szCs w:val="20"/>
                <w:color w:val="auto"/>
              </w:rPr>
            </w:pPr>
            <w:r>
              <w:rPr>
                <w:rFonts w:ascii="Arial" w:cs="Arial" w:eastAsia="Arial" w:hAnsi="Arial"/>
                <w:sz w:val="17"/>
                <w:szCs w:val="17"/>
                <w:color w:val="auto"/>
              </w:rPr>
              <w:t>Develop and implement appropriate</w:t>
            </w:r>
          </w:p>
        </w:tc>
        <w:tc>
          <w:tcPr>
            <w:tcW w:w="3820" w:type="dxa"/>
            <w:vAlign w:val="bottom"/>
          </w:tcPr>
          <w:p>
            <w:pPr>
              <w:ind w:left="440"/>
              <w:spacing w:after="0"/>
              <w:rPr>
                <w:sz w:val="20"/>
                <w:szCs w:val="20"/>
                <w:color w:val="auto"/>
              </w:rPr>
            </w:pPr>
            <w:r>
              <w:rPr>
                <w:rFonts w:ascii="Arial" w:cs="Arial" w:eastAsia="Arial" w:hAnsi="Arial"/>
                <w:sz w:val="17"/>
                <w:szCs w:val="17"/>
                <w:color w:val="auto"/>
              </w:rPr>
              <w:t>Instituted franchise production and resource</w:t>
            </w:r>
          </w:p>
        </w:tc>
        <w:tc>
          <w:tcPr>
            <w:tcW w:w="1660" w:type="dxa"/>
            <w:vAlign w:val="bottom"/>
          </w:tcPr>
          <w:p>
            <w:pPr>
              <w:jc w:val="right"/>
              <w:ind w:right="21"/>
              <w:spacing w:after="0"/>
              <w:rPr>
                <w:sz w:val="20"/>
                <w:szCs w:val="20"/>
                <w:color w:val="auto"/>
              </w:rPr>
            </w:pPr>
            <w:r>
              <w:rPr>
                <w:rFonts w:ascii="Arial" w:cs="Arial" w:eastAsia="Arial" w:hAnsi="Arial"/>
                <w:sz w:val="17"/>
                <w:szCs w:val="17"/>
                <w:color w:val="auto"/>
              </w:rPr>
              <w:t>10%</w:t>
            </w: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190"/>
        </w:trPr>
        <w:tc>
          <w:tcPr>
            <w:tcW w:w="160" w:type="dxa"/>
            <w:vAlign w:val="bottom"/>
          </w:tcPr>
          <w:p>
            <w:pPr>
              <w:spacing w:after="0"/>
              <w:rPr>
                <w:sz w:val="16"/>
                <w:szCs w:val="16"/>
                <w:color w:val="auto"/>
              </w:rPr>
            </w:pPr>
          </w:p>
        </w:tc>
        <w:tc>
          <w:tcPr>
            <w:tcW w:w="3300" w:type="dxa"/>
            <w:vAlign w:val="bottom"/>
          </w:tcPr>
          <w:p>
            <w:pPr>
              <w:ind w:left="40"/>
              <w:spacing w:after="0" w:line="190" w:lineRule="exact"/>
              <w:rPr>
                <w:sz w:val="20"/>
                <w:szCs w:val="20"/>
                <w:color w:val="auto"/>
              </w:rPr>
            </w:pPr>
            <w:r>
              <w:rPr>
                <w:rFonts w:ascii="Arial" w:cs="Arial" w:eastAsia="Arial" w:hAnsi="Arial"/>
                <w:sz w:val="17"/>
                <w:szCs w:val="17"/>
                <w:color w:val="auto"/>
              </w:rPr>
              <w:t>organizational plans to deliver on</w:t>
            </w:r>
          </w:p>
        </w:tc>
        <w:tc>
          <w:tcPr>
            <w:tcW w:w="3820" w:type="dxa"/>
            <w:vAlign w:val="bottom"/>
          </w:tcPr>
          <w:p>
            <w:pPr>
              <w:ind w:left="440"/>
              <w:spacing w:after="0" w:line="190" w:lineRule="exact"/>
              <w:rPr>
                <w:sz w:val="20"/>
                <w:szCs w:val="20"/>
                <w:color w:val="auto"/>
              </w:rPr>
            </w:pPr>
            <w:r>
              <w:rPr>
                <w:rFonts w:ascii="Arial" w:cs="Arial" w:eastAsia="Arial" w:hAnsi="Arial"/>
                <w:sz w:val="17"/>
                <w:szCs w:val="17"/>
                <w:color w:val="auto"/>
              </w:rPr>
              <w:t>planning with clear delivery and investment</w:t>
            </w:r>
          </w:p>
        </w:tc>
        <w:tc>
          <w:tcPr>
            <w:tcW w:w="1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24"/>
        </w:trPr>
        <w:tc>
          <w:tcPr>
            <w:tcW w:w="160" w:type="dxa"/>
            <w:vAlign w:val="bottom"/>
          </w:tcPr>
          <w:p>
            <w:pPr>
              <w:spacing w:after="0"/>
              <w:rPr>
                <w:sz w:val="19"/>
                <w:szCs w:val="19"/>
                <w:color w:val="auto"/>
              </w:rPr>
            </w:pPr>
          </w:p>
        </w:tc>
        <w:tc>
          <w:tcPr>
            <w:tcW w:w="3300" w:type="dxa"/>
            <w:vAlign w:val="bottom"/>
          </w:tcPr>
          <w:p>
            <w:pPr>
              <w:ind w:left="40"/>
              <w:spacing w:after="0"/>
              <w:rPr>
                <w:sz w:val="20"/>
                <w:szCs w:val="20"/>
                <w:color w:val="auto"/>
              </w:rPr>
            </w:pPr>
            <w:r>
              <w:rPr>
                <w:rFonts w:ascii="Arial" w:cs="Arial" w:eastAsia="Arial" w:hAnsi="Arial"/>
                <w:sz w:val="17"/>
                <w:szCs w:val="17"/>
                <w:color w:val="auto"/>
              </w:rPr>
              <w:t>ambitious goals</w:t>
            </w:r>
          </w:p>
        </w:tc>
        <w:tc>
          <w:tcPr>
            <w:tcW w:w="3820" w:type="dxa"/>
            <w:vAlign w:val="bottom"/>
          </w:tcPr>
          <w:p>
            <w:pPr>
              <w:ind w:left="440"/>
              <w:spacing w:after="0"/>
              <w:rPr>
                <w:sz w:val="20"/>
                <w:szCs w:val="20"/>
                <w:color w:val="auto"/>
              </w:rPr>
            </w:pPr>
            <w:r>
              <w:rPr>
                <w:rFonts w:ascii="Arial" w:cs="Arial" w:eastAsia="Arial" w:hAnsi="Arial"/>
                <w:sz w:val="17"/>
                <w:szCs w:val="17"/>
                <w:color w:val="auto"/>
              </w:rPr>
              <w:t>milestones</w:t>
            </w:r>
          </w:p>
        </w:tc>
        <w:tc>
          <w:tcPr>
            <w:tcW w:w="1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85"/>
        </w:trPr>
        <w:tc>
          <w:tcPr>
            <w:tcW w:w="160" w:type="dxa"/>
            <w:vAlign w:val="bottom"/>
            <w:tcBorders>
              <w:bottom w:val="single" w:sz="8" w:color="125288"/>
            </w:tcBorders>
          </w:tcPr>
          <w:p>
            <w:pPr>
              <w:spacing w:after="0"/>
              <w:rPr>
                <w:sz w:val="7"/>
                <w:szCs w:val="7"/>
                <w:color w:val="auto"/>
              </w:rPr>
            </w:pPr>
          </w:p>
        </w:tc>
        <w:tc>
          <w:tcPr>
            <w:tcW w:w="3300" w:type="dxa"/>
            <w:vAlign w:val="bottom"/>
            <w:tcBorders>
              <w:bottom w:val="single" w:sz="8" w:color="125288"/>
            </w:tcBorders>
          </w:tcPr>
          <w:p>
            <w:pPr>
              <w:spacing w:after="0"/>
              <w:rPr>
                <w:sz w:val="7"/>
                <w:szCs w:val="7"/>
                <w:color w:val="auto"/>
              </w:rPr>
            </w:pPr>
          </w:p>
        </w:tc>
        <w:tc>
          <w:tcPr>
            <w:tcW w:w="3820" w:type="dxa"/>
            <w:vAlign w:val="bottom"/>
            <w:tcBorders>
              <w:bottom w:val="single" w:sz="8" w:color="125288"/>
            </w:tcBorders>
          </w:tcPr>
          <w:p>
            <w:pPr>
              <w:spacing w:after="0"/>
              <w:rPr>
                <w:sz w:val="7"/>
                <w:szCs w:val="7"/>
                <w:color w:val="auto"/>
              </w:rPr>
            </w:pPr>
          </w:p>
        </w:tc>
        <w:tc>
          <w:tcPr>
            <w:tcW w:w="1660" w:type="dxa"/>
            <w:vAlign w:val="bottom"/>
            <w:tcBorders>
              <w:bottom w:val="single" w:sz="8" w:color="125288"/>
            </w:tcBorders>
          </w:tcPr>
          <w:p>
            <w:pPr>
              <w:spacing w:after="0"/>
              <w:rPr>
                <w:sz w:val="7"/>
                <w:szCs w:val="7"/>
                <w:color w:val="auto"/>
              </w:rPr>
            </w:pPr>
          </w:p>
        </w:tc>
        <w:tc>
          <w:tcPr>
            <w:tcW w:w="740" w:type="dxa"/>
            <w:vAlign w:val="bottom"/>
            <w:tcBorders>
              <w:bottom w:val="single" w:sz="8" w:color="125288"/>
            </w:tcBorders>
          </w:tcPr>
          <w:p>
            <w:pPr>
              <w:spacing w:after="0"/>
              <w:rPr>
                <w:sz w:val="7"/>
                <w:szCs w:val="7"/>
                <w:color w:val="auto"/>
              </w:rPr>
            </w:pPr>
          </w:p>
        </w:tc>
        <w:tc>
          <w:tcPr>
            <w:tcW w:w="820" w:type="dxa"/>
            <w:vAlign w:val="bottom"/>
            <w:tcBorders>
              <w:bottom w:val="single" w:sz="8" w:color="125288"/>
            </w:tcBorders>
          </w:tcPr>
          <w:p>
            <w:pPr>
              <w:spacing w:after="0"/>
              <w:rPr>
                <w:sz w:val="7"/>
                <w:szCs w:val="7"/>
                <w:color w:val="auto"/>
              </w:rPr>
            </w:pPr>
          </w:p>
        </w:tc>
        <w:tc>
          <w:tcPr>
            <w:tcW w:w="460" w:type="dxa"/>
            <w:vAlign w:val="bottom"/>
            <w:tcBorders>
              <w:bottom w:val="single" w:sz="8" w:color="125288"/>
            </w:tcBorders>
          </w:tcPr>
          <w:p>
            <w:pPr>
              <w:spacing w:after="0"/>
              <w:rPr>
                <w:sz w:val="7"/>
                <w:szCs w:val="7"/>
                <w:color w:val="auto"/>
              </w:rPr>
            </w:pPr>
          </w:p>
        </w:tc>
        <w:tc>
          <w:tcPr>
            <w:tcW w:w="300" w:type="dxa"/>
            <w:vAlign w:val="bottom"/>
            <w:tcBorders>
              <w:bottom w:val="single" w:sz="8" w:color="125288"/>
            </w:tcBorders>
          </w:tcPr>
          <w:p>
            <w:pPr>
              <w:spacing w:after="0"/>
              <w:rPr>
                <w:sz w:val="7"/>
                <w:szCs w:val="7"/>
                <w:color w:val="auto"/>
              </w:rPr>
            </w:pPr>
          </w:p>
        </w:tc>
      </w:tr>
      <w:tr>
        <w:trPr>
          <w:trHeight w:val="265"/>
        </w:trPr>
        <w:tc>
          <w:tcPr>
            <w:tcW w:w="160" w:type="dxa"/>
            <w:vAlign w:val="bottom"/>
          </w:tcPr>
          <w:p>
            <w:pPr>
              <w:ind w:left="60"/>
              <w:spacing w:after="0"/>
              <w:rPr>
                <w:sz w:val="20"/>
                <w:szCs w:val="20"/>
                <w:color w:val="auto"/>
              </w:rPr>
            </w:pPr>
            <w:r>
              <w:rPr>
                <w:rFonts w:ascii="Arial" w:cs="Arial" w:eastAsia="Arial" w:hAnsi="Arial"/>
                <w:sz w:val="17"/>
                <w:szCs w:val="17"/>
                <w:color w:val="125288"/>
              </w:rPr>
              <w:t>•</w:t>
            </w:r>
          </w:p>
        </w:tc>
        <w:tc>
          <w:tcPr>
            <w:tcW w:w="3300" w:type="dxa"/>
            <w:vAlign w:val="bottom"/>
          </w:tcPr>
          <w:p>
            <w:pPr>
              <w:ind w:left="40"/>
              <w:spacing w:after="0"/>
              <w:rPr>
                <w:sz w:val="20"/>
                <w:szCs w:val="20"/>
                <w:color w:val="auto"/>
              </w:rPr>
            </w:pPr>
            <w:r>
              <w:rPr>
                <w:rFonts w:ascii="Arial" w:cs="Arial" w:eastAsia="Arial" w:hAnsi="Arial"/>
                <w:sz w:val="17"/>
                <w:szCs w:val="17"/>
                <w:color w:val="auto"/>
              </w:rPr>
              <w:t>Ensure good corporate governance</w:t>
            </w:r>
          </w:p>
        </w:tc>
        <w:tc>
          <w:tcPr>
            <w:tcW w:w="3820" w:type="dxa"/>
            <w:vAlign w:val="bottom"/>
          </w:tcPr>
          <w:p>
            <w:pPr>
              <w:ind w:left="440"/>
              <w:spacing w:after="0"/>
              <w:rPr>
                <w:sz w:val="20"/>
                <w:szCs w:val="20"/>
                <w:color w:val="auto"/>
              </w:rPr>
            </w:pPr>
            <w:r>
              <w:rPr>
                <w:rFonts w:ascii="Arial" w:cs="Arial" w:eastAsia="Arial" w:hAnsi="Arial"/>
                <w:sz w:val="17"/>
                <w:szCs w:val="17"/>
                <w:color w:val="auto"/>
              </w:rPr>
              <w:t>Bolstered shareholder engagement program</w:t>
            </w:r>
          </w:p>
        </w:tc>
        <w:tc>
          <w:tcPr>
            <w:tcW w:w="1660" w:type="dxa"/>
            <w:vAlign w:val="bottom"/>
          </w:tcPr>
          <w:p>
            <w:pPr>
              <w:jc w:val="right"/>
              <w:ind w:right="21"/>
              <w:spacing w:after="0"/>
              <w:rPr>
                <w:sz w:val="20"/>
                <w:szCs w:val="20"/>
                <w:color w:val="auto"/>
              </w:rPr>
            </w:pPr>
            <w:r>
              <w:rPr>
                <w:rFonts w:ascii="Arial" w:cs="Arial" w:eastAsia="Arial" w:hAnsi="Arial"/>
                <w:sz w:val="17"/>
                <w:szCs w:val="17"/>
                <w:color w:val="auto"/>
              </w:rPr>
              <w:t>20%</w:t>
            </w: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190"/>
        </w:trPr>
        <w:tc>
          <w:tcPr>
            <w:tcW w:w="160" w:type="dxa"/>
            <w:vAlign w:val="bottom"/>
          </w:tcPr>
          <w:p>
            <w:pPr>
              <w:spacing w:after="0"/>
              <w:rPr>
                <w:sz w:val="16"/>
                <w:szCs w:val="16"/>
                <w:color w:val="auto"/>
              </w:rPr>
            </w:pPr>
          </w:p>
        </w:tc>
        <w:tc>
          <w:tcPr>
            <w:tcW w:w="3300" w:type="dxa"/>
            <w:vAlign w:val="bottom"/>
          </w:tcPr>
          <w:p>
            <w:pPr>
              <w:ind w:left="40"/>
              <w:spacing w:after="0" w:line="190" w:lineRule="exact"/>
              <w:rPr>
                <w:sz w:val="20"/>
                <w:szCs w:val="20"/>
                <w:color w:val="auto"/>
              </w:rPr>
            </w:pPr>
            <w:r>
              <w:rPr>
                <w:rFonts w:ascii="Arial" w:cs="Arial" w:eastAsia="Arial" w:hAnsi="Arial"/>
                <w:sz w:val="17"/>
                <w:szCs w:val="17"/>
                <w:color w:val="auto"/>
              </w:rPr>
              <w:t>and ensure that investors understand</w:t>
            </w:r>
          </w:p>
        </w:tc>
        <w:tc>
          <w:tcPr>
            <w:tcW w:w="3820" w:type="dxa"/>
            <w:vAlign w:val="bottom"/>
          </w:tcPr>
          <w:p>
            <w:pPr>
              <w:ind w:left="440"/>
              <w:spacing w:after="0" w:line="190" w:lineRule="exact"/>
              <w:rPr>
                <w:sz w:val="20"/>
                <w:szCs w:val="20"/>
                <w:color w:val="auto"/>
              </w:rPr>
            </w:pPr>
            <w:r>
              <w:rPr>
                <w:rFonts w:ascii="Arial" w:cs="Arial" w:eastAsia="Arial" w:hAnsi="Arial"/>
                <w:sz w:val="17"/>
                <w:szCs w:val="17"/>
                <w:color w:val="auto"/>
              </w:rPr>
              <w:t>and enhanced discussions around ESG</w:t>
            </w:r>
          </w:p>
        </w:tc>
        <w:tc>
          <w:tcPr>
            <w:tcW w:w="1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90"/>
        </w:trPr>
        <w:tc>
          <w:tcPr>
            <w:tcW w:w="160" w:type="dxa"/>
            <w:vAlign w:val="bottom"/>
          </w:tcPr>
          <w:p>
            <w:pPr>
              <w:spacing w:after="0"/>
              <w:rPr>
                <w:sz w:val="16"/>
                <w:szCs w:val="16"/>
                <w:color w:val="auto"/>
              </w:rPr>
            </w:pPr>
          </w:p>
        </w:tc>
        <w:tc>
          <w:tcPr>
            <w:tcW w:w="3300" w:type="dxa"/>
            <w:vAlign w:val="bottom"/>
          </w:tcPr>
          <w:p>
            <w:pPr>
              <w:ind w:left="40"/>
              <w:spacing w:after="0" w:line="190" w:lineRule="exact"/>
              <w:rPr>
                <w:sz w:val="20"/>
                <w:szCs w:val="20"/>
                <w:color w:val="auto"/>
              </w:rPr>
            </w:pPr>
            <w:r>
              <w:rPr>
                <w:rFonts w:ascii="Arial" w:cs="Arial" w:eastAsia="Arial" w:hAnsi="Arial"/>
                <w:sz w:val="17"/>
                <w:szCs w:val="17"/>
                <w:color w:val="auto"/>
              </w:rPr>
              <w:t>and value the Company’s position and</w:t>
            </w:r>
          </w:p>
        </w:tc>
        <w:tc>
          <w:tcPr>
            <w:tcW w:w="3820" w:type="dxa"/>
            <w:vAlign w:val="bottom"/>
          </w:tcPr>
          <w:p>
            <w:pPr>
              <w:ind w:left="440"/>
              <w:spacing w:after="0" w:line="190" w:lineRule="exact"/>
              <w:rPr>
                <w:sz w:val="20"/>
                <w:szCs w:val="20"/>
                <w:color w:val="auto"/>
              </w:rPr>
            </w:pPr>
            <w:r>
              <w:rPr>
                <w:rFonts w:ascii="Arial" w:cs="Arial" w:eastAsia="Arial" w:hAnsi="Arial"/>
                <w:sz w:val="17"/>
                <w:szCs w:val="17"/>
                <w:color w:val="auto"/>
              </w:rPr>
              <w:t>initiatives, but did not complete all</w:t>
            </w:r>
          </w:p>
        </w:tc>
        <w:tc>
          <w:tcPr>
            <w:tcW w:w="1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24"/>
        </w:trPr>
        <w:tc>
          <w:tcPr>
            <w:tcW w:w="160" w:type="dxa"/>
            <w:vAlign w:val="bottom"/>
          </w:tcPr>
          <w:p>
            <w:pPr>
              <w:spacing w:after="0"/>
              <w:rPr>
                <w:sz w:val="19"/>
                <w:szCs w:val="19"/>
                <w:color w:val="auto"/>
              </w:rPr>
            </w:pPr>
          </w:p>
        </w:tc>
        <w:tc>
          <w:tcPr>
            <w:tcW w:w="3300" w:type="dxa"/>
            <w:vAlign w:val="bottom"/>
          </w:tcPr>
          <w:p>
            <w:pPr>
              <w:ind w:left="40"/>
              <w:spacing w:after="0"/>
              <w:rPr>
                <w:sz w:val="20"/>
                <w:szCs w:val="20"/>
                <w:color w:val="auto"/>
              </w:rPr>
            </w:pPr>
            <w:r>
              <w:rPr>
                <w:rFonts w:ascii="Arial" w:cs="Arial" w:eastAsia="Arial" w:hAnsi="Arial"/>
                <w:sz w:val="17"/>
                <w:szCs w:val="17"/>
                <w:color w:val="auto"/>
              </w:rPr>
              <w:t>strategy</w:t>
            </w:r>
          </w:p>
        </w:tc>
        <w:tc>
          <w:tcPr>
            <w:tcW w:w="3820" w:type="dxa"/>
            <w:vAlign w:val="bottom"/>
          </w:tcPr>
          <w:p>
            <w:pPr>
              <w:ind w:left="440"/>
              <w:spacing w:after="0"/>
              <w:rPr>
                <w:sz w:val="20"/>
                <w:szCs w:val="20"/>
                <w:color w:val="auto"/>
              </w:rPr>
            </w:pPr>
            <w:r>
              <w:rPr>
                <w:rFonts w:ascii="Arial" w:cs="Arial" w:eastAsia="Arial" w:hAnsi="Arial"/>
                <w:sz w:val="17"/>
                <w:szCs w:val="17"/>
                <w:color w:val="auto"/>
              </w:rPr>
              <w:t>engagement goals</w:t>
            </w:r>
          </w:p>
        </w:tc>
        <w:tc>
          <w:tcPr>
            <w:tcW w:w="1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85"/>
        </w:trPr>
        <w:tc>
          <w:tcPr>
            <w:tcW w:w="3460" w:type="dxa"/>
            <w:vAlign w:val="bottom"/>
            <w:tcBorders>
              <w:bottom w:val="single" w:sz="8" w:color="125288"/>
            </w:tcBorders>
            <w:gridSpan w:val="2"/>
          </w:tcPr>
          <w:p>
            <w:pPr>
              <w:spacing w:after="0"/>
              <w:rPr>
                <w:sz w:val="7"/>
                <w:szCs w:val="7"/>
                <w:color w:val="auto"/>
              </w:rPr>
            </w:pPr>
          </w:p>
        </w:tc>
        <w:tc>
          <w:tcPr>
            <w:tcW w:w="3820" w:type="dxa"/>
            <w:vAlign w:val="bottom"/>
            <w:tcBorders>
              <w:bottom w:val="single" w:sz="8" w:color="125288"/>
            </w:tcBorders>
          </w:tcPr>
          <w:p>
            <w:pPr>
              <w:spacing w:after="0"/>
              <w:rPr>
                <w:sz w:val="7"/>
                <w:szCs w:val="7"/>
                <w:color w:val="auto"/>
              </w:rPr>
            </w:pPr>
          </w:p>
        </w:tc>
        <w:tc>
          <w:tcPr>
            <w:tcW w:w="3680" w:type="dxa"/>
            <w:vAlign w:val="bottom"/>
            <w:tcBorders>
              <w:bottom w:val="single" w:sz="8" w:color="125288"/>
            </w:tcBorders>
            <w:gridSpan w:val="4"/>
          </w:tcPr>
          <w:p>
            <w:pPr>
              <w:spacing w:after="0"/>
              <w:rPr>
                <w:sz w:val="7"/>
                <w:szCs w:val="7"/>
                <w:color w:val="auto"/>
              </w:rPr>
            </w:pPr>
          </w:p>
        </w:tc>
        <w:tc>
          <w:tcPr>
            <w:tcW w:w="300" w:type="dxa"/>
            <w:vAlign w:val="bottom"/>
            <w:tcBorders>
              <w:bottom w:val="single" w:sz="8" w:color="125288"/>
            </w:tcBorders>
          </w:tcPr>
          <w:p>
            <w:pPr>
              <w:spacing w:after="0"/>
              <w:rPr>
                <w:sz w:val="7"/>
                <w:szCs w:val="7"/>
                <w:color w:val="auto"/>
              </w:rPr>
            </w:pPr>
          </w:p>
        </w:tc>
      </w:tr>
      <w:tr>
        <w:trPr>
          <w:trHeight w:val="446"/>
        </w:trPr>
        <w:tc>
          <w:tcPr>
            <w:tcW w:w="3460" w:type="dxa"/>
            <w:vAlign w:val="bottom"/>
            <w:gridSpan w:val="2"/>
          </w:tcPr>
          <w:p>
            <w:pPr>
              <w:spacing w:after="0"/>
              <w:rPr>
                <w:sz w:val="20"/>
                <w:szCs w:val="20"/>
                <w:color w:val="auto"/>
              </w:rPr>
            </w:pPr>
            <w:r>
              <w:rPr>
                <w:rFonts w:ascii="Arial" w:cs="Arial" w:eastAsia="Arial" w:hAnsi="Arial"/>
                <w:sz w:val="14"/>
                <w:szCs w:val="14"/>
                <w:color w:val="706F6F"/>
              </w:rPr>
              <w:t>www.activisionblizzard.com</w:t>
            </w:r>
          </w:p>
        </w:tc>
        <w:tc>
          <w:tcPr>
            <w:tcW w:w="3820" w:type="dxa"/>
            <w:vAlign w:val="bottom"/>
          </w:tcPr>
          <w:p>
            <w:pPr>
              <w:spacing w:after="0"/>
              <w:rPr>
                <w:sz w:val="24"/>
                <w:szCs w:val="24"/>
                <w:color w:val="auto"/>
              </w:rPr>
            </w:pPr>
          </w:p>
        </w:tc>
        <w:tc>
          <w:tcPr>
            <w:tcW w:w="3680" w:type="dxa"/>
            <w:vAlign w:val="bottom"/>
            <w:gridSpan w:val="4"/>
          </w:tcPr>
          <w:p>
            <w:pPr>
              <w:ind w:left="100"/>
              <w:spacing w:after="0"/>
              <w:rPr>
                <w:sz w:val="20"/>
                <w:szCs w:val="20"/>
                <w:color w:val="auto"/>
              </w:rPr>
            </w:pPr>
            <w:r>
              <w:rPr>
                <w:rFonts w:ascii="Arial" w:cs="Arial" w:eastAsia="Arial" w:hAnsi="Arial"/>
                <w:sz w:val="14"/>
                <w:szCs w:val="14"/>
                <w:color w:val="706F6F"/>
              </w:rPr>
              <w:t>ACTIVISION BLIZZARD, INC.  2022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706F6F"/>
              </w:rPr>
              <w:t>76</w:t>
            </w:r>
          </w:p>
        </w:tc>
      </w:tr>
      <w:tr>
        <w:trPr>
          <w:trHeight w:val="93"/>
        </w:trPr>
        <w:tc>
          <w:tcPr>
            <w:tcW w:w="160" w:type="dxa"/>
            <w:vAlign w:val="bottom"/>
            <w:tcBorders>
              <w:bottom w:val="single" w:sz="8" w:color="808080"/>
            </w:tcBorders>
          </w:tcPr>
          <w:p>
            <w:pPr>
              <w:spacing w:after="0"/>
              <w:rPr>
                <w:sz w:val="8"/>
                <w:szCs w:val="8"/>
                <w:color w:val="auto"/>
              </w:rPr>
            </w:pPr>
          </w:p>
        </w:tc>
        <w:tc>
          <w:tcPr>
            <w:tcW w:w="3300" w:type="dxa"/>
            <w:vAlign w:val="bottom"/>
            <w:tcBorders>
              <w:bottom w:val="single" w:sz="8" w:color="808080"/>
            </w:tcBorders>
          </w:tcPr>
          <w:p>
            <w:pPr>
              <w:spacing w:after="0"/>
              <w:rPr>
                <w:sz w:val="8"/>
                <w:szCs w:val="8"/>
                <w:color w:val="auto"/>
              </w:rPr>
            </w:pPr>
          </w:p>
        </w:tc>
        <w:tc>
          <w:tcPr>
            <w:tcW w:w="382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5847080</wp:posOffset>
            </wp:positionH>
            <wp:positionV relativeFrom="paragraph">
              <wp:posOffset>-2543175</wp:posOffset>
            </wp:positionV>
            <wp:extent cx="98425" cy="9842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6851015</wp:posOffset>
            </wp:positionH>
            <wp:positionV relativeFrom="paragraph">
              <wp:posOffset>-2045335</wp:posOffset>
            </wp:positionV>
            <wp:extent cx="98425" cy="9842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-1426210</wp:posOffset>
            </wp:positionV>
            <wp:extent cx="98425" cy="9842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5847080</wp:posOffset>
            </wp:positionH>
            <wp:positionV relativeFrom="paragraph">
              <wp:posOffset>-927735</wp:posOffset>
            </wp:positionV>
            <wp:extent cx="98425" cy="9842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type w:val="continuous"/>
        </w:sectPr>
      </w:pPr>
    </w:p>
    <w:bookmarkStart w:id="79" w:name="page80"/>
    <w:bookmarkEnd w:id="79"/>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Strategic Objectives for Daniel Alegre</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440" w:type="dxa"/>
            <w:vAlign w:val="bottom"/>
          </w:tcPr>
          <w:p>
            <w:pPr>
              <w:jc w:val="right"/>
              <w:ind w:right="21"/>
              <w:spacing w:after="0"/>
              <w:rPr>
                <w:sz w:val="20"/>
                <w:szCs w:val="20"/>
                <w:color w:val="auto"/>
              </w:rPr>
            </w:pPr>
            <w:r>
              <w:rPr>
                <w:rFonts w:ascii="Arial" w:cs="Arial" w:eastAsia="Arial" w:hAnsi="Arial"/>
                <w:sz w:val="15"/>
                <w:szCs w:val="15"/>
                <w:b w:val="1"/>
                <w:bCs w:val="1"/>
                <w:color w:val="125288"/>
              </w:rPr>
              <w:t>Weighting (as</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4"/>
        </w:trPr>
        <w:tc>
          <w:tcPr>
            <w:tcW w:w="1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40" w:type="dxa"/>
            <w:vAlign w:val="bottom"/>
          </w:tcPr>
          <w:p>
            <w:pPr>
              <w:jc w:val="right"/>
              <w:ind w:right="21"/>
              <w:spacing w:after="0"/>
              <w:rPr>
                <w:sz w:val="20"/>
                <w:szCs w:val="20"/>
                <w:color w:val="auto"/>
              </w:rPr>
            </w:pPr>
            <w:r>
              <w:rPr>
                <w:rFonts w:ascii="Arial" w:cs="Arial" w:eastAsia="Arial" w:hAnsi="Arial"/>
                <w:sz w:val="15"/>
                <w:szCs w:val="15"/>
                <w:b w:val="1"/>
                <w:bCs w:val="1"/>
                <w:color w:val="125288"/>
              </w:rPr>
              <w:t>a % of</w:t>
            </w: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4"/>
        </w:trPr>
        <w:tc>
          <w:tcPr>
            <w:tcW w:w="1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40" w:type="dxa"/>
            <w:vAlign w:val="bottom"/>
          </w:tcPr>
          <w:p>
            <w:pPr>
              <w:jc w:val="right"/>
              <w:ind w:right="21"/>
              <w:spacing w:after="0"/>
              <w:rPr>
                <w:sz w:val="20"/>
                <w:szCs w:val="20"/>
                <w:color w:val="auto"/>
              </w:rPr>
            </w:pPr>
            <w:r>
              <w:rPr>
                <w:rFonts w:ascii="Arial" w:cs="Arial" w:eastAsia="Arial" w:hAnsi="Arial"/>
                <w:sz w:val="15"/>
                <w:szCs w:val="15"/>
                <w:b w:val="1"/>
                <w:bCs w:val="1"/>
                <w:color w:val="125288"/>
              </w:rPr>
              <w:t>Strategic</w:t>
            </w:r>
          </w:p>
        </w:tc>
        <w:tc>
          <w:tcPr>
            <w:tcW w:w="740" w:type="dxa"/>
            <w:vAlign w:val="bottom"/>
          </w:tcPr>
          <w:p>
            <w:pPr>
              <w:ind w:left="100"/>
              <w:spacing w:after="0"/>
              <w:rPr>
                <w:sz w:val="20"/>
                <w:szCs w:val="20"/>
                <w:color w:val="auto"/>
              </w:rPr>
            </w:pPr>
            <w:r>
              <w:rPr>
                <w:rFonts w:ascii="Arial" w:cs="Arial" w:eastAsia="Arial" w:hAnsi="Arial"/>
                <w:sz w:val="15"/>
                <w:szCs w:val="15"/>
                <w:b w:val="1"/>
                <w:bCs w:val="1"/>
                <w:color w:val="125288"/>
              </w:rPr>
              <w:t>Below</w:t>
            </w:r>
          </w:p>
        </w:tc>
        <w:tc>
          <w:tcPr>
            <w:tcW w:w="82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5"/>
                <w:szCs w:val="15"/>
                <w:b w:val="1"/>
                <w:bCs w:val="1"/>
                <w:color w:val="125288"/>
              </w:rPr>
              <w:t>Above</w:t>
            </w:r>
          </w:p>
        </w:tc>
      </w:tr>
      <w:tr>
        <w:trPr>
          <w:trHeight w:val="214"/>
        </w:trPr>
        <w:tc>
          <w:tcPr>
            <w:tcW w:w="3460" w:type="dxa"/>
            <w:vAlign w:val="bottom"/>
            <w:gridSpan w:val="2"/>
          </w:tcPr>
          <w:p>
            <w:pPr>
              <w:ind w:left="60"/>
              <w:spacing w:after="0"/>
              <w:rPr>
                <w:sz w:val="20"/>
                <w:szCs w:val="20"/>
                <w:color w:val="auto"/>
              </w:rPr>
            </w:pPr>
            <w:r>
              <w:rPr>
                <w:rFonts w:ascii="Arial" w:cs="Arial" w:eastAsia="Arial" w:hAnsi="Arial"/>
                <w:sz w:val="15"/>
                <w:szCs w:val="15"/>
                <w:b w:val="1"/>
                <w:bCs w:val="1"/>
                <w:color w:val="125288"/>
              </w:rPr>
              <w:t>Area and Summary of Goals</w:t>
            </w:r>
          </w:p>
        </w:tc>
        <w:tc>
          <w:tcPr>
            <w:tcW w:w="4040" w:type="dxa"/>
            <w:vAlign w:val="bottom"/>
          </w:tcPr>
          <w:p>
            <w:pPr>
              <w:ind w:left="440"/>
              <w:spacing w:after="0"/>
              <w:rPr>
                <w:sz w:val="20"/>
                <w:szCs w:val="20"/>
                <w:color w:val="auto"/>
              </w:rPr>
            </w:pPr>
            <w:r>
              <w:rPr>
                <w:rFonts w:ascii="Arial" w:cs="Arial" w:eastAsia="Arial" w:hAnsi="Arial"/>
                <w:sz w:val="15"/>
                <w:szCs w:val="15"/>
                <w:b w:val="1"/>
                <w:bCs w:val="1"/>
                <w:color w:val="125288"/>
              </w:rPr>
              <w:t>Achievement Details</w:t>
            </w:r>
          </w:p>
        </w:tc>
        <w:tc>
          <w:tcPr>
            <w:tcW w:w="1440" w:type="dxa"/>
            <w:vAlign w:val="bottom"/>
          </w:tcPr>
          <w:p>
            <w:pPr>
              <w:jc w:val="right"/>
              <w:ind w:right="21"/>
              <w:spacing w:after="0"/>
              <w:rPr>
                <w:sz w:val="20"/>
                <w:szCs w:val="20"/>
                <w:color w:val="auto"/>
              </w:rPr>
            </w:pPr>
            <w:r>
              <w:rPr>
                <w:rFonts w:ascii="Arial" w:cs="Arial" w:eastAsia="Arial" w:hAnsi="Arial"/>
                <w:sz w:val="15"/>
                <w:szCs w:val="15"/>
                <w:b w:val="1"/>
                <w:bCs w:val="1"/>
                <w:color w:val="125288"/>
              </w:rPr>
              <w:t>Objectives)</w:t>
            </w:r>
          </w:p>
        </w:tc>
        <w:tc>
          <w:tcPr>
            <w:tcW w:w="740" w:type="dxa"/>
            <w:vAlign w:val="bottom"/>
          </w:tcPr>
          <w:p>
            <w:pPr>
              <w:ind w:left="120"/>
              <w:spacing w:after="0"/>
              <w:rPr>
                <w:sz w:val="20"/>
                <w:szCs w:val="20"/>
                <w:color w:val="auto"/>
              </w:rPr>
            </w:pPr>
            <w:r>
              <w:rPr>
                <w:rFonts w:ascii="Arial" w:cs="Arial" w:eastAsia="Arial" w:hAnsi="Arial"/>
                <w:sz w:val="15"/>
                <w:szCs w:val="15"/>
                <w:b w:val="1"/>
                <w:bCs w:val="1"/>
                <w:color w:val="125288"/>
              </w:rPr>
              <w:t>Target</w:t>
            </w:r>
          </w:p>
        </w:tc>
        <w:tc>
          <w:tcPr>
            <w:tcW w:w="820" w:type="dxa"/>
            <w:vAlign w:val="bottom"/>
          </w:tcPr>
          <w:p>
            <w:pPr>
              <w:ind w:left="160"/>
              <w:spacing w:after="0"/>
              <w:rPr>
                <w:sz w:val="20"/>
                <w:szCs w:val="20"/>
                <w:color w:val="auto"/>
              </w:rPr>
            </w:pPr>
            <w:r>
              <w:rPr>
                <w:rFonts w:ascii="Arial" w:cs="Arial" w:eastAsia="Arial" w:hAnsi="Arial"/>
                <w:sz w:val="15"/>
                <w:szCs w:val="15"/>
                <w:b w:val="1"/>
                <w:bCs w:val="1"/>
                <w:color w:val="125288"/>
              </w:rPr>
              <w:t>Target</w:t>
            </w:r>
          </w:p>
        </w:tc>
        <w:tc>
          <w:tcPr>
            <w:tcW w:w="760" w:type="dxa"/>
            <w:vAlign w:val="bottom"/>
          </w:tcPr>
          <w:p>
            <w:pPr>
              <w:ind w:left="240"/>
              <w:spacing w:after="0"/>
              <w:rPr>
                <w:sz w:val="20"/>
                <w:szCs w:val="20"/>
                <w:color w:val="auto"/>
              </w:rPr>
            </w:pPr>
            <w:r>
              <w:rPr>
                <w:rFonts w:ascii="Arial" w:cs="Arial" w:eastAsia="Arial" w:hAnsi="Arial"/>
                <w:sz w:val="15"/>
                <w:szCs w:val="15"/>
                <w:b w:val="1"/>
                <w:bCs w:val="1"/>
                <w:color w:val="125288"/>
              </w:rPr>
              <w:t>Target</w:t>
            </w:r>
          </w:p>
        </w:tc>
      </w:tr>
      <w:tr>
        <w:trPr>
          <w:trHeight w:val="41"/>
        </w:trPr>
        <w:tc>
          <w:tcPr>
            <w:tcW w:w="160" w:type="dxa"/>
            <w:vAlign w:val="bottom"/>
            <w:tcBorders>
              <w:bottom w:val="single" w:sz="8" w:color="125288"/>
            </w:tcBorders>
          </w:tcPr>
          <w:p>
            <w:pPr>
              <w:spacing w:after="0"/>
              <w:rPr>
                <w:sz w:val="3"/>
                <w:szCs w:val="3"/>
                <w:color w:val="auto"/>
              </w:rPr>
            </w:pPr>
          </w:p>
        </w:tc>
        <w:tc>
          <w:tcPr>
            <w:tcW w:w="3300" w:type="dxa"/>
            <w:vAlign w:val="bottom"/>
            <w:tcBorders>
              <w:bottom w:val="single" w:sz="8" w:color="125288"/>
            </w:tcBorders>
          </w:tcPr>
          <w:p>
            <w:pPr>
              <w:spacing w:after="0"/>
              <w:rPr>
                <w:sz w:val="3"/>
                <w:szCs w:val="3"/>
                <w:color w:val="auto"/>
              </w:rPr>
            </w:pPr>
          </w:p>
        </w:tc>
        <w:tc>
          <w:tcPr>
            <w:tcW w:w="4040" w:type="dxa"/>
            <w:vAlign w:val="bottom"/>
            <w:tcBorders>
              <w:bottom w:val="single" w:sz="8" w:color="125288"/>
            </w:tcBorders>
          </w:tcPr>
          <w:p>
            <w:pPr>
              <w:spacing w:after="0"/>
              <w:rPr>
                <w:sz w:val="3"/>
                <w:szCs w:val="3"/>
                <w:color w:val="auto"/>
              </w:rPr>
            </w:pPr>
          </w:p>
        </w:tc>
        <w:tc>
          <w:tcPr>
            <w:tcW w:w="1440" w:type="dxa"/>
            <w:vAlign w:val="bottom"/>
            <w:tcBorders>
              <w:bottom w:val="single" w:sz="8" w:color="125288"/>
            </w:tcBorders>
          </w:tcPr>
          <w:p>
            <w:pPr>
              <w:spacing w:after="0"/>
              <w:rPr>
                <w:sz w:val="3"/>
                <w:szCs w:val="3"/>
                <w:color w:val="auto"/>
              </w:rPr>
            </w:pPr>
          </w:p>
        </w:tc>
        <w:tc>
          <w:tcPr>
            <w:tcW w:w="740" w:type="dxa"/>
            <w:vAlign w:val="bottom"/>
            <w:tcBorders>
              <w:bottom w:val="single" w:sz="8" w:color="125288"/>
            </w:tcBorders>
          </w:tcPr>
          <w:p>
            <w:pPr>
              <w:spacing w:after="0"/>
              <w:rPr>
                <w:sz w:val="3"/>
                <w:szCs w:val="3"/>
                <w:color w:val="auto"/>
              </w:rPr>
            </w:pPr>
          </w:p>
        </w:tc>
        <w:tc>
          <w:tcPr>
            <w:tcW w:w="820" w:type="dxa"/>
            <w:vAlign w:val="bottom"/>
            <w:tcBorders>
              <w:bottom w:val="single" w:sz="8" w:color="125288"/>
            </w:tcBorders>
          </w:tcPr>
          <w:p>
            <w:pPr>
              <w:spacing w:after="0"/>
              <w:rPr>
                <w:sz w:val="3"/>
                <w:szCs w:val="3"/>
                <w:color w:val="auto"/>
              </w:rPr>
            </w:pPr>
          </w:p>
        </w:tc>
        <w:tc>
          <w:tcPr>
            <w:tcW w:w="760" w:type="dxa"/>
            <w:vAlign w:val="bottom"/>
            <w:tcBorders>
              <w:bottom w:val="single" w:sz="8" w:color="125288"/>
            </w:tcBorders>
          </w:tcPr>
          <w:p>
            <w:pPr>
              <w:spacing w:after="0"/>
              <w:rPr>
                <w:sz w:val="3"/>
                <w:szCs w:val="3"/>
                <w:color w:val="auto"/>
              </w:rPr>
            </w:pPr>
          </w:p>
        </w:tc>
      </w:tr>
      <w:tr>
        <w:trPr>
          <w:trHeight w:val="265"/>
        </w:trPr>
        <w:tc>
          <w:tcPr>
            <w:tcW w:w="160" w:type="dxa"/>
            <w:vAlign w:val="bottom"/>
          </w:tcPr>
          <w:p>
            <w:pPr>
              <w:ind w:left="60"/>
              <w:spacing w:after="0"/>
              <w:rPr>
                <w:sz w:val="20"/>
                <w:szCs w:val="20"/>
                <w:color w:val="auto"/>
              </w:rPr>
            </w:pPr>
            <w:r>
              <w:rPr>
                <w:rFonts w:ascii="Arial" w:cs="Arial" w:eastAsia="Arial" w:hAnsi="Arial"/>
                <w:sz w:val="17"/>
                <w:szCs w:val="17"/>
                <w:color w:val="125288"/>
              </w:rPr>
              <w:t>•</w:t>
            </w:r>
          </w:p>
        </w:tc>
        <w:tc>
          <w:tcPr>
            <w:tcW w:w="3300" w:type="dxa"/>
            <w:vAlign w:val="bottom"/>
          </w:tcPr>
          <w:p>
            <w:pPr>
              <w:ind w:left="40"/>
              <w:spacing w:after="0"/>
              <w:rPr>
                <w:sz w:val="20"/>
                <w:szCs w:val="20"/>
                <w:color w:val="auto"/>
              </w:rPr>
            </w:pPr>
            <w:r>
              <w:rPr>
                <w:rFonts w:ascii="Arial" w:cs="Arial" w:eastAsia="Arial" w:hAnsi="Arial"/>
                <w:sz w:val="17"/>
                <w:szCs w:val="17"/>
                <w:color w:val="auto"/>
              </w:rPr>
              <w:t>Increase efficiency and ensure proper</w:t>
            </w:r>
          </w:p>
        </w:tc>
        <w:tc>
          <w:tcPr>
            <w:tcW w:w="4040" w:type="dxa"/>
            <w:vAlign w:val="bottom"/>
          </w:tcPr>
          <w:p>
            <w:pPr>
              <w:ind w:left="440"/>
              <w:spacing w:after="0"/>
              <w:rPr>
                <w:sz w:val="20"/>
                <w:szCs w:val="20"/>
                <w:color w:val="auto"/>
              </w:rPr>
            </w:pPr>
            <w:r>
              <w:rPr>
                <w:rFonts w:ascii="Arial" w:cs="Arial" w:eastAsia="Arial" w:hAnsi="Arial"/>
                <w:sz w:val="17"/>
                <w:szCs w:val="17"/>
                <w:color w:val="auto"/>
              </w:rPr>
              <w:t>Successfully developed short-term and long-</w:t>
            </w:r>
          </w:p>
        </w:tc>
        <w:tc>
          <w:tcPr>
            <w:tcW w:w="1440" w:type="dxa"/>
            <w:vAlign w:val="bottom"/>
          </w:tcPr>
          <w:p>
            <w:pPr>
              <w:jc w:val="right"/>
              <w:ind w:right="21"/>
              <w:spacing w:after="0"/>
              <w:rPr>
                <w:sz w:val="20"/>
                <w:szCs w:val="20"/>
                <w:color w:val="auto"/>
              </w:rPr>
            </w:pPr>
            <w:r>
              <w:rPr>
                <w:rFonts w:ascii="Arial" w:cs="Arial" w:eastAsia="Arial" w:hAnsi="Arial"/>
                <w:sz w:val="17"/>
                <w:szCs w:val="17"/>
                <w:color w:val="auto"/>
              </w:rPr>
              <w:t>40%</w:t>
            </w: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190"/>
        </w:trPr>
        <w:tc>
          <w:tcPr>
            <w:tcW w:w="160" w:type="dxa"/>
            <w:vAlign w:val="bottom"/>
          </w:tcPr>
          <w:p>
            <w:pPr>
              <w:spacing w:after="0"/>
              <w:rPr>
                <w:sz w:val="16"/>
                <w:szCs w:val="16"/>
                <w:color w:val="auto"/>
              </w:rPr>
            </w:pPr>
          </w:p>
        </w:tc>
        <w:tc>
          <w:tcPr>
            <w:tcW w:w="3300" w:type="dxa"/>
            <w:vAlign w:val="bottom"/>
          </w:tcPr>
          <w:p>
            <w:pPr>
              <w:ind w:left="40"/>
              <w:spacing w:after="0" w:line="190" w:lineRule="exact"/>
              <w:rPr>
                <w:sz w:val="20"/>
                <w:szCs w:val="20"/>
                <w:color w:val="auto"/>
              </w:rPr>
            </w:pPr>
            <w:r>
              <w:rPr>
                <w:rFonts w:ascii="Arial" w:cs="Arial" w:eastAsia="Arial" w:hAnsi="Arial"/>
                <w:sz w:val="17"/>
                <w:szCs w:val="17"/>
                <w:color w:val="auto"/>
              </w:rPr>
              <w:t>investment levels in core areas of our</w:t>
            </w:r>
          </w:p>
        </w:tc>
        <w:tc>
          <w:tcPr>
            <w:tcW w:w="4040" w:type="dxa"/>
            <w:vAlign w:val="bottom"/>
          </w:tcPr>
          <w:p>
            <w:pPr>
              <w:ind w:left="440"/>
              <w:spacing w:after="0" w:line="190" w:lineRule="exact"/>
              <w:rPr>
                <w:sz w:val="20"/>
                <w:szCs w:val="20"/>
                <w:color w:val="auto"/>
              </w:rPr>
            </w:pPr>
            <w:r>
              <w:rPr>
                <w:rFonts w:ascii="Arial" w:cs="Arial" w:eastAsia="Arial" w:hAnsi="Arial"/>
                <w:sz w:val="17"/>
                <w:szCs w:val="17"/>
                <w:color w:val="auto"/>
              </w:rPr>
              <w:t>term planning around various initiatives, but</w:t>
            </w:r>
          </w:p>
        </w:tc>
        <w:tc>
          <w:tcPr>
            <w:tcW w:w="1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24"/>
        </w:trPr>
        <w:tc>
          <w:tcPr>
            <w:tcW w:w="160" w:type="dxa"/>
            <w:vAlign w:val="bottom"/>
          </w:tcPr>
          <w:p>
            <w:pPr>
              <w:spacing w:after="0"/>
              <w:rPr>
                <w:sz w:val="19"/>
                <w:szCs w:val="19"/>
                <w:color w:val="auto"/>
              </w:rPr>
            </w:pPr>
          </w:p>
        </w:tc>
        <w:tc>
          <w:tcPr>
            <w:tcW w:w="3300" w:type="dxa"/>
            <w:vAlign w:val="bottom"/>
          </w:tcPr>
          <w:p>
            <w:pPr>
              <w:ind w:left="40"/>
              <w:spacing w:after="0"/>
              <w:rPr>
                <w:sz w:val="20"/>
                <w:szCs w:val="20"/>
                <w:color w:val="auto"/>
              </w:rPr>
            </w:pPr>
            <w:r>
              <w:rPr>
                <w:rFonts w:ascii="Arial" w:cs="Arial" w:eastAsia="Arial" w:hAnsi="Arial"/>
                <w:sz w:val="17"/>
                <w:szCs w:val="17"/>
                <w:color w:val="auto"/>
              </w:rPr>
              <w:t>business</w:t>
            </w:r>
          </w:p>
        </w:tc>
        <w:tc>
          <w:tcPr>
            <w:tcW w:w="4040" w:type="dxa"/>
            <w:vAlign w:val="bottom"/>
          </w:tcPr>
          <w:p>
            <w:pPr>
              <w:ind w:left="440"/>
              <w:spacing w:after="0"/>
              <w:rPr>
                <w:sz w:val="20"/>
                <w:szCs w:val="20"/>
                <w:color w:val="auto"/>
              </w:rPr>
            </w:pPr>
            <w:r>
              <w:rPr>
                <w:rFonts w:ascii="Arial" w:cs="Arial" w:eastAsia="Arial" w:hAnsi="Arial"/>
                <w:sz w:val="17"/>
                <w:szCs w:val="17"/>
                <w:color w:val="auto"/>
              </w:rPr>
              <w:t>did not meet all cost and growth objectives</w:t>
            </w:r>
          </w:p>
        </w:tc>
        <w:tc>
          <w:tcPr>
            <w:tcW w:w="1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85"/>
        </w:trPr>
        <w:tc>
          <w:tcPr>
            <w:tcW w:w="160" w:type="dxa"/>
            <w:vAlign w:val="bottom"/>
            <w:tcBorders>
              <w:bottom w:val="single" w:sz="8" w:color="125288"/>
            </w:tcBorders>
          </w:tcPr>
          <w:p>
            <w:pPr>
              <w:spacing w:after="0"/>
              <w:rPr>
                <w:sz w:val="7"/>
                <w:szCs w:val="7"/>
                <w:color w:val="auto"/>
              </w:rPr>
            </w:pPr>
          </w:p>
        </w:tc>
        <w:tc>
          <w:tcPr>
            <w:tcW w:w="3300" w:type="dxa"/>
            <w:vAlign w:val="bottom"/>
            <w:tcBorders>
              <w:bottom w:val="single" w:sz="8" w:color="125288"/>
            </w:tcBorders>
          </w:tcPr>
          <w:p>
            <w:pPr>
              <w:spacing w:after="0"/>
              <w:rPr>
                <w:sz w:val="7"/>
                <w:szCs w:val="7"/>
                <w:color w:val="auto"/>
              </w:rPr>
            </w:pPr>
          </w:p>
        </w:tc>
        <w:tc>
          <w:tcPr>
            <w:tcW w:w="4040" w:type="dxa"/>
            <w:vAlign w:val="bottom"/>
            <w:tcBorders>
              <w:bottom w:val="single" w:sz="8" w:color="125288"/>
            </w:tcBorders>
          </w:tcPr>
          <w:p>
            <w:pPr>
              <w:spacing w:after="0"/>
              <w:rPr>
                <w:sz w:val="7"/>
                <w:szCs w:val="7"/>
                <w:color w:val="auto"/>
              </w:rPr>
            </w:pPr>
          </w:p>
        </w:tc>
        <w:tc>
          <w:tcPr>
            <w:tcW w:w="1440" w:type="dxa"/>
            <w:vAlign w:val="bottom"/>
            <w:tcBorders>
              <w:bottom w:val="single" w:sz="8" w:color="125288"/>
            </w:tcBorders>
          </w:tcPr>
          <w:p>
            <w:pPr>
              <w:spacing w:after="0"/>
              <w:rPr>
                <w:sz w:val="7"/>
                <w:szCs w:val="7"/>
                <w:color w:val="auto"/>
              </w:rPr>
            </w:pPr>
          </w:p>
        </w:tc>
        <w:tc>
          <w:tcPr>
            <w:tcW w:w="740" w:type="dxa"/>
            <w:vAlign w:val="bottom"/>
            <w:tcBorders>
              <w:bottom w:val="single" w:sz="8" w:color="125288"/>
            </w:tcBorders>
          </w:tcPr>
          <w:p>
            <w:pPr>
              <w:spacing w:after="0"/>
              <w:rPr>
                <w:sz w:val="7"/>
                <w:szCs w:val="7"/>
                <w:color w:val="auto"/>
              </w:rPr>
            </w:pPr>
          </w:p>
        </w:tc>
        <w:tc>
          <w:tcPr>
            <w:tcW w:w="820" w:type="dxa"/>
            <w:vAlign w:val="bottom"/>
            <w:tcBorders>
              <w:bottom w:val="single" w:sz="8" w:color="125288"/>
            </w:tcBorders>
          </w:tcPr>
          <w:p>
            <w:pPr>
              <w:spacing w:after="0"/>
              <w:rPr>
                <w:sz w:val="7"/>
                <w:szCs w:val="7"/>
                <w:color w:val="auto"/>
              </w:rPr>
            </w:pPr>
          </w:p>
        </w:tc>
        <w:tc>
          <w:tcPr>
            <w:tcW w:w="760" w:type="dxa"/>
            <w:vAlign w:val="bottom"/>
            <w:tcBorders>
              <w:bottom w:val="single" w:sz="8" w:color="125288"/>
            </w:tcBorders>
          </w:tcPr>
          <w:p>
            <w:pPr>
              <w:spacing w:after="0"/>
              <w:rPr>
                <w:sz w:val="7"/>
                <w:szCs w:val="7"/>
                <w:color w:val="auto"/>
              </w:rPr>
            </w:pPr>
          </w:p>
        </w:tc>
      </w:tr>
      <w:tr>
        <w:trPr>
          <w:trHeight w:val="265"/>
        </w:trPr>
        <w:tc>
          <w:tcPr>
            <w:tcW w:w="160" w:type="dxa"/>
            <w:vAlign w:val="bottom"/>
          </w:tcPr>
          <w:p>
            <w:pPr>
              <w:ind w:left="60"/>
              <w:spacing w:after="0"/>
              <w:rPr>
                <w:sz w:val="20"/>
                <w:szCs w:val="20"/>
                <w:color w:val="auto"/>
              </w:rPr>
            </w:pPr>
            <w:r>
              <w:rPr>
                <w:rFonts w:ascii="Arial" w:cs="Arial" w:eastAsia="Arial" w:hAnsi="Arial"/>
                <w:sz w:val="17"/>
                <w:szCs w:val="17"/>
                <w:color w:val="125288"/>
              </w:rPr>
              <w:t>•</w:t>
            </w:r>
          </w:p>
        </w:tc>
        <w:tc>
          <w:tcPr>
            <w:tcW w:w="3300" w:type="dxa"/>
            <w:vAlign w:val="bottom"/>
          </w:tcPr>
          <w:p>
            <w:pPr>
              <w:ind w:left="40"/>
              <w:spacing w:after="0"/>
              <w:rPr>
                <w:sz w:val="20"/>
                <w:szCs w:val="20"/>
                <w:color w:val="auto"/>
              </w:rPr>
            </w:pPr>
            <w:r>
              <w:rPr>
                <w:rFonts w:ascii="Arial" w:cs="Arial" w:eastAsia="Arial" w:hAnsi="Arial"/>
                <w:sz w:val="17"/>
                <w:szCs w:val="17"/>
                <w:color w:val="auto"/>
              </w:rPr>
              <w:t>Ensure staffing and succession plans</w:t>
            </w:r>
          </w:p>
        </w:tc>
        <w:tc>
          <w:tcPr>
            <w:tcW w:w="4040" w:type="dxa"/>
            <w:vAlign w:val="bottom"/>
          </w:tcPr>
          <w:p>
            <w:pPr>
              <w:ind w:left="440"/>
              <w:spacing w:after="0"/>
              <w:rPr>
                <w:sz w:val="20"/>
                <w:szCs w:val="20"/>
                <w:color w:val="auto"/>
              </w:rPr>
            </w:pPr>
            <w:r>
              <w:rPr>
                <w:rFonts w:ascii="Arial" w:cs="Arial" w:eastAsia="Arial" w:hAnsi="Arial"/>
                <w:sz w:val="17"/>
                <w:szCs w:val="17"/>
                <w:color w:val="auto"/>
              </w:rPr>
              <w:t>Hired and promoted diverse candidates for</w:t>
            </w:r>
          </w:p>
        </w:tc>
        <w:tc>
          <w:tcPr>
            <w:tcW w:w="1440" w:type="dxa"/>
            <w:vAlign w:val="bottom"/>
          </w:tcPr>
          <w:p>
            <w:pPr>
              <w:jc w:val="right"/>
              <w:ind w:right="21"/>
              <w:spacing w:after="0"/>
              <w:rPr>
                <w:sz w:val="20"/>
                <w:szCs w:val="20"/>
                <w:color w:val="auto"/>
              </w:rPr>
            </w:pPr>
            <w:r>
              <w:rPr>
                <w:rFonts w:ascii="Arial" w:cs="Arial" w:eastAsia="Arial" w:hAnsi="Arial"/>
                <w:sz w:val="17"/>
                <w:szCs w:val="17"/>
                <w:color w:val="auto"/>
              </w:rPr>
              <w:t>30%</w:t>
            </w: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14"/>
        </w:trPr>
        <w:tc>
          <w:tcPr>
            <w:tcW w:w="160" w:type="dxa"/>
            <w:vAlign w:val="bottom"/>
          </w:tcPr>
          <w:p>
            <w:pPr>
              <w:spacing w:after="0"/>
              <w:rPr>
                <w:sz w:val="18"/>
                <w:szCs w:val="18"/>
                <w:color w:val="auto"/>
              </w:rPr>
            </w:pPr>
          </w:p>
        </w:tc>
        <w:tc>
          <w:tcPr>
            <w:tcW w:w="3300" w:type="dxa"/>
            <w:vAlign w:val="bottom"/>
          </w:tcPr>
          <w:p>
            <w:pPr>
              <w:ind w:left="40"/>
              <w:spacing w:after="0"/>
              <w:rPr>
                <w:sz w:val="20"/>
                <w:szCs w:val="20"/>
                <w:color w:val="auto"/>
              </w:rPr>
            </w:pPr>
            <w:r>
              <w:rPr>
                <w:rFonts w:ascii="Arial" w:cs="Arial" w:eastAsia="Arial" w:hAnsi="Arial"/>
                <w:sz w:val="17"/>
                <w:szCs w:val="17"/>
                <w:color w:val="auto"/>
              </w:rPr>
              <w:t>support annual and long-range growth</w:t>
            </w:r>
          </w:p>
        </w:tc>
        <w:tc>
          <w:tcPr>
            <w:tcW w:w="4040" w:type="dxa"/>
            <w:vAlign w:val="bottom"/>
          </w:tcPr>
          <w:p>
            <w:pPr>
              <w:ind w:left="440"/>
              <w:spacing w:after="0"/>
              <w:rPr>
                <w:sz w:val="20"/>
                <w:szCs w:val="20"/>
                <w:color w:val="auto"/>
              </w:rPr>
            </w:pPr>
            <w:r>
              <w:rPr>
                <w:rFonts w:ascii="Arial" w:cs="Arial" w:eastAsia="Arial" w:hAnsi="Arial"/>
                <w:sz w:val="17"/>
                <w:szCs w:val="17"/>
                <w:color w:val="auto"/>
              </w:rPr>
              <w:t>key leadership roles within the business</w:t>
            </w: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5854700</wp:posOffset>
            </wp:positionH>
            <wp:positionV relativeFrom="paragraph">
              <wp:posOffset>-756920</wp:posOffset>
            </wp:positionV>
            <wp:extent cx="98425" cy="9842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-258445</wp:posOffset>
            </wp:positionV>
            <wp:extent cx="98425" cy="9842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ind w:left="200"/>
        <w:spacing w:after="0" w:line="233" w:lineRule="auto"/>
        <w:rPr>
          <w:sz w:val="20"/>
          <w:szCs w:val="20"/>
          <w:color w:val="auto"/>
        </w:rPr>
      </w:pPr>
      <w:r>
        <w:rPr>
          <w:rFonts w:ascii="Arial" w:cs="Arial" w:eastAsia="Arial" w:hAnsi="Arial"/>
          <w:sz w:val="17"/>
          <w:szCs w:val="17"/>
          <w:color w:val="auto"/>
        </w:rPr>
        <w:t>plans with an emphasis on diversity</w:t>
      </w:r>
    </w:p>
    <w:p>
      <w:pPr>
        <w:ind w:left="200"/>
        <w:spacing w:after="0"/>
        <w:rPr>
          <w:sz w:val="20"/>
          <w:szCs w:val="20"/>
          <w:color w:val="auto"/>
        </w:rPr>
      </w:pPr>
      <w:r>
        <w:rPr>
          <w:rFonts w:ascii="Arial" w:cs="Arial" w:eastAsia="Arial" w:hAnsi="Arial"/>
          <w:sz w:val="17"/>
          <w:szCs w:val="17"/>
          <w:color w:val="auto"/>
        </w:rPr>
        <w:t>and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54610</wp:posOffset>
            </wp:positionV>
            <wp:extent cx="7148830" cy="152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114935</wp:posOffset>
            </wp:positionV>
            <wp:extent cx="98425" cy="9842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p>
      <w:pPr>
        <w:spacing w:after="0" w:line="209" w:lineRule="exact"/>
        <w:rPr>
          <w:sz w:val="20"/>
          <w:szCs w:val="20"/>
          <w:color w:val="auto"/>
        </w:rPr>
      </w:pPr>
    </w:p>
    <w:p>
      <w:pPr>
        <w:ind w:left="200" w:right="340" w:hanging="145"/>
        <w:spacing w:after="0" w:line="237" w:lineRule="auto"/>
        <w:tabs>
          <w:tab w:leader="none" w:pos="200" w:val="left"/>
        </w:tabs>
        <w:numPr>
          <w:ilvl w:val="0"/>
          <w:numId w:val="98"/>
        </w:numPr>
        <w:rPr>
          <w:rFonts w:ascii="Arial" w:cs="Arial" w:eastAsia="Arial" w:hAnsi="Arial"/>
          <w:sz w:val="17"/>
          <w:szCs w:val="17"/>
          <w:color w:val="125288"/>
        </w:rPr>
      </w:pPr>
      <w:r>
        <w:rPr>
          <w:rFonts w:ascii="Arial" w:cs="Arial" w:eastAsia="Arial" w:hAnsi="Arial"/>
          <w:sz w:val="17"/>
          <w:szCs w:val="17"/>
          <w:color w:val="auto"/>
        </w:rPr>
        <w:t>Develop and implement appropriate organizational plans to deliver on ambitious goals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920" w:type="dxa"/>
            <w:vAlign w:val="bottom"/>
          </w:tcPr>
          <w:p>
            <w:pPr>
              <w:spacing w:after="0"/>
              <w:rPr>
                <w:sz w:val="20"/>
                <w:szCs w:val="20"/>
                <w:color w:val="auto"/>
              </w:rPr>
            </w:pPr>
            <w:r>
              <w:rPr>
                <w:rFonts w:ascii="Arial" w:cs="Arial" w:eastAsia="Arial" w:hAnsi="Arial"/>
                <w:sz w:val="17"/>
                <w:szCs w:val="17"/>
                <w:color w:val="auto"/>
              </w:rPr>
              <w:t>Instituted franchise production and resource</w:t>
            </w:r>
          </w:p>
        </w:tc>
        <w:tc>
          <w:tcPr>
            <w:tcW w:w="1020" w:type="dxa"/>
            <w:vAlign w:val="bottom"/>
          </w:tcPr>
          <w:p>
            <w:pPr>
              <w:jc w:val="right"/>
              <w:spacing w:after="0"/>
              <w:rPr>
                <w:sz w:val="20"/>
                <w:szCs w:val="20"/>
                <w:color w:val="auto"/>
              </w:rPr>
            </w:pPr>
            <w:r>
              <w:rPr>
                <w:rFonts w:ascii="Arial" w:cs="Arial" w:eastAsia="Arial" w:hAnsi="Arial"/>
                <w:sz w:val="17"/>
                <w:szCs w:val="17"/>
                <w:color w:val="auto"/>
              </w:rPr>
              <w:t>30%</w:t>
            </w:r>
          </w:p>
        </w:tc>
      </w:tr>
    </w:tbl>
    <w:p>
      <w:pPr>
        <w:spacing w:after="0" w:line="233" w:lineRule="auto"/>
        <w:rPr>
          <w:sz w:val="20"/>
          <w:szCs w:val="20"/>
          <w:color w:val="auto"/>
        </w:rPr>
      </w:pPr>
      <w:r>
        <w:rPr>
          <w:rFonts w:ascii="Arial" w:cs="Arial" w:eastAsia="Arial" w:hAnsi="Arial"/>
          <w:sz w:val="17"/>
          <w:szCs w:val="17"/>
          <w:color w:val="auto"/>
        </w:rPr>
        <w:t>planning with clear delivery and investment</w:t>
      </w:r>
    </w:p>
    <w:p>
      <w:pPr>
        <w:spacing w:after="0" w:line="234" w:lineRule="auto"/>
        <w:rPr>
          <w:sz w:val="20"/>
          <w:szCs w:val="20"/>
          <w:color w:val="auto"/>
        </w:rPr>
      </w:pPr>
      <w:r>
        <w:rPr>
          <w:rFonts w:ascii="Arial" w:cs="Arial" w:eastAsia="Arial" w:hAnsi="Arial"/>
          <w:sz w:val="17"/>
          <w:szCs w:val="17"/>
          <w:color w:val="auto"/>
        </w:rPr>
        <w:t>milestones, but had delayed launch dates for</w:t>
      </w:r>
    </w:p>
    <w:p>
      <w:pPr>
        <w:spacing w:after="0"/>
        <w:rPr>
          <w:sz w:val="20"/>
          <w:szCs w:val="20"/>
          <w:color w:val="auto"/>
        </w:rPr>
      </w:pPr>
      <w:r>
        <w:rPr>
          <w:rFonts w:ascii="Arial" w:cs="Arial" w:eastAsia="Arial" w:hAnsi="Arial"/>
          <w:sz w:val="17"/>
          <w:szCs w:val="17"/>
          <w:color w:val="auto"/>
        </w:rPr>
        <w:t>certain 2022 titles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-2479040</wp:posOffset>
            </wp:positionH>
            <wp:positionV relativeFrom="paragraph">
              <wp:posOffset>54610</wp:posOffset>
            </wp:positionV>
            <wp:extent cx="7148830" cy="152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80" w:space="720"/>
            <w:col w:w="7360"/>
          </w:cols>
          <w:pgMar w:left="320" w:top="144" w:right="319" w:bottom="1440" w:gutter="0" w:footer="0" w:header="0"/>
          <w:type w:val="continuous"/>
        </w:sectPr>
      </w:pP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Strategic Objectives for Brian Bulatao</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660" w:type="dxa"/>
            <w:vAlign w:val="bottom"/>
          </w:tcPr>
          <w:p>
            <w:pPr>
              <w:jc w:val="right"/>
              <w:ind w:right="21"/>
              <w:spacing w:after="0"/>
              <w:rPr>
                <w:sz w:val="20"/>
                <w:szCs w:val="20"/>
                <w:color w:val="auto"/>
              </w:rPr>
            </w:pPr>
            <w:r>
              <w:rPr>
                <w:rFonts w:ascii="Arial" w:cs="Arial" w:eastAsia="Arial" w:hAnsi="Arial"/>
                <w:sz w:val="15"/>
                <w:szCs w:val="15"/>
                <w:b w:val="1"/>
                <w:bCs w:val="1"/>
                <w:color w:val="125288"/>
              </w:rPr>
              <w:t>Weighting (as</w:t>
            </w: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4"/>
        </w:trPr>
        <w:tc>
          <w:tcPr>
            <w:tcW w:w="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60" w:type="dxa"/>
            <w:vAlign w:val="bottom"/>
          </w:tcPr>
          <w:p>
            <w:pPr>
              <w:jc w:val="right"/>
              <w:ind w:right="21"/>
              <w:spacing w:after="0"/>
              <w:rPr>
                <w:sz w:val="20"/>
                <w:szCs w:val="20"/>
                <w:color w:val="auto"/>
              </w:rPr>
            </w:pPr>
            <w:r>
              <w:rPr>
                <w:rFonts w:ascii="Arial" w:cs="Arial" w:eastAsia="Arial" w:hAnsi="Arial"/>
                <w:sz w:val="15"/>
                <w:szCs w:val="15"/>
                <w:b w:val="1"/>
                <w:bCs w:val="1"/>
                <w:color w:val="125288"/>
              </w:rPr>
              <w:t>a % of</w:t>
            </w: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60" w:type="dxa"/>
            <w:vAlign w:val="bottom"/>
          </w:tcPr>
          <w:p>
            <w:pPr>
              <w:jc w:val="right"/>
              <w:ind w:right="21"/>
              <w:spacing w:after="0"/>
              <w:rPr>
                <w:sz w:val="20"/>
                <w:szCs w:val="20"/>
                <w:color w:val="auto"/>
              </w:rPr>
            </w:pPr>
            <w:r>
              <w:rPr>
                <w:rFonts w:ascii="Arial" w:cs="Arial" w:eastAsia="Arial" w:hAnsi="Arial"/>
                <w:sz w:val="15"/>
                <w:szCs w:val="15"/>
                <w:b w:val="1"/>
                <w:bCs w:val="1"/>
                <w:color w:val="125288"/>
              </w:rPr>
              <w:t>Strategic</w:t>
            </w:r>
          </w:p>
        </w:tc>
        <w:tc>
          <w:tcPr>
            <w:tcW w:w="740" w:type="dxa"/>
            <w:vAlign w:val="bottom"/>
          </w:tcPr>
          <w:p>
            <w:pPr>
              <w:ind w:left="100"/>
              <w:spacing w:after="0"/>
              <w:rPr>
                <w:sz w:val="20"/>
                <w:szCs w:val="20"/>
                <w:color w:val="auto"/>
              </w:rPr>
            </w:pPr>
            <w:r>
              <w:rPr>
                <w:rFonts w:ascii="Arial" w:cs="Arial" w:eastAsia="Arial" w:hAnsi="Arial"/>
                <w:sz w:val="15"/>
                <w:szCs w:val="15"/>
                <w:b w:val="1"/>
                <w:bCs w:val="1"/>
                <w:color w:val="125288"/>
              </w:rPr>
              <w:t>Below</w:t>
            </w:r>
          </w:p>
        </w:tc>
        <w:tc>
          <w:tcPr>
            <w:tcW w:w="780" w:type="dxa"/>
            <w:vAlign w:val="bottom"/>
          </w:tcPr>
          <w:p>
            <w:pPr>
              <w:spacing w:after="0"/>
              <w:rPr>
                <w:sz w:val="18"/>
                <w:szCs w:val="18"/>
                <w:color w:val="auto"/>
              </w:rPr>
            </w:pPr>
          </w:p>
        </w:tc>
        <w:tc>
          <w:tcPr>
            <w:tcW w:w="640" w:type="dxa"/>
            <w:vAlign w:val="bottom"/>
          </w:tcPr>
          <w:p>
            <w:pPr>
              <w:jc w:val="center"/>
              <w:ind w:left="43"/>
              <w:spacing w:after="0"/>
              <w:rPr>
                <w:sz w:val="20"/>
                <w:szCs w:val="20"/>
                <w:color w:val="auto"/>
              </w:rPr>
            </w:pPr>
            <w:r>
              <w:rPr>
                <w:rFonts w:ascii="Arial" w:cs="Arial" w:eastAsia="Arial" w:hAnsi="Arial"/>
                <w:sz w:val="15"/>
                <w:szCs w:val="15"/>
                <w:b w:val="1"/>
                <w:bCs w:val="1"/>
                <w:color w:val="125288"/>
              </w:rPr>
              <w:t>Above</w:t>
            </w:r>
          </w:p>
        </w:tc>
        <w:tc>
          <w:tcPr>
            <w:tcW w:w="160" w:type="dxa"/>
            <w:vAlign w:val="bottom"/>
          </w:tcPr>
          <w:p>
            <w:pPr>
              <w:spacing w:after="0"/>
              <w:rPr>
                <w:sz w:val="18"/>
                <w:szCs w:val="18"/>
                <w:color w:val="auto"/>
              </w:rPr>
            </w:pPr>
          </w:p>
        </w:tc>
      </w:tr>
      <w:tr>
        <w:trPr>
          <w:trHeight w:val="214"/>
        </w:trPr>
        <w:tc>
          <w:tcPr>
            <w:tcW w:w="3640" w:type="dxa"/>
            <w:vAlign w:val="bottom"/>
            <w:gridSpan w:val="2"/>
          </w:tcPr>
          <w:p>
            <w:pPr>
              <w:ind w:left="60"/>
              <w:spacing w:after="0"/>
              <w:rPr>
                <w:sz w:val="20"/>
                <w:szCs w:val="20"/>
                <w:color w:val="auto"/>
              </w:rPr>
            </w:pPr>
            <w:r>
              <w:rPr>
                <w:rFonts w:ascii="Arial" w:cs="Arial" w:eastAsia="Arial" w:hAnsi="Arial"/>
                <w:sz w:val="15"/>
                <w:szCs w:val="15"/>
                <w:b w:val="1"/>
                <w:bCs w:val="1"/>
                <w:color w:val="125288"/>
              </w:rPr>
              <w:t>Area and Summary of Goals</w:t>
            </w:r>
          </w:p>
        </w:tc>
        <w:tc>
          <w:tcPr>
            <w:tcW w:w="3640" w:type="dxa"/>
            <w:vAlign w:val="bottom"/>
          </w:tcPr>
          <w:p>
            <w:pPr>
              <w:ind w:left="480"/>
              <w:spacing w:after="0"/>
              <w:rPr>
                <w:sz w:val="20"/>
                <w:szCs w:val="20"/>
                <w:color w:val="auto"/>
              </w:rPr>
            </w:pPr>
            <w:r>
              <w:rPr>
                <w:rFonts w:ascii="Arial" w:cs="Arial" w:eastAsia="Arial" w:hAnsi="Arial"/>
                <w:sz w:val="15"/>
                <w:szCs w:val="15"/>
                <w:b w:val="1"/>
                <w:bCs w:val="1"/>
                <w:color w:val="125288"/>
              </w:rPr>
              <w:t>Achievement Details</w:t>
            </w:r>
          </w:p>
        </w:tc>
        <w:tc>
          <w:tcPr>
            <w:tcW w:w="1660" w:type="dxa"/>
            <w:vAlign w:val="bottom"/>
          </w:tcPr>
          <w:p>
            <w:pPr>
              <w:jc w:val="right"/>
              <w:ind w:right="21"/>
              <w:spacing w:after="0"/>
              <w:rPr>
                <w:sz w:val="20"/>
                <w:szCs w:val="20"/>
                <w:color w:val="auto"/>
              </w:rPr>
            </w:pPr>
            <w:r>
              <w:rPr>
                <w:rFonts w:ascii="Arial" w:cs="Arial" w:eastAsia="Arial" w:hAnsi="Arial"/>
                <w:sz w:val="15"/>
                <w:szCs w:val="15"/>
                <w:b w:val="1"/>
                <w:bCs w:val="1"/>
                <w:color w:val="125288"/>
              </w:rPr>
              <w:t>Objectives)</w:t>
            </w:r>
          </w:p>
        </w:tc>
        <w:tc>
          <w:tcPr>
            <w:tcW w:w="740" w:type="dxa"/>
            <w:vAlign w:val="bottom"/>
          </w:tcPr>
          <w:p>
            <w:pPr>
              <w:ind w:left="120"/>
              <w:spacing w:after="0"/>
              <w:rPr>
                <w:sz w:val="20"/>
                <w:szCs w:val="20"/>
                <w:color w:val="auto"/>
              </w:rPr>
            </w:pPr>
            <w:r>
              <w:rPr>
                <w:rFonts w:ascii="Arial" w:cs="Arial" w:eastAsia="Arial" w:hAnsi="Arial"/>
                <w:sz w:val="15"/>
                <w:szCs w:val="15"/>
                <w:b w:val="1"/>
                <w:bCs w:val="1"/>
                <w:color w:val="125288"/>
              </w:rPr>
              <w:t>Target</w:t>
            </w:r>
          </w:p>
        </w:tc>
        <w:tc>
          <w:tcPr>
            <w:tcW w:w="780" w:type="dxa"/>
            <w:vAlign w:val="bottom"/>
          </w:tcPr>
          <w:p>
            <w:pPr>
              <w:ind w:left="160"/>
              <w:spacing w:after="0"/>
              <w:rPr>
                <w:sz w:val="20"/>
                <w:szCs w:val="20"/>
                <w:color w:val="auto"/>
              </w:rPr>
            </w:pPr>
            <w:r>
              <w:rPr>
                <w:rFonts w:ascii="Arial" w:cs="Arial" w:eastAsia="Arial" w:hAnsi="Arial"/>
                <w:sz w:val="15"/>
                <w:szCs w:val="15"/>
                <w:b w:val="1"/>
                <w:bCs w:val="1"/>
                <w:color w:val="125288"/>
              </w:rPr>
              <w:t>Target</w:t>
            </w:r>
          </w:p>
        </w:tc>
        <w:tc>
          <w:tcPr>
            <w:tcW w:w="640" w:type="dxa"/>
            <w:vAlign w:val="bottom"/>
          </w:tcPr>
          <w:p>
            <w:pPr>
              <w:jc w:val="center"/>
              <w:ind w:left="103"/>
              <w:spacing w:after="0"/>
              <w:rPr>
                <w:sz w:val="20"/>
                <w:szCs w:val="20"/>
                <w:color w:val="auto"/>
              </w:rPr>
            </w:pPr>
            <w:r>
              <w:rPr>
                <w:rFonts w:ascii="Arial" w:cs="Arial" w:eastAsia="Arial" w:hAnsi="Arial"/>
                <w:sz w:val="15"/>
                <w:szCs w:val="15"/>
                <w:b w:val="1"/>
                <w:bCs w:val="1"/>
                <w:color w:val="125288"/>
              </w:rPr>
              <w:t>Target</w:t>
            </w:r>
          </w:p>
        </w:tc>
        <w:tc>
          <w:tcPr>
            <w:tcW w:w="160" w:type="dxa"/>
            <w:vAlign w:val="bottom"/>
          </w:tcPr>
          <w:p>
            <w:pPr>
              <w:spacing w:after="0"/>
              <w:rPr>
                <w:sz w:val="18"/>
                <w:szCs w:val="18"/>
                <w:color w:val="auto"/>
              </w:rPr>
            </w:pPr>
          </w:p>
        </w:tc>
      </w:tr>
      <w:tr>
        <w:trPr>
          <w:trHeight w:val="41"/>
        </w:trPr>
        <w:tc>
          <w:tcPr>
            <w:tcW w:w="160" w:type="dxa"/>
            <w:vAlign w:val="bottom"/>
            <w:tcBorders>
              <w:bottom w:val="single" w:sz="8" w:color="125288"/>
            </w:tcBorders>
          </w:tcPr>
          <w:p>
            <w:pPr>
              <w:spacing w:after="0"/>
              <w:rPr>
                <w:sz w:val="3"/>
                <w:szCs w:val="3"/>
                <w:color w:val="auto"/>
              </w:rPr>
            </w:pPr>
          </w:p>
        </w:tc>
        <w:tc>
          <w:tcPr>
            <w:tcW w:w="3480" w:type="dxa"/>
            <w:vAlign w:val="bottom"/>
            <w:tcBorders>
              <w:bottom w:val="single" w:sz="8" w:color="125288"/>
            </w:tcBorders>
          </w:tcPr>
          <w:p>
            <w:pPr>
              <w:spacing w:after="0"/>
              <w:rPr>
                <w:sz w:val="3"/>
                <w:szCs w:val="3"/>
                <w:color w:val="auto"/>
              </w:rPr>
            </w:pPr>
          </w:p>
        </w:tc>
        <w:tc>
          <w:tcPr>
            <w:tcW w:w="3640" w:type="dxa"/>
            <w:vAlign w:val="bottom"/>
            <w:tcBorders>
              <w:bottom w:val="single" w:sz="8" w:color="125288"/>
            </w:tcBorders>
          </w:tcPr>
          <w:p>
            <w:pPr>
              <w:spacing w:after="0"/>
              <w:rPr>
                <w:sz w:val="3"/>
                <w:szCs w:val="3"/>
                <w:color w:val="auto"/>
              </w:rPr>
            </w:pPr>
          </w:p>
        </w:tc>
        <w:tc>
          <w:tcPr>
            <w:tcW w:w="1660" w:type="dxa"/>
            <w:vAlign w:val="bottom"/>
            <w:tcBorders>
              <w:bottom w:val="single" w:sz="8" w:color="125288"/>
            </w:tcBorders>
          </w:tcPr>
          <w:p>
            <w:pPr>
              <w:spacing w:after="0"/>
              <w:rPr>
                <w:sz w:val="3"/>
                <w:szCs w:val="3"/>
                <w:color w:val="auto"/>
              </w:rPr>
            </w:pPr>
          </w:p>
        </w:tc>
        <w:tc>
          <w:tcPr>
            <w:tcW w:w="740" w:type="dxa"/>
            <w:vAlign w:val="bottom"/>
            <w:tcBorders>
              <w:bottom w:val="single" w:sz="8" w:color="125288"/>
            </w:tcBorders>
          </w:tcPr>
          <w:p>
            <w:pPr>
              <w:spacing w:after="0"/>
              <w:rPr>
                <w:sz w:val="3"/>
                <w:szCs w:val="3"/>
                <w:color w:val="auto"/>
              </w:rPr>
            </w:pPr>
          </w:p>
        </w:tc>
        <w:tc>
          <w:tcPr>
            <w:tcW w:w="780" w:type="dxa"/>
            <w:vAlign w:val="bottom"/>
            <w:tcBorders>
              <w:bottom w:val="single" w:sz="8" w:color="125288"/>
            </w:tcBorders>
          </w:tcPr>
          <w:p>
            <w:pPr>
              <w:spacing w:after="0"/>
              <w:rPr>
                <w:sz w:val="3"/>
                <w:szCs w:val="3"/>
                <w:color w:val="auto"/>
              </w:rPr>
            </w:pPr>
          </w:p>
        </w:tc>
        <w:tc>
          <w:tcPr>
            <w:tcW w:w="640" w:type="dxa"/>
            <w:vAlign w:val="bottom"/>
            <w:tcBorders>
              <w:bottom w:val="single" w:sz="8" w:color="125288"/>
            </w:tcBorders>
          </w:tcPr>
          <w:p>
            <w:pPr>
              <w:spacing w:after="0"/>
              <w:rPr>
                <w:sz w:val="3"/>
                <w:szCs w:val="3"/>
                <w:color w:val="auto"/>
              </w:rPr>
            </w:pPr>
          </w:p>
        </w:tc>
        <w:tc>
          <w:tcPr>
            <w:tcW w:w="160" w:type="dxa"/>
            <w:vAlign w:val="bottom"/>
            <w:tcBorders>
              <w:bottom w:val="single" w:sz="8" w:color="125288"/>
            </w:tcBorders>
          </w:tcPr>
          <w:p>
            <w:pPr>
              <w:spacing w:after="0"/>
              <w:rPr>
                <w:sz w:val="3"/>
                <w:szCs w:val="3"/>
                <w:color w:val="auto"/>
              </w:rPr>
            </w:pPr>
          </w:p>
        </w:tc>
      </w:tr>
      <w:tr>
        <w:trPr>
          <w:trHeight w:val="265"/>
        </w:trPr>
        <w:tc>
          <w:tcPr>
            <w:tcW w:w="160" w:type="dxa"/>
            <w:vAlign w:val="bottom"/>
          </w:tcPr>
          <w:p>
            <w:pPr>
              <w:ind w:left="60"/>
              <w:spacing w:after="0"/>
              <w:rPr>
                <w:sz w:val="20"/>
                <w:szCs w:val="20"/>
                <w:color w:val="auto"/>
              </w:rPr>
            </w:pPr>
            <w:r>
              <w:rPr>
                <w:rFonts w:ascii="Arial" w:cs="Arial" w:eastAsia="Arial" w:hAnsi="Arial"/>
                <w:sz w:val="17"/>
                <w:szCs w:val="17"/>
                <w:color w:val="125288"/>
              </w:rPr>
              <w:t>•</w:t>
            </w:r>
          </w:p>
        </w:tc>
        <w:tc>
          <w:tcPr>
            <w:tcW w:w="3480" w:type="dxa"/>
            <w:vAlign w:val="bottom"/>
          </w:tcPr>
          <w:p>
            <w:pPr>
              <w:ind w:left="40"/>
              <w:spacing w:after="0"/>
              <w:rPr>
                <w:sz w:val="20"/>
                <w:szCs w:val="20"/>
                <w:color w:val="auto"/>
              </w:rPr>
            </w:pPr>
            <w:r>
              <w:rPr>
                <w:rFonts w:ascii="Arial" w:cs="Arial" w:eastAsia="Arial" w:hAnsi="Arial"/>
                <w:sz w:val="17"/>
                <w:szCs w:val="17"/>
                <w:color w:val="auto"/>
              </w:rPr>
              <w:t>Increase efficiency and ensure proper</w:t>
            </w:r>
          </w:p>
        </w:tc>
        <w:tc>
          <w:tcPr>
            <w:tcW w:w="3640" w:type="dxa"/>
            <w:vAlign w:val="bottom"/>
          </w:tcPr>
          <w:p>
            <w:pPr>
              <w:ind w:left="480"/>
              <w:spacing w:after="0"/>
              <w:rPr>
                <w:sz w:val="20"/>
                <w:szCs w:val="20"/>
                <w:color w:val="auto"/>
              </w:rPr>
            </w:pPr>
            <w:r>
              <w:rPr>
                <w:rFonts w:ascii="Arial" w:cs="Arial" w:eastAsia="Arial" w:hAnsi="Arial"/>
                <w:sz w:val="17"/>
                <w:szCs w:val="17"/>
                <w:color w:val="auto"/>
              </w:rPr>
              <w:t>Successfully developed short-term and</w:t>
            </w:r>
          </w:p>
        </w:tc>
        <w:tc>
          <w:tcPr>
            <w:tcW w:w="1660" w:type="dxa"/>
            <w:vAlign w:val="bottom"/>
          </w:tcPr>
          <w:p>
            <w:pPr>
              <w:jc w:val="right"/>
              <w:ind w:right="21"/>
              <w:spacing w:after="0"/>
              <w:rPr>
                <w:sz w:val="20"/>
                <w:szCs w:val="20"/>
                <w:color w:val="auto"/>
              </w:rPr>
            </w:pPr>
            <w:r>
              <w:rPr>
                <w:rFonts w:ascii="Arial" w:cs="Arial" w:eastAsia="Arial" w:hAnsi="Arial"/>
                <w:sz w:val="17"/>
                <w:szCs w:val="17"/>
                <w:color w:val="auto"/>
              </w:rPr>
              <w:t>30%</w:t>
            </w: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190"/>
        </w:trPr>
        <w:tc>
          <w:tcPr>
            <w:tcW w:w="160" w:type="dxa"/>
            <w:vAlign w:val="bottom"/>
          </w:tcPr>
          <w:p>
            <w:pPr>
              <w:spacing w:after="0"/>
              <w:rPr>
                <w:sz w:val="16"/>
                <w:szCs w:val="16"/>
                <w:color w:val="auto"/>
              </w:rPr>
            </w:pPr>
          </w:p>
        </w:tc>
        <w:tc>
          <w:tcPr>
            <w:tcW w:w="3480" w:type="dxa"/>
            <w:vAlign w:val="bottom"/>
          </w:tcPr>
          <w:p>
            <w:pPr>
              <w:ind w:left="40"/>
              <w:spacing w:after="0" w:line="190" w:lineRule="exact"/>
              <w:rPr>
                <w:sz w:val="20"/>
                <w:szCs w:val="20"/>
                <w:color w:val="auto"/>
              </w:rPr>
            </w:pPr>
            <w:r>
              <w:rPr>
                <w:rFonts w:ascii="Arial" w:cs="Arial" w:eastAsia="Arial" w:hAnsi="Arial"/>
                <w:sz w:val="17"/>
                <w:szCs w:val="17"/>
                <w:color w:val="auto"/>
              </w:rPr>
              <w:t>investment levels in core areas of our</w:t>
            </w:r>
          </w:p>
        </w:tc>
        <w:tc>
          <w:tcPr>
            <w:tcW w:w="3640" w:type="dxa"/>
            <w:vAlign w:val="bottom"/>
          </w:tcPr>
          <w:p>
            <w:pPr>
              <w:ind w:left="480"/>
              <w:spacing w:after="0" w:line="190" w:lineRule="exact"/>
              <w:rPr>
                <w:sz w:val="20"/>
                <w:szCs w:val="20"/>
                <w:color w:val="auto"/>
              </w:rPr>
            </w:pPr>
            <w:r>
              <w:rPr>
                <w:rFonts w:ascii="Arial" w:cs="Arial" w:eastAsia="Arial" w:hAnsi="Arial"/>
                <w:sz w:val="17"/>
                <w:szCs w:val="17"/>
                <w:color w:val="auto"/>
              </w:rPr>
              <w:t>long-term planning around various</w:t>
            </w:r>
          </w:p>
        </w:tc>
        <w:tc>
          <w:tcPr>
            <w:tcW w:w="1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0"/>
        </w:trPr>
        <w:tc>
          <w:tcPr>
            <w:tcW w:w="160" w:type="dxa"/>
            <w:vAlign w:val="bottom"/>
          </w:tcPr>
          <w:p>
            <w:pPr>
              <w:spacing w:after="0"/>
              <w:rPr>
                <w:sz w:val="16"/>
                <w:szCs w:val="16"/>
                <w:color w:val="auto"/>
              </w:rPr>
            </w:pPr>
          </w:p>
        </w:tc>
        <w:tc>
          <w:tcPr>
            <w:tcW w:w="3480" w:type="dxa"/>
            <w:vAlign w:val="bottom"/>
          </w:tcPr>
          <w:p>
            <w:pPr>
              <w:ind w:left="40"/>
              <w:spacing w:after="0" w:line="190" w:lineRule="exact"/>
              <w:rPr>
                <w:sz w:val="20"/>
                <w:szCs w:val="20"/>
                <w:color w:val="auto"/>
              </w:rPr>
            </w:pPr>
            <w:r>
              <w:rPr>
                <w:rFonts w:ascii="Arial" w:cs="Arial" w:eastAsia="Arial" w:hAnsi="Arial"/>
                <w:sz w:val="17"/>
                <w:szCs w:val="17"/>
                <w:color w:val="auto"/>
              </w:rPr>
              <w:t>business</w:t>
            </w:r>
          </w:p>
        </w:tc>
        <w:tc>
          <w:tcPr>
            <w:tcW w:w="3640" w:type="dxa"/>
            <w:vAlign w:val="bottom"/>
          </w:tcPr>
          <w:p>
            <w:pPr>
              <w:ind w:left="480"/>
              <w:spacing w:after="0" w:line="190" w:lineRule="exact"/>
              <w:rPr>
                <w:sz w:val="20"/>
                <w:szCs w:val="20"/>
                <w:color w:val="auto"/>
              </w:rPr>
            </w:pPr>
            <w:r>
              <w:rPr>
                <w:rFonts w:ascii="Arial" w:cs="Arial" w:eastAsia="Arial" w:hAnsi="Arial"/>
                <w:sz w:val="17"/>
                <w:szCs w:val="17"/>
                <w:color w:val="auto"/>
              </w:rPr>
              <w:t>initiatives, but did not meet all cost and</w:t>
            </w:r>
          </w:p>
        </w:tc>
        <w:tc>
          <w:tcPr>
            <w:tcW w:w="1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1"/>
        </w:trPr>
        <w:tc>
          <w:tcPr>
            <w:tcW w:w="1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640" w:type="dxa"/>
            <w:vAlign w:val="bottom"/>
          </w:tcPr>
          <w:p>
            <w:pPr>
              <w:ind w:left="480"/>
              <w:spacing w:after="0"/>
              <w:rPr>
                <w:sz w:val="20"/>
                <w:szCs w:val="20"/>
                <w:color w:val="auto"/>
              </w:rPr>
            </w:pPr>
            <w:r>
              <w:rPr>
                <w:rFonts w:ascii="Arial" w:cs="Arial" w:eastAsia="Arial" w:hAnsi="Arial"/>
                <w:sz w:val="17"/>
                <w:szCs w:val="17"/>
                <w:color w:val="auto"/>
              </w:rPr>
              <w:t>growth objectives</w:t>
            </w:r>
          </w:p>
        </w:tc>
        <w:tc>
          <w:tcPr>
            <w:tcW w:w="1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85"/>
        </w:trPr>
        <w:tc>
          <w:tcPr>
            <w:tcW w:w="160" w:type="dxa"/>
            <w:vAlign w:val="bottom"/>
            <w:tcBorders>
              <w:bottom w:val="single" w:sz="8" w:color="125288"/>
            </w:tcBorders>
          </w:tcPr>
          <w:p>
            <w:pPr>
              <w:spacing w:after="0"/>
              <w:rPr>
                <w:sz w:val="7"/>
                <w:szCs w:val="7"/>
                <w:color w:val="auto"/>
              </w:rPr>
            </w:pPr>
          </w:p>
        </w:tc>
        <w:tc>
          <w:tcPr>
            <w:tcW w:w="3480" w:type="dxa"/>
            <w:vAlign w:val="bottom"/>
            <w:tcBorders>
              <w:bottom w:val="single" w:sz="8" w:color="125288"/>
            </w:tcBorders>
          </w:tcPr>
          <w:p>
            <w:pPr>
              <w:spacing w:after="0"/>
              <w:rPr>
                <w:sz w:val="7"/>
                <w:szCs w:val="7"/>
                <w:color w:val="auto"/>
              </w:rPr>
            </w:pPr>
          </w:p>
        </w:tc>
        <w:tc>
          <w:tcPr>
            <w:tcW w:w="3640" w:type="dxa"/>
            <w:vAlign w:val="bottom"/>
            <w:tcBorders>
              <w:bottom w:val="single" w:sz="8" w:color="125288"/>
            </w:tcBorders>
          </w:tcPr>
          <w:p>
            <w:pPr>
              <w:spacing w:after="0"/>
              <w:rPr>
                <w:sz w:val="7"/>
                <w:szCs w:val="7"/>
                <w:color w:val="auto"/>
              </w:rPr>
            </w:pPr>
          </w:p>
        </w:tc>
        <w:tc>
          <w:tcPr>
            <w:tcW w:w="1660" w:type="dxa"/>
            <w:vAlign w:val="bottom"/>
            <w:tcBorders>
              <w:bottom w:val="single" w:sz="8" w:color="125288"/>
            </w:tcBorders>
          </w:tcPr>
          <w:p>
            <w:pPr>
              <w:spacing w:after="0"/>
              <w:rPr>
                <w:sz w:val="7"/>
                <w:szCs w:val="7"/>
                <w:color w:val="auto"/>
              </w:rPr>
            </w:pPr>
          </w:p>
        </w:tc>
        <w:tc>
          <w:tcPr>
            <w:tcW w:w="740" w:type="dxa"/>
            <w:vAlign w:val="bottom"/>
            <w:tcBorders>
              <w:bottom w:val="single" w:sz="8" w:color="125288"/>
            </w:tcBorders>
          </w:tcPr>
          <w:p>
            <w:pPr>
              <w:spacing w:after="0"/>
              <w:rPr>
                <w:sz w:val="7"/>
                <w:szCs w:val="7"/>
                <w:color w:val="auto"/>
              </w:rPr>
            </w:pPr>
          </w:p>
        </w:tc>
        <w:tc>
          <w:tcPr>
            <w:tcW w:w="780" w:type="dxa"/>
            <w:vAlign w:val="bottom"/>
            <w:tcBorders>
              <w:bottom w:val="single" w:sz="8" w:color="125288"/>
            </w:tcBorders>
          </w:tcPr>
          <w:p>
            <w:pPr>
              <w:spacing w:after="0"/>
              <w:rPr>
                <w:sz w:val="7"/>
                <w:szCs w:val="7"/>
                <w:color w:val="auto"/>
              </w:rPr>
            </w:pPr>
          </w:p>
        </w:tc>
        <w:tc>
          <w:tcPr>
            <w:tcW w:w="640" w:type="dxa"/>
            <w:vAlign w:val="bottom"/>
            <w:tcBorders>
              <w:bottom w:val="single" w:sz="8" w:color="125288"/>
            </w:tcBorders>
          </w:tcPr>
          <w:p>
            <w:pPr>
              <w:spacing w:after="0"/>
              <w:rPr>
                <w:sz w:val="7"/>
                <w:szCs w:val="7"/>
                <w:color w:val="auto"/>
              </w:rPr>
            </w:pPr>
          </w:p>
        </w:tc>
        <w:tc>
          <w:tcPr>
            <w:tcW w:w="160" w:type="dxa"/>
            <w:vAlign w:val="bottom"/>
            <w:tcBorders>
              <w:bottom w:val="single" w:sz="8" w:color="125288"/>
            </w:tcBorders>
          </w:tcPr>
          <w:p>
            <w:pPr>
              <w:spacing w:after="0"/>
              <w:rPr>
                <w:sz w:val="7"/>
                <w:szCs w:val="7"/>
                <w:color w:val="auto"/>
              </w:rPr>
            </w:pPr>
          </w:p>
        </w:tc>
      </w:tr>
      <w:tr>
        <w:trPr>
          <w:trHeight w:val="265"/>
        </w:trPr>
        <w:tc>
          <w:tcPr>
            <w:tcW w:w="160" w:type="dxa"/>
            <w:vAlign w:val="bottom"/>
          </w:tcPr>
          <w:p>
            <w:pPr>
              <w:ind w:left="60"/>
              <w:spacing w:after="0"/>
              <w:rPr>
                <w:sz w:val="20"/>
                <w:szCs w:val="20"/>
                <w:color w:val="auto"/>
              </w:rPr>
            </w:pPr>
            <w:r>
              <w:rPr>
                <w:rFonts w:ascii="Arial" w:cs="Arial" w:eastAsia="Arial" w:hAnsi="Arial"/>
                <w:sz w:val="17"/>
                <w:szCs w:val="17"/>
                <w:color w:val="125288"/>
              </w:rPr>
              <w:t>•</w:t>
            </w:r>
          </w:p>
        </w:tc>
        <w:tc>
          <w:tcPr>
            <w:tcW w:w="3480" w:type="dxa"/>
            <w:vAlign w:val="bottom"/>
          </w:tcPr>
          <w:p>
            <w:pPr>
              <w:ind w:left="40"/>
              <w:spacing w:after="0"/>
              <w:rPr>
                <w:sz w:val="20"/>
                <w:szCs w:val="20"/>
                <w:color w:val="auto"/>
              </w:rPr>
            </w:pPr>
            <w:r>
              <w:rPr>
                <w:rFonts w:ascii="Arial" w:cs="Arial" w:eastAsia="Arial" w:hAnsi="Arial"/>
                <w:sz w:val="17"/>
                <w:szCs w:val="17"/>
                <w:color w:val="auto"/>
              </w:rPr>
              <w:t>Ensure staffing and succession plans</w:t>
            </w:r>
          </w:p>
        </w:tc>
        <w:tc>
          <w:tcPr>
            <w:tcW w:w="3640" w:type="dxa"/>
            <w:vAlign w:val="bottom"/>
          </w:tcPr>
          <w:p>
            <w:pPr>
              <w:ind w:left="480"/>
              <w:spacing w:after="0"/>
              <w:rPr>
                <w:sz w:val="20"/>
                <w:szCs w:val="20"/>
                <w:color w:val="auto"/>
              </w:rPr>
            </w:pPr>
            <w:r>
              <w:rPr>
                <w:rFonts w:ascii="Arial" w:cs="Arial" w:eastAsia="Arial" w:hAnsi="Arial"/>
                <w:sz w:val="17"/>
                <w:szCs w:val="17"/>
                <w:color w:val="auto"/>
              </w:rPr>
              <w:t>Developed and hired for key roles with</w:t>
            </w:r>
          </w:p>
        </w:tc>
        <w:tc>
          <w:tcPr>
            <w:tcW w:w="1660" w:type="dxa"/>
            <w:vAlign w:val="bottom"/>
          </w:tcPr>
          <w:p>
            <w:pPr>
              <w:jc w:val="right"/>
              <w:ind w:right="21"/>
              <w:spacing w:after="0"/>
              <w:rPr>
                <w:sz w:val="20"/>
                <w:szCs w:val="20"/>
                <w:color w:val="auto"/>
              </w:rPr>
            </w:pPr>
            <w:r>
              <w:rPr>
                <w:rFonts w:ascii="Arial" w:cs="Arial" w:eastAsia="Arial" w:hAnsi="Arial"/>
                <w:sz w:val="17"/>
                <w:szCs w:val="17"/>
                <w:color w:val="auto"/>
              </w:rPr>
              <w:t>30%</w:t>
            </w: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190"/>
        </w:trPr>
        <w:tc>
          <w:tcPr>
            <w:tcW w:w="160" w:type="dxa"/>
            <w:vAlign w:val="bottom"/>
          </w:tcPr>
          <w:p>
            <w:pPr>
              <w:spacing w:after="0"/>
              <w:rPr>
                <w:sz w:val="16"/>
                <w:szCs w:val="16"/>
                <w:color w:val="auto"/>
              </w:rPr>
            </w:pPr>
          </w:p>
        </w:tc>
        <w:tc>
          <w:tcPr>
            <w:tcW w:w="3480" w:type="dxa"/>
            <w:vAlign w:val="bottom"/>
          </w:tcPr>
          <w:p>
            <w:pPr>
              <w:ind w:left="40"/>
              <w:spacing w:after="0" w:line="190" w:lineRule="exact"/>
              <w:rPr>
                <w:sz w:val="20"/>
                <w:szCs w:val="20"/>
                <w:color w:val="auto"/>
              </w:rPr>
            </w:pPr>
            <w:r>
              <w:rPr>
                <w:rFonts w:ascii="Arial" w:cs="Arial" w:eastAsia="Arial" w:hAnsi="Arial"/>
                <w:sz w:val="17"/>
                <w:szCs w:val="17"/>
                <w:color w:val="auto"/>
              </w:rPr>
              <w:t>support annual and long-range growth</w:t>
            </w:r>
          </w:p>
        </w:tc>
        <w:tc>
          <w:tcPr>
            <w:tcW w:w="3640" w:type="dxa"/>
            <w:vAlign w:val="bottom"/>
          </w:tcPr>
          <w:p>
            <w:pPr>
              <w:ind w:left="480"/>
              <w:spacing w:after="0" w:line="190" w:lineRule="exact"/>
              <w:rPr>
                <w:sz w:val="20"/>
                <w:szCs w:val="20"/>
                <w:color w:val="auto"/>
              </w:rPr>
            </w:pPr>
            <w:r>
              <w:rPr>
                <w:rFonts w:ascii="Arial" w:cs="Arial" w:eastAsia="Arial" w:hAnsi="Arial"/>
                <w:sz w:val="17"/>
                <w:szCs w:val="17"/>
                <w:color w:val="auto"/>
              </w:rPr>
              <w:t>diverse candidates in the HR and IT</w:t>
            </w:r>
          </w:p>
        </w:tc>
        <w:tc>
          <w:tcPr>
            <w:tcW w:w="1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4"/>
        </w:trPr>
        <w:tc>
          <w:tcPr>
            <w:tcW w:w="160" w:type="dxa"/>
            <w:vAlign w:val="bottom"/>
          </w:tcPr>
          <w:p>
            <w:pPr>
              <w:spacing w:after="0"/>
              <w:rPr>
                <w:sz w:val="18"/>
                <w:szCs w:val="18"/>
                <w:color w:val="auto"/>
              </w:rPr>
            </w:pPr>
          </w:p>
        </w:tc>
        <w:tc>
          <w:tcPr>
            <w:tcW w:w="3480" w:type="dxa"/>
            <w:vAlign w:val="bottom"/>
          </w:tcPr>
          <w:p>
            <w:pPr>
              <w:ind w:left="40"/>
              <w:spacing w:after="0"/>
              <w:rPr>
                <w:sz w:val="20"/>
                <w:szCs w:val="20"/>
                <w:color w:val="auto"/>
              </w:rPr>
            </w:pPr>
            <w:r>
              <w:rPr>
                <w:rFonts w:ascii="Arial" w:cs="Arial" w:eastAsia="Arial" w:hAnsi="Arial"/>
                <w:sz w:val="17"/>
                <w:szCs w:val="17"/>
                <w:color w:val="auto"/>
              </w:rPr>
              <w:t>plans with an emphasis on diversity and</w:t>
            </w:r>
          </w:p>
        </w:tc>
        <w:tc>
          <w:tcPr>
            <w:tcW w:w="3640" w:type="dxa"/>
            <w:vAlign w:val="bottom"/>
          </w:tcPr>
          <w:p>
            <w:pPr>
              <w:ind w:left="480"/>
              <w:spacing w:after="0"/>
              <w:rPr>
                <w:sz w:val="20"/>
                <w:szCs w:val="20"/>
                <w:color w:val="auto"/>
              </w:rPr>
            </w:pPr>
            <w:r>
              <w:rPr>
                <w:rFonts w:ascii="Arial" w:cs="Arial" w:eastAsia="Arial" w:hAnsi="Arial"/>
                <w:sz w:val="17"/>
                <w:szCs w:val="17"/>
                <w:color w:val="auto"/>
              </w:rPr>
              <w:t>organizations</w:t>
            </w:r>
          </w:p>
        </w:tc>
        <w:tc>
          <w:tcPr>
            <w:tcW w:w="1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1"/>
        </w:trPr>
        <w:tc>
          <w:tcPr>
            <w:tcW w:w="160" w:type="dxa"/>
            <w:vAlign w:val="bottom"/>
          </w:tcPr>
          <w:p>
            <w:pPr>
              <w:spacing w:after="0"/>
              <w:rPr>
                <w:sz w:val="17"/>
                <w:szCs w:val="17"/>
                <w:color w:val="auto"/>
              </w:rPr>
            </w:pPr>
          </w:p>
        </w:tc>
        <w:tc>
          <w:tcPr>
            <w:tcW w:w="3480" w:type="dxa"/>
            <w:vAlign w:val="bottom"/>
          </w:tcPr>
          <w:p>
            <w:pPr>
              <w:ind w:left="40"/>
              <w:spacing w:after="0"/>
              <w:rPr>
                <w:sz w:val="20"/>
                <w:szCs w:val="20"/>
                <w:color w:val="auto"/>
              </w:rPr>
            </w:pPr>
            <w:r>
              <w:rPr>
                <w:rFonts w:ascii="Arial" w:cs="Arial" w:eastAsia="Arial" w:hAnsi="Arial"/>
                <w:sz w:val="17"/>
                <w:szCs w:val="17"/>
                <w:color w:val="auto"/>
              </w:rPr>
              <w:t>inclusion</w:t>
            </w:r>
          </w:p>
        </w:tc>
        <w:tc>
          <w:tcPr>
            <w:tcW w:w="36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85"/>
        </w:trPr>
        <w:tc>
          <w:tcPr>
            <w:tcW w:w="160" w:type="dxa"/>
            <w:vAlign w:val="bottom"/>
            <w:tcBorders>
              <w:bottom w:val="single" w:sz="8" w:color="125288"/>
            </w:tcBorders>
          </w:tcPr>
          <w:p>
            <w:pPr>
              <w:spacing w:after="0"/>
              <w:rPr>
                <w:sz w:val="7"/>
                <w:szCs w:val="7"/>
                <w:color w:val="auto"/>
              </w:rPr>
            </w:pPr>
          </w:p>
        </w:tc>
        <w:tc>
          <w:tcPr>
            <w:tcW w:w="3480" w:type="dxa"/>
            <w:vAlign w:val="bottom"/>
            <w:tcBorders>
              <w:bottom w:val="single" w:sz="8" w:color="125288"/>
            </w:tcBorders>
          </w:tcPr>
          <w:p>
            <w:pPr>
              <w:spacing w:after="0"/>
              <w:rPr>
                <w:sz w:val="7"/>
                <w:szCs w:val="7"/>
                <w:color w:val="auto"/>
              </w:rPr>
            </w:pPr>
          </w:p>
        </w:tc>
        <w:tc>
          <w:tcPr>
            <w:tcW w:w="3640" w:type="dxa"/>
            <w:vAlign w:val="bottom"/>
            <w:tcBorders>
              <w:bottom w:val="single" w:sz="8" w:color="125288"/>
            </w:tcBorders>
          </w:tcPr>
          <w:p>
            <w:pPr>
              <w:spacing w:after="0"/>
              <w:rPr>
                <w:sz w:val="7"/>
                <w:szCs w:val="7"/>
                <w:color w:val="auto"/>
              </w:rPr>
            </w:pPr>
          </w:p>
        </w:tc>
        <w:tc>
          <w:tcPr>
            <w:tcW w:w="1660" w:type="dxa"/>
            <w:vAlign w:val="bottom"/>
            <w:tcBorders>
              <w:bottom w:val="single" w:sz="8" w:color="125288"/>
            </w:tcBorders>
          </w:tcPr>
          <w:p>
            <w:pPr>
              <w:spacing w:after="0"/>
              <w:rPr>
                <w:sz w:val="7"/>
                <w:szCs w:val="7"/>
                <w:color w:val="auto"/>
              </w:rPr>
            </w:pPr>
          </w:p>
        </w:tc>
        <w:tc>
          <w:tcPr>
            <w:tcW w:w="740" w:type="dxa"/>
            <w:vAlign w:val="bottom"/>
            <w:tcBorders>
              <w:bottom w:val="single" w:sz="8" w:color="125288"/>
            </w:tcBorders>
          </w:tcPr>
          <w:p>
            <w:pPr>
              <w:spacing w:after="0"/>
              <w:rPr>
                <w:sz w:val="7"/>
                <w:szCs w:val="7"/>
                <w:color w:val="auto"/>
              </w:rPr>
            </w:pPr>
          </w:p>
        </w:tc>
        <w:tc>
          <w:tcPr>
            <w:tcW w:w="780" w:type="dxa"/>
            <w:vAlign w:val="bottom"/>
            <w:tcBorders>
              <w:bottom w:val="single" w:sz="8" w:color="125288"/>
            </w:tcBorders>
          </w:tcPr>
          <w:p>
            <w:pPr>
              <w:spacing w:after="0"/>
              <w:rPr>
                <w:sz w:val="7"/>
                <w:szCs w:val="7"/>
                <w:color w:val="auto"/>
              </w:rPr>
            </w:pPr>
          </w:p>
        </w:tc>
        <w:tc>
          <w:tcPr>
            <w:tcW w:w="640" w:type="dxa"/>
            <w:vAlign w:val="bottom"/>
            <w:tcBorders>
              <w:bottom w:val="single" w:sz="8" w:color="125288"/>
            </w:tcBorders>
          </w:tcPr>
          <w:p>
            <w:pPr>
              <w:spacing w:after="0"/>
              <w:rPr>
                <w:sz w:val="7"/>
                <w:szCs w:val="7"/>
                <w:color w:val="auto"/>
              </w:rPr>
            </w:pPr>
          </w:p>
        </w:tc>
        <w:tc>
          <w:tcPr>
            <w:tcW w:w="160" w:type="dxa"/>
            <w:vAlign w:val="bottom"/>
            <w:tcBorders>
              <w:bottom w:val="single" w:sz="8" w:color="125288"/>
            </w:tcBorders>
          </w:tcPr>
          <w:p>
            <w:pPr>
              <w:spacing w:after="0"/>
              <w:rPr>
                <w:sz w:val="7"/>
                <w:szCs w:val="7"/>
                <w:color w:val="auto"/>
              </w:rPr>
            </w:pPr>
          </w:p>
        </w:tc>
      </w:tr>
      <w:tr>
        <w:trPr>
          <w:trHeight w:val="265"/>
        </w:trPr>
        <w:tc>
          <w:tcPr>
            <w:tcW w:w="160" w:type="dxa"/>
            <w:vAlign w:val="bottom"/>
          </w:tcPr>
          <w:p>
            <w:pPr>
              <w:ind w:left="60"/>
              <w:spacing w:after="0"/>
              <w:rPr>
                <w:sz w:val="20"/>
                <w:szCs w:val="20"/>
                <w:color w:val="auto"/>
              </w:rPr>
            </w:pPr>
            <w:r>
              <w:rPr>
                <w:rFonts w:ascii="Arial" w:cs="Arial" w:eastAsia="Arial" w:hAnsi="Arial"/>
                <w:sz w:val="17"/>
                <w:szCs w:val="17"/>
                <w:color w:val="125288"/>
              </w:rPr>
              <w:t>•</w:t>
            </w:r>
          </w:p>
        </w:tc>
        <w:tc>
          <w:tcPr>
            <w:tcW w:w="3480" w:type="dxa"/>
            <w:vAlign w:val="bottom"/>
          </w:tcPr>
          <w:p>
            <w:pPr>
              <w:ind w:left="40"/>
              <w:spacing w:after="0"/>
              <w:rPr>
                <w:sz w:val="20"/>
                <w:szCs w:val="20"/>
                <w:color w:val="auto"/>
              </w:rPr>
            </w:pPr>
            <w:r>
              <w:rPr>
                <w:rFonts w:ascii="Arial" w:cs="Arial" w:eastAsia="Arial" w:hAnsi="Arial"/>
                <w:sz w:val="17"/>
                <w:szCs w:val="17"/>
                <w:color w:val="auto"/>
              </w:rPr>
              <w:t>Develop and implement appropriate</w:t>
            </w:r>
          </w:p>
        </w:tc>
        <w:tc>
          <w:tcPr>
            <w:tcW w:w="3640" w:type="dxa"/>
            <w:vAlign w:val="bottom"/>
          </w:tcPr>
          <w:p>
            <w:pPr>
              <w:ind w:left="480"/>
              <w:spacing w:after="0"/>
              <w:rPr>
                <w:sz w:val="20"/>
                <w:szCs w:val="20"/>
                <w:color w:val="auto"/>
              </w:rPr>
            </w:pPr>
            <w:r>
              <w:rPr>
                <w:rFonts w:ascii="Arial" w:cs="Arial" w:eastAsia="Arial" w:hAnsi="Arial"/>
                <w:sz w:val="17"/>
                <w:szCs w:val="17"/>
                <w:color w:val="auto"/>
              </w:rPr>
              <w:t>Made substantial enhancements to our IT</w:t>
            </w:r>
          </w:p>
        </w:tc>
        <w:tc>
          <w:tcPr>
            <w:tcW w:w="1660" w:type="dxa"/>
            <w:vAlign w:val="bottom"/>
          </w:tcPr>
          <w:p>
            <w:pPr>
              <w:jc w:val="right"/>
              <w:ind w:right="21"/>
              <w:spacing w:after="0"/>
              <w:rPr>
                <w:sz w:val="20"/>
                <w:szCs w:val="20"/>
                <w:color w:val="auto"/>
              </w:rPr>
            </w:pPr>
            <w:r>
              <w:rPr>
                <w:rFonts w:ascii="Arial" w:cs="Arial" w:eastAsia="Arial" w:hAnsi="Arial"/>
                <w:sz w:val="17"/>
                <w:szCs w:val="17"/>
                <w:color w:val="auto"/>
              </w:rPr>
              <w:t>30%</w:t>
            </w: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14"/>
        </w:trPr>
        <w:tc>
          <w:tcPr>
            <w:tcW w:w="160" w:type="dxa"/>
            <w:vAlign w:val="bottom"/>
          </w:tcPr>
          <w:p>
            <w:pPr>
              <w:spacing w:after="0"/>
              <w:rPr>
                <w:sz w:val="18"/>
                <w:szCs w:val="18"/>
                <w:color w:val="auto"/>
              </w:rPr>
            </w:pPr>
          </w:p>
        </w:tc>
        <w:tc>
          <w:tcPr>
            <w:tcW w:w="3480" w:type="dxa"/>
            <w:vAlign w:val="bottom"/>
          </w:tcPr>
          <w:p>
            <w:pPr>
              <w:ind w:left="40"/>
              <w:spacing w:after="0"/>
              <w:rPr>
                <w:sz w:val="20"/>
                <w:szCs w:val="20"/>
                <w:color w:val="auto"/>
              </w:rPr>
            </w:pPr>
            <w:r>
              <w:rPr>
                <w:rFonts w:ascii="Arial" w:cs="Arial" w:eastAsia="Arial" w:hAnsi="Arial"/>
                <w:sz w:val="17"/>
                <w:szCs w:val="17"/>
                <w:color w:val="auto"/>
              </w:rPr>
              <w:t>organizational plans to deliver on</w:t>
            </w:r>
          </w:p>
        </w:tc>
        <w:tc>
          <w:tcPr>
            <w:tcW w:w="3640" w:type="dxa"/>
            <w:vAlign w:val="bottom"/>
          </w:tcPr>
          <w:p>
            <w:pPr>
              <w:ind w:left="480"/>
              <w:spacing w:after="0"/>
              <w:rPr>
                <w:sz w:val="20"/>
                <w:szCs w:val="20"/>
                <w:color w:val="auto"/>
              </w:rPr>
            </w:pPr>
            <w:r>
              <w:rPr>
                <w:rFonts w:ascii="Arial" w:cs="Arial" w:eastAsia="Arial" w:hAnsi="Arial"/>
                <w:sz w:val="17"/>
                <w:szCs w:val="17"/>
                <w:color w:val="auto"/>
              </w:rPr>
              <w:t>and performance management practices</w:t>
            </w:r>
          </w:p>
        </w:tc>
        <w:tc>
          <w:tcPr>
            <w:tcW w:w="1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1"/>
        </w:trPr>
        <w:tc>
          <w:tcPr>
            <w:tcW w:w="160" w:type="dxa"/>
            <w:vAlign w:val="bottom"/>
          </w:tcPr>
          <w:p>
            <w:pPr>
              <w:spacing w:after="0"/>
              <w:rPr>
                <w:sz w:val="17"/>
                <w:szCs w:val="17"/>
                <w:color w:val="auto"/>
              </w:rPr>
            </w:pPr>
          </w:p>
        </w:tc>
        <w:tc>
          <w:tcPr>
            <w:tcW w:w="3480" w:type="dxa"/>
            <w:vAlign w:val="bottom"/>
          </w:tcPr>
          <w:p>
            <w:pPr>
              <w:ind w:left="40"/>
              <w:spacing w:after="0"/>
              <w:rPr>
                <w:sz w:val="20"/>
                <w:szCs w:val="20"/>
                <w:color w:val="auto"/>
              </w:rPr>
            </w:pPr>
            <w:r>
              <w:rPr>
                <w:rFonts w:ascii="Arial" w:cs="Arial" w:eastAsia="Arial" w:hAnsi="Arial"/>
                <w:sz w:val="17"/>
                <w:szCs w:val="17"/>
                <w:color w:val="auto"/>
              </w:rPr>
              <w:t>ambitious goals</w:t>
            </w:r>
          </w:p>
        </w:tc>
        <w:tc>
          <w:tcPr>
            <w:tcW w:w="36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85"/>
        </w:trPr>
        <w:tc>
          <w:tcPr>
            <w:tcW w:w="160" w:type="dxa"/>
            <w:vAlign w:val="bottom"/>
            <w:tcBorders>
              <w:bottom w:val="single" w:sz="8" w:color="125288"/>
            </w:tcBorders>
          </w:tcPr>
          <w:p>
            <w:pPr>
              <w:spacing w:after="0"/>
              <w:rPr>
                <w:sz w:val="7"/>
                <w:szCs w:val="7"/>
                <w:color w:val="auto"/>
              </w:rPr>
            </w:pPr>
          </w:p>
        </w:tc>
        <w:tc>
          <w:tcPr>
            <w:tcW w:w="3480" w:type="dxa"/>
            <w:vAlign w:val="bottom"/>
            <w:tcBorders>
              <w:bottom w:val="single" w:sz="8" w:color="125288"/>
            </w:tcBorders>
          </w:tcPr>
          <w:p>
            <w:pPr>
              <w:spacing w:after="0"/>
              <w:rPr>
                <w:sz w:val="7"/>
                <w:szCs w:val="7"/>
                <w:color w:val="auto"/>
              </w:rPr>
            </w:pPr>
          </w:p>
        </w:tc>
        <w:tc>
          <w:tcPr>
            <w:tcW w:w="3640" w:type="dxa"/>
            <w:vAlign w:val="bottom"/>
            <w:tcBorders>
              <w:bottom w:val="single" w:sz="8" w:color="125288"/>
            </w:tcBorders>
          </w:tcPr>
          <w:p>
            <w:pPr>
              <w:spacing w:after="0"/>
              <w:rPr>
                <w:sz w:val="7"/>
                <w:szCs w:val="7"/>
                <w:color w:val="auto"/>
              </w:rPr>
            </w:pPr>
          </w:p>
        </w:tc>
        <w:tc>
          <w:tcPr>
            <w:tcW w:w="1660" w:type="dxa"/>
            <w:vAlign w:val="bottom"/>
            <w:tcBorders>
              <w:bottom w:val="single" w:sz="8" w:color="125288"/>
            </w:tcBorders>
          </w:tcPr>
          <w:p>
            <w:pPr>
              <w:spacing w:after="0"/>
              <w:rPr>
                <w:sz w:val="7"/>
                <w:szCs w:val="7"/>
                <w:color w:val="auto"/>
              </w:rPr>
            </w:pPr>
          </w:p>
        </w:tc>
        <w:tc>
          <w:tcPr>
            <w:tcW w:w="740" w:type="dxa"/>
            <w:vAlign w:val="bottom"/>
            <w:tcBorders>
              <w:bottom w:val="single" w:sz="8" w:color="125288"/>
            </w:tcBorders>
          </w:tcPr>
          <w:p>
            <w:pPr>
              <w:spacing w:after="0"/>
              <w:rPr>
                <w:sz w:val="7"/>
                <w:szCs w:val="7"/>
                <w:color w:val="auto"/>
              </w:rPr>
            </w:pPr>
          </w:p>
        </w:tc>
        <w:tc>
          <w:tcPr>
            <w:tcW w:w="780" w:type="dxa"/>
            <w:vAlign w:val="bottom"/>
            <w:tcBorders>
              <w:bottom w:val="single" w:sz="8" w:color="125288"/>
            </w:tcBorders>
          </w:tcPr>
          <w:p>
            <w:pPr>
              <w:spacing w:after="0"/>
              <w:rPr>
                <w:sz w:val="7"/>
                <w:szCs w:val="7"/>
                <w:color w:val="auto"/>
              </w:rPr>
            </w:pPr>
          </w:p>
        </w:tc>
        <w:tc>
          <w:tcPr>
            <w:tcW w:w="640" w:type="dxa"/>
            <w:vAlign w:val="bottom"/>
            <w:tcBorders>
              <w:bottom w:val="single" w:sz="8" w:color="125288"/>
            </w:tcBorders>
          </w:tcPr>
          <w:p>
            <w:pPr>
              <w:spacing w:after="0"/>
              <w:rPr>
                <w:sz w:val="7"/>
                <w:szCs w:val="7"/>
                <w:color w:val="auto"/>
              </w:rPr>
            </w:pPr>
          </w:p>
        </w:tc>
        <w:tc>
          <w:tcPr>
            <w:tcW w:w="160" w:type="dxa"/>
            <w:vAlign w:val="bottom"/>
            <w:tcBorders>
              <w:bottom w:val="single" w:sz="8" w:color="125288"/>
            </w:tcBorders>
          </w:tcPr>
          <w:p>
            <w:pPr>
              <w:spacing w:after="0"/>
              <w:rPr>
                <w:sz w:val="7"/>
                <w:szCs w:val="7"/>
                <w:color w:val="auto"/>
              </w:rPr>
            </w:pPr>
          </w:p>
        </w:tc>
      </w:tr>
      <w:tr>
        <w:trPr>
          <w:trHeight w:val="265"/>
        </w:trPr>
        <w:tc>
          <w:tcPr>
            <w:tcW w:w="160" w:type="dxa"/>
            <w:vAlign w:val="bottom"/>
          </w:tcPr>
          <w:p>
            <w:pPr>
              <w:ind w:left="60"/>
              <w:spacing w:after="0"/>
              <w:rPr>
                <w:sz w:val="20"/>
                <w:szCs w:val="20"/>
                <w:color w:val="auto"/>
              </w:rPr>
            </w:pPr>
            <w:r>
              <w:rPr>
                <w:rFonts w:ascii="Arial" w:cs="Arial" w:eastAsia="Arial" w:hAnsi="Arial"/>
                <w:sz w:val="17"/>
                <w:szCs w:val="17"/>
                <w:color w:val="125288"/>
              </w:rPr>
              <w:t>•</w:t>
            </w:r>
          </w:p>
        </w:tc>
        <w:tc>
          <w:tcPr>
            <w:tcW w:w="3480" w:type="dxa"/>
            <w:vAlign w:val="bottom"/>
          </w:tcPr>
          <w:p>
            <w:pPr>
              <w:ind w:left="40"/>
              <w:spacing w:after="0"/>
              <w:rPr>
                <w:sz w:val="20"/>
                <w:szCs w:val="20"/>
                <w:color w:val="auto"/>
              </w:rPr>
            </w:pPr>
            <w:r>
              <w:rPr>
                <w:rFonts w:ascii="Arial" w:cs="Arial" w:eastAsia="Arial" w:hAnsi="Arial"/>
                <w:sz w:val="17"/>
                <w:szCs w:val="17"/>
                <w:color w:val="auto"/>
              </w:rPr>
              <w:t>Ensure good corporate governance and</w:t>
            </w:r>
          </w:p>
        </w:tc>
        <w:tc>
          <w:tcPr>
            <w:tcW w:w="3640" w:type="dxa"/>
            <w:vAlign w:val="bottom"/>
          </w:tcPr>
          <w:p>
            <w:pPr>
              <w:ind w:left="480"/>
              <w:spacing w:after="0"/>
              <w:rPr>
                <w:sz w:val="20"/>
                <w:szCs w:val="20"/>
                <w:color w:val="auto"/>
              </w:rPr>
            </w:pPr>
            <w:r>
              <w:rPr>
                <w:rFonts w:ascii="Arial" w:cs="Arial" w:eastAsia="Arial" w:hAnsi="Arial"/>
                <w:sz w:val="17"/>
                <w:szCs w:val="17"/>
                <w:color w:val="auto"/>
              </w:rPr>
              <w:t>Completed cybersecurity audits and</w:t>
            </w:r>
          </w:p>
        </w:tc>
        <w:tc>
          <w:tcPr>
            <w:tcW w:w="1660" w:type="dxa"/>
            <w:vAlign w:val="bottom"/>
          </w:tcPr>
          <w:p>
            <w:pPr>
              <w:jc w:val="right"/>
              <w:ind w:right="21"/>
              <w:spacing w:after="0"/>
              <w:rPr>
                <w:sz w:val="20"/>
                <w:szCs w:val="20"/>
                <w:color w:val="auto"/>
              </w:rPr>
            </w:pPr>
            <w:r>
              <w:rPr>
                <w:rFonts w:ascii="Arial" w:cs="Arial" w:eastAsia="Arial" w:hAnsi="Arial"/>
                <w:sz w:val="17"/>
                <w:szCs w:val="17"/>
                <w:color w:val="auto"/>
              </w:rPr>
              <w:t>10%</w:t>
            </w: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24"/>
        </w:trPr>
        <w:tc>
          <w:tcPr>
            <w:tcW w:w="160" w:type="dxa"/>
            <w:vAlign w:val="bottom"/>
          </w:tcPr>
          <w:p>
            <w:pPr>
              <w:spacing w:after="0"/>
              <w:rPr>
                <w:sz w:val="19"/>
                <w:szCs w:val="19"/>
                <w:color w:val="auto"/>
              </w:rPr>
            </w:pPr>
          </w:p>
        </w:tc>
        <w:tc>
          <w:tcPr>
            <w:tcW w:w="3480" w:type="dxa"/>
            <w:vAlign w:val="bottom"/>
          </w:tcPr>
          <w:p>
            <w:pPr>
              <w:ind w:left="40"/>
              <w:spacing w:after="0"/>
              <w:rPr>
                <w:sz w:val="20"/>
                <w:szCs w:val="20"/>
                <w:color w:val="auto"/>
              </w:rPr>
            </w:pPr>
            <w:r>
              <w:rPr>
                <w:rFonts w:ascii="Arial" w:cs="Arial" w:eastAsia="Arial" w:hAnsi="Arial"/>
                <w:sz w:val="17"/>
                <w:szCs w:val="17"/>
                <w:color w:val="auto"/>
              </w:rPr>
              <w:t>enhance risk mitigation</w:t>
            </w:r>
          </w:p>
        </w:tc>
        <w:tc>
          <w:tcPr>
            <w:tcW w:w="3640" w:type="dxa"/>
            <w:vAlign w:val="bottom"/>
          </w:tcPr>
          <w:p>
            <w:pPr>
              <w:ind w:left="480"/>
              <w:spacing w:after="0"/>
              <w:rPr>
                <w:sz w:val="20"/>
                <w:szCs w:val="20"/>
                <w:color w:val="auto"/>
              </w:rPr>
            </w:pPr>
            <w:r>
              <w:rPr>
                <w:rFonts w:ascii="Arial" w:cs="Arial" w:eastAsia="Arial" w:hAnsi="Arial"/>
                <w:sz w:val="17"/>
                <w:szCs w:val="17"/>
                <w:color w:val="auto"/>
              </w:rPr>
              <w:t>additional risk mitigation actions</w:t>
            </w:r>
          </w:p>
        </w:tc>
        <w:tc>
          <w:tcPr>
            <w:tcW w:w="1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85"/>
        </w:trPr>
        <w:tc>
          <w:tcPr>
            <w:tcW w:w="3640" w:type="dxa"/>
            <w:vAlign w:val="bottom"/>
            <w:tcBorders>
              <w:bottom w:val="single" w:sz="8" w:color="125288"/>
            </w:tcBorders>
            <w:gridSpan w:val="2"/>
          </w:tcPr>
          <w:p>
            <w:pPr>
              <w:spacing w:after="0"/>
              <w:rPr>
                <w:sz w:val="7"/>
                <w:szCs w:val="7"/>
                <w:color w:val="auto"/>
              </w:rPr>
            </w:pPr>
          </w:p>
        </w:tc>
        <w:tc>
          <w:tcPr>
            <w:tcW w:w="3640" w:type="dxa"/>
            <w:vAlign w:val="bottom"/>
            <w:tcBorders>
              <w:bottom w:val="single" w:sz="8" w:color="125288"/>
            </w:tcBorders>
          </w:tcPr>
          <w:p>
            <w:pPr>
              <w:spacing w:after="0"/>
              <w:rPr>
                <w:sz w:val="7"/>
                <w:szCs w:val="7"/>
                <w:color w:val="auto"/>
              </w:rPr>
            </w:pPr>
          </w:p>
        </w:tc>
        <w:tc>
          <w:tcPr>
            <w:tcW w:w="3820" w:type="dxa"/>
            <w:vAlign w:val="bottom"/>
            <w:tcBorders>
              <w:bottom w:val="single" w:sz="8" w:color="125288"/>
            </w:tcBorders>
            <w:gridSpan w:val="4"/>
          </w:tcPr>
          <w:p>
            <w:pPr>
              <w:spacing w:after="0"/>
              <w:rPr>
                <w:sz w:val="7"/>
                <w:szCs w:val="7"/>
                <w:color w:val="auto"/>
              </w:rPr>
            </w:pPr>
          </w:p>
        </w:tc>
        <w:tc>
          <w:tcPr>
            <w:tcW w:w="160" w:type="dxa"/>
            <w:vAlign w:val="bottom"/>
            <w:tcBorders>
              <w:bottom w:val="single" w:sz="8" w:color="125288"/>
            </w:tcBorders>
          </w:tcPr>
          <w:p>
            <w:pPr>
              <w:spacing w:after="0"/>
              <w:rPr>
                <w:sz w:val="7"/>
                <w:szCs w:val="7"/>
                <w:color w:val="auto"/>
              </w:rPr>
            </w:pPr>
          </w:p>
        </w:tc>
      </w:tr>
      <w:tr>
        <w:trPr>
          <w:trHeight w:val="446"/>
        </w:trPr>
        <w:tc>
          <w:tcPr>
            <w:tcW w:w="3640" w:type="dxa"/>
            <w:vAlign w:val="bottom"/>
            <w:gridSpan w:val="2"/>
          </w:tcPr>
          <w:p>
            <w:pPr>
              <w:spacing w:after="0"/>
              <w:rPr>
                <w:sz w:val="20"/>
                <w:szCs w:val="20"/>
                <w:color w:val="auto"/>
              </w:rPr>
            </w:pPr>
            <w:r>
              <w:rPr>
                <w:rFonts w:ascii="Arial" w:cs="Arial" w:eastAsia="Arial" w:hAnsi="Arial"/>
                <w:sz w:val="14"/>
                <w:szCs w:val="14"/>
                <w:color w:val="706F6F"/>
              </w:rPr>
              <w:t>www.activisionblizzard.com</w:t>
            </w:r>
          </w:p>
        </w:tc>
        <w:tc>
          <w:tcPr>
            <w:tcW w:w="3640" w:type="dxa"/>
            <w:vAlign w:val="bottom"/>
          </w:tcPr>
          <w:p>
            <w:pPr>
              <w:spacing w:after="0"/>
              <w:rPr>
                <w:sz w:val="24"/>
                <w:szCs w:val="24"/>
                <w:color w:val="auto"/>
              </w:rPr>
            </w:pPr>
          </w:p>
        </w:tc>
        <w:tc>
          <w:tcPr>
            <w:tcW w:w="3820" w:type="dxa"/>
            <w:vAlign w:val="bottom"/>
            <w:gridSpan w:val="4"/>
          </w:tcPr>
          <w:p>
            <w:pPr>
              <w:ind w:left="100"/>
              <w:spacing w:after="0"/>
              <w:rPr>
                <w:sz w:val="20"/>
                <w:szCs w:val="20"/>
                <w:color w:val="auto"/>
              </w:rPr>
            </w:pPr>
            <w:r>
              <w:rPr>
                <w:rFonts w:ascii="Arial" w:cs="Arial" w:eastAsia="Arial" w:hAnsi="Arial"/>
                <w:sz w:val="14"/>
                <w:szCs w:val="14"/>
                <w:color w:val="706F6F"/>
              </w:rPr>
              <w:t>ACTIVISION BLIZZARD, INC.  2022 Proxy Statement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706F6F"/>
                <w:w w:val="89"/>
              </w:rPr>
              <w:t>77</w:t>
            </w:r>
          </w:p>
        </w:tc>
      </w:tr>
      <w:tr>
        <w:trPr>
          <w:trHeight w:val="93"/>
        </w:trPr>
        <w:tc>
          <w:tcPr>
            <w:tcW w:w="160" w:type="dxa"/>
            <w:vAlign w:val="bottom"/>
            <w:tcBorders>
              <w:bottom w:val="single" w:sz="8" w:color="808080"/>
            </w:tcBorders>
          </w:tcPr>
          <w:p>
            <w:pPr>
              <w:spacing w:after="0"/>
              <w:rPr>
                <w:sz w:val="8"/>
                <w:szCs w:val="8"/>
                <w:color w:val="auto"/>
              </w:rPr>
            </w:pPr>
          </w:p>
        </w:tc>
        <w:tc>
          <w:tcPr>
            <w:tcW w:w="3480" w:type="dxa"/>
            <w:vAlign w:val="bottom"/>
            <w:tcBorders>
              <w:bottom w:val="single" w:sz="8" w:color="808080"/>
            </w:tcBorders>
          </w:tcPr>
          <w:p>
            <w:pPr>
              <w:spacing w:after="0"/>
              <w:rPr>
                <w:sz w:val="8"/>
                <w:szCs w:val="8"/>
                <w:color w:val="auto"/>
              </w:rPr>
            </w:pPr>
          </w:p>
        </w:tc>
        <w:tc>
          <w:tcPr>
            <w:tcW w:w="364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5854700</wp:posOffset>
            </wp:positionH>
            <wp:positionV relativeFrom="paragraph">
              <wp:posOffset>-2407285</wp:posOffset>
            </wp:positionV>
            <wp:extent cx="98425" cy="9842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-1803400</wp:posOffset>
            </wp:positionV>
            <wp:extent cx="98425" cy="9842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-1184275</wp:posOffset>
            </wp:positionV>
            <wp:extent cx="98425" cy="9842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6851015</wp:posOffset>
            </wp:positionH>
            <wp:positionV relativeFrom="paragraph">
              <wp:posOffset>-686435</wp:posOffset>
            </wp:positionV>
            <wp:extent cx="98425" cy="9842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type w:val="continuous"/>
        </w:sectPr>
      </w:pPr>
    </w:p>
    <w:bookmarkStart w:id="80" w:name="page81"/>
    <w:bookmarkEnd w:id="80"/>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Strategic Objectives for Grant Dixton</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400" w:type="dxa"/>
            <w:vAlign w:val="bottom"/>
          </w:tcPr>
          <w:p>
            <w:pPr>
              <w:jc w:val="right"/>
              <w:ind w:right="20"/>
              <w:spacing w:after="0"/>
              <w:rPr>
                <w:sz w:val="20"/>
                <w:szCs w:val="20"/>
                <w:color w:val="auto"/>
              </w:rPr>
            </w:pPr>
            <w:r>
              <w:rPr>
                <w:rFonts w:ascii="Arial" w:cs="Arial" w:eastAsia="Arial" w:hAnsi="Arial"/>
                <w:sz w:val="15"/>
                <w:szCs w:val="15"/>
                <w:b w:val="1"/>
                <w:bCs w:val="1"/>
                <w:color w:val="125288"/>
              </w:rPr>
              <w:t>Weighting (as</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4"/>
        </w:trPr>
        <w:tc>
          <w:tcPr>
            <w:tcW w:w="1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400" w:type="dxa"/>
            <w:vAlign w:val="bottom"/>
          </w:tcPr>
          <w:p>
            <w:pPr>
              <w:jc w:val="right"/>
              <w:ind w:right="20"/>
              <w:spacing w:after="0"/>
              <w:rPr>
                <w:sz w:val="20"/>
                <w:szCs w:val="20"/>
                <w:color w:val="auto"/>
              </w:rPr>
            </w:pPr>
            <w:r>
              <w:rPr>
                <w:rFonts w:ascii="Arial" w:cs="Arial" w:eastAsia="Arial" w:hAnsi="Arial"/>
                <w:sz w:val="15"/>
                <w:szCs w:val="15"/>
                <w:b w:val="1"/>
                <w:bCs w:val="1"/>
                <w:color w:val="125288"/>
              </w:rPr>
              <w:t>a % of</w:t>
            </w: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4"/>
        </w:trPr>
        <w:tc>
          <w:tcPr>
            <w:tcW w:w="1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400" w:type="dxa"/>
            <w:vAlign w:val="bottom"/>
          </w:tcPr>
          <w:p>
            <w:pPr>
              <w:jc w:val="right"/>
              <w:ind w:right="20"/>
              <w:spacing w:after="0"/>
              <w:rPr>
                <w:sz w:val="20"/>
                <w:szCs w:val="20"/>
                <w:color w:val="auto"/>
              </w:rPr>
            </w:pPr>
            <w:r>
              <w:rPr>
                <w:rFonts w:ascii="Arial" w:cs="Arial" w:eastAsia="Arial" w:hAnsi="Arial"/>
                <w:sz w:val="15"/>
                <w:szCs w:val="15"/>
                <w:b w:val="1"/>
                <w:bCs w:val="1"/>
                <w:color w:val="125288"/>
              </w:rPr>
              <w:t>Strategic</w:t>
            </w:r>
          </w:p>
        </w:tc>
        <w:tc>
          <w:tcPr>
            <w:tcW w:w="740" w:type="dxa"/>
            <w:vAlign w:val="bottom"/>
          </w:tcPr>
          <w:p>
            <w:pPr>
              <w:ind w:left="100"/>
              <w:spacing w:after="0"/>
              <w:rPr>
                <w:sz w:val="20"/>
                <w:szCs w:val="20"/>
                <w:color w:val="auto"/>
              </w:rPr>
            </w:pPr>
            <w:r>
              <w:rPr>
                <w:rFonts w:ascii="Arial" w:cs="Arial" w:eastAsia="Arial" w:hAnsi="Arial"/>
                <w:sz w:val="15"/>
                <w:szCs w:val="15"/>
                <w:b w:val="1"/>
                <w:bCs w:val="1"/>
                <w:color w:val="125288"/>
              </w:rPr>
              <w:t>Below</w:t>
            </w:r>
          </w:p>
        </w:tc>
        <w:tc>
          <w:tcPr>
            <w:tcW w:w="82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5"/>
                <w:szCs w:val="15"/>
                <w:b w:val="1"/>
                <w:bCs w:val="1"/>
                <w:color w:val="125288"/>
              </w:rPr>
              <w:t>Above</w:t>
            </w:r>
          </w:p>
        </w:tc>
      </w:tr>
      <w:tr>
        <w:trPr>
          <w:trHeight w:val="214"/>
        </w:trPr>
        <w:tc>
          <w:tcPr>
            <w:tcW w:w="3580" w:type="dxa"/>
            <w:vAlign w:val="bottom"/>
            <w:gridSpan w:val="2"/>
          </w:tcPr>
          <w:p>
            <w:pPr>
              <w:ind w:left="60"/>
              <w:spacing w:after="0"/>
              <w:rPr>
                <w:sz w:val="20"/>
                <w:szCs w:val="20"/>
                <w:color w:val="auto"/>
              </w:rPr>
            </w:pPr>
            <w:r>
              <w:rPr>
                <w:rFonts w:ascii="Arial" w:cs="Arial" w:eastAsia="Arial" w:hAnsi="Arial"/>
                <w:sz w:val="15"/>
                <w:szCs w:val="15"/>
                <w:b w:val="1"/>
                <w:bCs w:val="1"/>
                <w:color w:val="125288"/>
              </w:rPr>
              <w:t>Area and Summary of Goals</w:t>
            </w:r>
          </w:p>
        </w:tc>
        <w:tc>
          <w:tcPr>
            <w:tcW w:w="3960" w:type="dxa"/>
            <w:vAlign w:val="bottom"/>
          </w:tcPr>
          <w:p>
            <w:pPr>
              <w:ind w:left="440"/>
              <w:spacing w:after="0"/>
              <w:rPr>
                <w:sz w:val="20"/>
                <w:szCs w:val="20"/>
                <w:color w:val="auto"/>
              </w:rPr>
            </w:pPr>
            <w:r>
              <w:rPr>
                <w:rFonts w:ascii="Arial" w:cs="Arial" w:eastAsia="Arial" w:hAnsi="Arial"/>
                <w:sz w:val="15"/>
                <w:szCs w:val="15"/>
                <w:b w:val="1"/>
                <w:bCs w:val="1"/>
                <w:color w:val="125288"/>
              </w:rPr>
              <w:t>Achievement Details</w:t>
            </w:r>
          </w:p>
        </w:tc>
        <w:tc>
          <w:tcPr>
            <w:tcW w:w="1400" w:type="dxa"/>
            <w:vAlign w:val="bottom"/>
          </w:tcPr>
          <w:p>
            <w:pPr>
              <w:jc w:val="right"/>
              <w:ind w:right="20"/>
              <w:spacing w:after="0"/>
              <w:rPr>
                <w:sz w:val="20"/>
                <w:szCs w:val="20"/>
                <w:color w:val="auto"/>
              </w:rPr>
            </w:pPr>
            <w:r>
              <w:rPr>
                <w:rFonts w:ascii="Arial" w:cs="Arial" w:eastAsia="Arial" w:hAnsi="Arial"/>
                <w:sz w:val="15"/>
                <w:szCs w:val="15"/>
                <w:b w:val="1"/>
                <w:bCs w:val="1"/>
                <w:color w:val="125288"/>
              </w:rPr>
              <w:t>Objectives)</w:t>
            </w:r>
          </w:p>
        </w:tc>
        <w:tc>
          <w:tcPr>
            <w:tcW w:w="740" w:type="dxa"/>
            <w:vAlign w:val="bottom"/>
          </w:tcPr>
          <w:p>
            <w:pPr>
              <w:ind w:left="120"/>
              <w:spacing w:after="0"/>
              <w:rPr>
                <w:sz w:val="20"/>
                <w:szCs w:val="20"/>
                <w:color w:val="auto"/>
              </w:rPr>
            </w:pPr>
            <w:r>
              <w:rPr>
                <w:rFonts w:ascii="Arial" w:cs="Arial" w:eastAsia="Arial" w:hAnsi="Arial"/>
                <w:sz w:val="15"/>
                <w:szCs w:val="15"/>
                <w:b w:val="1"/>
                <w:bCs w:val="1"/>
                <w:color w:val="125288"/>
              </w:rPr>
              <w:t>Target</w:t>
            </w:r>
          </w:p>
        </w:tc>
        <w:tc>
          <w:tcPr>
            <w:tcW w:w="820" w:type="dxa"/>
            <w:vAlign w:val="bottom"/>
          </w:tcPr>
          <w:p>
            <w:pPr>
              <w:ind w:left="160"/>
              <w:spacing w:after="0"/>
              <w:rPr>
                <w:sz w:val="20"/>
                <w:szCs w:val="20"/>
                <w:color w:val="auto"/>
              </w:rPr>
            </w:pPr>
            <w:r>
              <w:rPr>
                <w:rFonts w:ascii="Arial" w:cs="Arial" w:eastAsia="Arial" w:hAnsi="Arial"/>
                <w:sz w:val="15"/>
                <w:szCs w:val="15"/>
                <w:b w:val="1"/>
                <w:bCs w:val="1"/>
                <w:color w:val="125288"/>
              </w:rPr>
              <w:t>Target</w:t>
            </w:r>
          </w:p>
        </w:tc>
        <w:tc>
          <w:tcPr>
            <w:tcW w:w="760" w:type="dxa"/>
            <w:vAlign w:val="bottom"/>
          </w:tcPr>
          <w:p>
            <w:pPr>
              <w:ind w:left="240"/>
              <w:spacing w:after="0"/>
              <w:rPr>
                <w:sz w:val="20"/>
                <w:szCs w:val="20"/>
                <w:color w:val="auto"/>
              </w:rPr>
            </w:pPr>
            <w:r>
              <w:rPr>
                <w:rFonts w:ascii="Arial" w:cs="Arial" w:eastAsia="Arial" w:hAnsi="Arial"/>
                <w:sz w:val="15"/>
                <w:szCs w:val="15"/>
                <w:b w:val="1"/>
                <w:bCs w:val="1"/>
                <w:color w:val="125288"/>
              </w:rPr>
              <w:t>Target</w:t>
            </w:r>
          </w:p>
        </w:tc>
      </w:tr>
      <w:tr>
        <w:trPr>
          <w:trHeight w:val="41"/>
        </w:trPr>
        <w:tc>
          <w:tcPr>
            <w:tcW w:w="160" w:type="dxa"/>
            <w:vAlign w:val="bottom"/>
            <w:tcBorders>
              <w:bottom w:val="single" w:sz="8" w:color="125288"/>
            </w:tcBorders>
          </w:tcPr>
          <w:p>
            <w:pPr>
              <w:spacing w:after="0"/>
              <w:rPr>
                <w:sz w:val="3"/>
                <w:szCs w:val="3"/>
                <w:color w:val="auto"/>
              </w:rPr>
            </w:pPr>
          </w:p>
        </w:tc>
        <w:tc>
          <w:tcPr>
            <w:tcW w:w="3420" w:type="dxa"/>
            <w:vAlign w:val="bottom"/>
            <w:tcBorders>
              <w:bottom w:val="single" w:sz="8" w:color="125288"/>
            </w:tcBorders>
          </w:tcPr>
          <w:p>
            <w:pPr>
              <w:spacing w:after="0"/>
              <w:rPr>
                <w:sz w:val="3"/>
                <w:szCs w:val="3"/>
                <w:color w:val="auto"/>
              </w:rPr>
            </w:pPr>
          </w:p>
        </w:tc>
        <w:tc>
          <w:tcPr>
            <w:tcW w:w="3960" w:type="dxa"/>
            <w:vAlign w:val="bottom"/>
            <w:tcBorders>
              <w:bottom w:val="single" w:sz="8" w:color="125288"/>
            </w:tcBorders>
          </w:tcPr>
          <w:p>
            <w:pPr>
              <w:spacing w:after="0"/>
              <w:rPr>
                <w:sz w:val="3"/>
                <w:szCs w:val="3"/>
                <w:color w:val="auto"/>
              </w:rPr>
            </w:pPr>
          </w:p>
        </w:tc>
        <w:tc>
          <w:tcPr>
            <w:tcW w:w="1400" w:type="dxa"/>
            <w:vAlign w:val="bottom"/>
            <w:tcBorders>
              <w:bottom w:val="single" w:sz="8" w:color="125288"/>
            </w:tcBorders>
          </w:tcPr>
          <w:p>
            <w:pPr>
              <w:spacing w:after="0"/>
              <w:rPr>
                <w:sz w:val="3"/>
                <w:szCs w:val="3"/>
                <w:color w:val="auto"/>
              </w:rPr>
            </w:pPr>
          </w:p>
        </w:tc>
        <w:tc>
          <w:tcPr>
            <w:tcW w:w="740" w:type="dxa"/>
            <w:vAlign w:val="bottom"/>
            <w:tcBorders>
              <w:bottom w:val="single" w:sz="8" w:color="125288"/>
            </w:tcBorders>
          </w:tcPr>
          <w:p>
            <w:pPr>
              <w:spacing w:after="0"/>
              <w:rPr>
                <w:sz w:val="3"/>
                <w:szCs w:val="3"/>
                <w:color w:val="auto"/>
              </w:rPr>
            </w:pPr>
          </w:p>
        </w:tc>
        <w:tc>
          <w:tcPr>
            <w:tcW w:w="820" w:type="dxa"/>
            <w:vAlign w:val="bottom"/>
            <w:tcBorders>
              <w:bottom w:val="single" w:sz="8" w:color="125288"/>
            </w:tcBorders>
          </w:tcPr>
          <w:p>
            <w:pPr>
              <w:spacing w:after="0"/>
              <w:rPr>
                <w:sz w:val="3"/>
                <w:szCs w:val="3"/>
                <w:color w:val="auto"/>
              </w:rPr>
            </w:pPr>
          </w:p>
        </w:tc>
        <w:tc>
          <w:tcPr>
            <w:tcW w:w="760" w:type="dxa"/>
            <w:vAlign w:val="bottom"/>
            <w:tcBorders>
              <w:bottom w:val="single" w:sz="8" w:color="125288"/>
            </w:tcBorders>
          </w:tcPr>
          <w:p>
            <w:pPr>
              <w:spacing w:after="0"/>
              <w:rPr>
                <w:sz w:val="3"/>
                <w:szCs w:val="3"/>
                <w:color w:val="auto"/>
              </w:rPr>
            </w:pPr>
          </w:p>
        </w:tc>
      </w:tr>
      <w:tr>
        <w:trPr>
          <w:trHeight w:val="265"/>
        </w:trPr>
        <w:tc>
          <w:tcPr>
            <w:tcW w:w="160" w:type="dxa"/>
            <w:vAlign w:val="bottom"/>
          </w:tcPr>
          <w:p>
            <w:pPr>
              <w:ind w:left="60"/>
              <w:spacing w:after="0"/>
              <w:rPr>
                <w:sz w:val="20"/>
                <w:szCs w:val="20"/>
                <w:color w:val="auto"/>
              </w:rPr>
            </w:pPr>
            <w:r>
              <w:rPr>
                <w:rFonts w:ascii="Arial" w:cs="Arial" w:eastAsia="Arial" w:hAnsi="Arial"/>
                <w:sz w:val="17"/>
                <w:szCs w:val="17"/>
                <w:color w:val="125288"/>
              </w:rPr>
              <w:t>•</w:t>
            </w:r>
          </w:p>
        </w:tc>
        <w:tc>
          <w:tcPr>
            <w:tcW w:w="3420" w:type="dxa"/>
            <w:vAlign w:val="bottom"/>
          </w:tcPr>
          <w:p>
            <w:pPr>
              <w:ind w:left="40"/>
              <w:spacing w:after="0"/>
              <w:rPr>
                <w:sz w:val="20"/>
                <w:szCs w:val="20"/>
                <w:color w:val="auto"/>
              </w:rPr>
            </w:pPr>
            <w:r>
              <w:rPr>
                <w:rFonts w:ascii="Arial" w:cs="Arial" w:eastAsia="Arial" w:hAnsi="Arial"/>
                <w:sz w:val="17"/>
                <w:szCs w:val="17"/>
                <w:color w:val="auto"/>
              </w:rPr>
              <w:t>Increase efficiency and ensure proper</w:t>
            </w:r>
          </w:p>
        </w:tc>
        <w:tc>
          <w:tcPr>
            <w:tcW w:w="3960" w:type="dxa"/>
            <w:vAlign w:val="bottom"/>
          </w:tcPr>
          <w:p>
            <w:pPr>
              <w:ind w:left="440"/>
              <w:spacing w:after="0"/>
              <w:rPr>
                <w:sz w:val="20"/>
                <w:szCs w:val="20"/>
                <w:color w:val="auto"/>
              </w:rPr>
            </w:pPr>
            <w:r>
              <w:rPr>
                <w:rFonts w:ascii="Arial" w:cs="Arial" w:eastAsia="Arial" w:hAnsi="Arial"/>
                <w:sz w:val="17"/>
                <w:szCs w:val="17"/>
                <w:color w:val="auto"/>
              </w:rPr>
              <w:t>Delivered values at or above expectations</w:t>
            </w:r>
          </w:p>
        </w:tc>
        <w:tc>
          <w:tcPr>
            <w:tcW w:w="1400" w:type="dxa"/>
            <w:vAlign w:val="bottom"/>
          </w:tcPr>
          <w:p>
            <w:pPr>
              <w:jc w:val="right"/>
              <w:ind w:right="20"/>
              <w:spacing w:after="0"/>
              <w:rPr>
                <w:sz w:val="20"/>
                <w:szCs w:val="20"/>
                <w:color w:val="auto"/>
              </w:rPr>
            </w:pPr>
            <w:r>
              <w:rPr>
                <w:rFonts w:ascii="Arial" w:cs="Arial" w:eastAsia="Arial" w:hAnsi="Arial"/>
                <w:sz w:val="17"/>
                <w:szCs w:val="17"/>
                <w:color w:val="auto"/>
              </w:rPr>
              <w:t>25%</w:t>
            </w: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190"/>
        </w:trPr>
        <w:tc>
          <w:tcPr>
            <w:tcW w:w="160" w:type="dxa"/>
            <w:vAlign w:val="bottom"/>
          </w:tcPr>
          <w:p>
            <w:pPr>
              <w:spacing w:after="0"/>
              <w:rPr>
                <w:sz w:val="16"/>
                <w:szCs w:val="16"/>
                <w:color w:val="auto"/>
              </w:rPr>
            </w:pPr>
          </w:p>
        </w:tc>
        <w:tc>
          <w:tcPr>
            <w:tcW w:w="3420" w:type="dxa"/>
            <w:vAlign w:val="bottom"/>
          </w:tcPr>
          <w:p>
            <w:pPr>
              <w:ind w:left="40"/>
              <w:spacing w:after="0" w:line="190" w:lineRule="exact"/>
              <w:rPr>
                <w:sz w:val="20"/>
                <w:szCs w:val="20"/>
                <w:color w:val="auto"/>
              </w:rPr>
            </w:pPr>
            <w:r>
              <w:rPr>
                <w:rFonts w:ascii="Arial" w:cs="Arial" w:eastAsia="Arial" w:hAnsi="Arial"/>
                <w:sz w:val="17"/>
                <w:szCs w:val="17"/>
                <w:color w:val="auto"/>
              </w:rPr>
              <w:t>investment levels in core areas of our</w:t>
            </w:r>
          </w:p>
        </w:tc>
        <w:tc>
          <w:tcPr>
            <w:tcW w:w="3960" w:type="dxa"/>
            <w:vAlign w:val="bottom"/>
          </w:tcPr>
          <w:p>
            <w:pPr>
              <w:ind w:left="440"/>
              <w:spacing w:after="0" w:line="190" w:lineRule="exact"/>
              <w:rPr>
                <w:sz w:val="20"/>
                <w:szCs w:val="20"/>
                <w:color w:val="auto"/>
              </w:rPr>
            </w:pPr>
            <w:r>
              <w:rPr>
                <w:rFonts w:ascii="Arial" w:cs="Arial" w:eastAsia="Arial" w:hAnsi="Arial"/>
                <w:sz w:val="17"/>
                <w:szCs w:val="17"/>
                <w:color w:val="auto"/>
              </w:rPr>
              <w:t>on settlement of key disputes, but did not</w:t>
            </w:r>
          </w:p>
        </w:tc>
        <w:tc>
          <w:tcPr>
            <w:tcW w:w="1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24"/>
        </w:trPr>
        <w:tc>
          <w:tcPr>
            <w:tcW w:w="160" w:type="dxa"/>
            <w:vAlign w:val="bottom"/>
          </w:tcPr>
          <w:p>
            <w:pPr>
              <w:spacing w:after="0"/>
              <w:rPr>
                <w:sz w:val="19"/>
                <w:szCs w:val="19"/>
                <w:color w:val="auto"/>
              </w:rPr>
            </w:pPr>
          </w:p>
        </w:tc>
        <w:tc>
          <w:tcPr>
            <w:tcW w:w="3420" w:type="dxa"/>
            <w:vAlign w:val="bottom"/>
          </w:tcPr>
          <w:p>
            <w:pPr>
              <w:ind w:left="40"/>
              <w:spacing w:after="0"/>
              <w:rPr>
                <w:sz w:val="20"/>
                <w:szCs w:val="20"/>
                <w:color w:val="auto"/>
              </w:rPr>
            </w:pPr>
            <w:r>
              <w:rPr>
                <w:rFonts w:ascii="Arial" w:cs="Arial" w:eastAsia="Arial" w:hAnsi="Arial"/>
                <w:sz w:val="17"/>
                <w:szCs w:val="17"/>
                <w:color w:val="auto"/>
              </w:rPr>
              <w:t>business</w:t>
            </w:r>
          </w:p>
        </w:tc>
        <w:tc>
          <w:tcPr>
            <w:tcW w:w="3960" w:type="dxa"/>
            <w:vAlign w:val="bottom"/>
          </w:tcPr>
          <w:p>
            <w:pPr>
              <w:ind w:left="440"/>
              <w:spacing w:after="0"/>
              <w:rPr>
                <w:sz w:val="20"/>
                <w:szCs w:val="20"/>
                <w:color w:val="auto"/>
              </w:rPr>
            </w:pPr>
            <w:r>
              <w:rPr>
                <w:rFonts w:ascii="Arial" w:cs="Arial" w:eastAsia="Arial" w:hAnsi="Arial"/>
                <w:sz w:val="17"/>
                <w:szCs w:val="17"/>
                <w:color w:val="auto"/>
              </w:rPr>
              <w:t>meet all cost objectives</w:t>
            </w:r>
          </w:p>
        </w:tc>
        <w:tc>
          <w:tcPr>
            <w:tcW w:w="1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85"/>
        </w:trPr>
        <w:tc>
          <w:tcPr>
            <w:tcW w:w="160" w:type="dxa"/>
            <w:vAlign w:val="bottom"/>
            <w:tcBorders>
              <w:bottom w:val="single" w:sz="8" w:color="125288"/>
            </w:tcBorders>
          </w:tcPr>
          <w:p>
            <w:pPr>
              <w:spacing w:after="0"/>
              <w:rPr>
                <w:sz w:val="7"/>
                <w:szCs w:val="7"/>
                <w:color w:val="auto"/>
              </w:rPr>
            </w:pPr>
          </w:p>
        </w:tc>
        <w:tc>
          <w:tcPr>
            <w:tcW w:w="3420" w:type="dxa"/>
            <w:vAlign w:val="bottom"/>
            <w:tcBorders>
              <w:bottom w:val="single" w:sz="8" w:color="125288"/>
            </w:tcBorders>
          </w:tcPr>
          <w:p>
            <w:pPr>
              <w:spacing w:after="0"/>
              <w:rPr>
                <w:sz w:val="7"/>
                <w:szCs w:val="7"/>
                <w:color w:val="auto"/>
              </w:rPr>
            </w:pPr>
          </w:p>
        </w:tc>
        <w:tc>
          <w:tcPr>
            <w:tcW w:w="3960" w:type="dxa"/>
            <w:vAlign w:val="bottom"/>
            <w:tcBorders>
              <w:bottom w:val="single" w:sz="8" w:color="125288"/>
            </w:tcBorders>
          </w:tcPr>
          <w:p>
            <w:pPr>
              <w:spacing w:after="0"/>
              <w:rPr>
                <w:sz w:val="7"/>
                <w:szCs w:val="7"/>
                <w:color w:val="auto"/>
              </w:rPr>
            </w:pPr>
          </w:p>
        </w:tc>
        <w:tc>
          <w:tcPr>
            <w:tcW w:w="1400" w:type="dxa"/>
            <w:vAlign w:val="bottom"/>
            <w:tcBorders>
              <w:bottom w:val="single" w:sz="8" w:color="125288"/>
            </w:tcBorders>
          </w:tcPr>
          <w:p>
            <w:pPr>
              <w:spacing w:after="0"/>
              <w:rPr>
                <w:sz w:val="7"/>
                <w:szCs w:val="7"/>
                <w:color w:val="auto"/>
              </w:rPr>
            </w:pPr>
          </w:p>
        </w:tc>
        <w:tc>
          <w:tcPr>
            <w:tcW w:w="740" w:type="dxa"/>
            <w:vAlign w:val="bottom"/>
            <w:tcBorders>
              <w:bottom w:val="single" w:sz="8" w:color="125288"/>
            </w:tcBorders>
          </w:tcPr>
          <w:p>
            <w:pPr>
              <w:spacing w:after="0"/>
              <w:rPr>
                <w:sz w:val="7"/>
                <w:szCs w:val="7"/>
                <w:color w:val="auto"/>
              </w:rPr>
            </w:pPr>
          </w:p>
        </w:tc>
        <w:tc>
          <w:tcPr>
            <w:tcW w:w="820" w:type="dxa"/>
            <w:vAlign w:val="bottom"/>
            <w:tcBorders>
              <w:bottom w:val="single" w:sz="8" w:color="125288"/>
            </w:tcBorders>
          </w:tcPr>
          <w:p>
            <w:pPr>
              <w:spacing w:after="0"/>
              <w:rPr>
                <w:sz w:val="7"/>
                <w:szCs w:val="7"/>
                <w:color w:val="auto"/>
              </w:rPr>
            </w:pPr>
          </w:p>
        </w:tc>
        <w:tc>
          <w:tcPr>
            <w:tcW w:w="760" w:type="dxa"/>
            <w:vAlign w:val="bottom"/>
            <w:tcBorders>
              <w:bottom w:val="single" w:sz="8" w:color="125288"/>
            </w:tcBorders>
          </w:tcPr>
          <w:p>
            <w:pPr>
              <w:spacing w:after="0"/>
              <w:rPr>
                <w:sz w:val="7"/>
                <w:szCs w:val="7"/>
                <w:color w:val="auto"/>
              </w:rPr>
            </w:pPr>
          </w:p>
        </w:tc>
      </w:tr>
      <w:tr>
        <w:trPr>
          <w:trHeight w:val="265"/>
        </w:trPr>
        <w:tc>
          <w:tcPr>
            <w:tcW w:w="160" w:type="dxa"/>
            <w:vAlign w:val="bottom"/>
          </w:tcPr>
          <w:p>
            <w:pPr>
              <w:ind w:left="60"/>
              <w:spacing w:after="0"/>
              <w:rPr>
                <w:sz w:val="20"/>
                <w:szCs w:val="20"/>
                <w:color w:val="auto"/>
              </w:rPr>
            </w:pPr>
            <w:r>
              <w:rPr>
                <w:rFonts w:ascii="Arial" w:cs="Arial" w:eastAsia="Arial" w:hAnsi="Arial"/>
                <w:sz w:val="17"/>
                <w:szCs w:val="17"/>
                <w:color w:val="125288"/>
              </w:rPr>
              <w:t>•</w:t>
            </w:r>
          </w:p>
        </w:tc>
        <w:tc>
          <w:tcPr>
            <w:tcW w:w="3420" w:type="dxa"/>
            <w:vAlign w:val="bottom"/>
          </w:tcPr>
          <w:p>
            <w:pPr>
              <w:ind w:left="40"/>
              <w:spacing w:after="0"/>
              <w:rPr>
                <w:sz w:val="20"/>
                <w:szCs w:val="20"/>
                <w:color w:val="auto"/>
              </w:rPr>
            </w:pPr>
            <w:r>
              <w:rPr>
                <w:rFonts w:ascii="Arial" w:cs="Arial" w:eastAsia="Arial" w:hAnsi="Arial"/>
                <w:sz w:val="17"/>
                <w:szCs w:val="17"/>
                <w:color w:val="auto"/>
              </w:rPr>
              <w:t>Ensure staffing and succession plans</w:t>
            </w:r>
          </w:p>
        </w:tc>
        <w:tc>
          <w:tcPr>
            <w:tcW w:w="3960" w:type="dxa"/>
            <w:vAlign w:val="bottom"/>
          </w:tcPr>
          <w:p>
            <w:pPr>
              <w:ind w:left="440"/>
              <w:spacing w:after="0"/>
              <w:rPr>
                <w:sz w:val="20"/>
                <w:szCs w:val="20"/>
                <w:color w:val="auto"/>
              </w:rPr>
            </w:pPr>
            <w:r>
              <w:rPr>
                <w:rFonts w:ascii="Arial" w:cs="Arial" w:eastAsia="Arial" w:hAnsi="Arial"/>
                <w:sz w:val="17"/>
                <w:szCs w:val="17"/>
                <w:color w:val="auto"/>
              </w:rPr>
              <w:t>Identified areas for talent improvement,</w:t>
            </w:r>
          </w:p>
        </w:tc>
        <w:tc>
          <w:tcPr>
            <w:tcW w:w="1400" w:type="dxa"/>
            <w:vAlign w:val="bottom"/>
          </w:tcPr>
          <w:p>
            <w:pPr>
              <w:jc w:val="right"/>
              <w:ind w:right="20"/>
              <w:spacing w:after="0"/>
              <w:rPr>
                <w:sz w:val="20"/>
                <w:szCs w:val="20"/>
                <w:color w:val="auto"/>
              </w:rPr>
            </w:pPr>
            <w:r>
              <w:rPr>
                <w:rFonts w:ascii="Arial" w:cs="Arial" w:eastAsia="Arial" w:hAnsi="Arial"/>
                <w:sz w:val="17"/>
                <w:szCs w:val="17"/>
                <w:color w:val="auto"/>
              </w:rPr>
              <w:t>15%</w:t>
            </w: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14"/>
        </w:trPr>
        <w:tc>
          <w:tcPr>
            <w:tcW w:w="16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7"/>
                <w:szCs w:val="17"/>
                <w:color w:val="auto"/>
              </w:rPr>
              <w:t>support annual and long-range growth</w:t>
            </w:r>
          </w:p>
        </w:tc>
        <w:tc>
          <w:tcPr>
            <w:tcW w:w="3960" w:type="dxa"/>
            <w:vAlign w:val="bottom"/>
          </w:tcPr>
          <w:p>
            <w:pPr>
              <w:ind w:left="440"/>
              <w:spacing w:after="0"/>
              <w:rPr>
                <w:sz w:val="20"/>
                <w:szCs w:val="20"/>
                <w:color w:val="auto"/>
              </w:rPr>
            </w:pPr>
            <w:r>
              <w:rPr>
                <w:rFonts w:ascii="Arial" w:cs="Arial" w:eastAsia="Arial" w:hAnsi="Arial"/>
                <w:sz w:val="17"/>
                <w:szCs w:val="17"/>
                <w:color w:val="auto"/>
              </w:rPr>
              <w:t>bench strength, and potential successors</w:t>
            </w:r>
          </w:p>
        </w:tc>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0"/>
        </w:trPr>
        <w:tc>
          <w:tcPr>
            <w:tcW w:w="160" w:type="dxa"/>
            <w:vAlign w:val="bottom"/>
          </w:tcPr>
          <w:p>
            <w:pPr>
              <w:spacing w:after="0"/>
              <w:rPr>
                <w:sz w:val="16"/>
                <w:szCs w:val="16"/>
                <w:color w:val="auto"/>
              </w:rPr>
            </w:pPr>
          </w:p>
        </w:tc>
        <w:tc>
          <w:tcPr>
            <w:tcW w:w="3420" w:type="dxa"/>
            <w:vAlign w:val="bottom"/>
          </w:tcPr>
          <w:p>
            <w:pPr>
              <w:ind w:left="40"/>
              <w:spacing w:after="0" w:line="190" w:lineRule="exact"/>
              <w:rPr>
                <w:sz w:val="20"/>
                <w:szCs w:val="20"/>
                <w:color w:val="auto"/>
              </w:rPr>
            </w:pPr>
            <w:r>
              <w:rPr>
                <w:rFonts w:ascii="Arial" w:cs="Arial" w:eastAsia="Arial" w:hAnsi="Arial"/>
                <w:sz w:val="17"/>
                <w:szCs w:val="17"/>
                <w:color w:val="auto"/>
              </w:rPr>
              <w:t>plans with an emphasis on diversity and</w:t>
            </w:r>
          </w:p>
        </w:tc>
        <w:tc>
          <w:tcPr>
            <w:tcW w:w="39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1"/>
        </w:trPr>
        <w:tc>
          <w:tcPr>
            <w:tcW w:w="160" w:type="dxa"/>
            <w:vAlign w:val="bottom"/>
          </w:tcPr>
          <w:p>
            <w:pPr>
              <w:spacing w:after="0"/>
              <w:rPr>
                <w:sz w:val="17"/>
                <w:szCs w:val="17"/>
                <w:color w:val="auto"/>
              </w:rPr>
            </w:pPr>
          </w:p>
        </w:tc>
        <w:tc>
          <w:tcPr>
            <w:tcW w:w="3420" w:type="dxa"/>
            <w:vAlign w:val="bottom"/>
          </w:tcPr>
          <w:p>
            <w:pPr>
              <w:ind w:left="40"/>
              <w:spacing w:after="0"/>
              <w:rPr>
                <w:sz w:val="20"/>
                <w:szCs w:val="20"/>
                <w:color w:val="auto"/>
              </w:rPr>
            </w:pPr>
            <w:r>
              <w:rPr>
                <w:rFonts w:ascii="Arial" w:cs="Arial" w:eastAsia="Arial" w:hAnsi="Arial"/>
                <w:sz w:val="17"/>
                <w:szCs w:val="17"/>
                <w:color w:val="auto"/>
              </w:rPr>
              <w:t>inclusion</w:t>
            </w:r>
          </w:p>
        </w:tc>
        <w:tc>
          <w:tcPr>
            <w:tcW w:w="39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85"/>
        </w:trPr>
        <w:tc>
          <w:tcPr>
            <w:tcW w:w="160" w:type="dxa"/>
            <w:vAlign w:val="bottom"/>
            <w:tcBorders>
              <w:bottom w:val="single" w:sz="8" w:color="125288"/>
            </w:tcBorders>
          </w:tcPr>
          <w:p>
            <w:pPr>
              <w:spacing w:after="0"/>
              <w:rPr>
                <w:sz w:val="7"/>
                <w:szCs w:val="7"/>
                <w:color w:val="auto"/>
              </w:rPr>
            </w:pPr>
          </w:p>
        </w:tc>
        <w:tc>
          <w:tcPr>
            <w:tcW w:w="3420" w:type="dxa"/>
            <w:vAlign w:val="bottom"/>
            <w:tcBorders>
              <w:bottom w:val="single" w:sz="8" w:color="125288"/>
            </w:tcBorders>
          </w:tcPr>
          <w:p>
            <w:pPr>
              <w:spacing w:after="0"/>
              <w:rPr>
                <w:sz w:val="7"/>
                <w:szCs w:val="7"/>
                <w:color w:val="auto"/>
              </w:rPr>
            </w:pPr>
          </w:p>
        </w:tc>
        <w:tc>
          <w:tcPr>
            <w:tcW w:w="3960" w:type="dxa"/>
            <w:vAlign w:val="bottom"/>
            <w:tcBorders>
              <w:bottom w:val="single" w:sz="8" w:color="125288"/>
            </w:tcBorders>
          </w:tcPr>
          <w:p>
            <w:pPr>
              <w:spacing w:after="0"/>
              <w:rPr>
                <w:sz w:val="7"/>
                <w:szCs w:val="7"/>
                <w:color w:val="auto"/>
              </w:rPr>
            </w:pPr>
          </w:p>
        </w:tc>
        <w:tc>
          <w:tcPr>
            <w:tcW w:w="1400" w:type="dxa"/>
            <w:vAlign w:val="bottom"/>
            <w:tcBorders>
              <w:bottom w:val="single" w:sz="8" w:color="125288"/>
            </w:tcBorders>
          </w:tcPr>
          <w:p>
            <w:pPr>
              <w:spacing w:after="0"/>
              <w:rPr>
                <w:sz w:val="7"/>
                <w:szCs w:val="7"/>
                <w:color w:val="auto"/>
              </w:rPr>
            </w:pPr>
          </w:p>
        </w:tc>
        <w:tc>
          <w:tcPr>
            <w:tcW w:w="740" w:type="dxa"/>
            <w:vAlign w:val="bottom"/>
            <w:tcBorders>
              <w:bottom w:val="single" w:sz="8" w:color="125288"/>
            </w:tcBorders>
          </w:tcPr>
          <w:p>
            <w:pPr>
              <w:spacing w:after="0"/>
              <w:rPr>
                <w:sz w:val="7"/>
                <w:szCs w:val="7"/>
                <w:color w:val="auto"/>
              </w:rPr>
            </w:pPr>
          </w:p>
        </w:tc>
        <w:tc>
          <w:tcPr>
            <w:tcW w:w="820" w:type="dxa"/>
            <w:vAlign w:val="bottom"/>
            <w:tcBorders>
              <w:bottom w:val="single" w:sz="8" w:color="125288"/>
            </w:tcBorders>
          </w:tcPr>
          <w:p>
            <w:pPr>
              <w:spacing w:after="0"/>
              <w:rPr>
                <w:sz w:val="7"/>
                <w:szCs w:val="7"/>
                <w:color w:val="auto"/>
              </w:rPr>
            </w:pPr>
          </w:p>
        </w:tc>
        <w:tc>
          <w:tcPr>
            <w:tcW w:w="760" w:type="dxa"/>
            <w:vAlign w:val="bottom"/>
            <w:tcBorders>
              <w:bottom w:val="single" w:sz="8" w:color="125288"/>
            </w:tcBorders>
          </w:tcPr>
          <w:p>
            <w:pPr>
              <w:spacing w:after="0"/>
              <w:rPr>
                <w:sz w:val="7"/>
                <w:szCs w:val="7"/>
                <w:color w:val="auto"/>
              </w:rPr>
            </w:pPr>
          </w:p>
        </w:tc>
      </w:tr>
      <w:tr>
        <w:trPr>
          <w:trHeight w:val="265"/>
        </w:trPr>
        <w:tc>
          <w:tcPr>
            <w:tcW w:w="160" w:type="dxa"/>
            <w:vAlign w:val="bottom"/>
          </w:tcPr>
          <w:p>
            <w:pPr>
              <w:ind w:left="60"/>
              <w:spacing w:after="0"/>
              <w:rPr>
                <w:sz w:val="20"/>
                <w:szCs w:val="20"/>
                <w:color w:val="auto"/>
              </w:rPr>
            </w:pPr>
            <w:r>
              <w:rPr>
                <w:rFonts w:ascii="Arial" w:cs="Arial" w:eastAsia="Arial" w:hAnsi="Arial"/>
                <w:sz w:val="17"/>
                <w:szCs w:val="17"/>
                <w:color w:val="125288"/>
              </w:rPr>
              <w:t>•</w:t>
            </w:r>
          </w:p>
        </w:tc>
        <w:tc>
          <w:tcPr>
            <w:tcW w:w="3420" w:type="dxa"/>
            <w:vAlign w:val="bottom"/>
          </w:tcPr>
          <w:p>
            <w:pPr>
              <w:ind w:left="40"/>
              <w:spacing w:after="0"/>
              <w:rPr>
                <w:sz w:val="20"/>
                <w:szCs w:val="20"/>
                <w:color w:val="auto"/>
              </w:rPr>
            </w:pPr>
            <w:r>
              <w:rPr>
                <w:rFonts w:ascii="Arial" w:cs="Arial" w:eastAsia="Arial" w:hAnsi="Arial"/>
                <w:sz w:val="17"/>
                <w:szCs w:val="17"/>
                <w:color w:val="auto"/>
              </w:rPr>
              <w:t>Develop and implement appropriate</w:t>
            </w:r>
          </w:p>
        </w:tc>
        <w:tc>
          <w:tcPr>
            <w:tcW w:w="3960" w:type="dxa"/>
            <w:vAlign w:val="bottom"/>
          </w:tcPr>
          <w:p>
            <w:pPr>
              <w:ind w:left="440"/>
              <w:spacing w:after="0"/>
              <w:rPr>
                <w:sz w:val="20"/>
                <w:szCs w:val="20"/>
                <w:color w:val="auto"/>
              </w:rPr>
            </w:pPr>
            <w:r>
              <w:rPr>
                <w:rFonts w:ascii="Arial" w:cs="Arial" w:eastAsia="Arial" w:hAnsi="Arial"/>
                <w:sz w:val="17"/>
                <w:szCs w:val="17"/>
                <w:color w:val="auto"/>
              </w:rPr>
              <w:t>Defined optimal legal structure based on</w:t>
            </w:r>
          </w:p>
        </w:tc>
        <w:tc>
          <w:tcPr>
            <w:tcW w:w="1400" w:type="dxa"/>
            <w:vAlign w:val="bottom"/>
          </w:tcPr>
          <w:p>
            <w:pPr>
              <w:jc w:val="right"/>
              <w:ind w:right="20"/>
              <w:spacing w:after="0"/>
              <w:rPr>
                <w:sz w:val="20"/>
                <w:szCs w:val="20"/>
                <w:color w:val="auto"/>
              </w:rPr>
            </w:pPr>
            <w:r>
              <w:rPr>
                <w:rFonts w:ascii="Arial" w:cs="Arial" w:eastAsia="Arial" w:hAnsi="Arial"/>
                <w:sz w:val="17"/>
                <w:szCs w:val="17"/>
                <w:color w:val="auto"/>
              </w:rPr>
              <w:t>20%</w:t>
            </w: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190"/>
        </w:trPr>
        <w:tc>
          <w:tcPr>
            <w:tcW w:w="160" w:type="dxa"/>
            <w:vAlign w:val="bottom"/>
          </w:tcPr>
          <w:p>
            <w:pPr>
              <w:spacing w:after="0"/>
              <w:rPr>
                <w:sz w:val="16"/>
                <w:szCs w:val="16"/>
                <w:color w:val="auto"/>
              </w:rPr>
            </w:pPr>
          </w:p>
        </w:tc>
        <w:tc>
          <w:tcPr>
            <w:tcW w:w="3420" w:type="dxa"/>
            <w:vAlign w:val="bottom"/>
          </w:tcPr>
          <w:p>
            <w:pPr>
              <w:ind w:left="40"/>
              <w:spacing w:after="0" w:line="190" w:lineRule="exact"/>
              <w:rPr>
                <w:sz w:val="20"/>
                <w:szCs w:val="20"/>
                <w:color w:val="auto"/>
              </w:rPr>
            </w:pPr>
            <w:r>
              <w:rPr>
                <w:rFonts w:ascii="Arial" w:cs="Arial" w:eastAsia="Arial" w:hAnsi="Arial"/>
                <w:sz w:val="17"/>
                <w:szCs w:val="17"/>
                <w:color w:val="auto"/>
              </w:rPr>
              <w:t>organizational plans to deliver on</w:t>
            </w:r>
          </w:p>
        </w:tc>
        <w:tc>
          <w:tcPr>
            <w:tcW w:w="3960" w:type="dxa"/>
            <w:vAlign w:val="bottom"/>
          </w:tcPr>
          <w:p>
            <w:pPr>
              <w:ind w:left="440"/>
              <w:spacing w:after="0" w:line="190" w:lineRule="exact"/>
              <w:rPr>
                <w:sz w:val="20"/>
                <w:szCs w:val="20"/>
                <w:color w:val="auto"/>
              </w:rPr>
            </w:pPr>
            <w:r>
              <w:rPr>
                <w:rFonts w:ascii="Arial" w:cs="Arial" w:eastAsia="Arial" w:hAnsi="Arial"/>
                <w:sz w:val="17"/>
                <w:szCs w:val="17"/>
                <w:color w:val="auto"/>
              </w:rPr>
              <w:t>business evolution and plan to implement in</w:t>
            </w:r>
          </w:p>
        </w:tc>
        <w:tc>
          <w:tcPr>
            <w:tcW w:w="1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24"/>
        </w:trPr>
        <w:tc>
          <w:tcPr>
            <w:tcW w:w="160" w:type="dxa"/>
            <w:vAlign w:val="bottom"/>
          </w:tcPr>
          <w:p>
            <w:pPr>
              <w:spacing w:after="0"/>
              <w:rPr>
                <w:sz w:val="19"/>
                <w:szCs w:val="19"/>
                <w:color w:val="auto"/>
              </w:rPr>
            </w:pPr>
          </w:p>
        </w:tc>
        <w:tc>
          <w:tcPr>
            <w:tcW w:w="3420" w:type="dxa"/>
            <w:vAlign w:val="bottom"/>
          </w:tcPr>
          <w:p>
            <w:pPr>
              <w:ind w:left="40"/>
              <w:spacing w:after="0"/>
              <w:rPr>
                <w:sz w:val="20"/>
                <w:szCs w:val="20"/>
                <w:color w:val="auto"/>
              </w:rPr>
            </w:pPr>
            <w:r>
              <w:rPr>
                <w:rFonts w:ascii="Arial" w:cs="Arial" w:eastAsia="Arial" w:hAnsi="Arial"/>
                <w:sz w:val="17"/>
                <w:szCs w:val="17"/>
                <w:color w:val="auto"/>
              </w:rPr>
              <w:t>ambitious goals</w:t>
            </w:r>
          </w:p>
        </w:tc>
        <w:tc>
          <w:tcPr>
            <w:tcW w:w="3960" w:type="dxa"/>
            <w:vAlign w:val="bottom"/>
          </w:tcPr>
          <w:p>
            <w:pPr>
              <w:ind w:left="440"/>
              <w:spacing w:after="0"/>
              <w:rPr>
                <w:sz w:val="20"/>
                <w:szCs w:val="20"/>
                <w:color w:val="auto"/>
              </w:rPr>
            </w:pPr>
            <w:r>
              <w:rPr>
                <w:rFonts w:ascii="Arial" w:cs="Arial" w:eastAsia="Arial" w:hAnsi="Arial"/>
                <w:sz w:val="17"/>
                <w:szCs w:val="17"/>
                <w:color w:val="auto"/>
              </w:rPr>
              <w:t>line with Company organizational decisions</w:t>
            </w:r>
          </w:p>
        </w:tc>
        <w:tc>
          <w:tcPr>
            <w:tcW w:w="1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85"/>
        </w:trPr>
        <w:tc>
          <w:tcPr>
            <w:tcW w:w="160" w:type="dxa"/>
            <w:vAlign w:val="bottom"/>
            <w:tcBorders>
              <w:bottom w:val="single" w:sz="8" w:color="125288"/>
            </w:tcBorders>
          </w:tcPr>
          <w:p>
            <w:pPr>
              <w:spacing w:after="0"/>
              <w:rPr>
                <w:sz w:val="7"/>
                <w:szCs w:val="7"/>
                <w:color w:val="auto"/>
              </w:rPr>
            </w:pPr>
          </w:p>
        </w:tc>
        <w:tc>
          <w:tcPr>
            <w:tcW w:w="3420" w:type="dxa"/>
            <w:vAlign w:val="bottom"/>
            <w:tcBorders>
              <w:bottom w:val="single" w:sz="8" w:color="125288"/>
            </w:tcBorders>
          </w:tcPr>
          <w:p>
            <w:pPr>
              <w:spacing w:after="0"/>
              <w:rPr>
                <w:sz w:val="7"/>
                <w:szCs w:val="7"/>
                <w:color w:val="auto"/>
              </w:rPr>
            </w:pPr>
          </w:p>
        </w:tc>
        <w:tc>
          <w:tcPr>
            <w:tcW w:w="3960" w:type="dxa"/>
            <w:vAlign w:val="bottom"/>
            <w:tcBorders>
              <w:bottom w:val="single" w:sz="8" w:color="125288"/>
            </w:tcBorders>
          </w:tcPr>
          <w:p>
            <w:pPr>
              <w:spacing w:after="0"/>
              <w:rPr>
                <w:sz w:val="7"/>
                <w:szCs w:val="7"/>
                <w:color w:val="auto"/>
              </w:rPr>
            </w:pPr>
          </w:p>
        </w:tc>
        <w:tc>
          <w:tcPr>
            <w:tcW w:w="1400" w:type="dxa"/>
            <w:vAlign w:val="bottom"/>
            <w:tcBorders>
              <w:bottom w:val="single" w:sz="8" w:color="125288"/>
            </w:tcBorders>
          </w:tcPr>
          <w:p>
            <w:pPr>
              <w:spacing w:after="0"/>
              <w:rPr>
                <w:sz w:val="7"/>
                <w:szCs w:val="7"/>
                <w:color w:val="auto"/>
              </w:rPr>
            </w:pPr>
          </w:p>
        </w:tc>
        <w:tc>
          <w:tcPr>
            <w:tcW w:w="740" w:type="dxa"/>
            <w:vAlign w:val="bottom"/>
            <w:tcBorders>
              <w:bottom w:val="single" w:sz="8" w:color="125288"/>
            </w:tcBorders>
          </w:tcPr>
          <w:p>
            <w:pPr>
              <w:spacing w:after="0"/>
              <w:rPr>
                <w:sz w:val="7"/>
                <w:szCs w:val="7"/>
                <w:color w:val="auto"/>
              </w:rPr>
            </w:pPr>
          </w:p>
        </w:tc>
        <w:tc>
          <w:tcPr>
            <w:tcW w:w="820" w:type="dxa"/>
            <w:vAlign w:val="bottom"/>
            <w:tcBorders>
              <w:bottom w:val="single" w:sz="8" w:color="125288"/>
            </w:tcBorders>
          </w:tcPr>
          <w:p>
            <w:pPr>
              <w:spacing w:after="0"/>
              <w:rPr>
                <w:sz w:val="7"/>
                <w:szCs w:val="7"/>
                <w:color w:val="auto"/>
              </w:rPr>
            </w:pPr>
          </w:p>
        </w:tc>
        <w:tc>
          <w:tcPr>
            <w:tcW w:w="760" w:type="dxa"/>
            <w:vAlign w:val="bottom"/>
            <w:tcBorders>
              <w:bottom w:val="single" w:sz="8" w:color="125288"/>
            </w:tcBorders>
          </w:tcPr>
          <w:p>
            <w:pPr>
              <w:spacing w:after="0"/>
              <w:rPr>
                <w:sz w:val="7"/>
                <w:szCs w:val="7"/>
                <w:color w:val="auto"/>
              </w:rPr>
            </w:pPr>
          </w:p>
        </w:tc>
      </w:tr>
      <w:tr>
        <w:trPr>
          <w:trHeight w:val="265"/>
        </w:trPr>
        <w:tc>
          <w:tcPr>
            <w:tcW w:w="160" w:type="dxa"/>
            <w:vAlign w:val="bottom"/>
          </w:tcPr>
          <w:p>
            <w:pPr>
              <w:ind w:left="60"/>
              <w:spacing w:after="0"/>
              <w:rPr>
                <w:sz w:val="20"/>
                <w:szCs w:val="20"/>
                <w:color w:val="auto"/>
              </w:rPr>
            </w:pPr>
            <w:r>
              <w:rPr>
                <w:rFonts w:ascii="Arial" w:cs="Arial" w:eastAsia="Arial" w:hAnsi="Arial"/>
                <w:sz w:val="17"/>
                <w:szCs w:val="17"/>
                <w:color w:val="125288"/>
              </w:rPr>
              <w:t>•</w:t>
            </w:r>
          </w:p>
        </w:tc>
        <w:tc>
          <w:tcPr>
            <w:tcW w:w="3420" w:type="dxa"/>
            <w:vAlign w:val="bottom"/>
          </w:tcPr>
          <w:p>
            <w:pPr>
              <w:ind w:left="40"/>
              <w:spacing w:after="0"/>
              <w:rPr>
                <w:sz w:val="20"/>
                <w:szCs w:val="20"/>
                <w:color w:val="auto"/>
              </w:rPr>
            </w:pPr>
            <w:r>
              <w:rPr>
                <w:rFonts w:ascii="Arial" w:cs="Arial" w:eastAsia="Arial" w:hAnsi="Arial"/>
                <w:sz w:val="17"/>
                <w:szCs w:val="17"/>
                <w:color w:val="auto"/>
              </w:rPr>
              <w:t>Ensure good corporate governance and</w:t>
            </w:r>
          </w:p>
        </w:tc>
        <w:tc>
          <w:tcPr>
            <w:tcW w:w="3960" w:type="dxa"/>
            <w:vAlign w:val="bottom"/>
          </w:tcPr>
          <w:p>
            <w:pPr>
              <w:ind w:left="440"/>
              <w:spacing w:after="0"/>
              <w:rPr>
                <w:sz w:val="20"/>
                <w:szCs w:val="20"/>
                <w:color w:val="auto"/>
              </w:rPr>
            </w:pPr>
            <w:r>
              <w:rPr>
                <w:rFonts w:ascii="Arial" w:cs="Arial" w:eastAsia="Arial" w:hAnsi="Arial"/>
                <w:sz w:val="17"/>
                <w:szCs w:val="17"/>
                <w:color w:val="auto"/>
              </w:rPr>
              <w:t>Achieved favorable results and made</w:t>
            </w:r>
          </w:p>
        </w:tc>
        <w:tc>
          <w:tcPr>
            <w:tcW w:w="1400" w:type="dxa"/>
            <w:vAlign w:val="bottom"/>
          </w:tcPr>
          <w:p>
            <w:pPr>
              <w:jc w:val="right"/>
              <w:ind w:right="20"/>
              <w:spacing w:after="0"/>
              <w:rPr>
                <w:sz w:val="20"/>
                <w:szCs w:val="20"/>
                <w:color w:val="auto"/>
              </w:rPr>
            </w:pPr>
            <w:r>
              <w:rPr>
                <w:rFonts w:ascii="Arial" w:cs="Arial" w:eastAsia="Arial" w:hAnsi="Arial"/>
                <w:sz w:val="17"/>
                <w:szCs w:val="17"/>
                <w:color w:val="auto"/>
              </w:rPr>
              <w:t>40%</w:t>
            </w: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190"/>
        </w:trPr>
        <w:tc>
          <w:tcPr>
            <w:tcW w:w="160" w:type="dxa"/>
            <w:vAlign w:val="bottom"/>
          </w:tcPr>
          <w:p>
            <w:pPr>
              <w:spacing w:after="0"/>
              <w:rPr>
                <w:sz w:val="16"/>
                <w:szCs w:val="16"/>
                <w:color w:val="auto"/>
              </w:rPr>
            </w:pPr>
          </w:p>
        </w:tc>
        <w:tc>
          <w:tcPr>
            <w:tcW w:w="3420" w:type="dxa"/>
            <w:vAlign w:val="bottom"/>
          </w:tcPr>
          <w:p>
            <w:pPr>
              <w:ind w:left="40"/>
              <w:spacing w:after="0" w:line="190" w:lineRule="exact"/>
              <w:rPr>
                <w:sz w:val="20"/>
                <w:szCs w:val="20"/>
                <w:color w:val="auto"/>
              </w:rPr>
            </w:pPr>
            <w:r>
              <w:rPr>
                <w:rFonts w:ascii="Arial" w:cs="Arial" w:eastAsia="Arial" w:hAnsi="Arial"/>
                <w:sz w:val="17"/>
                <w:szCs w:val="17"/>
                <w:color w:val="auto"/>
              </w:rPr>
              <w:t>protection of our intellectual property</w:t>
            </w:r>
          </w:p>
        </w:tc>
        <w:tc>
          <w:tcPr>
            <w:tcW w:w="3960" w:type="dxa"/>
            <w:vAlign w:val="bottom"/>
          </w:tcPr>
          <w:p>
            <w:pPr>
              <w:ind w:left="440"/>
              <w:spacing w:after="0" w:line="190" w:lineRule="exact"/>
              <w:rPr>
                <w:sz w:val="20"/>
                <w:szCs w:val="20"/>
                <w:color w:val="auto"/>
              </w:rPr>
            </w:pPr>
            <w:r>
              <w:rPr>
                <w:rFonts w:ascii="Arial" w:cs="Arial" w:eastAsia="Arial" w:hAnsi="Arial"/>
                <w:sz w:val="17"/>
                <w:szCs w:val="17"/>
                <w:color w:val="auto"/>
              </w:rPr>
              <w:t>progress in key legal matters, including</w:t>
            </w:r>
          </w:p>
        </w:tc>
        <w:tc>
          <w:tcPr>
            <w:tcW w:w="1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1"/>
        </w:trPr>
        <w:tc>
          <w:tcPr>
            <w:tcW w:w="1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960" w:type="dxa"/>
            <w:vAlign w:val="bottom"/>
          </w:tcPr>
          <w:p>
            <w:pPr>
              <w:ind w:left="440"/>
              <w:spacing w:after="0"/>
              <w:rPr>
                <w:sz w:val="20"/>
                <w:szCs w:val="20"/>
                <w:color w:val="auto"/>
              </w:rPr>
            </w:pPr>
            <w:r>
              <w:rPr>
                <w:rFonts w:ascii="Arial" w:cs="Arial" w:eastAsia="Arial" w:hAnsi="Arial"/>
                <w:sz w:val="17"/>
                <w:szCs w:val="17"/>
                <w:color w:val="auto"/>
              </w:rPr>
              <w:t>intellectual property disputes</w:t>
            </w: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85"/>
        </w:trPr>
        <w:tc>
          <w:tcPr>
            <w:tcW w:w="160" w:type="dxa"/>
            <w:vAlign w:val="bottom"/>
            <w:tcBorders>
              <w:bottom w:val="single" w:sz="8" w:color="125288"/>
            </w:tcBorders>
          </w:tcPr>
          <w:p>
            <w:pPr>
              <w:spacing w:after="0"/>
              <w:rPr>
                <w:sz w:val="7"/>
                <w:szCs w:val="7"/>
                <w:color w:val="auto"/>
              </w:rPr>
            </w:pPr>
          </w:p>
        </w:tc>
        <w:tc>
          <w:tcPr>
            <w:tcW w:w="3420" w:type="dxa"/>
            <w:vAlign w:val="bottom"/>
            <w:tcBorders>
              <w:bottom w:val="single" w:sz="8" w:color="125288"/>
            </w:tcBorders>
          </w:tcPr>
          <w:p>
            <w:pPr>
              <w:spacing w:after="0"/>
              <w:rPr>
                <w:sz w:val="7"/>
                <w:szCs w:val="7"/>
                <w:color w:val="auto"/>
              </w:rPr>
            </w:pPr>
          </w:p>
        </w:tc>
        <w:tc>
          <w:tcPr>
            <w:tcW w:w="3960" w:type="dxa"/>
            <w:vAlign w:val="bottom"/>
            <w:tcBorders>
              <w:bottom w:val="single" w:sz="8" w:color="125288"/>
            </w:tcBorders>
          </w:tcPr>
          <w:p>
            <w:pPr>
              <w:spacing w:after="0"/>
              <w:rPr>
                <w:sz w:val="7"/>
                <w:szCs w:val="7"/>
                <w:color w:val="auto"/>
              </w:rPr>
            </w:pPr>
          </w:p>
        </w:tc>
        <w:tc>
          <w:tcPr>
            <w:tcW w:w="1400" w:type="dxa"/>
            <w:vAlign w:val="bottom"/>
            <w:tcBorders>
              <w:bottom w:val="single" w:sz="8" w:color="125288"/>
            </w:tcBorders>
          </w:tcPr>
          <w:p>
            <w:pPr>
              <w:spacing w:after="0"/>
              <w:rPr>
                <w:sz w:val="7"/>
                <w:szCs w:val="7"/>
                <w:color w:val="auto"/>
              </w:rPr>
            </w:pPr>
          </w:p>
        </w:tc>
        <w:tc>
          <w:tcPr>
            <w:tcW w:w="740" w:type="dxa"/>
            <w:vAlign w:val="bottom"/>
            <w:tcBorders>
              <w:bottom w:val="single" w:sz="8" w:color="125288"/>
            </w:tcBorders>
          </w:tcPr>
          <w:p>
            <w:pPr>
              <w:spacing w:after="0"/>
              <w:rPr>
                <w:sz w:val="7"/>
                <w:szCs w:val="7"/>
                <w:color w:val="auto"/>
              </w:rPr>
            </w:pPr>
          </w:p>
        </w:tc>
        <w:tc>
          <w:tcPr>
            <w:tcW w:w="820" w:type="dxa"/>
            <w:vAlign w:val="bottom"/>
            <w:tcBorders>
              <w:bottom w:val="single" w:sz="8" w:color="125288"/>
            </w:tcBorders>
          </w:tcPr>
          <w:p>
            <w:pPr>
              <w:spacing w:after="0"/>
              <w:rPr>
                <w:sz w:val="7"/>
                <w:szCs w:val="7"/>
                <w:color w:val="auto"/>
              </w:rPr>
            </w:pPr>
          </w:p>
        </w:tc>
        <w:tc>
          <w:tcPr>
            <w:tcW w:w="760" w:type="dxa"/>
            <w:vAlign w:val="bottom"/>
            <w:tcBorders>
              <w:bottom w:val="single" w:sz="8" w:color="125288"/>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6353175</wp:posOffset>
            </wp:positionH>
            <wp:positionV relativeFrom="paragraph">
              <wp:posOffset>-2052955</wp:posOffset>
            </wp:positionV>
            <wp:extent cx="98425" cy="9842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-1554480</wp:posOffset>
            </wp:positionV>
            <wp:extent cx="98425" cy="9842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-935355</wp:posOffset>
            </wp:positionV>
            <wp:extent cx="98425" cy="9842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6851015</wp:posOffset>
            </wp:positionH>
            <wp:positionV relativeFrom="paragraph">
              <wp:posOffset>-437515</wp:posOffset>
            </wp:positionV>
            <wp:extent cx="98425" cy="9842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Other Cash Programs or Awards</w:t>
      </w:r>
    </w:p>
    <w:p>
      <w:pPr>
        <w:spacing w:after="0" w:line="142"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Each of Mr. Bulatao and Mr. Dixton received cash inducements and other benefits in connection with joining the Company, some or all of which were paid during 2021.</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20" w:type="dxa"/>
            <w:vAlign w:val="bottom"/>
          </w:tcPr>
          <w:p>
            <w:pPr>
              <w:ind w:left="40"/>
              <w:spacing w:after="0"/>
              <w:rPr>
                <w:sz w:val="20"/>
                <w:szCs w:val="20"/>
                <w:color w:val="auto"/>
              </w:rPr>
            </w:pPr>
            <w:r>
              <w:rPr>
                <w:rFonts w:ascii="Arial" w:cs="Arial" w:eastAsia="Arial" w:hAnsi="Arial"/>
                <w:sz w:val="15"/>
                <w:szCs w:val="15"/>
                <w:b w:val="1"/>
                <w:bCs w:val="1"/>
                <w:color w:val="125288"/>
              </w:rPr>
              <w:t>Executive</w:t>
            </w:r>
          </w:p>
        </w:tc>
        <w:tc>
          <w:tcPr>
            <w:tcW w:w="1480" w:type="dxa"/>
            <w:vAlign w:val="bottom"/>
          </w:tcPr>
          <w:p>
            <w:pPr>
              <w:jc w:val="right"/>
              <w:ind w:right="198"/>
              <w:spacing w:after="0"/>
              <w:rPr>
                <w:sz w:val="20"/>
                <w:szCs w:val="20"/>
                <w:color w:val="auto"/>
              </w:rPr>
            </w:pPr>
            <w:r>
              <w:rPr>
                <w:rFonts w:ascii="Arial" w:cs="Arial" w:eastAsia="Arial" w:hAnsi="Arial"/>
                <w:sz w:val="15"/>
                <w:szCs w:val="15"/>
                <w:b w:val="1"/>
                <w:bCs w:val="1"/>
                <w:color w:val="125288"/>
              </w:rPr>
              <w:t>Target Value</w:t>
            </w:r>
          </w:p>
        </w:tc>
        <w:tc>
          <w:tcPr>
            <w:tcW w:w="4120" w:type="dxa"/>
            <w:vAlign w:val="bottom"/>
          </w:tcPr>
          <w:p>
            <w:pPr>
              <w:ind w:left="260"/>
              <w:spacing w:after="0"/>
              <w:rPr>
                <w:sz w:val="20"/>
                <w:szCs w:val="20"/>
                <w:color w:val="auto"/>
              </w:rPr>
            </w:pPr>
            <w:r>
              <w:rPr>
                <w:rFonts w:ascii="Arial" w:cs="Arial" w:eastAsia="Arial" w:hAnsi="Arial"/>
                <w:sz w:val="15"/>
                <w:szCs w:val="15"/>
                <w:b w:val="1"/>
                <w:bCs w:val="1"/>
                <w:color w:val="125288"/>
              </w:rPr>
              <w:t>Purpose and Details</w:t>
            </w:r>
          </w:p>
        </w:tc>
        <w:tc>
          <w:tcPr>
            <w:tcW w:w="3640" w:type="dxa"/>
            <w:vAlign w:val="bottom"/>
          </w:tcPr>
          <w:p>
            <w:pPr>
              <w:ind w:left="180"/>
              <w:spacing w:after="0"/>
              <w:rPr>
                <w:sz w:val="20"/>
                <w:szCs w:val="20"/>
                <w:color w:val="auto"/>
              </w:rPr>
            </w:pPr>
            <w:r>
              <w:rPr>
                <w:rFonts w:ascii="Arial" w:cs="Arial" w:eastAsia="Arial" w:hAnsi="Arial"/>
                <w:sz w:val="15"/>
                <w:szCs w:val="15"/>
                <w:b w:val="1"/>
                <w:bCs w:val="1"/>
                <w:color w:val="125288"/>
              </w:rPr>
              <w:t>Effect of Clawback</w:t>
            </w:r>
          </w:p>
        </w:tc>
      </w:tr>
      <w:tr>
        <w:trPr>
          <w:trHeight w:val="41"/>
        </w:trPr>
        <w:tc>
          <w:tcPr>
            <w:tcW w:w="2020" w:type="dxa"/>
            <w:vAlign w:val="bottom"/>
            <w:tcBorders>
              <w:bottom w:val="single" w:sz="8" w:color="125288"/>
            </w:tcBorders>
          </w:tcPr>
          <w:p>
            <w:pPr>
              <w:spacing w:after="0"/>
              <w:rPr>
                <w:sz w:val="3"/>
                <w:szCs w:val="3"/>
                <w:color w:val="auto"/>
              </w:rPr>
            </w:pPr>
          </w:p>
        </w:tc>
        <w:tc>
          <w:tcPr>
            <w:tcW w:w="1480" w:type="dxa"/>
            <w:vAlign w:val="bottom"/>
            <w:tcBorders>
              <w:bottom w:val="single" w:sz="8" w:color="125288"/>
            </w:tcBorders>
          </w:tcPr>
          <w:p>
            <w:pPr>
              <w:spacing w:after="0"/>
              <w:rPr>
                <w:sz w:val="3"/>
                <w:szCs w:val="3"/>
                <w:color w:val="auto"/>
              </w:rPr>
            </w:pPr>
          </w:p>
        </w:tc>
        <w:tc>
          <w:tcPr>
            <w:tcW w:w="4120" w:type="dxa"/>
            <w:vAlign w:val="bottom"/>
            <w:tcBorders>
              <w:bottom w:val="single" w:sz="8" w:color="125288"/>
            </w:tcBorders>
          </w:tcPr>
          <w:p>
            <w:pPr>
              <w:spacing w:after="0"/>
              <w:rPr>
                <w:sz w:val="3"/>
                <w:szCs w:val="3"/>
                <w:color w:val="auto"/>
              </w:rPr>
            </w:pPr>
          </w:p>
        </w:tc>
        <w:tc>
          <w:tcPr>
            <w:tcW w:w="3640" w:type="dxa"/>
            <w:vAlign w:val="bottom"/>
            <w:tcBorders>
              <w:bottom w:val="single" w:sz="8" w:color="125288"/>
            </w:tcBorders>
          </w:tcPr>
          <w:p>
            <w:pPr>
              <w:spacing w:after="0"/>
              <w:rPr>
                <w:sz w:val="3"/>
                <w:szCs w:val="3"/>
                <w:color w:val="auto"/>
              </w:rPr>
            </w:pPr>
          </w:p>
        </w:tc>
      </w:tr>
      <w:tr>
        <w:trPr>
          <w:trHeight w:val="265"/>
        </w:trPr>
        <w:tc>
          <w:tcPr>
            <w:tcW w:w="2020" w:type="dxa"/>
            <w:vAlign w:val="bottom"/>
          </w:tcPr>
          <w:p>
            <w:pPr>
              <w:ind w:left="40"/>
              <w:spacing w:after="0"/>
              <w:rPr>
                <w:sz w:val="20"/>
                <w:szCs w:val="20"/>
                <w:color w:val="auto"/>
              </w:rPr>
            </w:pPr>
            <w:r>
              <w:rPr>
                <w:rFonts w:ascii="Arial" w:cs="Arial" w:eastAsia="Arial" w:hAnsi="Arial"/>
                <w:sz w:val="17"/>
                <w:szCs w:val="17"/>
                <w:b w:val="1"/>
                <w:bCs w:val="1"/>
                <w:color w:val="auto"/>
              </w:rPr>
              <w:t>Brian Bulatao</w:t>
            </w:r>
          </w:p>
        </w:tc>
        <w:tc>
          <w:tcPr>
            <w:tcW w:w="1480" w:type="dxa"/>
            <w:vAlign w:val="bottom"/>
          </w:tcPr>
          <w:p>
            <w:pPr>
              <w:jc w:val="right"/>
              <w:ind w:right="198"/>
              <w:spacing w:after="0"/>
              <w:rPr>
                <w:sz w:val="20"/>
                <w:szCs w:val="20"/>
                <w:color w:val="auto"/>
              </w:rPr>
            </w:pPr>
            <w:r>
              <w:rPr>
                <w:rFonts w:ascii="Arial" w:cs="Arial" w:eastAsia="Arial" w:hAnsi="Arial"/>
                <w:sz w:val="17"/>
                <w:szCs w:val="17"/>
                <w:color w:val="auto"/>
              </w:rPr>
              <w:t>$500,000</w:t>
            </w:r>
          </w:p>
        </w:tc>
        <w:tc>
          <w:tcPr>
            <w:tcW w:w="4120" w:type="dxa"/>
            <w:vAlign w:val="bottom"/>
          </w:tcPr>
          <w:p>
            <w:pPr>
              <w:ind w:left="260"/>
              <w:spacing w:after="0"/>
              <w:rPr>
                <w:sz w:val="20"/>
                <w:szCs w:val="20"/>
                <w:color w:val="auto"/>
              </w:rPr>
            </w:pPr>
            <w:r>
              <w:rPr>
                <w:rFonts w:ascii="Arial" w:cs="Arial" w:eastAsia="Arial" w:hAnsi="Arial"/>
                <w:sz w:val="17"/>
                <w:szCs w:val="17"/>
                <w:color w:val="auto"/>
              </w:rPr>
              <w:t>First half of cash inducement</w:t>
            </w:r>
          </w:p>
        </w:tc>
        <w:tc>
          <w:tcPr>
            <w:tcW w:w="3640" w:type="dxa"/>
            <w:vAlign w:val="bottom"/>
          </w:tcPr>
          <w:p>
            <w:pPr>
              <w:ind w:left="180"/>
              <w:spacing w:after="0"/>
              <w:rPr>
                <w:sz w:val="20"/>
                <w:szCs w:val="20"/>
                <w:color w:val="auto"/>
              </w:rPr>
            </w:pPr>
            <w:r>
              <w:rPr>
                <w:rFonts w:ascii="Arial" w:cs="Arial" w:eastAsia="Arial" w:hAnsi="Arial"/>
                <w:sz w:val="17"/>
                <w:szCs w:val="17"/>
                <w:color w:val="auto"/>
              </w:rPr>
              <w:t>100% if termination occurred before end of</w:t>
            </w:r>
          </w:p>
        </w:tc>
      </w:tr>
      <w:tr>
        <w:trPr>
          <w:trHeight w:val="201"/>
        </w:trPr>
        <w:tc>
          <w:tcPr>
            <w:tcW w:w="2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640" w:type="dxa"/>
            <w:vAlign w:val="bottom"/>
          </w:tcPr>
          <w:p>
            <w:pPr>
              <w:ind w:left="180"/>
              <w:spacing w:after="0"/>
              <w:rPr>
                <w:sz w:val="20"/>
                <w:szCs w:val="20"/>
                <w:color w:val="auto"/>
              </w:rPr>
            </w:pPr>
            <w:r>
              <w:rPr>
                <w:rFonts w:ascii="Arial" w:cs="Arial" w:eastAsia="Arial" w:hAnsi="Arial"/>
                <w:sz w:val="17"/>
                <w:szCs w:val="17"/>
                <w:color w:val="auto"/>
              </w:rPr>
              <w:t>2021</w:t>
            </w:r>
          </w:p>
        </w:tc>
      </w:tr>
      <w:tr>
        <w:trPr>
          <w:trHeight w:val="85"/>
        </w:trPr>
        <w:tc>
          <w:tcPr>
            <w:tcW w:w="2020" w:type="dxa"/>
            <w:vAlign w:val="bottom"/>
          </w:tcPr>
          <w:p>
            <w:pPr>
              <w:spacing w:after="0"/>
              <w:rPr>
                <w:sz w:val="7"/>
                <w:szCs w:val="7"/>
                <w:color w:val="auto"/>
              </w:rPr>
            </w:pPr>
          </w:p>
        </w:tc>
        <w:tc>
          <w:tcPr>
            <w:tcW w:w="1480" w:type="dxa"/>
            <w:vAlign w:val="bottom"/>
            <w:tcBorders>
              <w:bottom w:val="single" w:sz="8" w:color="125288"/>
            </w:tcBorders>
          </w:tcPr>
          <w:p>
            <w:pPr>
              <w:spacing w:after="0"/>
              <w:rPr>
                <w:sz w:val="7"/>
                <w:szCs w:val="7"/>
                <w:color w:val="auto"/>
              </w:rPr>
            </w:pPr>
          </w:p>
        </w:tc>
        <w:tc>
          <w:tcPr>
            <w:tcW w:w="4120" w:type="dxa"/>
            <w:vAlign w:val="bottom"/>
            <w:tcBorders>
              <w:bottom w:val="single" w:sz="8" w:color="125288"/>
            </w:tcBorders>
          </w:tcPr>
          <w:p>
            <w:pPr>
              <w:spacing w:after="0"/>
              <w:rPr>
                <w:sz w:val="7"/>
                <w:szCs w:val="7"/>
                <w:color w:val="auto"/>
              </w:rPr>
            </w:pPr>
          </w:p>
        </w:tc>
        <w:tc>
          <w:tcPr>
            <w:tcW w:w="3640" w:type="dxa"/>
            <w:vAlign w:val="bottom"/>
            <w:tcBorders>
              <w:bottom w:val="single" w:sz="8" w:color="125288"/>
            </w:tcBorders>
          </w:tcPr>
          <w:p>
            <w:pPr>
              <w:spacing w:after="0"/>
              <w:rPr>
                <w:sz w:val="7"/>
                <w:szCs w:val="7"/>
                <w:color w:val="auto"/>
              </w:rPr>
            </w:pPr>
          </w:p>
        </w:tc>
      </w:tr>
      <w:tr>
        <w:trPr>
          <w:trHeight w:val="265"/>
        </w:trPr>
        <w:tc>
          <w:tcPr>
            <w:tcW w:w="2020" w:type="dxa"/>
            <w:vAlign w:val="bottom"/>
          </w:tcPr>
          <w:p>
            <w:pPr>
              <w:spacing w:after="0"/>
              <w:rPr>
                <w:sz w:val="23"/>
                <w:szCs w:val="23"/>
                <w:color w:val="auto"/>
              </w:rPr>
            </w:pPr>
          </w:p>
        </w:tc>
        <w:tc>
          <w:tcPr>
            <w:tcW w:w="1480" w:type="dxa"/>
            <w:vAlign w:val="bottom"/>
          </w:tcPr>
          <w:p>
            <w:pPr>
              <w:jc w:val="right"/>
              <w:ind w:right="198"/>
              <w:spacing w:after="0"/>
              <w:rPr>
                <w:sz w:val="20"/>
                <w:szCs w:val="20"/>
                <w:color w:val="auto"/>
              </w:rPr>
            </w:pPr>
            <w:r>
              <w:rPr>
                <w:rFonts w:ascii="Arial" w:cs="Arial" w:eastAsia="Arial" w:hAnsi="Arial"/>
                <w:sz w:val="17"/>
                <w:szCs w:val="17"/>
                <w:color w:val="auto"/>
              </w:rPr>
              <w:t>$12,050</w:t>
            </w:r>
          </w:p>
        </w:tc>
        <w:tc>
          <w:tcPr>
            <w:tcW w:w="4120" w:type="dxa"/>
            <w:vAlign w:val="bottom"/>
          </w:tcPr>
          <w:p>
            <w:pPr>
              <w:ind w:left="260"/>
              <w:spacing w:after="0"/>
              <w:rPr>
                <w:sz w:val="20"/>
                <w:szCs w:val="20"/>
                <w:color w:val="auto"/>
              </w:rPr>
            </w:pPr>
            <w:r>
              <w:rPr>
                <w:rFonts w:ascii="Arial" w:cs="Arial" w:eastAsia="Arial" w:hAnsi="Arial"/>
                <w:sz w:val="17"/>
                <w:szCs w:val="17"/>
                <w:color w:val="auto"/>
              </w:rPr>
              <w:t>Legal fees incurred in connection with</w:t>
            </w:r>
          </w:p>
        </w:tc>
        <w:tc>
          <w:tcPr>
            <w:tcW w:w="3640" w:type="dxa"/>
            <w:vAlign w:val="bottom"/>
          </w:tcPr>
          <w:p>
            <w:pPr>
              <w:ind w:left="180"/>
              <w:spacing w:after="0"/>
              <w:rPr>
                <w:sz w:val="20"/>
                <w:szCs w:val="20"/>
                <w:color w:val="auto"/>
              </w:rPr>
            </w:pPr>
            <w:r>
              <w:rPr>
                <w:rFonts w:ascii="Arial" w:cs="Arial" w:eastAsia="Arial" w:hAnsi="Arial"/>
                <w:sz w:val="17"/>
                <w:szCs w:val="17"/>
                <w:color w:val="auto"/>
              </w:rPr>
              <w:t>Not subject to clawback</w:t>
            </w:r>
          </w:p>
        </w:tc>
      </w:tr>
      <w:tr>
        <w:trPr>
          <w:trHeight w:val="201"/>
        </w:trPr>
        <w:tc>
          <w:tcPr>
            <w:tcW w:w="2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120" w:type="dxa"/>
            <w:vAlign w:val="bottom"/>
          </w:tcPr>
          <w:p>
            <w:pPr>
              <w:ind w:left="260"/>
              <w:spacing w:after="0"/>
              <w:rPr>
                <w:sz w:val="20"/>
                <w:szCs w:val="20"/>
                <w:color w:val="auto"/>
              </w:rPr>
            </w:pPr>
            <w:r>
              <w:rPr>
                <w:rFonts w:ascii="Arial" w:cs="Arial" w:eastAsia="Arial" w:hAnsi="Arial"/>
                <w:sz w:val="17"/>
                <w:szCs w:val="17"/>
                <w:color w:val="auto"/>
              </w:rPr>
              <w:t>contract negotiations.</w:t>
            </w:r>
          </w:p>
        </w:tc>
        <w:tc>
          <w:tcPr>
            <w:tcW w:w="3640" w:type="dxa"/>
            <w:vAlign w:val="bottom"/>
          </w:tcPr>
          <w:p>
            <w:pPr>
              <w:spacing w:after="0"/>
              <w:rPr>
                <w:sz w:val="17"/>
                <w:szCs w:val="17"/>
                <w:color w:val="auto"/>
              </w:rPr>
            </w:pPr>
          </w:p>
        </w:tc>
      </w:tr>
      <w:tr>
        <w:trPr>
          <w:trHeight w:val="85"/>
        </w:trPr>
        <w:tc>
          <w:tcPr>
            <w:tcW w:w="2020" w:type="dxa"/>
            <w:vAlign w:val="bottom"/>
            <w:tcBorders>
              <w:bottom w:val="single" w:sz="8" w:color="125288"/>
            </w:tcBorders>
          </w:tcPr>
          <w:p>
            <w:pPr>
              <w:spacing w:after="0"/>
              <w:rPr>
                <w:sz w:val="7"/>
                <w:szCs w:val="7"/>
                <w:color w:val="auto"/>
              </w:rPr>
            </w:pPr>
          </w:p>
        </w:tc>
        <w:tc>
          <w:tcPr>
            <w:tcW w:w="1480" w:type="dxa"/>
            <w:vAlign w:val="bottom"/>
            <w:tcBorders>
              <w:bottom w:val="single" w:sz="8" w:color="125288"/>
            </w:tcBorders>
          </w:tcPr>
          <w:p>
            <w:pPr>
              <w:spacing w:after="0"/>
              <w:rPr>
                <w:sz w:val="7"/>
                <w:szCs w:val="7"/>
                <w:color w:val="auto"/>
              </w:rPr>
            </w:pPr>
          </w:p>
        </w:tc>
        <w:tc>
          <w:tcPr>
            <w:tcW w:w="4120" w:type="dxa"/>
            <w:vAlign w:val="bottom"/>
            <w:tcBorders>
              <w:bottom w:val="single" w:sz="8" w:color="125288"/>
            </w:tcBorders>
          </w:tcPr>
          <w:p>
            <w:pPr>
              <w:spacing w:after="0"/>
              <w:rPr>
                <w:sz w:val="7"/>
                <w:szCs w:val="7"/>
                <w:color w:val="auto"/>
              </w:rPr>
            </w:pPr>
          </w:p>
        </w:tc>
        <w:tc>
          <w:tcPr>
            <w:tcW w:w="3640" w:type="dxa"/>
            <w:vAlign w:val="bottom"/>
            <w:tcBorders>
              <w:bottom w:val="single" w:sz="8" w:color="125288"/>
            </w:tcBorders>
          </w:tcPr>
          <w:p>
            <w:pPr>
              <w:spacing w:after="0"/>
              <w:rPr>
                <w:sz w:val="7"/>
                <w:szCs w:val="7"/>
                <w:color w:val="auto"/>
              </w:rPr>
            </w:pPr>
          </w:p>
        </w:tc>
      </w:tr>
      <w:tr>
        <w:trPr>
          <w:trHeight w:val="265"/>
        </w:trPr>
        <w:tc>
          <w:tcPr>
            <w:tcW w:w="2020" w:type="dxa"/>
            <w:vAlign w:val="bottom"/>
          </w:tcPr>
          <w:p>
            <w:pPr>
              <w:ind w:left="40"/>
              <w:spacing w:after="0"/>
              <w:rPr>
                <w:sz w:val="20"/>
                <w:szCs w:val="20"/>
                <w:color w:val="auto"/>
              </w:rPr>
            </w:pPr>
            <w:r>
              <w:rPr>
                <w:rFonts w:ascii="Arial" w:cs="Arial" w:eastAsia="Arial" w:hAnsi="Arial"/>
                <w:sz w:val="17"/>
                <w:szCs w:val="17"/>
                <w:b w:val="1"/>
                <w:bCs w:val="1"/>
                <w:color w:val="auto"/>
              </w:rPr>
              <w:t>Grant Dixton</w:t>
            </w:r>
          </w:p>
        </w:tc>
        <w:tc>
          <w:tcPr>
            <w:tcW w:w="1480" w:type="dxa"/>
            <w:vAlign w:val="bottom"/>
          </w:tcPr>
          <w:p>
            <w:pPr>
              <w:jc w:val="right"/>
              <w:ind w:right="198"/>
              <w:spacing w:after="0"/>
              <w:rPr>
                <w:sz w:val="20"/>
                <w:szCs w:val="20"/>
                <w:color w:val="auto"/>
              </w:rPr>
            </w:pPr>
            <w:r>
              <w:rPr>
                <w:rFonts w:ascii="Arial" w:cs="Arial" w:eastAsia="Arial" w:hAnsi="Arial"/>
                <w:sz w:val="17"/>
                <w:szCs w:val="17"/>
                <w:color w:val="auto"/>
              </w:rPr>
              <w:t>$1,750,000</w:t>
            </w:r>
          </w:p>
        </w:tc>
        <w:tc>
          <w:tcPr>
            <w:tcW w:w="4120" w:type="dxa"/>
            <w:vAlign w:val="bottom"/>
          </w:tcPr>
          <w:p>
            <w:pPr>
              <w:ind w:left="260"/>
              <w:spacing w:after="0"/>
              <w:rPr>
                <w:sz w:val="20"/>
                <w:szCs w:val="20"/>
                <w:color w:val="auto"/>
              </w:rPr>
            </w:pPr>
            <w:r>
              <w:rPr>
                <w:rFonts w:ascii="Arial" w:cs="Arial" w:eastAsia="Arial" w:hAnsi="Arial"/>
                <w:sz w:val="17"/>
                <w:szCs w:val="17"/>
                <w:color w:val="auto"/>
              </w:rPr>
              <w:t>Cash inducement</w:t>
            </w:r>
          </w:p>
        </w:tc>
        <w:tc>
          <w:tcPr>
            <w:tcW w:w="3640" w:type="dxa"/>
            <w:vAlign w:val="bottom"/>
          </w:tcPr>
          <w:p>
            <w:pPr>
              <w:ind w:left="180"/>
              <w:spacing w:after="0"/>
              <w:rPr>
                <w:sz w:val="20"/>
                <w:szCs w:val="20"/>
                <w:color w:val="auto"/>
              </w:rPr>
            </w:pPr>
            <w:r>
              <w:rPr>
                <w:rFonts w:ascii="Arial" w:cs="Arial" w:eastAsia="Arial" w:hAnsi="Arial"/>
                <w:sz w:val="17"/>
                <w:szCs w:val="17"/>
                <w:color w:val="auto"/>
              </w:rPr>
              <w:t>100% if termination occurs before ~ one year</w:t>
            </w:r>
          </w:p>
        </w:tc>
      </w:tr>
      <w:tr>
        <w:trPr>
          <w:trHeight w:val="190"/>
        </w:trPr>
        <w:tc>
          <w:tcPr>
            <w:tcW w:w="20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3640" w:type="dxa"/>
            <w:vAlign w:val="bottom"/>
          </w:tcPr>
          <w:p>
            <w:pPr>
              <w:ind w:left="180"/>
              <w:spacing w:after="0" w:line="190" w:lineRule="exact"/>
              <w:rPr>
                <w:sz w:val="20"/>
                <w:szCs w:val="20"/>
                <w:color w:val="auto"/>
              </w:rPr>
            </w:pPr>
            <w:r>
              <w:rPr>
                <w:rFonts w:ascii="Arial" w:cs="Arial" w:eastAsia="Arial" w:hAnsi="Arial"/>
                <w:sz w:val="17"/>
                <w:szCs w:val="17"/>
                <w:color w:val="auto"/>
              </w:rPr>
              <w:t>2/3 if termination occurs before ~ two years</w:t>
            </w:r>
          </w:p>
        </w:tc>
      </w:tr>
      <w:tr>
        <w:trPr>
          <w:trHeight w:val="201"/>
        </w:trPr>
        <w:tc>
          <w:tcPr>
            <w:tcW w:w="2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640" w:type="dxa"/>
            <w:vAlign w:val="bottom"/>
          </w:tcPr>
          <w:p>
            <w:pPr>
              <w:ind w:left="180"/>
              <w:spacing w:after="0"/>
              <w:rPr>
                <w:sz w:val="20"/>
                <w:szCs w:val="20"/>
                <w:color w:val="auto"/>
              </w:rPr>
            </w:pPr>
            <w:r>
              <w:rPr>
                <w:rFonts w:ascii="Arial" w:cs="Arial" w:eastAsia="Arial" w:hAnsi="Arial"/>
                <w:sz w:val="17"/>
                <w:szCs w:val="17"/>
                <w:color w:val="auto"/>
              </w:rPr>
              <w:t>1/3 if termination occurs before ~ three years</w:t>
            </w:r>
          </w:p>
        </w:tc>
      </w:tr>
      <w:tr>
        <w:trPr>
          <w:trHeight w:val="85"/>
        </w:trPr>
        <w:tc>
          <w:tcPr>
            <w:tcW w:w="2020" w:type="dxa"/>
            <w:vAlign w:val="bottom"/>
          </w:tcPr>
          <w:p>
            <w:pPr>
              <w:spacing w:after="0"/>
              <w:rPr>
                <w:sz w:val="7"/>
                <w:szCs w:val="7"/>
                <w:color w:val="auto"/>
              </w:rPr>
            </w:pPr>
          </w:p>
        </w:tc>
        <w:tc>
          <w:tcPr>
            <w:tcW w:w="1480" w:type="dxa"/>
            <w:vAlign w:val="bottom"/>
            <w:tcBorders>
              <w:bottom w:val="single" w:sz="8" w:color="125288"/>
            </w:tcBorders>
          </w:tcPr>
          <w:p>
            <w:pPr>
              <w:spacing w:after="0"/>
              <w:rPr>
                <w:sz w:val="7"/>
                <w:szCs w:val="7"/>
                <w:color w:val="auto"/>
              </w:rPr>
            </w:pPr>
          </w:p>
        </w:tc>
        <w:tc>
          <w:tcPr>
            <w:tcW w:w="4120" w:type="dxa"/>
            <w:vAlign w:val="bottom"/>
            <w:tcBorders>
              <w:bottom w:val="single" w:sz="8" w:color="125288"/>
            </w:tcBorders>
          </w:tcPr>
          <w:p>
            <w:pPr>
              <w:spacing w:after="0"/>
              <w:rPr>
                <w:sz w:val="7"/>
                <w:szCs w:val="7"/>
                <w:color w:val="auto"/>
              </w:rPr>
            </w:pPr>
          </w:p>
        </w:tc>
        <w:tc>
          <w:tcPr>
            <w:tcW w:w="3640" w:type="dxa"/>
            <w:vAlign w:val="bottom"/>
            <w:tcBorders>
              <w:bottom w:val="single" w:sz="8" w:color="125288"/>
            </w:tcBorders>
          </w:tcPr>
          <w:p>
            <w:pPr>
              <w:spacing w:after="0"/>
              <w:rPr>
                <w:sz w:val="7"/>
                <w:szCs w:val="7"/>
                <w:color w:val="auto"/>
              </w:rPr>
            </w:pPr>
          </w:p>
        </w:tc>
      </w:tr>
      <w:tr>
        <w:trPr>
          <w:trHeight w:val="265"/>
        </w:trPr>
        <w:tc>
          <w:tcPr>
            <w:tcW w:w="2020" w:type="dxa"/>
            <w:vAlign w:val="bottom"/>
          </w:tcPr>
          <w:p>
            <w:pPr>
              <w:spacing w:after="0"/>
              <w:rPr>
                <w:sz w:val="23"/>
                <w:szCs w:val="23"/>
                <w:color w:val="auto"/>
              </w:rPr>
            </w:pPr>
          </w:p>
        </w:tc>
        <w:tc>
          <w:tcPr>
            <w:tcW w:w="1480" w:type="dxa"/>
            <w:vAlign w:val="bottom"/>
          </w:tcPr>
          <w:p>
            <w:pPr>
              <w:jc w:val="right"/>
              <w:ind w:right="198"/>
              <w:spacing w:after="0"/>
              <w:rPr>
                <w:sz w:val="20"/>
                <w:szCs w:val="20"/>
                <w:color w:val="auto"/>
              </w:rPr>
            </w:pPr>
            <w:r>
              <w:rPr>
                <w:rFonts w:ascii="Arial" w:cs="Arial" w:eastAsia="Arial" w:hAnsi="Arial"/>
                <w:sz w:val="17"/>
                <w:szCs w:val="17"/>
                <w:color w:val="auto"/>
              </w:rPr>
              <w:t>$151,349</w:t>
            </w:r>
          </w:p>
        </w:tc>
        <w:tc>
          <w:tcPr>
            <w:tcW w:w="4120" w:type="dxa"/>
            <w:vAlign w:val="bottom"/>
          </w:tcPr>
          <w:p>
            <w:pPr>
              <w:ind w:left="260"/>
              <w:spacing w:after="0"/>
              <w:rPr>
                <w:sz w:val="20"/>
                <w:szCs w:val="20"/>
                <w:color w:val="auto"/>
              </w:rPr>
            </w:pPr>
            <w:r>
              <w:rPr>
                <w:rFonts w:ascii="Arial" w:cs="Arial" w:eastAsia="Arial" w:hAnsi="Arial"/>
                <w:sz w:val="17"/>
                <w:szCs w:val="17"/>
                <w:color w:val="auto"/>
              </w:rPr>
              <w:t>Value of relocation benefits and reimbursement of</w:t>
            </w:r>
          </w:p>
        </w:tc>
        <w:tc>
          <w:tcPr>
            <w:tcW w:w="3640" w:type="dxa"/>
            <w:vAlign w:val="bottom"/>
          </w:tcPr>
          <w:p>
            <w:pPr>
              <w:ind w:left="180"/>
              <w:spacing w:after="0"/>
              <w:rPr>
                <w:sz w:val="20"/>
                <w:szCs w:val="20"/>
                <w:color w:val="auto"/>
              </w:rPr>
            </w:pPr>
            <w:r>
              <w:rPr>
                <w:rFonts w:ascii="Arial" w:cs="Arial" w:eastAsia="Arial" w:hAnsi="Arial"/>
                <w:sz w:val="17"/>
                <w:szCs w:val="17"/>
                <w:color w:val="auto"/>
              </w:rPr>
              <w:t>100% if termination occurs before the first</w:t>
            </w:r>
          </w:p>
        </w:tc>
      </w:tr>
      <w:tr>
        <w:trPr>
          <w:trHeight w:val="190"/>
        </w:trPr>
        <w:tc>
          <w:tcPr>
            <w:tcW w:w="20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120" w:type="dxa"/>
            <w:vAlign w:val="bottom"/>
          </w:tcPr>
          <w:p>
            <w:pPr>
              <w:ind w:left="260"/>
              <w:spacing w:after="0" w:line="190" w:lineRule="exact"/>
              <w:rPr>
                <w:sz w:val="20"/>
                <w:szCs w:val="20"/>
                <w:color w:val="auto"/>
              </w:rPr>
            </w:pPr>
            <w:r>
              <w:rPr>
                <w:rFonts w:ascii="Arial" w:cs="Arial" w:eastAsia="Arial" w:hAnsi="Arial"/>
                <w:sz w:val="17"/>
                <w:szCs w:val="17"/>
                <w:color w:val="auto"/>
              </w:rPr>
              <w:t>related taxes</w:t>
            </w:r>
          </w:p>
        </w:tc>
        <w:tc>
          <w:tcPr>
            <w:tcW w:w="3640" w:type="dxa"/>
            <w:vAlign w:val="bottom"/>
          </w:tcPr>
          <w:p>
            <w:pPr>
              <w:ind w:left="180"/>
              <w:spacing w:after="0" w:line="190" w:lineRule="exact"/>
              <w:rPr>
                <w:sz w:val="20"/>
                <w:szCs w:val="20"/>
                <w:color w:val="auto"/>
              </w:rPr>
            </w:pPr>
            <w:r>
              <w:rPr>
                <w:rFonts w:ascii="Arial" w:cs="Arial" w:eastAsia="Arial" w:hAnsi="Arial"/>
                <w:sz w:val="17"/>
                <w:szCs w:val="17"/>
                <w:color w:val="auto"/>
              </w:rPr>
              <w:t>anniversary of the effective date of his</w:t>
            </w:r>
          </w:p>
        </w:tc>
      </w:tr>
      <w:tr>
        <w:trPr>
          <w:trHeight w:val="201"/>
        </w:trPr>
        <w:tc>
          <w:tcPr>
            <w:tcW w:w="2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640" w:type="dxa"/>
            <w:vAlign w:val="bottom"/>
          </w:tcPr>
          <w:p>
            <w:pPr>
              <w:ind w:left="180"/>
              <w:spacing w:after="0"/>
              <w:rPr>
                <w:sz w:val="20"/>
                <w:szCs w:val="20"/>
                <w:color w:val="auto"/>
              </w:rPr>
            </w:pPr>
            <w:r>
              <w:rPr>
                <w:rFonts w:ascii="Arial" w:cs="Arial" w:eastAsia="Arial" w:hAnsi="Arial"/>
                <w:sz w:val="17"/>
                <w:szCs w:val="17"/>
                <w:color w:val="auto"/>
              </w:rPr>
              <w:t>employment agreement</w:t>
            </w:r>
          </w:p>
        </w:tc>
      </w:tr>
      <w:tr>
        <w:trPr>
          <w:trHeight w:val="85"/>
        </w:trPr>
        <w:tc>
          <w:tcPr>
            <w:tcW w:w="2020" w:type="dxa"/>
            <w:vAlign w:val="bottom"/>
          </w:tcPr>
          <w:p>
            <w:pPr>
              <w:spacing w:after="0"/>
              <w:rPr>
                <w:sz w:val="7"/>
                <w:szCs w:val="7"/>
                <w:color w:val="auto"/>
              </w:rPr>
            </w:pPr>
          </w:p>
        </w:tc>
        <w:tc>
          <w:tcPr>
            <w:tcW w:w="1480" w:type="dxa"/>
            <w:vAlign w:val="bottom"/>
            <w:tcBorders>
              <w:bottom w:val="single" w:sz="8" w:color="125288"/>
            </w:tcBorders>
          </w:tcPr>
          <w:p>
            <w:pPr>
              <w:spacing w:after="0"/>
              <w:rPr>
                <w:sz w:val="7"/>
                <w:szCs w:val="7"/>
                <w:color w:val="auto"/>
              </w:rPr>
            </w:pPr>
          </w:p>
        </w:tc>
        <w:tc>
          <w:tcPr>
            <w:tcW w:w="4120" w:type="dxa"/>
            <w:vAlign w:val="bottom"/>
            <w:tcBorders>
              <w:bottom w:val="single" w:sz="8" w:color="125288"/>
            </w:tcBorders>
          </w:tcPr>
          <w:p>
            <w:pPr>
              <w:spacing w:after="0"/>
              <w:rPr>
                <w:sz w:val="7"/>
                <w:szCs w:val="7"/>
                <w:color w:val="auto"/>
              </w:rPr>
            </w:pPr>
          </w:p>
        </w:tc>
        <w:tc>
          <w:tcPr>
            <w:tcW w:w="3640" w:type="dxa"/>
            <w:vAlign w:val="bottom"/>
            <w:tcBorders>
              <w:bottom w:val="single" w:sz="8" w:color="125288"/>
            </w:tcBorders>
          </w:tcPr>
          <w:p>
            <w:pPr>
              <w:spacing w:after="0"/>
              <w:rPr>
                <w:sz w:val="7"/>
                <w:szCs w:val="7"/>
                <w:color w:val="auto"/>
              </w:rPr>
            </w:pPr>
          </w:p>
        </w:tc>
      </w:tr>
      <w:tr>
        <w:trPr>
          <w:trHeight w:val="265"/>
        </w:trPr>
        <w:tc>
          <w:tcPr>
            <w:tcW w:w="2020" w:type="dxa"/>
            <w:vAlign w:val="bottom"/>
          </w:tcPr>
          <w:p>
            <w:pPr>
              <w:spacing w:after="0"/>
              <w:rPr>
                <w:sz w:val="23"/>
                <w:szCs w:val="23"/>
                <w:color w:val="auto"/>
              </w:rPr>
            </w:pPr>
          </w:p>
        </w:tc>
        <w:tc>
          <w:tcPr>
            <w:tcW w:w="1480" w:type="dxa"/>
            <w:vAlign w:val="bottom"/>
          </w:tcPr>
          <w:p>
            <w:pPr>
              <w:jc w:val="right"/>
              <w:ind w:right="198"/>
              <w:spacing w:after="0"/>
              <w:rPr>
                <w:sz w:val="20"/>
                <w:szCs w:val="20"/>
                <w:color w:val="auto"/>
              </w:rPr>
            </w:pPr>
            <w:r>
              <w:rPr>
                <w:rFonts w:ascii="Arial" w:cs="Arial" w:eastAsia="Arial" w:hAnsi="Arial"/>
                <w:sz w:val="17"/>
                <w:szCs w:val="17"/>
                <w:color w:val="auto"/>
              </w:rPr>
              <w:t>$6,923</w:t>
            </w:r>
          </w:p>
        </w:tc>
        <w:tc>
          <w:tcPr>
            <w:tcW w:w="4120" w:type="dxa"/>
            <w:vAlign w:val="bottom"/>
          </w:tcPr>
          <w:p>
            <w:pPr>
              <w:ind w:left="260"/>
              <w:spacing w:after="0"/>
              <w:rPr>
                <w:sz w:val="20"/>
                <w:szCs w:val="20"/>
                <w:color w:val="auto"/>
              </w:rPr>
            </w:pPr>
            <w:r>
              <w:rPr>
                <w:rFonts w:ascii="Arial" w:cs="Arial" w:eastAsia="Arial" w:hAnsi="Arial"/>
                <w:sz w:val="17"/>
                <w:szCs w:val="17"/>
                <w:color w:val="auto"/>
              </w:rPr>
              <w:t>Legal fees incurred in connection with contract</w:t>
            </w:r>
          </w:p>
        </w:tc>
        <w:tc>
          <w:tcPr>
            <w:tcW w:w="3640" w:type="dxa"/>
            <w:vAlign w:val="bottom"/>
          </w:tcPr>
          <w:p>
            <w:pPr>
              <w:ind w:left="180"/>
              <w:spacing w:after="0"/>
              <w:rPr>
                <w:sz w:val="20"/>
                <w:szCs w:val="20"/>
                <w:color w:val="auto"/>
              </w:rPr>
            </w:pPr>
            <w:r>
              <w:rPr>
                <w:rFonts w:ascii="Arial" w:cs="Arial" w:eastAsia="Arial" w:hAnsi="Arial"/>
                <w:sz w:val="17"/>
                <w:szCs w:val="17"/>
                <w:color w:val="auto"/>
              </w:rPr>
              <w:t>Not subject to clawback</w:t>
            </w:r>
          </w:p>
        </w:tc>
      </w:tr>
      <w:tr>
        <w:trPr>
          <w:trHeight w:val="201"/>
        </w:trPr>
        <w:tc>
          <w:tcPr>
            <w:tcW w:w="2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120" w:type="dxa"/>
            <w:vAlign w:val="bottom"/>
          </w:tcPr>
          <w:p>
            <w:pPr>
              <w:ind w:left="260"/>
              <w:spacing w:after="0"/>
              <w:rPr>
                <w:sz w:val="20"/>
                <w:szCs w:val="20"/>
                <w:color w:val="auto"/>
              </w:rPr>
            </w:pPr>
            <w:r>
              <w:rPr>
                <w:rFonts w:ascii="Arial" w:cs="Arial" w:eastAsia="Arial" w:hAnsi="Arial"/>
                <w:sz w:val="17"/>
                <w:szCs w:val="17"/>
                <w:color w:val="auto"/>
              </w:rPr>
              <w:t>negotiations.</w:t>
            </w:r>
          </w:p>
        </w:tc>
        <w:tc>
          <w:tcPr>
            <w:tcW w:w="3640" w:type="dxa"/>
            <w:vAlign w:val="bottom"/>
          </w:tcPr>
          <w:p>
            <w:pPr>
              <w:spacing w:after="0"/>
              <w:rPr>
                <w:sz w:val="17"/>
                <w:szCs w:val="17"/>
                <w:color w:val="auto"/>
              </w:rPr>
            </w:pPr>
          </w:p>
        </w:tc>
      </w:tr>
      <w:tr>
        <w:trPr>
          <w:trHeight w:val="85"/>
        </w:trPr>
        <w:tc>
          <w:tcPr>
            <w:tcW w:w="2020" w:type="dxa"/>
            <w:vAlign w:val="bottom"/>
            <w:tcBorders>
              <w:bottom w:val="single" w:sz="8" w:color="125288"/>
            </w:tcBorders>
          </w:tcPr>
          <w:p>
            <w:pPr>
              <w:spacing w:after="0"/>
              <w:rPr>
                <w:sz w:val="7"/>
                <w:szCs w:val="7"/>
                <w:color w:val="auto"/>
              </w:rPr>
            </w:pPr>
          </w:p>
        </w:tc>
        <w:tc>
          <w:tcPr>
            <w:tcW w:w="1480" w:type="dxa"/>
            <w:vAlign w:val="bottom"/>
            <w:tcBorders>
              <w:bottom w:val="single" w:sz="8" w:color="125288"/>
            </w:tcBorders>
          </w:tcPr>
          <w:p>
            <w:pPr>
              <w:spacing w:after="0"/>
              <w:rPr>
                <w:sz w:val="7"/>
                <w:szCs w:val="7"/>
                <w:color w:val="auto"/>
              </w:rPr>
            </w:pPr>
          </w:p>
        </w:tc>
        <w:tc>
          <w:tcPr>
            <w:tcW w:w="4120" w:type="dxa"/>
            <w:vAlign w:val="bottom"/>
            <w:tcBorders>
              <w:bottom w:val="single" w:sz="8" w:color="125288"/>
            </w:tcBorders>
          </w:tcPr>
          <w:p>
            <w:pPr>
              <w:spacing w:after="0"/>
              <w:rPr>
                <w:sz w:val="7"/>
                <w:szCs w:val="7"/>
                <w:color w:val="auto"/>
              </w:rPr>
            </w:pPr>
          </w:p>
        </w:tc>
        <w:tc>
          <w:tcPr>
            <w:tcW w:w="3640" w:type="dxa"/>
            <w:vAlign w:val="bottom"/>
            <w:tcBorders>
              <w:bottom w:val="single" w:sz="8" w:color="125288"/>
            </w:tcBorders>
          </w:tcPr>
          <w:p>
            <w:pPr>
              <w:spacing w:after="0"/>
              <w:rPr>
                <w:sz w:val="7"/>
                <w:szCs w:val="7"/>
                <w:color w:val="auto"/>
              </w:rPr>
            </w:pPr>
          </w:p>
        </w:tc>
      </w:tr>
    </w:tbl>
    <w:p>
      <w:pPr>
        <w:spacing w:after="0" w:line="268"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For more information, please see “—Employment Agreements—Brian Bulatao—Contract Inducement” and “—Employment Agreements—Grant Dixton—Contract Inducement” below.</w:t>
      </w:r>
    </w:p>
    <w:p>
      <w:pPr>
        <w:spacing w:after="0" w:line="150"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81" w:name="page82"/>
    <w:bookmarkEnd w:id="81"/>
    <w:p>
      <w:pPr>
        <w:ind w:left="5"/>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10" w:lineRule="exact"/>
        <w:rPr>
          <w:sz w:val="20"/>
          <w:szCs w:val="20"/>
          <w:color w:val="auto"/>
        </w:rPr>
      </w:pPr>
    </w:p>
    <w:p>
      <w:pPr>
        <w:ind w:left="5"/>
        <w:spacing w:after="0"/>
        <w:rPr>
          <w:sz w:val="20"/>
          <w:szCs w:val="20"/>
          <w:color w:val="auto"/>
        </w:rPr>
      </w:pPr>
      <w:r>
        <w:rPr>
          <w:rFonts w:ascii="Arial" w:cs="Arial" w:eastAsia="Arial" w:hAnsi="Arial"/>
          <w:sz w:val="24"/>
          <w:szCs w:val="24"/>
          <w:b w:val="1"/>
          <w:bCs w:val="1"/>
          <w:color w:val="auto"/>
        </w:rPr>
        <w:t>Equity Awards</w:t>
      </w:r>
    </w:p>
    <w:p>
      <w:pPr>
        <w:spacing w:after="0" w:line="143" w:lineRule="exact"/>
        <w:rPr>
          <w:sz w:val="20"/>
          <w:szCs w:val="20"/>
          <w:color w:val="auto"/>
        </w:rPr>
      </w:pPr>
    </w:p>
    <w:p>
      <w:pPr>
        <w:ind w:left="5"/>
        <w:spacing w:after="0"/>
        <w:rPr>
          <w:sz w:val="20"/>
          <w:szCs w:val="20"/>
          <w:color w:val="auto"/>
        </w:rPr>
      </w:pPr>
      <w:r>
        <w:rPr>
          <w:rFonts w:ascii="Arial" w:cs="Arial" w:eastAsia="Arial" w:hAnsi="Arial"/>
          <w:sz w:val="20"/>
          <w:szCs w:val="20"/>
          <w:color w:val="125288"/>
        </w:rPr>
        <w:t>Why We Grant Equity Awards</w:t>
      </w:r>
    </w:p>
    <w:p>
      <w:pPr>
        <w:spacing w:after="0" w:line="149" w:lineRule="exact"/>
        <w:rPr>
          <w:sz w:val="20"/>
          <w:szCs w:val="20"/>
          <w:color w:val="auto"/>
        </w:rPr>
      </w:pPr>
    </w:p>
    <w:p>
      <w:pPr>
        <w:ind w:left="5"/>
        <w:spacing w:after="0" w:line="245" w:lineRule="auto"/>
        <w:rPr>
          <w:sz w:val="20"/>
          <w:szCs w:val="20"/>
          <w:color w:val="auto"/>
        </w:rPr>
      </w:pPr>
      <w:r>
        <w:rPr>
          <w:rFonts w:ascii="Arial" w:cs="Arial" w:eastAsia="Arial" w:hAnsi="Arial"/>
          <w:sz w:val="19"/>
          <w:szCs w:val="19"/>
          <w:color w:val="auto"/>
        </w:rPr>
        <w:t>Our equity incentive awards are intended to drive long-term shareholder value creation, create alignment with our shareholders’ interests, and encourage retention of key executives. Generally, we utilize a mix of:</w:t>
      </w:r>
    </w:p>
    <w:p>
      <w:pPr>
        <w:spacing w:after="0" w:line="125" w:lineRule="exact"/>
        <w:rPr>
          <w:sz w:val="20"/>
          <w:szCs w:val="20"/>
          <w:color w:val="auto"/>
        </w:rPr>
      </w:pPr>
    </w:p>
    <w:p>
      <w:pPr>
        <w:ind w:left="145" w:right="40" w:hanging="145"/>
        <w:spacing w:after="0" w:line="245" w:lineRule="auto"/>
        <w:tabs>
          <w:tab w:leader="none" w:pos="145" w:val="left"/>
        </w:tabs>
        <w:numPr>
          <w:ilvl w:val="0"/>
          <w:numId w:val="99"/>
        </w:numPr>
        <w:rPr>
          <w:rFonts w:ascii="Arial" w:cs="Arial" w:eastAsia="Arial" w:hAnsi="Arial"/>
          <w:sz w:val="19"/>
          <w:szCs w:val="19"/>
          <w:color w:val="125288"/>
        </w:rPr>
      </w:pPr>
      <w:r>
        <w:rPr>
          <w:rFonts w:ascii="Arial" w:cs="Arial" w:eastAsia="Arial" w:hAnsi="Arial"/>
          <w:sz w:val="19"/>
          <w:szCs w:val="19"/>
          <w:color w:val="auto"/>
        </w:rPr>
        <w:t>PSUs, which are designed to incentivize our executives to achieve specific performance objectives that align with our multi-year business strategy; and</w:t>
      </w:r>
    </w:p>
    <w:p>
      <w:pPr>
        <w:spacing w:after="0" w:line="124"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99"/>
        </w:numPr>
        <w:rPr>
          <w:rFonts w:ascii="Arial" w:cs="Arial" w:eastAsia="Arial" w:hAnsi="Arial"/>
          <w:sz w:val="19"/>
          <w:szCs w:val="19"/>
          <w:color w:val="125288"/>
        </w:rPr>
      </w:pPr>
      <w:r>
        <w:rPr>
          <w:rFonts w:ascii="Arial" w:cs="Arial" w:eastAsia="Arial" w:hAnsi="Arial"/>
          <w:sz w:val="19"/>
          <w:szCs w:val="19"/>
          <w:color w:val="auto"/>
        </w:rPr>
        <w:t>stock options, which directly align an executive’s interests to those of our shareholders, since any financial gain is directly dependent upon appreciation in the value of our Common Stock.</w:t>
      </w:r>
    </w:p>
    <w:p>
      <w:pPr>
        <w:spacing w:after="0" w:line="125" w:lineRule="exact"/>
        <w:rPr>
          <w:sz w:val="20"/>
          <w:szCs w:val="20"/>
          <w:color w:val="auto"/>
        </w:rPr>
      </w:pPr>
    </w:p>
    <w:p>
      <w:pPr>
        <w:jc w:val="both"/>
        <w:ind w:left="5" w:right="20"/>
        <w:spacing w:after="0" w:line="238" w:lineRule="auto"/>
        <w:rPr>
          <w:sz w:val="20"/>
          <w:szCs w:val="20"/>
          <w:color w:val="auto"/>
        </w:rPr>
      </w:pPr>
      <w:r>
        <w:rPr>
          <w:rFonts w:ascii="Arial" w:cs="Arial" w:eastAsia="Arial" w:hAnsi="Arial"/>
          <w:sz w:val="19"/>
          <w:szCs w:val="19"/>
          <w:color w:val="auto"/>
        </w:rPr>
        <w:t>We believe a combination of PSUs and stock options appropriately balances the various objectives of the equity incentive program, promoting long-term value creation critical to driving TSR, directly aligning executive compensation with shareholder interests through share ownership, and encouraging our key executives to remain engaged with our organization through the vesting date of the awards.</w:t>
      </w:r>
    </w:p>
    <w:p>
      <w:pPr>
        <w:spacing w:after="0" w:line="263" w:lineRule="exact"/>
        <w:rPr>
          <w:sz w:val="20"/>
          <w:szCs w:val="20"/>
          <w:color w:val="auto"/>
        </w:rPr>
      </w:pPr>
    </w:p>
    <w:p>
      <w:pPr>
        <w:jc w:val="both"/>
        <w:ind w:left="5"/>
        <w:spacing w:after="0" w:line="238" w:lineRule="auto"/>
        <w:rPr>
          <w:sz w:val="20"/>
          <w:szCs w:val="20"/>
          <w:color w:val="auto"/>
        </w:rPr>
      </w:pPr>
      <w:r>
        <w:rPr>
          <w:rFonts w:ascii="Arial" w:cs="Arial" w:eastAsia="Arial" w:hAnsi="Arial"/>
          <w:sz w:val="19"/>
          <w:szCs w:val="19"/>
          <w:color w:val="auto"/>
        </w:rPr>
        <w:t>In determining the estimated grant value of equity awards to an executive officer, the Compensation Committee considers a number of factors, including the executive’s role, their performance and annualized total compensation opportunities, and the total compensation opportunities of the executive’s peers within the Company and in comparable positions or with similar responsibilities at other companies by reference to data from our peer group and published surveys.</w:t>
      </w:r>
    </w:p>
    <w:p>
      <w:pPr>
        <w:spacing w:after="0" w:line="264" w:lineRule="exact"/>
        <w:rPr>
          <w:sz w:val="20"/>
          <w:szCs w:val="20"/>
          <w:color w:val="auto"/>
        </w:rPr>
      </w:pPr>
    </w:p>
    <w:p>
      <w:pPr>
        <w:ind w:left="5"/>
        <w:spacing w:after="0"/>
        <w:rPr>
          <w:sz w:val="20"/>
          <w:szCs w:val="20"/>
          <w:color w:val="auto"/>
        </w:rPr>
      </w:pPr>
      <w:r>
        <w:rPr>
          <w:rFonts w:ascii="Arial" w:cs="Arial" w:eastAsia="Arial" w:hAnsi="Arial"/>
          <w:sz w:val="20"/>
          <w:szCs w:val="20"/>
          <w:color w:val="125288"/>
        </w:rPr>
        <w:t>Disciplined Use of Equity Results in Low Dilution for Shareholders</w:t>
      </w:r>
    </w:p>
    <w:p>
      <w:pPr>
        <w:spacing w:after="0" w:line="149" w:lineRule="exact"/>
        <w:rPr>
          <w:sz w:val="20"/>
          <w:szCs w:val="20"/>
          <w:color w:val="auto"/>
        </w:rPr>
      </w:pPr>
    </w:p>
    <w:p>
      <w:pPr>
        <w:jc w:val="both"/>
        <w:ind w:left="5"/>
        <w:spacing w:after="0" w:line="237" w:lineRule="auto"/>
        <w:rPr>
          <w:sz w:val="20"/>
          <w:szCs w:val="20"/>
          <w:color w:val="auto"/>
        </w:rPr>
      </w:pPr>
      <w:r>
        <w:rPr>
          <w:rFonts w:ascii="Arial" w:cs="Arial" w:eastAsia="Arial" w:hAnsi="Arial"/>
          <w:sz w:val="19"/>
          <w:szCs w:val="19"/>
          <w:color w:val="auto"/>
        </w:rPr>
        <w:t>We believe that equity awards are an important part of our compensation program and, in addition to assessing individual award levels versus the market, we assess our overall equity usage against attainment of our recruiting and retention objectives. In the past three years, we have judiciously used equity at below-median overall levels in comparison to our peers. Our average run rate (the total number of shares and options granted in a year, with full value awards counted at a premium based on stock price volatility, divided by our basic weighted average common shares outstanding for that year) over the last three years was 1.9%, ranking in the bottom quartile of our peer group. The three-year average run rate of the companies in our peer group ranged from 0.5% to 5.7%, with a median of 2.7%.</w:t>
      </w:r>
    </w:p>
    <w:p>
      <w:pPr>
        <w:spacing w:after="0" w:line="262" w:lineRule="exact"/>
        <w:rPr>
          <w:sz w:val="20"/>
          <w:szCs w:val="20"/>
          <w:color w:val="auto"/>
        </w:rPr>
      </w:pPr>
    </w:p>
    <w:p>
      <w:pPr>
        <w:ind w:left="5"/>
        <w:spacing w:after="0"/>
        <w:rPr>
          <w:sz w:val="20"/>
          <w:szCs w:val="20"/>
          <w:color w:val="auto"/>
        </w:rPr>
      </w:pPr>
      <w:r>
        <w:rPr>
          <w:rFonts w:ascii="Arial" w:cs="Arial" w:eastAsia="Arial" w:hAnsi="Arial"/>
          <w:sz w:val="20"/>
          <w:szCs w:val="20"/>
          <w:color w:val="125288"/>
        </w:rPr>
        <w:t>Use of Equity Awards to Incentivize 2021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7153910" cy="43561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3910" cy="435610"/>
                    </a:xfrm>
                    <a:prstGeom prst="rect">
                      <a:avLst/>
                    </a:prstGeom>
                    <a:noFill/>
                  </pic:spPr>
                </pic:pic>
              </a:graphicData>
            </a:graphic>
          </wp:anchor>
        </w:drawing>
      </w:r>
    </w:p>
    <w:p>
      <w:pPr>
        <w:spacing w:after="0" w:line="200" w:lineRule="exact"/>
        <w:rPr>
          <w:sz w:val="20"/>
          <w:szCs w:val="20"/>
          <w:color w:val="auto"/>
        </w:rPr>
      </w:pPr>
    </w:p>
    <w:p>
      <w:pPr>
        <w:jc w:val="both"/>
        <w:ind w:left="105" w:right="100"/>
        <w:spacing w:after="0" w:line="272" w:lineRule="auto"/>
        <w:rPr>
          <w:sz w:val="20"/>
          <w:szCs w:val="20"/>
          <w:color w:val="auto"/>
        </w:rPr>
      </w:pPr>
      <w:r>
        <w:rPr>
          <w:rFonts w:ascii="Arial" w:cs="Arial" w:eastAsia="Arial" w:hAnsi="Arial"/>
          <w:sz w:val="19"/>
          <w:szCs w:val="19"/>
          <w:b w:val="1"/>
          <w:bCs w:val="1"/>
          <w:color w:val="125288"/>
        </w:rPr>
        <w:t>In October 2021, Mr. Kotick asked not to receive any equity awards until the Company has made appropriate progress toward the achievement of the Transformational Goals. As such, Mr. Kotick did not receive any equity awards during 2021.</w:t>
      </w:r>
    </w:p>
    <w:p>
      <w:pPr>
        <w:spacing w:after="0" w:line="194" w:lineRule="exact"/>
        <w:rPr>
          <w:sz w:val="20"/>
          <w:szCs w:val="20"/>
          <w:color w:val="auto"/>
        </w:rPr>
      </w:pPr>
    </w:p>
    <w:p>
      <w:pPr>
        <w:ind w:left="5" w:right="20"/>
        <w:spacing w:after="0" w:line="245" w:lineRule="auto"/>
        <w:rPr>
          <w:sz w:val="20"/>
          <w:szCs w:val="20"/>
          <w:color w:val="auto"/>
        </w:rPr>
      </w:pPr>
      <w:r>
        <w:rPr>
          <w:rFonts w:ascii="Arial" w:cs="Arial" w:eastAsia="Arial" w:hAnsi="Arial"/>
          <w:sz w:val="19"/>
          <w:szCs w:val="19"/>
          <w:color w:val="auto"/>
        </w:rPr>
        <w:t>A portion of all equity awards granted to our NEOs during 2021 vest by reference to the achievement of specified performance objectives.</w:t>
      </w:r>
    </w:p>
    <w:p>
      <w:pPr>
        <w:spacing w:after="0" w:line="150" w:lineRule="exact"/>
        <w:rPr>
          <w:sz w:val="20"/>
          <w:szCs w:val="20"/>
          <w:color w:val="auto"/>
        </w:rPr>
      </w:pPr>
    </w:p>
    <w:p>
      <w:pPr>
        <w:ind w:left="5"/>
        <w:spacing w:after="0"/>
        <w:tabs>
          <w:tab w:leader="none" w:pos="7364" w:val="left"/>
          <w:tab w:leader="none" w:pos="9384" w:val="left"/>
          <w:tab w:leader="none" w:pos="1108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bookmarkStart w:id="82" w:name="page83"/>
    <w:bookmarkEnd w:id="82"/>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The following grants for NEOs other than the CEO were approved in 2021</w:t>
      </w:r>
      <w:r>
        <w:rPr>
          <w:rFonts w:ascii="Arial" w:cs="Arial" w:eastAsia="Arial" w:hAnsi="Arial"/>
          <w:sz w:val="21"/>
          <w:szCs w:val="21"/>
          <w:color w:val="auto"/>
          <w:vertAlign w:val="superscript"/>
        </w:rPr>
        <w:t>(1)</w:t>
      </w:r>
      <w:r>
        <w:rPr>
          <w:rFonts w:ascii="Arial" w:cs="Arial" w:eastAsia="Arial" w:hAnsi="Arial"/>
          <w:sz w:val="19"/>
          <w:szCs w:val="19"/>
          <w:color w:val="auto"/>
        </w:rPr>
        <w: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gridSpan w:val="2"/>
          </w:tcPr>
          <w:p>
            <w:pPr>
              <w:ind w:left="40"/>
              <w:spacing w:after="0"/>
              <w:rPr>
                <w:sz w:val="20"/>
                <w:szCs w:val="20"/>
                <w:color w:val="auto"/>
              </w:rPr>
            </w:pPr>
            <w:r>
              <w:rPr>
                <w:rFonts w:ascii="Arial" w:cs="Arial" w:eastAsia="Arial" w:hAnsi="Arial"/>
                <w:sz w:val="15"/>
                <w:szCs w:val="15"/>
                <w:b w:val="1"/>
                <w:bCs w:val="1"/>
                <w:color w:val="125288"/>
              </w:rPr>
              <w:t>Executive</w:t>
            </w:r>
          </w:p>
        </w:tc>
        <w:tc>
          <w:tcPr>
            <w:tcW w:w="1760" w:type="dxa"/>
            <w:vAlign w:val="bottom"/>
          </w:tcPr>
          <w:p>
            <w:pPr>
              <w:spacing w:after="0"/>
              <w:rPr>
                <w:sz w:val="20"/>
                <w:szCs w:val="20"/>
                <w:color w:val="auto"/>
              </w:rPr>
            </w:pPr>
            <w:r>
              <w:rPr>
                <w:rFonts w:ascii="Arial" w:cs="Arial" w:eastAsia="Arial" w:hAnsi="Arial"/>
                <w:sz w:val="15"/>
                <w:szCs w:val="15"/>
                <w:b w:val="1"/>
                <w:bCs w:val="1"/>
                <w:color w:val="125288"/>
              </w:rPr>
              <w:t>Grant Type</w:t>
            </w:r>
          </w:p>
        </w:tc>
        <w:tc>
          <w:tcPr>
            <w:tcW w:w="3300" w:type="dxa"/>
            <w:vAlign w:val="bottom"/>
          </w:tcPr>
          <w:p>
            <w:pPr>
              <w:ind w:left="720"/>
              <w:spacing w:after="0"/>
              <w:rPr>
                <w:sz w:val="20"/>
                <w:szCs w:val="20"/>
                <w:color w:val="auto"/>
              </w:rPr>
            </w:pPr>
            <w:r>
              <w:rPr>
                <w:rFonts w:ascii="Arial" w:cs="Arial" w:eastAsia="Arial" w:hAnsi="Arial"/>
                <w:sz w:val="15"/>
                <w:szCs w:val="15"/>
                <w:b w:val="1"/>
                <w:bCs w:val="1"/>
                <w:color w:val="125288"/>
              </w:rPr>
              <w:t>Performance Metric</w:t>
            </w:r>
          </w:p>
        </w:tc>
        <w:tc>
          <w:tcPr>
            <w:tcW w:w="2520" w:type="dxa"/>
            <w:vAlign w:val="bottom"/>
          </w:tcPr>
          <w:p>
            <w:pPr>
              <w:jc w:val="right"/>
              <w:ind w:right="838"/>
              <w:spacing w:after="0"/>
              <w:rPr>
                <w:sz w:val="20"/>
                <w:szCs w:val="20"/>
                <w:color w:val="auto"/>
              </w:rPr>
            </w:pPr>
            <w:r>
              <w:rPr>
                <w:rFonts w:ascii="Arial" w:cs="Arial" w:eastAsia="Arial" w:hAnsi="Arial"/>
                <w:sz w:val="15"/>
                <w:szCs w:val="15"/>
                <w:b w:val="1"/>
                <w:bCs w:val="1"/>
                <w:color w:val="125288"/>
              </w:rPr>
              <w:t>Target Award</w:t>
            </w:r>
          </w:p>
        </w:tc>
        <w:tc>
          <w:tcPr>
            <w:tcW w:w="1940" w:type="dxa"/>
            <w:vAlign w:val="bottom"/>
          </w:tcPr>
          <w:p>
            <w:pPr>
              <w:jc w:val="right"/>
              <w:spacing w:after="0"/>
              <w:rPr>
                <w:sz w:val="20"/>
                <w:szCs w:val="20"/>
                <w:color w:val="auto"/>
              </w:rPr>
            </w:pPr>
            <w:r>
              <w:rPr>
                <w:rFonts w:ascii="Arial" w:cs="Arial" w:eastAsia="Arial" w:hAnsi="Arial"/>
                <w:sz w:val="15"/>
                <w:szCs w:val="15"/>
                <w:b w:val="1"/>
                <w:bCs w:val="1"/>
                <w:color w:val="125288"/>
              </w:rPr>
              <w:t>Eligible Vesting Dates</w:t>
            </w:r>
          </w:p>
        </w:tc>
      </w:tr>
      <w:tr>
        <w:trPr>
          <w:trHeight w:val="41"/>
        </w:trPr>
        <w:tc>
          <w:tcPr>
            <w:tcW w:w="1740" w:type="dxa"/>
            <w:vAlign w:val="bottom"/>
            <w:tcBorders>
              <w:bottom w:val="single" w:sz="8" w:color="125288"/>
            </w:tcBorders>
            <w:gridSpan w:val="2"/>
          </w:tcPr>
          <w:p>
            <w:pPr>
              <w:spacing w:after="0"/>
              <w:rPr>
                <w:sz w:val="3"/>
                <w:szCs w:val="3"/>
                <w:color w:val="auto"/>
              </w:rPr>
            </w:pPr>
          </w:p>
        </w:tc>
        <w:tc>
          <w:tcPr>
            <w:tcW w:w="1760" w:type="dxa"/>
            <w:vAlign w:val="bottom"/>
            <w:tcBorders>
              <w:bottom w:val="single" w:sz="8" w:color="125288"/>
            </w:tcBorders>
          </w:tcPr>
          <w:p>
            <w:pPr>
              <w:spacing w:after="0"/>
              <w:rPr>
                <w:sz w:val="3"/>
                <w:szCs w:val="3"/>
                <w:color w:val="auto"/>
              </w:rPr>
            </w:pPr>
          </w:p>
        </w:tc>
        <w:tc>
          <w:tcPr>
            <w:tcW w:w="3300" w:type="dxa"/>
            <w:vAlign w:val="bottom"/>
            <w:tcBorders>
              <w:bottom w:val="single" w:sz="8" w:color="125288"/>
            </w:tcBorders>
          </w:tcPr>
          <w:p>
            <w:pPr>
              <w:spacing w:after="0"/>
              <w:rPr>
                <w:sz w:val="3"/>
                <w:szCs w:val="3"/>
                <w:color w:val="auto"/>
              </w:rPr>
            </w:pPr>
          </w:p>
        </w:tc>
        <w:tc>
          <w:tcPr>
            <w:tcW w:w="2520" w:type="dxa"/>
            <w:vAlign w:val="bottom"/>
            <w:tcBorders>
              <w:bottom w:val="single" w:sz="8" w:color="125288"/>
            </w:tcBorders>
          </w:tcPr>
          <w:p>
            <w:pPr>
              <w:spacing w:after="0"/>
              <w:rPr>
                <w:sz w:val="3"/>
                <w:szCs w:val="3"/>
                <w:color w:val="auto"/>
              </w:rPr>
            </w:pPr>
          </w:p>
        </w:tc>
        <w:tc>
          <w:tcPr>
            <w:tcW w:w="1940" w:type="dxa"/>
            <w:vAlign w:val="bottom"/>
            <w:tcBorders>
              <w:bottom w:val="single" w:sz="8" w:color="125288"/>
            </w:tcBorders>
          </w:tcPr>
          <w:p>
            <w:pPr>
              <w:spacing w:after="0"/>
              <w:rPr>
                <w:sz w:val="3"/>
                <w:szCs w:val="3"/>
                <w:color w:val="auto"/>
              </w:rPr>
            </w:pPr>
          </w:p>
        </w:tc>
      </w:tr>
      <w:tr>
        <w:trPr>
          <w:trHeight w:val="265"/>
        </w:trPr>
        <w:tc>
          <w:tcPr>
            <w:tcW w:w="1740" w:type="dxa"/>
            <w:vAlign w:val="bottom"/>
            <w:gridSpan w:val="2"/>
          </w:tcPr>
          <w:p>
            <w:pPr>
              <w:ind w:left="40"/>
              <w:spacing w:after="0"/>
              <w:rPr>
                <w:sz w:val="20"/>
                <w:szCs w:val="20"/>
                <w:color w:val="auto"/>
              </w:rPr>
            </w:pPr>
            <w:r>
              <w:rPr>
                <w:rFonts w:ascii="Arial" w:cs="Arial" w:eastAsia="Arial" w:hAnsi="Arial"/>
                <w:sz w:val="17"/>
                <w:szCs w:val="17"/>
                <w:b w:val="1"/>
                <w:bCs w:val="1"/>
                <w:color w:val="auto"/>
              </w:rPr>
              <w:t>Armin Zerza</w:t>
            </w:r>
          </w:p>
        </w:tc>
        <w:tc>
          <w:tcPr>
            <w:tcW w:w="1760" w:type="dxa"/>
            <w:vAlign w:val="bottom"/>
          </w:tcPr>
          <w:p>
            <w:pPr>
              <w:spacing w:after="0"/>
              <w:rPr>
                <w:sz w:val="20"/>
                <w:szCs w:val="20"/>
                <w:color w:val="auto"/>
              </w:rPr>
            </w:pPr>
            <w:r>
              <w:rPr>
                <w:rFonts w:ascii="Arial" w:cs="Arial" w:eastAsia="Arial" w:hAnsi="Arial"/>
                <w:sz w:val="17"/>
                <w:szCs w:val="17"/>
                <w:color w:val="auto"/>
              </w:rPr>
              <w:t>PSUs</w:t>
            </w:r>
          </w:p>
        </w:tc>
        <w:tc>
          <w:tcPr>
            <w:tcW w:w="3300" w:type="dxa"/>
            <w:vAlign w:val="bottom"/>
          </w:tcPr>
          <w:p>
            <w:pPr>
              <w:ind w:left="720"/>
              <w:spacing w:after="0"/>
              <w:rPr>
                <w:sz w:val="20"/>
                <w:szCs w:val="20"/>
                <w:color w:val="auto"/>
              </w:rPr>
            </w:pPr>
            <w:r>
              <w:rPr>
                <w:rFonts w:ascii="Arial" w:cs="Arial" w:eastAsia="Arial" w:hAnsi="Arial"/>
                <w:sz w:val="17"/>
                <w:szCs w:val="17"/>
                <w:color w:val="auto"/>
              </w:rPr>
              <w:t>Cumulative 2021–2023 AB</w:t>
            </w:r>
          </w:p>
        </w:tc>
        <w:tc>
          <w:tcPr>
            <w:tcW w:w="2520" w:type="dxa"/>
            <w:vAlign w:val="bottom"/>
          </w:tcPr>
          <w:p>
            <w:pPr>
              <w:jc w:val="right"/>
              <w:ind w:right="838"/>
              <w:spacing w:after="0"/>
              <w:rPr>
                <w:sz w:val="20"/>
                <w:szCs w:val="20"/>
                <w:color w:val="auto"/>
              </w:rPr>
            </w:pPr>
            <w:r>
              <w:rPr>
                <w:rFonts w:ascii="Arial" w:cs="Arial" w:eastAsia="Arial" w:hAnsi="Arial"/>
                <w:sz w:val="17"/>
                <w:szCs w:val="17"/>
                <w:color w:val="auto"/>
              </w:rPr>
              <w:t>$1,800,000</w:t>
            </w:r>
          </w:p>
        </w:tc>
        <w:tc>
          <w:tcPr>
            <w:tcW w:w="1940" w:type="dxa"/>
            <w:vAlign w:val="bottom"/>
          </w:tcPr>
          <w:p>
            <w:pPr>
              <w:jc w:val="right"/>
              <w:spacing w:after="0"/>
              <w:rPr>
                <w:sz w:val="20"/>
                <w:szCs w:val="20"/>
                <w:color w:val="auto"/>
              </w:rPr>
            </w:pPr>
            <w:r>
              <w:rPr>
                <w:rFonts w:ascii="Arial" w:cs="Arial" w:eastAsia="Arial" w:hAnsi="Arial"/>
                <w:sz w:val="17"/>
                <w:szCs w:val="17"/>
                <w:color w:val="auto"/>
                <w:w w:val="97"/>
              </w:rPr>
              <w:t>100% on March 31, 2024</w:t>
            </w:r>
          </w:p>
        </w:tc>
      </w:tr>
      <w:tr>
        <w:trPr>
          <w:trHeight w:val="201"/>
        </w:trPr>
        <w:tc>
          <w:tcPr>
            <w:tcW w:w="1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300" w:type="dxa"/>
            <w:vAlign w:val="bottom"/>
          </w:tcPr>
          <w:p>
            <w:pPr>
              <w:ind w:left="720"/>
              <w:spacing w:after="0"/>
              <w:rPr>
                <w:sz w:val="20"/>
                <w:szCs w:val="20"/>
                <w:color w:val="auto"/>
              </w:rPr>
            </w:pPr>
            <w:r>
              <w:rPr>
                <w:rFonts w:ascii="Arial" w:cs="Arial" w:eastAsia="Arial" w:hAnsi="Arial"/>
                <w:sz w:val="17"/>
                <w:szCs w:val="17"/>
                <w:color w:val="auto"/>
              </w:rPr>
              <w:t>Adjusted OI</w:t>
            </w:r>
          </w:p>
        </w:tc>
        <w:tc>
          <w:tcPr>
            <w:tcW w:w="25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85"/>
        </w:trPr>
        <w:tc>
          <w:tcPr>
            <w:tcW w:w="1700" w:type="dxa"/>
            <w:vAlign w:val="bottom"/>
          </w:tcPr>
          <w:p>
            <w:pPr>
              <w:spacing w:after="0"/>
              <w:rPr>
                <w:sz w:val="7"/>
                <w:szCs w:val="7"/>
                <w:color w:val="auto"/>
              </w:rPr>
            </w:pPr>
          </w:p>
        </w:tc>
        <w:tc>
          <w:tcPr>
            <w:tcW w:w="40" w:type="dxa"/>
            <w:vAlign w:val="bottom"/>
            <w:tcBorders>
              <w:bottom w:val="single" w:sz="8" w:color="125288"/>
            </w:tcBorders>
          </w:tcPr>
          <w:p>
            <w:pPr>
              <w:spacing w:after="0"/>
              <w:rPr>
                <w:sz w:val="7"/>
                <w:szCs w:val="7"/>
                <w:color w:val="auto"/>
              </w:rPr>
            </w:pPr>
          </w:p>
        </w:tc>
        <w:tc>
          <w:tcPr>
            <w:tcW w:w="1760" w:type="dxa"/>
            <w:vAlign w:val="bottom"/>
            <w:tcBorders>
              <w:bottom w:val="single" w:sz="8" w:color="125288"/>
            </w:tcBorders>
          </w:tcPr>
          <w:p>
            <w:pPr>
              <w:spacing w:after="0"/>
              <w:rPr>
                <w:sz w:val="7"/>
                <w:szCs w:val="7"/>
                <w:color w:val="auto"/>
              </w:rPr>
            </w:pPr>
          </w:p>
        </w:tc>
        <w:tc>
          <w:tcPr>
            <w:tcW w:w="3300" w:type="dxa"/>
            <w:vAlign w:val="bottom"/>
            <w:tcBorders>
              <w:bottom w:val="single" w:sz="8" w:color="125288"/>
            </w:tcBorders>
          </w:tcPr>
          <w:p>
            <w:pPr>
              <w:spacing w:after="0"/>
              <w:rPr>
                <w:sz w:val="7"/>
                <w:szCs w:val="7"/>
                <w:color w:val="auto"/>
              </w:rPr>
            </w:pPr>
          </w:p>
        </w:tc>
        <w:tc>
          <w:tcPr>
            <w:tcW w:w="2520" w:type="dxa"/>
            <w:vAlign w:val="bottom"/>
            <w:tcBorders>
              <w:bottom w:val="single" w:sz="8" w:color="125288"/>
            </w:tcBorders>
          </w:tcPr>
          <w:p>
            <w:pPr>
              <w:spacing w:after="0"/>
              <w:rPr>
                <w:sz w:val="7"/>
                <w:szCs w:val="7"/>
                <w:color w:val="auto"/>
              </w:rPr>
            </w:pPr>
          </w:p>
        </w:tc>
        <w:tc>
          <w:tcPr>
            <w:tcW w:w="1940" w:type="dxa"/>
            <w:vAlign w:val="bottom"/>
            <w:tcBorders>
              <w:bottom w:val="single" w:sz="8" w:color="125288"/>
            </w:tcBorders>
          </w:tcPr>
          <w:p>
            <w:pPr>
              <w:spacing w:after="0"/>
              <w:rPr>
                <w:sz w:val="7"/>
                <w:szCs w:val="7"/>
                <w:color w:val="auto"/>
              </w:rPr>
            </w:pPr>
          </w:p>
        </w:tc>
      </w:tr>
      <w:tr>
        <w:trPr>
          <w:trHeight w:val="265"/>
        </w:trPr>
        <w:tc>
          <w:tcPr>
            <w:tcW w:w="1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760" w:type="dxa"/>
            <w:vAlign w:val="bottom"/>
          </w:tcPr>
          <w:p>
            <w:pPr>
              <w:spacing w:after="0"/>
              <w:rPr>
                <w:sz w:val="20"/>
                <w:szCs w:val="20"/>
                <w:color w:val="auto"/>
              </w:rPr>
            </w:pPr>
            <w:r>
              <w:rPr>
                <w:rFonts w:ascii="Arial" w:cs="Arial" w:eastAsia="Arial" w:hAnsi="Arial"/>
                <w:sz w:val="17"/>
                <w:szCs w:val="17"/>
                <w:color w:val="auto"/>
              </w:rPr>
              <w:t>PSUs</w:t>
            </w:r>
          </w:p>
        </w:tc>
        <w:tc>
          <w:tcPr>
            <w:tcW w:w="3300" w:type="dxa"/>
            <w:vAlign w:val="bottom"/>
          </w:tcPr>
          <w:p>
            <w:pPr>
              <w:ind w:left="720"/>
              <w:spacing w:after="0"/>
              <w:rPr>
                <w:sz w:val="20"/>
                <w:szCs w:val="20"/>
                <w:color w:val="auto"/>
              </w:rPr>
            </w:pPr>
            <w:r>
              <w:rPr>
                <w:rFonts w:ascii="Arial" w:cs="Arial" w:eastAsia="Arial" w:hAnsi="Arial"/>
                <w:sz w:val="17"/>
                <w:szCs w:val="17"/>
                <w:color w:val="auto"/>
              </w:rPr>
              <w:t>Cumulative 2022–2024 AB</w:t>
            </w:r>
          </w:p>
        </w:tc>
        <w:tc>
          <w:tcPr>
            <w:tcW w:w="2520" w:type="dxa"/>
            <w:vAlign w:val="bottom"/>
          </w:tcPr>
          <w:p>
            <w:pPr>
              <w:jc w:val="right"/>
              <w:ind w:right="838"/>
              <w:spacing w:after="0"/>
              <w:rPr>
                <w:sz w:val="20"/>
                <w:szCs w:val="20"/>
                <w:color w:val="auto"/>
              </w:rPr>
            </w:pPr>
            <w:r>
              <w:rPr>
                <w:rFonts w:ascii="Arial" w:cs="Arial" w:eastAsia="Arial" w:hAnsi="Arial"/>
                <w:sz w:val="17"/>
                <w:szCs w:val="17"/>
                <w:color w:val="auto"/>
              </w:rPr>
              <w:t>$1,800,000</w:t>
            </w:r>
          </w:p>
        </w:tc>
        <w:tc>
          <w:tcPr>
            <w:tcW w:w="1940" w:type="dxa"/>
            <w:vAlign w:val="bottom"/>
          </w:tcPr>
          <w:p>
            <w:pPr>
              <w:jc w:val="right"/>
              <w:spacing w:after="0"/>
              <w:rPr>
                <w:sz w:val="20"/>
                <w:szCs w:val="20"/>
                <w:color w:val="auto"/>
              </w:rPr>
            </w:pPr>
            <w:r>
              <w:rPr>
                <w:rFonts w:ascii="Arial" w:cs="Arial" w:eastAsia="Arial" w:hAnsi="Arial"/>
                <w:sz w:val="17"/>
                <w:szCs w:val="17"/>
                <w:color w:val="auto"/>
                <w:w w:val="97"/>
              </w:rPr>
              <w:t>100% on March 31, 2025</w:t>
            </w:r>
          </w:p>
        </w:tc>
      </w:tr>
      <w:tr>
        <w:trPr>
          <w:trHeight w:val="201"/>
        </w:trPr>
        <w:tc>
          <w:tcPr>
            <w:tcW w:w="1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300" w:type="dxa"/>
            <w:vAlign w:val="bottom"/>
          </w:tcPr>
          <w:p>
            <w:pPr>
              <w:ind w:left="720"/>
              <w:spacing w:after="0"/>
              <w:rPr>
                <w:sz w:val="20"/>
                <w:szCs w:val="20"/>
                <w:color w:val="auto"/>
              </w:rPr>
            </w:pPr>
            <w:r>
              <w:rPr>
                <w:rFonts w:ascii="Arial" w:cs="Arial" w:eastAsia="Arial" w:hAnsi="Arial"/>
                <w:sz w:val="17"/>
                <w:szCs w:val="17"/>
                <w:color w:val="auto"/>
              </w:rPr>
              <w:t>Adjusted OI</w:t>
            </w:r>
          </w:p>
        </w:tc>
        <w:tc>
          <w:tcPr>
            <w:tcW w:w="25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85"/>
        </w:trPr>
        <w:tc>
          <w:tcPr>
            <w:tcW w:w="1700" w:type="dxa"/>
            <w:vAlign w:val="bottom"/>
          </w:tcPr>
          <w:p>
            <w:pPr>
              <w:spacing w:after="0"/>
              <w:rPr>
                <w:sz w:val="7"/>
                <w:szCs w:val="7"/>
                <w:color w:val="auto"/>
              </w:rPr>
            </w:pPr>
          </w:p>
        </w:tc>
        <w:tc>
          <w:tcPr>
            <w:tcW w:w="40" w:type="dxa"/>
            <w:vAlign w:val="bottom"/>
            <w:tcBorders>
              <w:bottom w:val="single" w:sz="8" w:color="125288"/>
            </w:tcBorders>
          </w:tcPr>
          <w:p>
            <w:pPr>
              <w:spacing w:after="0"/>
              <w:rPr>
                <w:sz w:val="7"/>
                <w:szCs w:val="7"/>
                <w:color w:val="auto"/>
              </w:rPr>
            </w:pPr>
          </w:p>
        </w:tc>
        <w:tc>
          <w:tcPr>
            <w:tcW w:w="1760" w:type="dxa"/>
            <w:vAlign w:val="bottom"/>
            <w:tcBorders>
              <w:bottom w:val="single" w:sz="8" w:color="125288"/>
            </w:tcBorders>
          </w:tcPr>
          <w:p>
            <w:pPr>
              <w:spacing w:after="0"/>
              <w:rPr>
                <w:sz w:val="7"/>
                <w:szCs w:val="7"/>
                <w:color w:val="auto"/>
              </w:rPr>
            </w:pPr>
          </w:p>
        </w:tc>
        <w:tc>
          <w:tcPr>
            <w:tcW w:w="3300" w:type="dxa"/>
            <w:vAlign w:val="bottom"/>
            <w:tcBorders>
              <w:bottom w:val="single" w:sz="8" w:color="125288"/>
            </w:tcBorders>
          </w:tcPr>
          <w:p>
            <w:pPr>
              <w:spacing w:after="0"/>
              <w:rPr>
                <w:sz w:val="7"/>
                <w:szCs w:val="7"/>
                <w:color w:val="auto"/>
              </w:rPr>
            </w:pPr>
          </w:p>
        </w:tc>
        <w:tc>
          <w:tcPr>
            <w:tcW w:w="2520" w:type="dxa"/>
            <w:vAlign w:val="bottom"/>
            <w:tcBorders>
              <w:bottom w:val="single" w:sz="8" w:color="125288"/>
            </w:tcBorders>
          </w:tcPr>
          <w:p>
            <w:pPr>
              <w:spacing w:after="0"/>
              <w:rPr>
                <w:sz w:val="7"/>
                <w:szCs w:val="7"/>
                <w:color w:val="auto"/>
              </w:rPr>
            </w:pPr>
          </w:p>
        </w:tc>
        <w:tc>
          <w:tcPr>
            <w:tcW w:w="1940" w:type="dxa"/>
            <w:vAlign w:val="bottom"/>
            <w:tcBorders>
              <w:bottom w:val="single" w:sz="8" w:color="125288"/>
            </w:tcBorders>
          </w:tcPr>
          <w:p>
            <w:pPr>
              <w:spacing w:after="0"/>
              <w:rPr>
                <w:sz w:val="7"/>
                <w:szCs w:val="7"/>
                <w:color w:val="auto"/>
              </w:rPr>
            </w:pPr>
          </w:p>
        </w:tc>
      </w:tr>
      <w:tr>
        <w:trPr>
          <w:trHeight w:val="265"/>
        </w:trPr>
        <w:tc>
          <w:tcPr>
            <w:tcW w:w="1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760" w:type="dxa"/>
            <w:vAlign w:val="bottom"/>
          </w:tcPr>
          <w:p>
            <w:pPr>
              <w:spacing w:after="0"/>
              <w:rPr>
                <w:sz w:val="20"/>
                <w:szCs w:val="20"/>
                <w:color w:val="auto"/>
              </w:rPr>
            </w:pPr>
            <w:r>
              <w:rPr>
                <w:rFonts w:ascii="Arial" w:cs="Arial" w:eastAsia="Arial" w:hAnsi="Arial"/>
                <w:sz w:val="17"/>
                <w:szCs w:val="17"/>
                <w:color w:val="auto"/>
              </w:rPr>
              <w:t>PSUs</w:t>
            </w:r>
          </w:p>
        </w:tc>
        <w:tc>
          <w:tcPr>
            <w:tcW w:w="3300" w:type="dxa"/>
            <w:vAlign w:val="bottom"/>
          </w:tcPr>
          <w:p>
            <w:pPr>
              <w:ind w:left="720"/>
              <w:spacing w:after="0"/>
              <w:rPr>
                <w:sz w:val="20"/>
                <w:szCs w:val="20"/>
                <w:color w:val="auto"/>
              </w:rPr>
            </w:pPr>
            <w:r>
              <w:rPr>
                <w:rFonts w:ascii="Arial" w:cs="Arial" w:eastAsia="Arial" w:hAnsi="Arial"/>
                <w:sz w:val="17"/>
                <w:szCs w:val="17"/>
                <w:color w:val="auto"/>
              </w:rPr>
              <w:t>TSR Performance</w:t>
            </w:r>
          </w:p>
        </w:tc>
        <w:tc>
          <w:tcPr>
            <w:tcW w:w="2520" w:type="dxa"/>
            <w:vAlign w:val="bottom"/>
          </w:tcPr>
          <w:p>
            <w:pPr>
              <w:jc w:val="right"/>
              <w:ind w:right="838"/>
              <w:spacing w:after="0"/>
              <w:rPr>
                <w:sz w:val="20"/>
                <w:szCs w:val="20"/>
                <w:color w:val="auto"/>
              </w:rPr>
            </w:pPr>
            <w:r>
              <w:rPr>
                <w:rFonts w:ascii="Arial" w:cs="Arial" w:eastAsia="Arial" w:hAnsi="Arial"/>
                <w:sz w:val="17"/>
                <w:szCs w:val="17"/>
                <w:color w:val="auto"/>
              </w:rPr>
              <w:t>$2,400,000</w:t>
            </w:r>
          </w:p>
        </w:tc>
        <w:tc>
          <w:tcPr>
            <w:tcW w:w="1940" w:type="dxa"/>
            <w:vAlign w:val="bottom"/>
          </w:tcPr>
          <w:p>
            <w:pPr>
              <w:jc w:val="right"/>
              <w:spacing w:after="0"/>
              <w:rPr>
                <w:sz w:val="20"/>
                <w:szCs w:val="20"/>
                <w:color w:val="auto"/>
              </w:rPr>
            </w:pPr>
            <w:r>
              <w:rPr>
                <w:rFonts w:ascii="Arial" w:cs="Arial" w:eastAsia="Arial" w:hAnsi="Arial"/>
                <w:sz w:val="17"/>
                <w:szCs w:val="17"/>
                <w:color w:val="auto"/>
              </w:rPr>
              <w:t>1/2 on March 31, 2024</w:t>
            </w:r>
          </w:p>
        </w:tc>
      </w:tr>
      <w:tr>
        <w:trPr>
          <w:trHeight w:val="201"/>
        </w:trPr>
        <w:tc>
          <w:tcPr>
            <w:tcW w:w="1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1/2 on March 31, 2025</w:t>
            </w:r>
          </w:p>
        </w:tc>
      </w:tr>
      <w:tr>
        <w:trPr>
          <w:trHeight w:val="85"/>
        </w:trPr>
        <w:tc>
          <w:tcPr>
            <w:tcW w:w="1700" w:type="dxa"/>
            <w:vAlign w:val="bottom"/>
          </w:tcPr>
          <w:p>
            <w:pPr>
              <w:spacing w:after="0"/>
              <w:rPr>
                <w:sz w:val="7"/>
                <w:szCs w:val="7"/>
                <w:color w:val="auto"/>
              </w:rPr>
            </w:pPr>
          </w:p>
        </w:tc>
        <w:tc>
          <w:tcPr>
            <w:tcW w:w="40" w:type="dxa"/>
            <w:vAlign w:val="bottom"/>
            <w:tcBorders>
              <w:bottom w:val="single" w:sz="8" w:color="125288"/>
            </w:tcBorders>
          </w:tcPr>
          <w:p>
            <w:pPr>
              <w:spacing w:after="0"/>
              <w:rPr>
                <w:sz w:val="7"/>
                <w:szCs w:val="7"/>
                <w:color w:val="auto"/>
              </w:rPr>
            </w:pPr>
          </w:p>
        </w:tc>
        <w:tc>
          <w:tcPr>
            <w:tcW w:w="1760" w:type="dxa"/>
            <w:vAlign w:val="bottom"/>
            <w:tcBorders>
              <w:bottom w:val="single" w:sz="8" w:color="125288"/>
            </w:tcBorders>
          </w:tcPr>
          <w:p>
            <w:pPr>
              <w:spacing w:after="0"/>
              <w:rPr>
                <w:sz w:val="7"/>
                <w:szCs w:val="7"/>
                <w:color w:val="auto"/>
              </w:rPr>
            </w:pPr>
          </w:p>
        </w:tc>
        <w:tc>
          <w:tcPr>
            <w:tcW w:w="3300" w:type="dxa"/>
            <w:vAlign w:val="bottom"/>
            <w:tcBorders>
              <w:bottom w:val="single" w:sz="8" w:color="125288"/>
            </w:tcBorders>
          </w:tcPr>
          <w:p>
            <w:pPr>
              <w:spacing w:after="0"/>
              <w:rPr>
                <w:sz w:val="7"/>
                <w:szCs w:val="7"/>
                <w:color w:val="auto"/>
              </w:rPr>
            </w:pPr>
          </w:p>
        </w:tc>
        <w:tc>
          <w:tcPr>
            <w:tcW w:w="2520" w:type="dxa"/>
            <w:vAlign w:val="bottom"/>
            <w:tcBorders>
              <w:bottom w:val="single" w:sz="8" w:color="125288"/>
            </w:tcBorders>
          </w:tcPr>
          <w:p>
            <w:pPr>
              <w:spacing w:after="0"/>
              <w:rPr>
                <w:sz w:val="7"/>
                <w:szCs w:val="7"/>
                <w:color w:val="auto"/>
              </w:rPr>
            </w:pPr>
          </w:p>
        </w:tc>
        <w:tc>
          <w:tcPr>
            <w:tcW w:w="1940" w:type="dxa"/>
            <w:vAlign w:val="bottom"/>
            <w:tcBorders>
              <w:bottom w:val="single" w:sz="8" w:color="125288"/>
            </w:tcBorders>
          </w:tcPr>
          <w:p>
            <w:pPr>
              <w:spacing w:after="0"/>
              <w:rPr>
                <w:sz w:val="7"/>
                <w:szCs w:val="7"/>
                <w:color w:val="auto"/>
              </w:rPr>
            </w:pPr>
          </w:p>
        </w:tc>
      </w:tr>
      <w:tr>
        <w:trPr>
          <w:trHeight w:val="265"/>
        </w:trPr>
        <w:tc>
          <w:tcPr>
            <w:tcW w:w="1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760" w:type="dxa"/>
            <w:vAlign w:val="bottom"/>
          </w:tcPr>
          <w:p>
            <w:pPr>
              <w:spacing w:after="0"/>
              <w:rPr>
                <w:sz w:val="20"/>
                <w:szCs w:val="20"/>
                <w:color w:val="auto"/>
              </w:rPr>
            </w:pPr>
            <w:r>
              <w:rPr>
                <w:rFonts w:ascii="Arial" w:cs="Arial" w:eastAsia="Arial" w:hAnsi="Arial"/>
                <w:sz w:val="17"/>
                <w:szCs w:val="17"/>
                <w:color w:val="auto"/>
              </w:rPr>
              <w:t>PSUs</w:t>
            </w:r>
          </w:p>
        </w:tc>
        <w:tc>
          <w:tcPr>
            <w:tcW w:w="3300" w:type="dxa"/>
            <w:vAlign w:val="bottom"/>
          </w:tcPr>
          <w:p>
            <w:pPr>
              <w:ind w:left="720"/>
              <w:spacing w:after="0"/>
              <w:rPr>
                <w:sz w:val="20"/>
                <w:szCs w:val="20"/>
                <w:color w:val="auto"/>
              </w:rPr>
            </w:pPr>
            <w:r>
              <w:rPr>
                <w:rFonts w:ascii="Arial" w:cs="Arial" w:eastAsia="Arial" w:hAnsi="Arial"/>
                <w:sz w:val="17"/>
                <w:szCs w:val="17"/>
                <w:color w:val="auto"/>
              </w:rPr>
              <w:t>2022, 2023, and 2024 AB</w:t>
            </w:r>
          </w:p>
        </w:tc>
        <w:tc>
          <w:tcPr>
            <w:tcW w:w="2520" w:type="dxa"/>
            <w:vAlign w:val="bottom"/>
          </w:tcPr>
          <w:p>
            <w:pPr>
              <w:jc w:val="right"/>
              <w:ind w:right="838"/>
              <w:spacing w:after="0"/>
              <w:rPr>
                <w:sz w:val="20"/>
                <w:szCs w:val="20"/>
                <w:color w:val="auto"/>
              </w:rPr>
            </w:pPr>
            <w:r>
              <w:rPr>
                <w:rFonts w:ascii="Arial" w:cs="Arial" w:eastAsia="Arial" w:hAnsi="Arial"/>
                <w:sz w:val="17"/>
                <w:szCs w:val="17"/>
                <w:color w:val="auto"/>
              </w:rPr>
              <w:t>$938,000</w:t>
            </w:r>
          </w:p>
        </w:tc>
        <w:tc>
          <w:tcPr>
            <w:tcW w:w="1940" w:type="dxa"/>
            <w:vAlign w:val="bottom"/>
          </w:tcPr>
          <w:p>
            <w:pPr>
              <w:jc w:val="right"/>
              <w:spacing w:after="0"/>
              <w:rPr>
                <w:sz w:val="20"/>
                <w:szCs w:val="20"/>
                <w:color w:val="auto"/>
              </w:rPr>
            </w:pPr>
            <w:r>
              <w:rPr>
                <w:rFonts w:ascii="Arial" w:cs="Arial" w:eastAsia="Arial" w:hAnsi="Arial"/>
                <w:sz w:val="17"/>
                <w:szCs w:val="17"/>
                <w:color w:val="auto"/>
              </w:rPr>
              <w:t>1/3 on March 30, 2023</w:t>
            </w:r>
          </w:p>
        </w:tc>
      </w:tr>
      <w:tr>
        <w:trPr>
          <w:trHeight w:val="190"/>
        </w:trPr>
        <w:tc>
          <w:tcPr>
            <w:tcW w:w="1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300" w:type="dxa"/>
            <w:vAlign w:val="bottom"/>
          </w:tcPr>
          <w:p>
            <w:pPr>
              <w:ind w:left="720"/>
              <w:spacing w:after="0" w:line="190" w:lineRule="exact"/>
              <w:rPr>
                <w:sz w:val="20"/>
                <w:szCs w:val="20"/>
                <w:color w:val="auto"/>
              </w:rPr>
            </w:pPr>
            <w:r>
              <w:rPr>
                <w:rFonts w:ascii="Arial" w:cs="Arial" w:eastAsia="Arial" w:hAnsi="Arial"/>
                <w:sz w:val="17"/>
                <w:szCs w:val="17"/>
                <w:color w:val="auto"/>
              </w:rPr>
              <w:t>Adjusted EPS</w:t>
            </w:r>
          </w:p>
        </w:tc>
        <w:tc>
          <w:tcPr>
            <w:tcW w:w="2520" w:type="dxa"/>
            <w:vAlign w:val="bottom"/>
          </w:tcPr>
          <w:p>
            <w:pPr>
              <w:spacing w:after="0"/>
              <w:rPr>
                <w:sz w:val="16"/>
                <w:szCs w:val="16"/>
                <w:color w:val="auto"/>
              </w:rPr>
            </w:pPr>
          </w:p>
        </w:tc>
        <w:tc>
          <w:tcPr>
            <w:tcW w:w="1940" w:type="dxa"/>
            <w:vAlign w:val="bottom"/>
          </w:tcPr>
          <w:p>
            <w:pPr>
              <w:jc w:val="right"/>
              <w:spacing w:after="0" w:line="190" w:lineRule="exact"/>
              <w:rPr>
                <w:sz w:val="20"/>
                <w:szCs w:val="20"/>
                <w:color w:val="auto"/>
              </w:rPr>
            </w:pPr>
            <w:r>
              <w:rPr>
                <w:rFonts w:ascii="Arial" w:cs="Arial" w:eastAsia="Arial" w:hAnsi="Arial"/>
                <w:sz w:val="17"/>
                <w:szCs w:val="17"/>
                <w:color w:val="auto"/>
              </w:rPr>
              <w:t>1/3 on March 30, 2024</w:t>
            </w:r>
          </w:p>
        </w:tc>
      </w:tr>
      <w:tr>
        <w:trPr>
          <w:trHeight w:val="201"/>
        </w:trPr>
        <w:tc>
          <w:tcPr>
            <w:tcW w:w="1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1/3 on March 30, 2025</w:t>
            </w:r>
          </w:p>
        </w:tc>
      </w:tr>
      <w:tr>
        <w:trPr>
          <w:trHeight w:val="85"/>
        </w:trPr>
        <w:tc>
          <w:tcPr>
            <w:tcW w:w="1700" w:type="dxa"/>
            <w:vAlign w:val="bottom"/>
          </w:tcPr>
          <w:p>
            <w:pPr>
              <w:spacing w:after="0"/>
              <w:rPr>
                <w:sz w:val="7"/>
                <w:szCs w:val="7"/>
                <w:color w:val="auto"/>
              </w:rPr>
            </w:pPr>
          </w:p>
        </w:tc>
        <w:tc>
          <w:tcPr>
            <w:tcW w:w="40" w:type="dxa"/>
            <w:vAlign w:val="bottom"/>
            <w:tcBorders>
              <w:bottom w:val="single" w:sz="8" w:color="125288"/>
            </w:tcBorders>
          </w:tcPr>
          <w:p>
            <w:pPr>
              <w:spacing w:after="0"/>
              <w:rPr>
                <w:sz w:val="7"/>
                <w:szCs w:val="7"/>
                <w:color w:val="auto"/>
              </w:rPr>
            </w:pPr>
          </w:p>
        </w:tc>
        <w:tc>
          <w:tcPr>
            <w:tcW w:w="1760" w:type="dxa"/>
            <w:vAlign w:val="bottom"/>
            <w:tcBorders>
              <w:bottom w:val="single" w:sz="8" w:color="125288"/>
            </w:tcBorders>
          </w:tcPr>
          <w:p>
            <w:pPr>
              <w:spacing w:after="0"/>
              <w:rPr>
                <w:sz w:val="7"/>
                <w:szCs w:val="7"/>
                <w:color w:val="auto"/>
              </w:rPr>
            </w:pPr>
          </w:p>
        </w:tc>
        <w:tc>
          <w:tcPr>
            <w:tcW w:w="3300" w:type="dxa"/>
            <w:vAlign w:val="bottom"/>
            <w:tcBorders>
              <w:bottom w:val="single" w:sz="8" w:color="125288"/>
            </w:tcBorders>
          </w:tcPr>
          <w:p>
            <w:pPr>
              <w:spacing w:after="0"/>
              <w:rPr>
                <w:sz w:val="7"/>
                <w:szCs w:val="7"/>
                <w:color w:val="auto"/>
              </w:rPr>
            </w:pPr>
          </w:p>
        </w:tc>
        <w:tc>
          <w:tcPr>
            <w:tcW w:w="2520" w:type="dxa"/>
            <w:vAlign w:val="bottom"/>
            <w:tcBorders>
              <w:bottom w:val="single" w:sz="8" w:color="125288"/>
            </w:tcBorders>
          </w:tcPr>
          <w:p>
            <w:pPr>
              <w:spacing w:after="0"/>
              <w:rPr>
                <w:sz w:val="7"/>
                <w:szCs w:val="7"/>
                <w:color w:val="auto"/>
              </w:rPr>
            </w:pPr>
          </w:p>
        </w:tc>
        <w:tc>
          <w:tcPr>
            <w:tcW w:w="1940" w:type="dxa"/>
            <w:vAlign w:val="bottom"/>
            <w:tcBorders>
              <w:bottom w:val="single" w:sz="8" w:color="125288"/>
            </w:tcBorders>
          </w:tcPr>
          <w:p>
            <w:pPr>
              <w:spacing w:after="0"/>
              <w:rPr>
                <w:sz w:val="7"/>
                <w:szCs w:val="7"/>
                <w:color w:val="auto"/>
              </w:rPr>
            </w:pPr>
          </w:p>
        </w:tc>
      </w:tr>
      <w:tr>
        <w:trPr>
          <w:trHeight w:val="265"/>
        </w:trPr>
        <w:tc>
          <w:tcPr>
            <w:tcW w:w="1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760" w:type="dxa"/>
            <w:vAlign w:val="bottom"/>
          </w:tcPr>
          <w:p>
            <w:pPr>
              <w:spacing w:after="0"/>
              <w:rPr>
                <w:sz w:val="20"/>
                <w:szCs w:val="20"/>
                <w:color w:val="auto"/>
              </w:rPr>
            </w:pPr>
            <w:r>
              <w:rPr>
                <w:rFonts w:ascii="Arial" w:cs="Arial" w:eastAsia="Arial" w:hAnsi="Arial"/>
                <w:sz w:val="17"/>
                <w:szCs w:val="17"/>
                <w:color w:val="auto"/>
              </w:rPr>
              <w:t>PSUs</w:t>
            </w:r>
          </w:p>
        </w:tc>
        <w:tc>
          <w:tcPr>
            <w:tcW w:w="3300" w:type="dxa"/>
            <w:vAlign w:val="bottom"/>
          </w:tcPr>
          <w:p>
            <w:pPr>
              <w:ind w:left="720"/>
              <w:spacing w:after="0"/>
              <w:rPr>
                <w:sz w:val="20"/>
                <w:szCs w:val="20"/>
                <w:color w:val="auto"/>
              </w:rPr>
            </w:pPr>
            <w:r>
              <w:rPr>
                <w:rFonts w:ascii="Arial" w:cs="Arial" w:eastAsia="Arial" w:hAnsi="Arial"/>
                <w:sz w:val="17"/>
                <w:szCs w:val="17"/>
                <w:color w:val="auto"/>
              </w:rPr>
              <w:t>2022, 2023, and 2024 AB</w:t>
            </w:r>
          </w:p>
        </w:tc>
        <w:tc>
          <w:tcPr>
            <w:tcW w:w="2520" w:type="dxa"/>
            <w:vAlign w:val="bottom"/>
          </w:tcPr>
          <w:p>
            <w:pPr>
              <w:jc w:val="right"/>
              <w:ind w:right="838"/>
              <w:spacing w:after="0"/>
              <w:rPr>
                <w:sz w:val="20"/>
                <w:szCs w:val="20"/>
                <w:color w:val="auto"/>
              </w:rPr>
            </w:pPr>
            <w:r>
              <w:rPr>
                <w:rFonts w:ascii="Arial" w:cs="Arial" w:eastAsia="Arial" w:hAnsi="Arial"/>
                <w:sz w:val="17"/>
                <w:szCs w:val="17"/>
                <w:color w:val="auto"/>
              </w:rPr>
              <w:t>$469,000</w:t>
            </w:r>
          </w:p>
        </w:tc>
        <w:tc>
          <w:tcPr>
            <w:tcW w:w="1940" w:type="dxa"/>
            <w:vAlign w:val="bottom"/>
          </w:tcPr>
          <w:p>
            <w:pPr>
              <w:jc w:val="right"/>
              <w:spacing w:after="0"/>
              <w:rPr>
                <w:sz w:val="20"/>
                <w:szCs w:val="20"/>
                <w:color w:val="auto"/>
              </w:rPr>
            </w:pPr>
            <w:r>
              <w:rPr>
                <w:rFonts w:ascii="Arial" w:cs="Arial" w:eastAsia="Arial" w:hAnsi="Arial"/>
                <w:sz w:val="17"/>
                <w:szCs w:val="17"/>
                <w:color w:val="auto"/>
              </w:rPr>
              <w:t>1/3 on March 30, 2023</w:t>
            </w:r>
          </w:p>
        </w:tc>
      </w:tr>
      <w:tr>
        <w:trPr>
          <w:trHeight w:val="190"/>
        </w:trPr>
        <w:tc>
          <w:tcPr>
            <w:tcW w:w="1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300" w:type="dxa"/>
            <w:vAlign w:val="bottom"/>
          </w:tcPr>
          <w:p>
            <w:pPr>
              <w:ind w:left="720"/>
              <w:spacing w:after="0" w:line="190" w:lineRule="exact"/>
              <w:rPr>
                <w:sz w:val="20"/>
                <w:szCs w:val="20"/>
                <w:color w:val="auto"/>
              </w:rPr>
            </w:pPr>
            <w:r>
              <w:rPr>
                <w:rFonts w:ascii="Arial" w:cs="Arial" w:eastAsia="Arial" w:hAnsi="Arial"/>
                <w:sz w:val="17"/>
                <w:szCs w:val="17"/>
                <w:color w:val="auto"/>
              </w:rPr>
              <w:t>Adjusted OI</w:t>
            </w:r>
          </w:p>
        </w:tc>
        <w:tc>
          <w:tcPr>
            <w:tcW w:w="2520" w:type="dxa"/>
            <w:vAlign w:val="bottom"/>
          </w:tcPr>
          <w:p>
            <w:pPr>
              <w:spacing w:after="0"/>
              <w:rPr>
                <w:sz w:val="16"/>
                <w:szCs w:val="16"/>
                <w:color w:val="auto"/>
              </w:rPr>
            </w:pPr>
          </w:p>
        </w:tc>
        <w:tc>
          <w:tcPr>
            <w:tcW w:w="1940" w:type="dxa"/>
            <w:vAlign w:val="bottom"/>
          </w:tcPr>
          <w:p>
            <w:pPr>
              <w:jc w:val="right"/>
              <w:spacing w:after="0" w:line="190" w:lineRule="exact"/>
              <w:rPr>
                <w:sz w:val="20"/>
                <w:szCs w:val="20"/>
                <w:color w:val="auto"/>
              </w:rPr>
            </w:pPr>
            <w:r>
              <w:rPr>
                <w:rFonts w:ascii="Arial" w:cs="Arial" w:eastAsia="Arial" w:hAnsi="Arial"/>
                <w:sz w:val="17"/>
                <w:szCs w:val="17"/>
                <w:color w:val="auto"/>
              </w:rPr>
              <w:t>1/3 on March 30, 2024</w:t>
            </w:r>
          </w:p>
        </w:tc>
      </w:tr>
      <w:tr>
        <w:trPr>
          <w:trHeight w:val="201"/>
        </w:trPr>
        <w:tc>
          <w:tcPr>
            <w:tcW w:w="1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1/3 on March 30, 2025</w:t>
            </w:r>
          </w:p>
        </w:tc>
      </w:tr>
      <w:tr>
        <w:trPr>
          <w:trHeight w:val="85"/>
        </w:trPr>
        <w:tc>
          <w:tcPr>
            <w:tcW w:w="1700" w:type="dxa"/>
            <w:vAlign w:val="bottom"/>
          </w:tcPr>
          <w:p>
            <w:pPr>
              <w:spacing w:after="0"/>
              <w:rPr>
                <w:sz w:val="7"/>
                <w:szCs w:val="7"/>
                <w:color w:val="auto"/>
              </w:rPr>
            </w:pPr>
          </w:p>
        </w:tc>
        <w:tc>
          <w:tcPr>
            <w:tcW w:w="40" w:type="dxa"/>
            <w:vAlign w:val="bottom"/>
            <w:tcBorders>
              <w:bottom w:val="single" w:sz="8" w:color="125288"/>
            </w:tcBorders>
          </w:tcPr>
          <w:p>
            <w:pPr>
              <w:spacing w:after="0"/>
              <w:rPr>
                <w:sz w:val="7"/>
                <w:szCs w:val="7"/>
                <w:color w:val="auto"/>
              </w:rPr>
            </w:pPr>
          </w:p>
        </w:tc>
        <w:tc>
          <w:tcPr>
            <w:tcW w:w="1760" w:type="dxa"/>
            <w:vAlign w:val="bottom"/>
            <w:tcBorders>
              <w:bottom w:val="single" w:sz="8" w:color="125288"/>
            </w:tcBorders>
          </w:tcPr>
          <w:p>
            <w:pPr>
              <w:spacing w:after="0"/>
              <w:rPr>
                <w:sz w:val="7"/>
                <w:szCs w:val="7"/>
                <w:color w:val="auto"/>
              </w:rPr>
            </w:pPr>
          </w:p>
        </w:tc>
        <w:tc>
          <w:tcPr>
            <w:tcW w:w="3300" w:type="dxa"/>
            <w:vAlign w:val="bottom"/>
            <w:tcBorders>
              <w:bottom w:val="single" w:sz="8" w:color="125288"/>
            </w:tcBorders>
          </w:tcPr>
          <w:p>
            <w:pPr>
              <w:spacing w:after="0"/>
              <w:rPr>
                <w:sz w:val="7"/>
                <w:szCs w:val="7"/>
                <w:color w:val="auto"/>
              </w:rPr>
            </w:pPr>
          </w:p>
        </w:tc>
        <w:tc>
          <w:tcPr>
            <w:tcW w:w="2520" w:type="dxa"/>
            <w:vAlign w:val="bottom"/>
            <w:tcBorders>
              <w:bottom w:val="single" w:sz="8" w:color="125288"/>
            </w:tcBorders>
          </w:tcPr>
          <w:p>
            <w:pPr>
              <w:spacing w:after="0"/>
              <w:rPr>
                <w:sz w:val="7"/>
                <w:szCs w:val="7"/>
                <w:color w:val="auto"/>
              </w:rPr>
            </w:pPr>
          </w:p>
        </w:tc>
        <w:tc>
          <w:tcPr>
            <w:tcW w:w="1940" w:type="dxa"/>
            <w:vAlign w:val="bottom"/>
            <w:tcBorders>
              <w:bottom w:val="single" w:sz="8" w:color="125288"/>
            </w:tcBorders>
          </w:tcPr>
          <w:p>
            <w:pPr>
              <w:spacing w:after="0"/>
              <w:rPr>
                <w:sz w:val="7"/>
                <w:szCs w:val="7"/>
                <w:color w:val="auto"/>
              </w:rPr>
            </w:pPr>
          </w:p>
        </w:tc>
      </w:tr>
      <w:tr>
        <w:trPr>
          <w:trHeight w:val="265"/>
        </w:trPr>
        <w:tc>
          <w:tcPr>
            <w:tcW w:w="1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760" w:type="dxa"/>
            <w:vAlign w:val="bottom"/>
          </w:tcPr>
          <w:p>
            <w:pPr>
              <w:spacing w:after="0"/>
              <w:rPr>
                <w:sz w:val="20"/>
                <w:szCs w:val="20"/>
                <w:color w:val="auto"/>
              </w:rPr>
            </w:pPr>
            <w:r>
              <w:rPr>
                <w:rFonts w:ascii="Arial" w:cs="Arial" w:eastAsia="Arial" w:hAnsi="Arial"/>
                <w:sz w:val="17"/>
                <w:szCs w:val="17"/>
                <w:color w:val="auto"/>
              </w:rPr>
              <w:t>PSUs</w:t>
            </w:r>
          </w:p>
        </w:tc>
        <w:tc>
          <w:tcPr>
            <w:tcW w:w="3300" w:type="dxa"/>
            <w:vAlign w:val="bottom"/>
          </w:tcPr>
          <w:p>
            <w:pPr>
              <w:ind w:left="720"/>
              <w:spacing w:after="0"/>
              <w:rPr>
                <w:sz w:val="20"/>
                <w:szCs w:val="20"/>
                <w:color w:val="auto"/>
              </w:rPr>
            </w:pPr>
            <w:r>
              <w:rPr>
                <w:rFonts w:ascii="Arial" w:cs="Arial" w:eastAsia="Arial" w:hAnsi="Arial"/>
                <w:sz w:val="17"/>
                <w:szCs w:val="17"/>
                <w:color w:val="auto"/>
              </w:rPr>
              <w:t>TSR Performance</w:t>
            </w:r>
          </w:p>
        </w:tc>
        <w:tc>
          <w:tcPr>
            <w:tcW w:w="2520" w:type="dxa"/>
            <w:vAlign w:val="bottom"/>
          </w:tcPr>
          <w:p>
            <w:pPr>
              <w:jc w:val="right"/>
              <w:ind w:right="838"/>
              <w:spacing w:after="0"/>
              <w:rPr>
                <w:sz w:val="20"/>
                <w:szCs w:val="20"/>
                <w:color w:val="auto"/>
              </w:rPr>
            </w:pPr>
            <w:r>
              <w:rPr>
                <w:rFonts w:ascii="Arial" w:cs="Arial" w:eastAsia="Arial" w:hAnsi="Arial"/>
                <w:sz w:val="17"/>
                <w:szCs w:val="17"/>
                <w:color w:val="auto"/>
              </w:rPr>
              <w:t>$469,000</w:t>
            </w:r>
          </w:p>
        </w:tc>
        <w:tc>
          <w:tcPr>
            <w:tcW w:w="1940" w:type="dxa"/>
            <w:vAlign w:val="bottom"/>
          </w:tcPr>
          <w:p>
            <w:pPr>
              <w:jc w:val="right"/>
              <w:spacing w:after="0"/>
              <w:rPr>
                <w:sz w:val="20"/>
                <w:szCs w:val="20"/>
                <w:color w:val="auto"/>
              </w:rPr>
            </w:pPr>
            <w:r>
              <w:rPr>
                <w:rFonts w:ascii="Arial" w:cs="Arial" w:eastAsia="Arial" w:hAnsi="Arial"/>
                <w:sz w:val="17"/>
                <w:szCs w:val="17"/>
                <w:color w:val="auto"/>
              </w:rPr>
              <w:t>1/3 on March 30, 2023</w:t>
            </w:r>
          </w:p>
        </w:tc>
      </w:tr>
      <w:tr>
        <w:trPr>
          <w:trHeight w:val="190"/>
        </w:trPr>
        <w:tc>
          <w:tcPr>
            <w:tcW w:w="1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940" w:type="dxa"/>
            <w:vAlign w:val="bottom"/>
          </w:tcPr>
          <w:p>
            <w:pPr>
              <w:jc w:val="right"/>
              <w:spacing w:after="0" w:line="190" w:lineRule="exact"/>
              <w:rPr>
                <w:sz w:val="20"/>
                <w:szCs w:val="20"/>
                <w:color w:val="auto"/>
              </w:rPr>
            </w:pPr>
            <w:r>
              <w:rPr>
                <w:rFonts w:ascii="Arial" w:cs="Arial" w:eastAsia="Arial" w:hAnsi="Arial"/>
                <w:sz w:val="17"/>
                <w:szCs w:val="17"/>
                <w:color w:val="auto"/>
              </w:rPr>
              <w:t>1/3 on March 30, 2024</w:t>
            </w:r>
          </w:p>
        </w:tc>
      </w:tr>
      <w:tr>
        <w:trPr>
          <w:trHeight w:val="201"/>
        </w:trPr>
        <w:tc>
          <w:tcPr>
            <w:tcW w:w="1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1/3 on March 30, 2025</w:t>
            </w:r>
          </w:p>
        </w:tc>
      </w:tr>
      <w:tr>
        <w:trPr>
          <w:trHeight w:val="85"/>
        </w:trPr>
        <w:tc>
          <w:tcPr>
            <w:tcW w:w="1700" w:type="dxa"/>
            <w:vAlign w:val="bottom"/>
          </w:tcPr>
          <w:p>
            <w:pPr>
              <w:spacing w:after="0"/>
              <w:rPr>
                <w:sz w:val="7"/>
                <w:szCs w:val="7"/>
                <w:color w:val="auto"/>
              </w:rPr>
            </w:pPr>
          </w:p>
        </w:tc>
        <w:tc>
          <w:tcPr>
            <w:tcW w:w="40" w:type="dxa"/>
            <w:vAlign w:val="bottom"/>
            <w:tcBorders>
              <w:bottom w:val="single" w:sz="8" w:color="125288"/>
            </w:tcBorders>
          </w:tcPr>
          <w:p>
            <w:pPr>
              <w:spacing w:after="0"/>
              <w:rPr>
                <w:sz w:val="7"/>
                <w:szCs w:val="7"/>
                <w:color w:val="auto"/>
              </w:rPr>
            </w:pPr>
          </w:p>
        </w:tc>
        <w:tc>
          <w:tcPr>
            <w:tcW w:w="1760" w:type="dxa"/>
            <w:vAlign w:val="bottom"/>
            <w:tcBorders>
              <w:bottom w:val="single" w:sz="8" w:color="125288"/>
            </w:tcBorders>
          </w:tcPr>
          <w:p>
            <w:pPr>
              <w:spacing w:after="0"/>
              <w:rPr>
                <w:sz w:val="7"/>
                <w:szCs w:val="7"/>
                <w:color w:val="auto"/>
              </w:rPr>
            </w:pPr>
          </w:p>
        </w:tc>
        <w:tc>
          <w:tcPr>
            <w:tcW w:w="3300" w:type="dxa"/>
            <w:vAlign w:val="bottom"/>
            <w:tcBorders>
              <w:bottom w:val="single" w:sz="8" w:color="125288"/>
            </w:tcBorders>
          </w:tcPr>
          <w:p>
            <w:pPr>
              <w:spacing w:after="0"/>
              <w:rPr>
                <w:sz w:val="7"/>
                <w:szCs w:val="7"/>
                <w:color w:val="auto"/>
              </w:rPr>
            </w:pPr>
          </w:p>
        </w:tc>
        <w:tc>
          <w:tcPr>
            <w:tcW w:w="2520" w:type="dxa"/>
            <w:vAlign w:val="bottom"/>
            <w:tcBorders>
              <w:bottom w:val="single" w:sz="8" w:color="125288"/>
            </w:tcBorders>
          </w:tcPr>
          <w:p>
            <w:pPr>
              <w:spacing w:after="0"/>
              <w:rPr>
                <w:sz w:val="7"/>
                <w:szCs w:val="7"/>
                <w:color w:val="auto"/>
              </w:rPr>
            </w:pPr>
          </w:p>
        </w:tc>
        <w:tc>
          <w:tcPr>
            <w:tcW w:w="1940" w:type="dxa"/>
            <w:vAlign w:val="bottom"/>
            <w:tcBorders>
              <w:bottom w:val="single" w:sz="8" w:color="125288"/>
            </w:tcBorders>
          </w:tcPr>
          <w:p>
            <w:pPr>
              <w:spacing w:after="0"/>
              <w:rPr>
                <w:sz w:val="7"/>
                <w:szCs w:val="7"/>
                <w:color w:val="auto"/>
              </w:rPr>
            </w:pPr>
          </w:p>
        </w:tc>
      </w:tr>
      <w:tr>
        <w:trPr>
          <w:trHeight w:val="265"/>
        </w:trPr>
        <w:tc>
          <w:tcPr>
            <w:tcW w:w="1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760" w:type="dxa"/>
            <w:vAlign w:val="bottom"/>
          </w:tcPr>
          <w:p>
            <w:pPr>
              <w:spacing w:after="0"/>
              <w:rPr>
                <w:sz w:val="20"/>
                <w:szCs w:val="20"/>
                <w:color w:val="auto"/>
              </w:rPr>
            </w:pPr>
            <w:r>
              <w:rPr>
                <w:rFonts w:ascii="Arial" w:cs="Arial" w:eastAsia="Arial" w:hAnsi="Arial"/>
                <w:sz w:val="17"/>
                <w:szCs w:val="17"/>
                <w:color w:val="auto"/>
              </w:rPr>
              <w:t>PSUs</w:t>
            </w:r>
          </w:p>
        </w:tc>
        <w:tc>
          <w:tcPr>
            <w:tcW w:w="3300" w:type="dxa"/>
            <w:vAlign w:val="bottom"/>
          </w:tcPr>
          <w:p>
            <w:pPr>
              <w:ind w:left="720"/>
              <w:spacing w:after="0"/>
              <w:rPr>
                <w:sz w:val="20"/>
                <w:szCs w:val="20"/>
                <w:color w:val="auto"/>
              </w:rPr>
            </w:pPr>
            <w:r>
              <w:rPr>
                <w:rFonts w:ascii="Arial" w:cs="Arial" w:eastAsia="Arial" w:hAnsi="Arial"/>
                <w:sz w:val="17"/>
                <w:szCs w:val="17"/>
                <w:color w:val="auto"/>
              </w:rPr>
              <w:t>Cumulative 2022–2024 AB</w:t>
            </w:r>
          </w:p>
        </w:tc>
        <w:tc>
          <w:tcPr>
            <w:tcW w:w="2520" w:type="dxa"/>
            <w:vAlign w:val="bottom"/>
          </w:tcPr>
          <w:p>
            <w:pPr>
              <w:jc w:val="right"/>
              <w:ind w:right="838"/>
              <w:spacing w:after="0"/>
              <w:rPr>
                <w:sz w:val="20"/>
                <w:szCs w:val="20"/>
                <w:color w:val="auto"/>
              </w:rPr>
            </w:pPr>
            <w:r>
              <w:rPr>
                <w:rFonts w:ascii="Arial" w:cs="Arial" w:eastAsia="Arial" w:hAnsi="Arial"/>
                <w:sz w:val="17"/>
                <w:szCs w:val="17"/>
                <w:color w:val="auto"/>
              </w:rPr>
              <w:t>$750,000</w:t>
            </w:r>
          </w:p>
        </w:tc>
        <w:tc>
          <w:tcPr>
            <w:tcW w:w="1940" w:type="dxa"/>
            <w:vAlign w:val="bottom"/>
          </w:tcPr>
          <w:p>
            <w:pPr>
              <w:jc w:val="right"/>
              <w:spacing w:after="0"/>
              <w:rPr>
                <w:sz w:val="20"/>
                <w:szCs w:val="20"/>
                <w:color w:val="auto"/>
              </w:rPr>
            </w:pPr>
            <w:r>
              <w:rPr>
                <w:rFonts w:ascii="Arial" w:cs="Arial" w:eastAsia="Arial" w:hAnsi="Arial"/>
                <w:sz w:val="17"/>
                <w:szCs w:val="17"/>
                <w:color w:val="auto"/>
                <w:w w:val="97"/>
              </w:rPr>
              <w:t>100% on March 30, 2025</w:t>
            </w:r>
          </w:p>
        </w:tc>
      </w:tr>
      <w:tr>
        <w:trPr>
          <w:trHeight w:val="201"/>
        </w:trPr>
        <w:tc>
          <w:tcPr>
            <w:tcW w:w="1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300" w:type="dxa"/>
            <w:vAlign w:val="bottom"/>
          </w:tcPr>
          <w:p>
            <w:pPr>
              <w:ind w:left="720"/>
              <w:spacing w:after="0"/>
              <w:rPr>
                <w:sz w:val="20"/>
                <w:szCs w:val="20"/>
                <w:color w:val="auto"/>
              </w:rPr>
            </w:pPr>
            <w:r>
              <w:rPr>
                <w:rFonts w:ascii="Arial" w:cs="Arial" w:eastAsia="Arial" w:hAnsi="Arial"/>
                <w:sz w:val="17"/>
                <w:szCs w:val="17"/>
                <w:color w:val="auto"/>
              </w:rPr>
              <w:t>Adjusted EPS</w:t>
            </w:r>
          </w:p>
        </w:tc>
        <w:tc>
          <w:tcPr>
            <w:tcW w:w="25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85"/>
        </w:trPr>
        <w:tc>
          <w:tcPr>
            <w:tcW w:w="1700" w:type="dxa"/>
            <w:vAlign w:val="bottom"/>
          </w:tcPr>
          <w:p>
            <w:pPr>
              <w:spacing w:after="0"/>
              <w:rPr>
                <w:sz w:val="7"/>
                <w:szCs w:val="7"/>
                <w:color w:val="auto"/>
              </w:rPr>
            </w:pPr>
          </w:p>
        </w:tc>
        <w:tc>
          <w:tcPr>
            <w:tcW w:w="40" w:type="dxa"/>
            <w:vAlign w:val="bottom"/>
            <w:tcBorders>
              <w:bottom w:val="single" w:sz="8" w:color="125288"/>
            </w:tcBorders>
          </w:tcPr>
          <w:p>
            <w:pPr>
              <w:spacing w:after="0"/>
              <w:rPr>
                <w:sz w:val="7"/>
                <w:szCs w:val="7"/>
                <w:color w:val="auto"/>
              </w:rPr>
            </w:pPr>
          </w:p>
        </w:tc>
        <w:tc>
          <w:tcPr>
            <w:tcW w:w="1760" w:type="dxa"/>
            <w:vAlign w:val="bottom"/>
            <w:tcBorders>
              <w:bottom w:val="single" w:sz="8" w:color="125288"/>
            </w:tcBorders>
          </w:tcPr>
          <w:p>
            <w:pPr>
              <w:spacing w:after="0"/>
              <w:rPr>
                <w:sz w:val="7"/>
                <w:szCs w:val="7"/>
                <w:color w:val="auto"/>
              </w:rPr>
            </w:pPr>
          </w:p>
        </w:tc>
        <w:tc>
          <w:tcPr>
            <w:tcW w:w="3300" w:type="dxa"/>
            <w:vAlign w:val="bottom"/>
            <w:tcBorders>
              <w:bottom w:val="single" w:sz="8" w:color="125288"/>
            </w:tcBorders>
          </w:tcPr>
          <w:p>
            <w:pPr>
              <w:spacing w:after="0"/>
              <w:rPr>
                <w:sz w:val="7"/>
                <w:szCs w:val="7"/>
                <w:color w:val="auto"/>
              </w:rPr>
            </w:pPr>
          </w:p>
        </w:tc>
        <w:tc>
          <w:tcPr>
            <w:tcW w:w="2520" w:type="dxa"/>
            <w:vAlign w:val="bottom"/>
            <w:tcBorders>
              <w:bottom w:val="single" w:sz="8" w:color="125288"/>
            </w:tcBorders>
          </w:tcPr>
          <w:p>
            <w:pPr>
              <w:spacing w:after="0"/>
              <w:rPr>
                <w:sz w:val="7"/>
                <w:szCs w:val="7"/>
                <w:color w:val="auto"/>
              </w:rPr>
            </w:pPr>
          </w:p>
        </w:tc>
        <w:tc>
          <w:tcPr>
            <w:tcW w:w="1940" w:type="dxa"/>
            <w:vAlign w:val="bottom"/>
            <w:tcBorders>
              <w:bottom w:val="single" w:sz="8" w:color="125288"/>
            </w:tcBorders>
          </w:tcPr>
          <w:p>
            <w:pPr>
              <w:spacing w:after="0"/>
              <w:rPr>
                <w:sz w:val="7"/>
                <w:szCs w:val="7"/>
                <w:color w:val="auto"/>
              </w:rPr>
            </w:pPr>
          </w:p>
        </w:tc>
      </w:tr>
      <w:tr>
        <w:trPr>
          <w:trHeight w:val="265"/>
        </w:trPr>
        <w:tc>
          <w:tcPr>
            <w:tcW w:w="1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760" w:type="dxa"/>
            <w:vAlign w:val="bottom"/>
          </w:tcPr>
          <w:p>
            <w:pPr>
              <w:spacing w:after="0"/>
              <w:rPr>
                <w:sz w:val="20"/>
                <w:szCs w:val="20"/>
                <w:color w:val="auto"/>
              </w:rPr>
            </w:pPr>
            <w:r>
              <w:rPr>
                <w:rFonts w:ascii="Arial" w:cs="Arial" w:eastAsia="Arial" w:hAnsi="Arial"/>
                <w:sz w:val="17"/>
                <w:szCs w:val="17"/>
                <w:color w:val="auto"/>
              </w:rPr>
              <w:t>PSUs</w:t>
            </w:r>
          </w:p>
        </w:tc>
        <w:tc>
          <w:tcPr>
            <w:tcW w:w="3300" w:type="dxa"/>
            <w:vAlign w:val="bottom"/>
          </w:tcPr>
          <w:p>
            <w:pPr>
              <w:ind w:left="720"/>
              <w:spacing w:after="0"/>
              <w:rPr>
                <w:sz w:val="20"/>
                <w:szCs w:val="20"/>
                <w:color w:val="auto"/>
              </w:rPr>
            </w:pPr>
            <w:r>
              <w:rPr>
                <w:rFonts w:ascii="Arial" w:cs="Arial" w:eastAsia="Arial" w:hAnsi="Arial"/>
                <w:sz w:val="17"/>
                <w:szCs w:val="17"/>
                <w:color w:val="auto"/>
              </w:rPr>
              <w:t>Cumulative 2022–2024 AB</w:t>
            </w:r>
          </w:p>
        </w:tc>
        <w:tc>
          <w:tcPr>
            <w:tcW w:w="2520" w:type="dxa"/>
            <w:vAlign w:val="bottom"/>
          </w:tcPr>
          <w:p>
            <w:pPr>
              <w:jc w:val="right"/>
              <w:ind w:right="838"/>
              <w:spacing w:after="0"/>
              <w:rPr>
                <w:sz w:val="20"/>
                <w:szCs w:val="20"/>
                <w:color w:val="auto"/>
              </w:rPr>
            </w:pPr>
            <w:r>
              <w:rPr>
                <w:rFonts w:ascii="Arial" w:cs="Arial" w:eastAsia="Arial" w:hAnsi="Arial"/>
                <w:sz w:val="17"/>
                <w:szCs w:val="17"/>
                <w:color w:val="auto"/>
              </w:rPr>
              <w:t>$375,000</w:t>
            </w:r>
          </w:p>
        </w:tc>
        <w:tc>
          <w:tcPr>
            <w:tcW w:w="1940" w:type="dxa"/>
            <w:vAlign w:val="bottom"/>
          </w:tcPr>
          <w:p>
            <w:pPr>
              <w:jc w:val="right"/>
              <w:spacing w:after="0"/>
              <w:rPr>
                <w:sz w:val="20"/>
                <w:szCs w:val="20"/>
                <w:color w:val="auto"/>
              </w:rPr>
            </w:pPr>
            <w:r>
              <w:rPr>
                <w:rFonts w:ascii="Arial" w:cs="Arial" w:eastAsia="Arial" w:hAnsi="Arial"/>
                <w:sz w:val="17"/>
                <w:szCs w:val="17"/>
                <w:color w:val="auto"/>
                <w:w w:val="97"/>
              </w:rPr>
              <w:t>100% on March 30, 2025</w:t>
            </w:r>
          </w:p>
        </w:tc>
      </w:tr>
      <w:tr>
        <w:trPr>
          <w:trHeight w:val="201"/>
        </w:trPr>
        <w:tc>
          <w:tcPr>
            <w:tcW w:w="1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300" w:type="dxa"/>
            <w:vAlign w:val="bottom"/>
          </w:tcPr>
          <w:p>
            <w:pPr>
              <w:ind w:left="720"/>
              <w:spacing w:after="0"/>
              <w:rPr>
                <w:sz w:val="20"/>
                <w:szCs w:val="20"/>
                <w:color w:val="auto"/>
              </w:rPr>
            </w:pPr>
            <w:r>
              <w:rPr>
                <w:rFonts w:ascii="Arial" w:cs="Arial" w:eastAsia="Arial" w:hAnsi="Arial"/>
                <w:sz w:val="17"/>
                <w:szCs w:val="17"/>
                <w:color w:val="auto"/>
              </w:rPr>
              <w:t>Adjusted OI</w:t>
            </w:r>
          </w:p>
        </w:tc>
        <w:tc>
          <w:tcPr>
            <w:tcW w:w="25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85"/>
        </w:trPr>
        <w:tc>
          <w:tcPr>
            <w:tcW w:w="1700" w:type="dxa"/>
            <w:vAlign w:val="bottom"/>
          </w:tcPr>
          <w:p>
            <w:pPr>
              <w:spacing w:after="0"/>
              <w:rPr>
                <w:sz w:val="7"/>
                <w:szCs w:val="7"/>
                <w:color w:val="auto"/>
              </w:rPr>
            </w:pPr>
          </w:p>
        </w:tc>
        <w:tc>
          <w:tcPr>
            <w:tcW w:w="40" w:type="dxa"/>
            <w:vAlign w:val="bottom"/>
            <w:tcBorders>
              <w:bottom w:val="single" w:sz="8" w:color="125288"/>
            </w:tcBorders>
          </w:tcPr>
          <w:p>
            <w:pPr>
              <w:spacing w:after="0"/>
              <w:rPr>
                <w:sz w:val="7"/>
                <w:szCs w:val="7"/>
                <w:color w:val="auto"/>
              </w:rPr>
            </w:pPr>
          </w:p>
        </w:tc>
        <w:tc>
          <w:tcPr>
            <w:tcW w:w="1760" w:type="dxa"/>
            <w:vAlign w:val="bottom"/>
            <w:tcBorders>
              <w:bottom w:val="single" w:sz="8" w:color="125288"/>
            </w:tcBorders>
          </w:tcPr>
          <w:p>
            <w:pPr>
              <w:spacing w:after="0"/>
              <w:rPr>
                <w:sz w:val="7"/>
                <w:szCs w:val="7"/>
                <w:color w:val="auto"/>
              </w:rPr>
            </w:pPr>
          </w:p>
        </w:tc>
        <w:tc>
          <w:tcPr>
            <w:tcW w:w="3300" w:type="dxa"/>
            <w:vAlign w:val="bottom"/>
            <w:tcBorders>
              <w:bottom w:val="single" w:sz="8" w:color="125288"/>
            </w:tcBorders>
          </w:tcPr>
          <w:p>
            <w:pPr>
              <w:spacing w:after="0"/>
              <w:rPr>
                <w:sz w:val="7"/>
                <w:szCs w:val="7"/>
                <w:color w:val="auto"/>
              </w:rPr>
            </w:pPr>
          </w:p>
        </w:tc>
        <w:tc>
          <w:tcPr>
            <w:tcW w:w="2520" w:type="dxa"/>
            <w:vAlign w:val="bottom"/>
            <w:tcBorders>
              <w:bottom w:val="single" w:sz="8" w:color="125288"/>
            </w:tcBorders>
          </w:tcPr>
          <w:p>
            <w:pPr>
              <w:spacing w:after="0"/>
              <w:rPr>
                <w:sz w:val="7"/>
                <w:szCs w:val="7"/>
                <w:color w:val="auto"/>
              </w:rPr>
            </w:pPr>
          </w:p>
        </w:tc>
        <w:tc>
          <w:tcPr>
            <w:tcW w:w="1940" w:type="dxa"/>
            <w:vAlign w:val="bottom"/>
            <w:tcBorders>
              <w:bottom w:val="single" w:sz="8" w:color="125288"/>
            </w:tcBorders>
          </w:tcPr>
          <w:p>
            <w:pPr>
              <w:spacing w:after="0"/>
              <w:rPr>
                <w:sz w:val="7"/>
                <w:szCs w:val="7"/>
                <w:color w:val="auto"/>
              </w:rPr>
            </w:pPr>
          </w:p>
        </w:tc>
      </w:tr>
      <w:tr>
        <w:trPr>
          <w:trHeight w:val="276"/>
        </w:trPr>
        <w:tc>
          <w:tcPr>
            <w:tcW w:w="1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760" w:type="dxa"/>
            <w:vAlign w:val="bottom"/>
          </w:tcPr>
          <w:p>
            <w:pPr>
              <w:spacing w:after="0"/>
              <w:rPr>
                <w:sz w:val="20"/>
                <w:szCs w:val="20"/>
                <w:color w:val="auto"/>
              </w:rPr>
            </w:pPr>
            <w:r>
              <w:rPr>
                <w:rFonts w:ascii="Arial" w:cs="Arial" w:eastAsia="Arial" w:hAnsi="Arial"/>
                <w:sz w:val="17"/>
                <w:szCs w:val="17"/>
                <w:color w:val="auto"/>
              </w:rPr>
              <w:t>PSUs</w:t>
            </w:r>
          </w:p>
        </w:tc>
        <w:tc>
          <w:tcPr>
            <w:tcW w:w="3300" w:type="dxa"/>
            <w:vAlign w:val="bottom"/>
          </w:tcPr>
          <w:p>
            <w:pPr>
              <w:ind w:left="720"/>
              <w:spacing w:after="0"/>
              <w:rPr>
                <w:sz w:val="20"/>
                <w:szCs w:val="20"/>
                <w:color w:val="auto"/>
              </w:rPr>
            </w:pPr>
            <w:r>
              <w:rPr>
                <w:rFonts w:ascii="Arial" w:cs="Arial" w:eastAsia="Arial" w:hAnsi="Arial"/>
                <w:sz w:val="17"/>
                <w:szCs w:val="17"/>
                <w:color w:val="auto"/>
              </w:rPr>
              <w:t>TSR Performance</w:t>
            </w:r>
          </w:p>
        </w:tc>
        <w:tc>
          <w:tcPr>
            <w:tcW w:w="2520" w:type="dxa"/>
            <w:vAlign w:val="bottom"/>
          </w:tcPr>
          <w:p>
            <w:pPr>
              <w:jc w:val="right"/>
              <w:ind w:right="838"/>
              <w:spacing w:after="0"/>
              <w:rPr>
                <w:sz w:val="20"/>
                <w:szCs w:val="20"/>
                <w:color w:val="auto"/>
              </w:rPr>
            </w:pPr>
            <w:r>
              <w:rPr>
                <w:rFonts w:ascii="Arial" w:cs="Arial" w:eastAsia="Arial" w:hAnsi="Arial"/>
                <w:sz w:val="17"/>
                <w:szCs w:val="17"/>
                <w:color w:val="auto"/>
              </w:rPr>
              <w:t>$375,000</w:t>
            </w:r>
          </w:p>
        </w:tc>
        <w:tc>
          <w:tcPr>
            <w:tcW w:w="1940" w:type="dxa"/>
            <w:vAlign w:val="bottom"/>
          </w:tcPr>
          <w:p>
            <w:pPr>
              <w:jc w:val="right"/>
              <w:spacing w:after="0"/>
              <w:rPr>
                <w:sz w:val="20"/>
                <w:szCs w:val="20"/>
                <w:color w:val="auto"/>
              </w:rPr>
            </w:pPr>
            <w:r>
              <w:rPr>
                <w:rFonts w:ascii="Arial" w:cs="Arial" w:eastAsia="Arial" w:hAnsi="Arial"/>
                <w:sz w:val="17"/>
                <w:szCs w:val="17"/>
                <w:color w:val="auto"/>
                <w:w w:val="97"/>
              </w:rPr>
              <w:t>100% on March 30, 2025</w:t>
            </w:r>
          </w:p>
        </w:tc>
      </w:tr>
      <w:tr>
        <w:trPr>
          <w:trHeight w:val="85"/>
        </w:trPr>
        <w:tc>
          <w:tcPr>
            <w:tcW w:w="1700" w:type="dxa"/>
            <w:vAlign w:val="bottom"/>
          </w:tcPr>
          <w:p>
            <w:pPr>
              <w:spacing w:after="0"/>
              <w:rPr>
                <w:sz w:val="7"/>
                <w:szCs w:val="7"/>
                <w:color w:val="auto"/>
              </w:rPr>
            </w:pPr>
          </w:p>
        </w:tc>
        <w:tc>
          <w:tcPr>
            <w:tcW w:w="40" w:type="dxa"/>
            <w:vAlign w:val="bottom"/>
            <w:tcBorders>
              <w:bottom w:val="single" w:sz="8" w:color="125288"/>
            </w:tcBorders>
          </w:tcPr>
          <w:p>
            <w:pPr>
              <w:spacing w:after="0"/>
              <w:rPr>
                <w:sz w:val="7"/>
                <w:szCs w:val="7"/>
                <w:color w:val="auto"/>
              </w:rPr>
            </w:pPr>
          </w:p>
        </w:tc>
        <w:tc>
          <w:tcPr>
            <w:tcW w:w="1760" w:type="dxa"/>
            <w:vAlign w:val="bottom"/>
            <w:tcBorders>
              <w:bottom w:val="single" w:sz="8" w:color="125288"/>
            </w:tcBorders>
          </w:tcPr>
          <w:p>
            <w:pPr>
              <w:spacing w:after="0"/>
              <w:rPr>
                <w:sz w:val="7"/>
                <w:szCs w:val="7"/>
                <w:color w:val="auto"/>
              </w:rPr>
            </w:pPr>
          </w:p>
        </w:tc>
        <w:tc>
          <w:tcPr>
            <w:tcW w:w="3300" w:type="dxa"/>
            <w:vAlign w:val="bottom"/>
            <w:tcBorders>
              <w:bottom w:val="single" w:sz="8" w:color="125288"/>
            </w:tcBorders>
          </w:tcPr>
          <w:p>
            <w:pPr>
              <w:spacing w:after="0"/>
              <w:rPr>
                <w:sz w:val="7"/>
                <w:szCs w:val="7"/>
                <w:color w:val="auto"/>
              </w:rPr>
            </w:pPr>
          </w:p>
        </w:tc>
        <w:tc>
          <w:tcPr>
            <w:tcW w:w="2520" w:type="dxa"/>
            <w:vAlign w:val="bottom"/>
            <w:tcBorders>
              <w:bottom w:val="single" w:sz="8" w:color="125288"/>
            </w:tcBorders>
          </w:tcPr>
          <w:p>
            <w:pPr>
              <w:spacing w:after="0"/>
              <w:rPr>
                <w:sz w:val="7"/>
                <w:szCs w:val="7"/>
                <w:color w:val="auto"/>
              </w:rPr>
            </w:pPr>
          </w:p>
        </w:tc>
        <w:tc>
          <w:tcPr>
            <w:tcW w:w="1940" w:type="dxa"/>
            <w:vAlign w:val="bottom"/>
            <w:tcBorders>
              <w:bottom w:val="single" w:sz="8" w:color="125288"/>
            </w:tcBorders>
          </w:tcPr>
          <w:p>
            <w:pPr>
              <w:spacing w:after="0"/>
              <w:rPr>
                <w:sz w:val="7"/>
                <w:szCs w:val="7"/>
                <w:color w:val="auto"/>
              </w:rPr>
            </w:pPr>
          </w:p>
        </w:tc>
      </w:tr>
      <w:tr>
        <w:trPr>
          <w:trHeight w:val="265"/>
        </w:trPr>
        <w:tc>
          <w:tcPr>
            <w:tcW w:w="1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760" w:type="dxa"/>
            <w:vAlign w:val="bottom"/>
          </w:tcPr>
          <w:p>
            <w:pPr>
              <w:spacing w:after="0"/>
              <w:rPr>
                <w:sz w:val="20"/>
                <w:szCs w:val="20"/>
                <w:color w:val="auto"/>
              </w:rPr>
            </w:pPr>
            <w:r>
              <w:rPr>
                <w:rFonts w:ascii="Arial" w:cs="Arial" w:eastAsia="Arial" w:hAnsi="Arial"/>
                <w:sz w:val="17"/>
                <w:szCs w:val="17"/>
                <w:color w:val="auto"/>
              </w:rPr>
              <w:t>RSUs</w:t>
            </w:r>
          </w:p>
        </w:tc>
        <w:tc>
          <w:tcPr>
            <w:tcW w:w="3300" w:type="dxa"/>
            <w:vAlign w:val="bottom"/>
          </w:tcPr>
          <w:p>
            <w:pPr>
              <w:ind w:left="720"/>
              <w:spacing w:after="0"/>
              <w:rPr>
                <w:sz w:val="20"/>
                <w:szCs w:val="20"/>
                <w:color w:val="auto"/>
              </w:rPr>
            </w:pPr>
            <w:r>
              <w:rPr>
                <w:rFonts w:ascii="Arial" w:cs="Arial" w:eastAsia="Arial" w:hAnsi="Arial"/>
                <w:sz w:val="17"/>
                <w:szCs w:val="17"/>
                <w:color w:val="auto"/>
              </w:rPr>
              <w:t>Time-Based</w:t>
            </w:r>
          </w:p>
        </w:tc>
        <w:tc>
          <w:tcPr>
            <w:tcW w:w="2520" w:type="dxa"/>
            <w:vAlign w:val="bottom"/>
          </w:tcPr>
          <w:p>
            <w:pPr>
              <w:jc w:val="right"/>
              <w:ind w:right="838"/>
              <w:spacing w:after="0"/>
              <w:rPr>
                <w:sz w:val="20"/>
                <w:szCs w:val="20"/>
                <w:color w:val="auto"/>
              </w:rPr>
            </w:pPr>
            <w:r>
              <w:rPr>
                <w:rFonts w:ascii="Arial" w:cs="Arial" w:eastAsia="Arial" w:hAnsi="Arial"/>
                <w:sz w:val="17"/>
                <w:szCs w:val="17"/>
                <w:color w:val="auto"/>
              </w:rPr>
              <w:t>$1,000,000</w:t>
            </w:r>
          </w:p>
        </w:tc>
        <w:tc>
          <w:tcPr>
            <w:tcW w:w="1940" w:type="dxa"/>
            <w:vAlign w:val="bottom"/>
          </w:tcPr>
          <w:p>
            <w:pPr>
              <w:jc w:val="right"/>
              <w:spacing w:after="0"/>
              <w:rPr>
                <w:sz w:val="20"/>
                <w:szCs w:val="20"/>
                <w:color w:val="auto"/>
              </w:rPr>
            </w:pPr>
            <w:r>
              <w:rPr>
                <w:rFonts w:ascii="Arial" w:cs="Arial" w:eastAsia="Arial" w:hAnsi="Arial"/>
                <w:sz w:val="17"/>
                <w:szCs w:val="17"/>
                <w:color w:val="auto"/>
              </w:rPr>
              <w:t>1/3 on March 31, 2022</w:t>
            </w:r>
          </w:p>
        </w:tc>
      </w:tr>
      <w:tr>
        <w:trPr>
          <w:trHeight w:val="190"/>
        </w:trPr>
        <w:tc>
          <w:tcPr>
            <w:tcW w:w="1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940" w:type="dxa"/>
            <w:vAlign w:val="bottom"/>
          </w:tcPr>
          <w:p>
            <w:pPr>
              <w:jc w:val="right"/>
              <w:spacing w:after="0" w:line="190" w:lineRule="exact"/>
              <w:rPr>
                <w:sz w:val="20"/>
                <w:szCs w:val="20"/>
                <w:color w:val="auto"/>
              </w:rPr>
            </w:pPr>
            <w:r>
              <w:rPr>
                <w:rFonts w:ascii="Arial" w:cs="Arial" w:eastAsia="Arial" w:hAnsi="Arial"/>
                <w:sz w:val="17"/>
                <w:szCs w:val="17"/>
                <w:color w:val="auto"/>
              </w:rPr>
              <w:t>1/3 on March 31, 2023</w:t>
            </w:r>
          </w:p>
        </w:tc>
      </w:tr>
      <w:tr>
        <w:trPr>
          <w:trHeight w:val="201"/>
        </w:trPr>
        <w:tc>
          <w:tcPr>
            <w:tcW w:w="1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1/3 on March 31, 2024</w:t>
            </w:r>
          </w:p>
        </w:tc>
      </w:tr>
      <w:tr>
        <w:trPr>
          <w:trHeight w:val="85"/>
        </w:trPr>
        <w:tc>
          <w:tcPr>
            <w:tcW w:w="1700" w:type="dxa"/>
            <w:vAlign w:val="bottom"/>
          </w:tcPr>
          <w:p>
            <w:pPr>
              <w:spacing w:after="0"/>
              <w:rPr>
                <w:sz w:val="7"/>
                <w:szCs w:val="7"/>
                <w:color w:val="auto"/>
              </w:rPr>
            </w:pPr>
          </w:p>
        </w:tc>
        <w:tc>
          <w:tcPr>
            <w:tcW w:w="40" w:type="dxa"/>
            <w:vAlign w:val="bottom"/>
            <w:tcBorders>
              <w:bottom w:val="single" w:sz="8" w:color="125288"/>
            </w:tcBorders>
          </w:tcPr>
          <w:p>
            <w:pPr>
              <w:spacing w:after="0"/>
              <w:rPr>
                <w:sz w:val="7"/>
                <w:szCs w:val="7"/>
                <w:color w:val="auto"/>
              </w:rPr>
            </w:pPr>
          </w:p>
        </w:tc>
        <w:tc>
          <w:tcPr>
            <w:tcW w:w="1760" w:type="dxa"/>
            <w:vAlign w:val="bottom"/>
            <w:tcBorders>
              <w:bottom w:val="single" w:sz="8" w:color="125288"/>
            </w:tcBorders>
          </w:tcPr>
          <w:p>
            <w:pPr>
              <w:spacing w:after="0"/>
              <w:rPr>
                <w:sz w:val="7"/>
                <w:szCs w:val="7"/>
                <w:color w:val="auto"/>
              </w:rPr>
            </w:pPr>
          </w:p>
        </w:tc>
        <w:tc>
          <w:tcPr>
            <w:tcW w:w="3300" w:type="dxa"/>
            <w:vAlign w:val="bottom"/>
            <w:tcBorders>
              <w:bottom w:val="single" w:sz="8" w:color="125288"/>
            </w:tcBorders>
          </w:tcPr>
          <w:p>
            <w:pPr>
              <w:spacing w:after="0"/>
              <w:rPr>
                <w:sz w:val="7"/>
                <w:szCs w:val="7"/>
                <w:color w:val="auto"/>
              </w:rPr>
            </w:pPr>
          </w:p>
        </w:tc>
        <w:tc>
          <w:tcPr>
            <w:tcW w:w="2520" w:type="dxa"/>
            <w:vAlign w:val="bottom"/>
            <w:tcBorders>
              <w:bottom w:val="single" w:sz="8" w:color="125288"/>
            </w:tcBorders>
          </w:tcPr>
          <w:p>
            <w:pPr>
              <w:spacing w:after="0"/>
              <w:rPr>
                <w:sz w:val="7"/>
                <w:szCs w:val="7"/>
                <w:color w:val="auto"/>
              </w:rPr>
            </w:pPr>
          </w:p>
        </w:tc>
        <w:tc>
          <w:tcPr>
            <w:tcW w:w="1940" w:type="dxa"/>
            <w:vAlign w:val="bottom"/>
            <w:tcBorders>
              <w:bottom w:val="single" w:sz="8" w:color="125288"/>
            </w:tcBorders>
          </w:tcPr>
          <w:p>
            <w:pPr>
              <w:spacing w:after="0"/>
              <w:rPr>
                <w:sz w:val="7"/>
                <w:szCs w:val="7"/>
                <w:color w:val="auto"/>
              </w:rPr>
            </w:pPr>
          </w:p>
        </w:tc>
      </w:tr>
      <w:tr>
        <w:trPr>
          <w:trHeight w:val="265"/>
        </w:trPr>
        <w:tc>
          <w:tcPr>
            <w:tcW w:w="1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760" w:type="dxa"/>
            <w:vAlign w:val="bottom"/>
          </w:tcPr>
          <w:p>
            <w:pPr>
              <w:spacing w:after="0"/>
              <w:rPr>
                <w:sz w:val="20"/>
                <w:szCs w:val="20"/>
                <w:color w:val="auto"/>
              </w:rPr>
            </w:pPr>
            <w:r>
              <w:rPr>
                <w:rFonts w:ascii="Arial" w:cs="Arial" w:eastAsia="Arial" w:hAnsi="Arial"/>
                <w:sz w:val="17"/>
                <w:szCs w:val="17"/>
                <w:color w:val="auto"/>
              </w:rPr>
              <w:t>Stock Options</w:t>
            </w:r>
          </w:p>
        </w:tc>
        <w:tc>
          <w:tcPr>
            <w:tcW w:w="3300" w:type="dxa"/>
            <w:vAlign w:val="bottom"/>
          </w:tcPr>
          <w:p>
            <w:pPr>
              <w:ind w:left="720"/>
              <w:spacing w:after="0"/>
              <w:rPr>
                <w:sz w:val="20"/>
                <w:szCs w:val="20"/>
                <w:color w:val="auto"/>
              </w:rPr>
            </w:pPr>
            <w:r>
              <w:rPr>
                <w:rFonts w:ascii="Arial" w:cs="Arial" w:eastAsia="Arial" w:hAnsi="Arial"/>
                <w:sz w:val="17"/>
                <w:szCs w:val="17"/>
                <w:color w:val="auto"/>
              </w:rPr>
              <w:t>Time-Based</w:t>
            </w:r>
          </w:p>
        </w:tc>
        <w:tc>
          <w:tcPr>
            <w:tcW w:w="2520" w:type="dxa"/>
            <w:vAlign w:val="bottom"/>
          </w:tcPr>
          <w:p>
            <w:pPr>
              <w:jc w:val="right"/>
              <w:ind w:right="838"/>
              <w:spacing w:after="0"/>
              <w:rPr>
                <w:sz w:val="20"/>
                <w:szCs w:val="20"/>
                <w:color w:val="auto"/>
              </w:rPr>
            </w:pPr>
            <w:r>
              <w:rPr>
                <w:rFonts w:ascii="Arial" w:cs="Arial" w:eastAsia="Arial" w:hAnsi="Arial"/>
                <w:sz w:val="17"/>
                <w:szCs w:val="17"/>
                <w:color w:val="auto"/>
              </w:rPr>
              <w:t>$4,000,000</w:t>
            </w:r>
          </w:p>
        </w:tc>
        <w:tc>
          <w:tcPr>
            <w:tcW w:w="1940" w:type="dxa"/>
            <w:vAlign w:val="bottom"/>
          </w:tcPr>
          <w:p>
            <w:pPr>
              <w:jc w:val="right"/>
              <w:spacing w:after="0"/>
              <w:rPr>
                <w:sz w:val="20"/>
                <w:szCs w:val="20"/>
                <w:color w:val="auto"/>
              </w:rPr>
            </w:pPr>
            <w:r>
              <w:rPr>
                <w:rFonts w:ascii="Arial" w:cs="Arial" w:eastAsia="Arial" w:hAnsi="Arial"/>
                <w:sz w:val="17"/>
                <w:szCs w:val="17"/>
                <w:color w:val="auto"/>
              </w:rPr>
              <w:t>1/2 on March 31, 2024</w:t>
            </w:r>
          </w:p>
        </w:tc>
      </w:tr>
      <w:tr>
        <w:trPr>
          <w:trHeight w:val="201"/>
        </w:trPr>
        <w:tc>
          <w:tcPr>
            <w:tcW w:w="1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1/2 on March 31, 2025</w:t>
            </w:r>
          </w:p>
        </w:tc>
      </w:tr>
      <w:tr>
        <w:trPr>
          <w:trHeight w:val="85"/>
        </w:trPr>
        <w:tc>
          <w:tcPr>
            <w:tcW w:w="1740" w:type="dxa"/>
            <w:vAlign w:val="bottom"/>
            <w:tcBorders>
              <w:bottom w:val="single" w:sz="8" w:color="125288"/>
            </w:tcBorders>
            <w:gridSpan w:val="2"/>
          </w:tcPr>
          <w:p>
            <w:pPr>
              <w:spacing w:after="0"/>
              <w:rPr>
                <w:sz w:val="7"/>
                <w:szCs w:val="7"/>
                <w:color w:val="auto"/>
              </w:rPr>
            </w:pPr>
          </w:p>
        </w:tc>
        <w:tc>
          <w:tcPr>
            <w:tcW w:w="1760" w:type="dxa"/>
            <w:vAlign w:val="bottom"/>
            <w:tcBorders>
              <w:bottom w:val="single" w:sz="8" w:color="125288"/>
            </w:tcBorders>
          </w:tcPr>
          <w:p>
            <w:pPr>
              <w:spacing w:after="0"/>
              <w:rPr>
                <w:sz w:val="7"/>
                <w:szCs w:val="7"/>
                <w:color w:val="auto"/>
              </w:rPr>
            </w:pPr>
          </w:p>
        </w:tc>
        <w:tc>
          <w:tcPr>
            <w:tcW w:w="3300" w:type="dxa"/>
            <w:vAlign w:val="bottom"/>
            <w:tcBorders>
              <w:bottom w:val="single" w:sz="8" w:color="125288"/>
            </w:tcBorders>
          </w:tcPr>
          <w:p>
            <w:pPr>
              <w:spacing w:after="0"/>
              <w:rPr>
                <w:sz w:val="7"/>
                <w:szCs w:val="7"/>
                <w:color w:val="auto"/>
              </w:rPr>
            </w:pPr>
          </w:p>
        </w:tc>
        <w:tc>
          <w:tcPr>
            <w:tcW w:w="2520" w:type="dxa"/>
            <w:vAlign w:val="bottom"/>
            <w:tcBorders>
              <w:bottom w:val="single" w:sz="8" w:color="125288"/>
            </w:tcBorders>
          </w:tcPr>
          <w:p>
            <w:pPr>
              <w:spacing w:after="0"/>
              <w:rPr>
                <w:sz w:val="7"/>
                <w:szCs w:val="7"/>
                <w:color w:val="auto"/>
              </w:rPr>
            </w:pPr>
          </w:p>
        </w:tc>
        <w:tc>
          <w:tcPr>
            <w:tcW w:w="1940" w:type="dxa"/>
            <w:vAlign w:val="bottom"/>
            <w:tcBorders>
              <w:bottom w:val="single" w:sz="8" w:color="125288"/>
            </w:tcBorders>
          </w:tcPr>
          <w:p>
            <w:pPr>
              <w:spacing w:after="0"/>
              <w:rPr>
                <w:sz w:val="7"/>
                <w:szCs w:val="7"/>
                <w:color w:val="auto"/>
              </w:rPr>
            </w:pPr>
          </w:p>
        </w:tc>
      </w:tr>
      <w:tr>
        <w:trPr>
          <w:trHeight w:val="351"/>
        </w:trPr>
        <w:tc>
          <w:tcPr>
            <w:tcW w:w="1740" w:type="dxa"/>
            <w:vAlign w:val="bottom"/>
            <w:gridSpan w:val="2"/>
          </w:tcPr>
          <w:p>
            <w:pPr>
              <w:spacing w:after="0"/>
              <w:rPr>
                <w:sz w:val="20"/>
                <w:szCs w:val="20"/>
                <w:color w:val="auto"/>
              </w:rPr>
            </w:pPr>
            <w:r>
              <w:rPr>
                <w:rFonts w:ascii="Arial" w:cs="Arial" w:eastAsia="Arial" w:hAnsi="Arial"/>
                <w:sz w:val="14"/>
                <w:szCs w:val="14"/>
                <w:color w:val="706F6F"/>
              </w:rPr>
              <w:t>www.activisionblizzard.com</w:t>
            </w:r>
          </w:p>
        </w:tc>
        <w:tc>
          <w:tcPr>
            <w:tcW w:w="17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4"/>
                <w:szCs w:val="14"/>
                <w:color w:val="706F6F"/>
              </w:rPr>
              <w:t>ACTIVISION BLIZZARD, INC.</w:t>
            </w:r>
          </w:p>
        </w:tc>
        <w:tc>
          <w:tcPr>
            <w:tcW w:w="1940" w:type="dxa"/>
            <w:vAlign w:val="bottom"/>
          </w:tcPr>
          <w:p>
            <w:pPr>
              <w:jc w:val="right"/>
              <w:spacing w:after="0"/>
              <w:rPr>
                <w:sz w:val="20"/>
                <w:szCs w:val="20"/>
                <w:color w:val="auto"/>
              </w:rPr>
            </w:pPr>
            <w:r>
              <w:rPr>
                <w:rFonts w:ascii="Arial" w:cs="Arial" w:eastAsia="Arial" w:hAnsi="Arial"/>
                <w:sz w:val="14"/>
                <w:szCs w:val="14"/>
                <w:color w:val="706F6F"/>
              </w:rPr>
              <w:t>2022 Proxy Statement</w:t>
            </w:r>
            <w:r>
              <w:rPr>
                <w:rFonts w:ascii="Arial" w:cs="Arial" w:eastAsia="Arial" w:hAnsi="Arial"/>
                <w:sz w:val="14"/>
                <w:szCs w:val="14"/>
                <w:b w:val="1"/>
                <w:bCs w:val="1"/>
                <w:color w:val="706F6F"/>
              </w:rPr>
              <w:t>80</w:t>
            </w:r>
          </w:p>
        </w:tc>
      </w:tr>
      <w:tr>
        <w:trPr>
          <w:trHeight w:val="93"/>
        </w:trPr>
        <w:tc>
          <w:tcPr>
            <w:tcW w:w="1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3300" w:type="dxa"/>
            <w:vAlign w:val="bottom"/>
            <w:tcBorders>
              <w:bottom w:val="single" w:sz="8" w:color="808080"/>
            </w:tcBorders>
          </w:tcPr>
          <w:p>
            <w:pPr>
              <w:spacing w:after="0"/>
              <w:rPr>
                <w:sz w:val="8"/>
                <w:szCs w:val="8"/>
                <w:color w:val="auto"/>
              </w:rPr>
            </w:pPr>
          </w:p>
        </w:tc>
        <w:tc>
          <w:tcPr>
            <w:tcW w:w="2520" w:type="dxa"/>
            <w:vAlign w:val="bottom"/>
            <w:tcBorders>
              <w:bottom w:val="single" w:sz="8" w:color="808080"/>
            </w:tcBorders>
          </w:tcPr>
          <w:p>
            <w:pPr>
              <w:spacing w:after="0"/>
              <w:rPr>
                <w:sz w:val="8"/>
                <w:szCs w:val="8"/>
                <w:color w:val="auto"/>
              </w:rPr>
            </w:pPr>
          </w:p>
        </w:tc>
        <w:tc>
          <w:tcPr>
            <w:tcW w:w="1940" w:type="dxa"/>
            <w:vAlign w:val="bottom"/>
            <w:tcBorders>
              <w:bottom w:val="single" w:sz="8" w:color="808080"/>
            </w:tcBorders>
          </w:tcPr>
          <w:p>
            <w:pPr>
              <w:spacing w:after="0"/>
              <w:rPr>
                <w:sz w:val="8"/>
                <w:szCs w:val="8"/>
                <w:color w:val="auto"/>
              </w:rPr>
            </w:pPr>
          </w:p>
        </w:tc>
      </w:tr>
    </w:tbl>
    <w:p>
      <w:pPr>
        <w:sectPr>
          <w:pgSz w:w="11900" w:h="16838" w:orient="portrait"/>
          <w:cols w:equalWidth="0" w:num="1">
            <w:col w:w="11260"/>
          </w:cols>
          <w:pgMar w:left="320" w:top="144" w:right="319" w:bottom="1440" w:gutter="0" w:footer="0" w:header="0"/>
        </w:sectPr>
      </w:pPr>
    </w:p>
    <w:bookmarkStart w:id="83" w:name="page84"/>
    <w:bookmarkEnd w:id="83"/>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00" w:type="dxa"/>
            <w:vAlign w:val="bottom"/>
          </w:tcPr>
          <w:p>
            <w:pPr>
              <w:ind w:left="40"/>
              <w:spacing w:after="0"/>
              <w:rPr>
                <w:sz w:val="20"/>
                <w:szCs w:val="20"/>
                <w:color w:val="auto"/>
              </w:rPr>
            </w:pPr>
            <w:r>
              <w:rPr>
                <w:rFonts w:ascii="Arial" w:cs="Arial" w:eastAsia="Arial" w:hAnsi="Arial"/>
                <w:sz w:val="15"/>
                <w:szCs w:val="15"/>
                <w:b w:val="1"/>
                <w:bCs w:val="1"/>
                <w:color w:val="125288"/>
              </w:rPr>
              <w:t>Executive</w:t>
            </w:r>
          </w:p>
        </w:tc>
        <w:tc>
          <w:tcPr>
            <w:tcW w:w="300" w:type="dxa"/>
            <w:vAlign w:val="bottom"/>
          </w:tcPr>
          <w:p>
            <w:pPr>
              <w:spacing w:after="0"/>
              <w:rPr>
                <w:sz w:val="17"/>
                <w:szCs w:val="17"/>
                <w:color w:val="auto"/>
              </w:rPr>
            </w:pPr>
          </w:p>
        </w:tc>
        <w:tc>
          <w:tcPr>
            <w:tcW w:w="2020" w:type="dxa"/>
            <w:vAlign w:val="bottom"/>
          </w:tcPr>
          <w:p>
            <w:pPr>
              <w:ind w:left="40"/>
              <w:spacing w:after="0"/>
              <w:rPr>
                <w:sz w:val="20"/>
                <w:szCs w:val="20"/>
                <w:color w:val="auto"/>
              </w:rPr>
            </w:pPr>
            <w:r>
              <w:rPr>
                <w:rFonts w:ascii="Arial" w:cs="Arial" w:eastAsia="Arial" w:hAnsi="Arial"/>
                <w:sz w:val="15"/>
                <w:szCs w:val="15"/>
                <w:b w:val="1"/>
                <w:bCs w:val="1"/>
                <w:color w:val="125288"/>
              </w:rPr>
              <w:t>Grant Type</w:t>
            </w:r>
          </w:p>
        </w:tc>
        <w:tc>
          <w:tcPr>
            <w:tcW w:w="3260" w:type="dxa"/>
            <w:vAlign w:val="bottom"/>
          </w:tcPr>
          <w:p>
            <w:pPr>
              <w:ind w:left="500"/>
              <w:spacing w:after="0"/>
              <w:rPr>
                <w:sz w:val="20"/>
                <w:szCs w:val="20"/>
                <w:color w:val="auto"/>
              </w:rPr>
            </w:pPr>
            <w:r>
              <w:rPr>
                <w:rFonts w:ascii="Arial" w:cs="Arial" w:eastAsia="Arial" w:hAnsi="Arial"/>
                <w:sz w:val="15"/>
                <w:szCs w:val="15"/>
                <w:b w:val="1"/>
                <w:bCs w:val="1"/>
                <w:color w:val="125288"/>
              </w:rPr>
              <w:t>Performance Metric</w:t>
            </w:r>
          </w:p>
        </w:tc>
        <w:tc>
          <w:tcPr>
            <w:tcW w:w="1900" w:type="dxa"/>
            <w:vAlign w:val="bottom"/>
          </w:tcPr>
          <w:p>
            <w:pPr>
              <w:jc w:val="right"/>
              <w:ind w:right="397"/>
              <w:spacing w:after="0"/>
              <w:rPr>
                <w:sz w:val="20"/>
                <w:szCs w:val="20"/>
                <w:color w:val="auto"/>
              </w:rPr>
            </w:pPr>
            <w:r>
              <w:rPr>
                <w:rFonts w:ascii="Arial" w:cs="Arial" w:eastAsia="Arial" w:hAnsi="Arial"/>
                <w:sz w:val="15"/>
                <w:szCs w:val="15"/>
                <w:b w:val="1"/>
                <w:bCs w:val="1"/>
                <w:color w:val="125288"/>
              </w:rPr>
              <w:t>Target Award</w:t>
            </w:r>
          </w:p>
        </w:tc>
        <w:tc>
          <w:tcPr>
            <w:tcW w:w="2380" w:type="dxa"/>
            <w:vAlign w:val="bottom"/>
          </w:tcPr>
          <w:p>
            <w:pPr>
              <w:jc w:val="right"/>
              <w:spacing w:after="0"/>
              <w:rPr>
                <w:sz w:val="20"/>
                <w:szCs w:val="20"/>
                <w:color w:val="auto"/>
              </w:rPr>
            </w:pPr>
            <w:r>
              <w:rPr>
                <w:rFonts w:ascii="Arial" w:cs="Arial" w:eastAsia="Arial" w:hAnsi="Arial"/>
                <w:sz w:val="15"/>
                <w:szCs w:val="15"/>
                <w:b w:val="1"/>
                <w:bCs w:val="1"/>
                <w:color w:val="125288"/>
              </w:rPr>
              <w:t>Eligible Vesting Dates</w:t>
            </w:r>
          </w:p>
        </w:tc>
      </w:tr>
      <w:tr>
        <w:trPr>
          <w:trHeight w:val="41"/>
        </w:trPr>
        <w:tc>
          <w:tcPr>
            <w:tcW w:w="1400" w:type="dxa"/>
            <w:vAlign w:val="bottom"/>
            <w:tcBorders>
              <w:bottom w:val="single" w:sz="8" w:color="125288"/>
            </w:tcBorders>
          </w:tcPr>
          <w:p>
            <w:pPr>
              <w:spacing w:after="0"/>
              <w:rPr>
                <w:sz w:val="3"/>
                <w:szCs w:val="3"/>
                <w:color w:val="auto"/>
              </w:rPr>
            </w:pPr>
          </w:p>
        </w:tc>
        <w:tc>
          <w:tcPr>
            <w:tcW w:w="300" w:type="dxa"/>
            <w:vAlign w:val="bottom"/>
            <w:tcBorders>
              <w:bottom w:val="single" w:sz="8" w:color="125288"/>
            </w:tcBorders>
          </w:tcPr>
          <w:p>
            <w:pPr>
              <w:spacing w:after="0"/>
              <w:rPr>
                <w:sz w:val="3"/>
                <w:szCs w:val="3"/>
                <w:color w:val="auto"/>
              </w:rPr>
            </w:pPr>
          </w:p>
        </w:tc>
        <w:tc>
          <w:tcPr>
            <w:tcW w:w="2020" w:type="dxa"/>
            <w:vAlign w:val="bottom"/>
            <w:tcBorders>
              <w:bottom w:val="single" w:sz="8" w:color="125288"/>
            </w:tcBorders>
          </w:tcPr>
          <w:p>
            <w:pPr>
              <w:spacing w:after="0"/>
              <w:rPr>
                <w:sz w:val="3"/>
                <w:szCs w:val="3"/>
                <w:color w:val="auto"/>
              </w:rPr>
            </w:pPr>
          </w:p>
        </w:tc>
        <w:tc>
          <w:tcPr>
            <w:tcW w:w="3260" w:type="dxa"/>
            <w:vAlign w:val="bottom"/>
            <w:tcBorders>
              <w:bottom w:val="single" w:sz="8" w:color="125288"/>
            </w:tcBorders>
          </w:tcPr>
          <w:p>
            <w:pPr>
              <w:spacing w:after="0"/>
              <w:rPr>
                <w:sz w:val="3"/>
                <w:szCs w:val="3"/>
                <w:color w:val="auto"/>
              </w:rPr>
            </w:pPr>
          </w:p>
        </w:tc>
        <w:tc>
          <w:tcPr>
            <w:tcW w:w="1900" w:type="dxa"/>
            <w:vAlign w:val="bottom"/>
            <w:tcBorders>
              <w:bottom w:val="single" w:sz="8" w:color="125288"/>
            </w:tcBorders>
          </w:tcPr>
          <w:p>
            <w:pPr>
              <w:spacing w:after="0"/>
              <w:rPr>
                <w:sz w:val="3"/>
                <w:szCs w:val="3"/>
                <w:color w:val="auto"/>
              </w:rPr>
            </w:pPr>
          </w:p>
        </w:tc>
        <w:tc>
          <w:tcPr>
            <w:tcW w:w="2380" w:type="dxa"/>
            <w:vAlign w:val="bottom"/>
            <w:tcBorders>
              <w:bottom w:val="single" w:sz="8" w:color="125288"/>
            </w:tcBorders>
          </w:tcPr>
          <w:p>
            <w:pPr>
              <w:spacing w:after="0"/>
              <w:rPr>
                <w:sz w:val="3"/>
                <w:szCs w:val="3"/>
                <w:color w:val="auto"/>
              </w:rPr>
            </w:pPr>
          </w:p>
        </w:tc>
      </w:tr>
      <w:tr>
        <w:trPr>
          <w:trHeight w:val="265"/>
        </w:trPr>
        <w:tc>
          <w:tcPr>
            <w:tcW w:w="1400" w:type="dxa"/>
            <w:vAlign w:val="bottom"/>
          </w:tcPr>
          <w:p>
            <w:pPr>
              <w:ind w:left="40"/>
              <w:spacing w:after="0"/>
              <w:rPr>
                <w:sz w:val="20"/>
                <w:szCs w:val="20"/>
                <w:color w:val="auto"/>
              </w:rPr>
            </w:pPr>
            <w:r>
              <w:rPr>
                <w:rFonts w:ascii="Arial" w:cs="Arial" w:eastAsia="Arial" w:hAnsi="Arial"/>
                <w:sz w:val="17"/>
                <w:szCs w:val="17"/>
                <w:b w:val="1"/>
                <w:bCs w:val="1"/>
                <w:color w:val="auto"/>
              </w:rPr>
              <w:t>Brian Bulatao</w:t>
            </w:r>
          </w:p>
        </w:tc>
        <w:tc>
          <w:tcPr>
            <w:tcW w:w="300" w:type="dxa"/>
            <w:vAlign w:val="bottom"/>
          </w:tcPr>
          <w:p>
            <w:pPr>
              <w:spacing w:after="0"/>
              <w:rPr>
                <w:sz w:val="23"/>
                <w:szCs w:val="23"/>
                <w:color w:val="auto"/>
              </w:rPr>
            </w:pPr>
          </w:p>
        </w:tc>
        <w:tc>
          <w:tcPr>
            <w:tcW w:w="2020" w:type="dxa"/>
            <w:vAlign w:val="bottom"/>
          </w:tcPr>
          <w:p>
            <w:pPr>
              <w:ind w:left="40"/>
              <w:spacing w:after="0"/>
              <w:rPr>
                <w:sz w:val="20"/>
                <w:szCs w:val="20"/>
                <w:color w:val="auto"/>
              </w:rPr>
            </w:pPr>
            <w:r>
              <w:rPr>
                <w:rFonts w:ascii="Arial" w:cs="Arial" w:eastAsia="Arial" w:hAnsi="Arial"/>
                <w:sz w:val="17"/>
                <w:szCs w:val="17"/>
                <w:color w:val="auto"/>
              </w:rPr>
              <w:t>Performance-vesting</w:t>
            </w:r>
          </w:p>
        </w:tc>
        <w:tc>
          <w:tcPr>
            <w:tcW w:w="3260" w:type="dxa"/>
            <w:vAlign w:val="bottom"/>
          </w:tcPr>
          <w:p>
            <w:pPr>
              <w:ind w:left="500"/>
              <w:spacing w:after="0"/>
              <w:rPr>
                <w:sz w:val="20"/>
                <w:szCs w:val="20"/>
                <w:color w:val="auto"/>
              </w:rPr>
            </w:pPr>
            <w:r>
              <w:rPr>
                <w:rFonts w:ascii="Arial" w:cs="Arial" w:eastAsia="Arial" w:hAnsi="Arial"/>
                <w:sz w:val="17"/>
                <w:szCs w:val="17"/>
                <w:color w:val="auto"/>
              </w:rPr>
              <w:t>2021, 2022, and 2023 AB</w:t>
            </w:r>
          </w:p>
        </w:tc>
        <w:tc>
          <w:tcPr>
            <w:tcW w:w="1900" w:type="dxa"/>
            <w:vAlign w:val="bottom"/>
          </w:tcPr>
          <w:p>
            <w:pPr>
              <w:jc w:val="right"/>
              <w:ind w:right="397"/>
              <w:spacing w:after="0"/>
              <w:rPr>
                <w:sz w:val="20"/>
                <w:szCs w:val="20"/>
                <w:color w:val="auto"/>
              </w:rPr>
            </w:pPr>
            <w:r>
              <w:rPr>
                <w:rFonts w:ascii="Arial" w:cs="Arial" w:eastAsia="Arial" w:hAnsi="Arial"/>
                <w:sz w:val="17"/>
                <w:szCs w:val="17"/>
                <w:color w:val="auto"/>
              </w:rPr>
              <w:t>$1,500,000</w:t>
            </w:r>
          </w:p>
        </w:tc>
        <w:tc>
          <w:tcPr>
            <w:tcW w:w="2380" w:type="dxa"/>
            <w:vAlign w:val="bottom"/>
          </w:tcPr>
          <w:p>
            <w:pPr>
              <w:jc w:val="right"/>
              <w:spacing w:after="0"/>
              <w:rPr>
                <w:sz w:val="20"/>
                <w:szCs w:val="20"/>
                <w:color w:val="auto"/>
              </w:rPr>
            </w:pPr>
            <w:r>
              <w:rPr>
                <w:rFonts w:ascii="Arial" w:cs="Arial" w:eastAsia="Arial" w:hAnsi="Arial"/>
                <w:sz w:val="17"/>
                <w:szCs w:val="17"/>
                <w:color w:val="auto"/>
              </w:rPr>
              <w:t>1/3 on March 30, 2022</w:t>
            </w:r>
          </w:p>
        </w:tc>
      </w:tr>
      <w:tr>
        <w:trPr>
          <w:trHeight w:val="190"/>
        </w:trPr>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tcPr>
          <w:p>
            <w:pPr>
              <w:ind w:left="40"/>
              <w:spacing w:after="0" w:line="190" w:lineRule="exact"/>
              <w:rPr>
                <w:sz w:val="20"/>
                <w:szCs w:val="20"/>
                <w:color w:val="auto"/>
              </w:rPr>
            </w:pPr>
            <w:r>
              <w:rPr>
                <w:rFonts w:ascii="Arial" w:cs="Arial" w:eastAsia="Arial" w:hAnsi="Arial"/>
                <w:sz w:val="17"/>
                <w:szCs w:val="17"/>
                <w:color w:val="auto"/>
              </w:rPr>
              <w:t>Stock Options</w:t>
            </w:r>
          </w:p>
        </w:tc>
        <w:tc>
          <w:tcPr>
            <w:tcW w:w="3260" w:type="dxa"/>
            <w:vAlign w:val="bottom"/>
          </w:tcPr>
          <w:p>
            <w:pPr>
              <w:ind w:left="500"/>
              <w:spacing w:after="0" w:line="190" w:lineRule="exact"/>
              <w:rPr>
                <w:sz w:val="20"/>
                <w:szCs w:val="20"/>
                <w:color w:val="auto"/>
              </w:rPr>
            </w:pPr>
            <w:r>
              <w:rPr>
                <w:rFonts w:ascii="Arial" w:cs="Arial" w:eastAsia="Arial" w:hAnsi="Arial"/>
                <w:sz w:val="17"/>
                <w:szCs w:val="17"/>
                <w:color w:val="auto"/>
              </w:rPr>
              <w:t>Adjusted OI</w:t>
            </w:r>
          </w:p>
        </w:tc>
        <w:tc>
          <w:tcPr>
            <w:tcW w:w="1900" w:type="dxa"/>
            <w:vAlign w:val="bottom"/>
          </w:tcPr>
          <w:p>
            <w:pPr>
              <w:spacing w:after="0"/>
              <w:rPr>
                <w:sz w:val="16"/>
                <w:szCs w:val="16"/>
                <w:color w:val="auto"/>
              </w:rPr>
            </w:pPr>
          </w:p>
        </w:tc>
        <w:tc>
          <w:tcPr>
            <w:tcW w:w="2380" w:type="dxa"/>
            <w:vAlign w:val="bottom"/>
          </w:tcPr>
          <w:p>
            <w:pPr>
              <w:jc w:val="right"/>
              <w:spacing w:after="0" w:line="190" w:lineRule="exact"/>
              <w:rPr>
                <w:sz w:val="20"/>
                <w:szCs w:val="20"/>
                <w:color w:val="auto"/>
              </w:rPr>
            </w:pPr>
            <w:r>
              <w:rPr>
                <w:rFonts w:ascii="Arial" w:cs="Arial" w:eastAsia="Arial" w:hAnsi="Arial"/>
                <w:sz w:val="17"/>
                <w:szCs w:val="17"/>
                <w:color w:val="auto"/>
              </w:rPr>
              <w:t>1/3 on March 30, 2023</w:t>
            </w:r>
          </w:p>
        </w:tc>
      </w:tr>
      <w:tr>
        <w:trPr>
          <w:trHeight w:val="201"/>
        </w:trPr>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380" w:type="dxa"/>
            <w:vAlign w:val="bottom"/>
          </w:tcPr>
          <w:p>
            <w:pPr>
              <w:jc w:val="right"/>
              <w:spacing w:after="0"/>
              <w:rPr>
                <w:sz w:val="20"/>
                <w:szCs w:val="20"/>
                <w:color w:val="auto"/>
              </w:rPr>
            </w:pPr>
            <w:r>
              <w:rPr>
                <w:rFonts w:ascii="Arial" w:cs="Arial" w:eastAsia="Arial" w:hAnsi="Arial"/>
                <w:sz w:val="17"/>
                <w:szCs w:val="17"/>
                <w:color w:val="auto"/>
              </w:rPr>
              <w:t>1/3 on March 30, 2024</w:t>
            </w:r>
          </w:p>
        </w:tc>
      </w:tr>
      <w:tr>
        <w:trPr>
          <w:trHeight w:val="85"/>
        </w:trPr>
        <w:tc>
          <w:tcPr>
            <w:tcW w:w="1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20" w:type="dxa"/>
            <w:vAlign w:val="bottom"/>
            <w:tcBorders>
              <w:bottom w:val="single" w:sz="8" w:color="125288"/>
            </w:tcBorders>
          </w:tcPr>
          <w:p>
            <w:pPr>
              <w:spacing w:after="0"/>
              <w:rPr>
                <w:sz w:val="7"/>
                <w:szCs w:val="7"/>
                <w:color w:val="auto"/>
              </w:rPr>
            </w:pPr>
          </w:p>
        </w:tc>
        <w:tc>
          <w:tcPr>
            <w:tcW w:w="3260" w:type="dxa"/>
            <w:vAlign w:val="bottom"/>
            <w:tcBorders>
              <w:bottom w:val="single" w:sz="8" w:color="125288"/>
            </w:tcBorders>
          </w:tcPr>
          <w:p>
            <w:pPr>
              <w:spacing w:after="0"/>
              <w:rPr>
                <w:sz w:val="7"/>
                <w:szCs w:val="7"/>
                <w:color w:val="auto"/>
              </w:rPr>
            </w:pPr>
          </w:p>
        </w:tc>
        <w:tc>
          <w:tcPr>
            <w:tcW w:w="1900" w:type="dxa"/>
            <w:vAlign w:val="bottom"/>
            <w:tcBorders>
              <w:bottom w:val="single" w:sz="8" w:color="125288"/>
            </w:tcBorders>
          </w:tcPr>
          <w:p>
            <w:pPr>
              <w:spacing w:after="0"/>
              <w:rPr>
                <w:sz w:val="7"/>
                <w:szCs w:val="7"/>
                <w:color w:val="auto"/>
              </w:rPr>
            </w:pPr>
          </w:p>
        </w:tc>
        <w:tc>
          <w:tcPr>
            <w:tcW w:w="2380" w:type="dxa"/>
            <w:vAlign w:val="bottom"/>
            <w:tcBorders>
              <w:bottom w:val="single" w:sz="8" w:color="125288"/>
            </w:tcBorders>
          </w:tcPr>
          <w:p>
            <w:pPr>
              <w:spacing w:after="0"/>
              <w:rPr>
                <w:sz w:val="7"/>
                <w:szCs w:val="7"/>
                <w:color w:val="auto"/>
              </w:rPr>
            </w:pPr>
          </w:p>
        </w:tc>
      </w:tr>
      <w:tr>
        <w:trPr>
          <w:trHeight w:val="265"/>
        </w:trPr>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20" w:type="dxa"/>
            <w:vAlign w:val="bottom"/>
          </w:tcPr>
          <w:p>
            <w:pPr>
              <w:ind w:left="40"/>
              <w:spacing w:after="0"/>
              <w:rPr>
                <w:sz w:val="20"/>
                <w:szCs w:val="20"/>
                <w:color w:val="auto"/>
              </w:rPr>
            </w:pPr>
            <w:r>
              <w:rPr>
                <w:rFonts w:ascii="Arial" w:cs="Arial" w:eastAsia="Arial" w:hAnsi="Arial"/>
                <w:sz w:val="17"/>
                <w:szCs w:val="17"/>
                <w:color w:val="auto"/>
              </w:rPr>
              <w:t>PSUs</w:t>
            </w:r>
          </w:p>
        </w:tc>
        <w:tc>
          <w:tcPr>
            <w:tcW w:w="3260" w:type="dxa"/>
            <w:vAlign w:val="bottom"/>
          </w:tcPr>
          <w:p>
            <w:pPr>
              <w:ind w:left="500"/>
              <w:spacing w:after="0"/>
              <w:rPr>
                <w:sz w:val="20"/>
                <w:szCs w:val="20"/>
                <w:color w:val="auto"/>
              </w:rPr>
            </w:pPr>
            <w:r>
              <w:rPr>
                <w:rFonts w:ascii="Arial" w:cs="Arial" w:eastAsia="Arial" w:hAnsi="Arial"/>
                <w:sz w:val="17"/>
                <w:szCs w:val="17"/>
                <w:color w:val="auto"/>
              </w:rPr>
              <w:t>2021, 2022, and 2023 AB</w:t>
            </w:r>
          </w:p>
        </w:tc>
        <w:tc>
          <w:tcPr>
            <w:tcW w:w="1900" w:type="dxa"/>
            <w:vAlign w:val="bottom"/>
          </w:tcPr>
          <w:p>
            <w:pPr>
              <w:jc w:val="right"/>
              <w:ind w:right="397"/>
              <w:spacing w:after="0"/>
              <w:rPr>
                <w:sz w:val="20"/>
                <w:szCs w:val="20"/>
                <w:color w:val="auto"/>
              </w:rPr>
            </w:pPr>
            <w:r>
              <w:rPr>
                <w:rFonts w:ascii="Arial" w:cs="Arial" w:eastAsia="Arial" w:hAnsi="Arial"/>
                <w:sz w:val="17"/>
                <w:szCs w:val="17"/>
                <w:color w:val="auto"/>
              </w:rPr>
              <w:t>$2,500,000</w:t>
            </w:r>
          </w:p>
        </w:tc>
        <w:tc>
          <w:tcPr>
            <w:tcW w:w="2380" w:type="dxa"/>
            <w:vAlign w:val="bottom"/>
          </w:tcPr>
          <w:p>
            <w:pPr>
              <w:jc w:val="right"/>
              <w:spacing w:after="0"/>
              <w:rPr>
                <w:sz w:val="20"/>
                <w:szCs w:val="20"/>
                <w:color w:val="auto"/>
              </w:rPr>
            </w:pPr>
            <w:r>
              <w:rPr>
                <w:rFonts w:ascii="Arial" w:cs="Arial" w:eastAsia="Arial" w:hAnsi="Arial"/>
                <w:sz w:val="17"/>
                <w:szCs w:val="17"/>
                <w:color w:val="auto"/>
              </w:rPr>
              <w:t>1/3 on March 30, 2022</w:t>
            </w:r>
          </w:p>
        </w:tc>
      </w:tr>
      <w:tr>
        <w:trPr>
          <w:trHeight w:val="190"/>
        </w:trPr>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260" w:type="dxa"/>
            <w:vAlign w:val="bottom"/>
          </w:tcPr>
          <w:p>
            <w:pPr>
              <w:ind w:left="500"/>
              <w:spacing w:after="0" w:line="190" w:lineRule="exact"/>
              <w:rPr>
                <w:sz w:val="20"/>
                <w:szCs w:val="20"/>
                <w:color w:val="auto"/>
              </w:rPr>
            </w:pPr>
            <w:r>
              <w:rPr>
                <w:rFonts w:ascii="Arial" w:cs="Arial" w:eastAsia="Arial" w:hAnsi="Arial"/>
                <w:sz w:val="17"/>
                <w:szCs w:val="17"/>
                <w:color w:val="auto"/>
              </w:rPr>
              <w:t>Adjusted OI</w:t>
            </w:r>
          </w:p>
        </w:tc>
        <w:tc>
          <w:tcPr>
            <w:tcW w:w="1900" w:type="dxa"/>
            <w:vAlign w:val="bottom"/>
          </w:tcPr>
          <w:p>
            <w:pPr>
              <w:spacing w:after="0"/>
              <w:rPr>
                <w:sz w:val="16"/>
                <w:szCs w:val="16"/>
                <w:color w:val="auto"/>
              </w:rPr>
            </w:pPr>
          </w:p>
        </w:tc>
        <w:tc>
          <w:tcPr>
            <w:tcW w:w="2380" w:type="dxa"/>
            <w:vAlign w:val="bottom"/>
          </w:tcPr>
          <w:p>
            <w:pPr>
              <w:jc w:val="right"/>
              <w:spacing w:after="0" w:line="190" w:lineRule="exact"/>
              <w:rPr>
                <w:sz w:val="20"/>
                <w:szCs w:val="20"/>
                <w:color w:val="auto"/>
              </w:rPr>
            </w:pPr>
            <w:r>
              <w:rPr>
                <w:rFonts w:ascii="Arial" w:cs="Arial" w:eastAsia="Arial" w:hAnsi="Arial"/>
                <w:sz w:val="17"/>
                <w:szCs w:val="17"/>
                <w:color w:val="auto"/>
              </w:rPr>
              <w:t>1/3 on March 30, 2023</w:t>
            </w:r>
          </w:p>
        </w:tc>
      </w:tr>
      <w:tr>
        <w:trPr>
          <w:trHeight w:val="201"/>
        </w:trPr>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380" w:type="dxa"/>
            <w:vAlign w:val="bottom"/>
          </w:tcPr>
          <w:p>
            <w:pPr>
              <w:jc w:val="right"/>
              <w:spacing w:after="0"/>
              <w:rPr>
                <w:sz w:val="20"/>
                <w:szCs w:val="20"/>
                <w:color w:val="auto"/>
              </w:rPr>
            </w:pPr>
            <w:r>
              <w:rPr>
                <w:rFonts w:ascii="Arial" w:cs="Arial" w:eastAsia="Arial" w:hAnsi="Arial"/>
                <w:sz w:val="17"/>
                <w:szCs w:val="17"/>
                <w:color w:val="auto"/>
              </w:rPr>
              <w:t>1/3 on March 30, 2024</w:t>
            </w:r>
          </w:p>
        </w:tc>
      </w:tr>
      <w:tr>
        <w:trPr>
          <w:trHeight w:val="85"/>
        </w:trPr>
        <w:tc>
          <w:tcPr>
            <w:tcW w:w="1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20" w:type="dxa"/>
            <w:vAlign w:val="bottom"/>
            <w:tcBorders>
              <w:bottom w:val="single" w:sz="8" w:color="125288"/>
            </w:tcBorders>
          </w:tcPr>
          <w:p>
            <w:pPr>
              <w:spacing w:after="0"/>
              <w:rPr>
                <w:sz w:val="7"/>
                <w:szCs w:val="7"/>
                <w:color w:val="auto"/>
              </w:rPr>
            </w:pPr>
          </w:p>
        </w:tc>
        <w:tc>
          <w:tcPr>
            <w:tcW w:w="3260" w:type="dxa"/>
            <w:vAlign w:val="bottom"/>
            <w:tcBorders>
              <w:bottom w:val="single" w:sz="8" w:color="125288"/>
            </w:tcBorders>
          </w:tcPr>
          <w:p>
            <w:pPr>
              <w:spacing w:after="0"/>
              <w:rPr>
                <w:sz w:val="7"/>
                <w:szCs w:val="7"/>
                <w:color w:val="auto"/>
              </w:rPr>
            </w:pPr>
          </w:p>
        </w:tc>
        <w:tc>
          <w:tcPr>
            <w:tcW w:w="1900" w:type="dxa"/>
            <w:vAlign w:val="bottom"/>
            <w:tcBorders>
              <w:bottom w:val="single" w:sz="8" w:color="125288"/>
            </w:tcBorders>
          </w:tcPr>
          <w:p>
            <w:pPr>
              <w:spacing w:after="0"/>
              <w:rPr>
                <w:sz w:val="7"/>
                <w:szCs w:val="7"/>
                <w:color w:val="auto"/>
              </w:rPr>
            </w:pPr>
          </w:p>
        </w:tc>
        <w:tc>
          <w:tcPr>
            <w:tcW w:w="2380" w:type="dxa"/>
            <w:vAlign w:val="bottom"/>
            <w:tcBorders>
              <w:bottom w:val="single" w:sz="8" w:color="125288"/>
            </w:tcBorders>
          </w:tcPr>
          <w:p>
            <w:pPr>
              <w:spacing w:after="0"/>
              <w:rPr>
                <w:sz w:val="7"/>
                <w:szCs w:val="7"/>
                <w:color w:val="auto"/>
              </w:rPr>
            </w:pPr>
          </w:p>
        </w:tc>
      </w:tr>
      <w:tr>
        <w:trPr>
          <w:trHeight w:val="265"/>
        </w:trPr>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20" w:type="dxa"/>
            <w:vAlign w:val="bottom"/>
          </w:tcPr>
          <w:p>
            <w:pPr>
              <w:ind w:left="40"/>
              <w:spacing w:after="0"/>
              <w:rPr>
                <w:sz w:val="20"/>
                <w:szCs w:val="20"/>
                <w:color w:val="auto"/>
              </w:rPr>
            </w:pPr>
            <w:r>
              <w:rPr>
                <w:rFonts w:ascii="Arial" w:cs="Arial" w:eastAsia="Arial" w:hAnsi="Arial"/>
                <w:sz w:val="17"/>
                <w:szCs w:val="17"/>
                <w:color w:val="auto"/>
              </w:rPr>
              <w:t>PSUs</w:t>
            </w:r>
          </w:p>
        </w:tc>
        <w:tc>
          <w:tcPr>
            <w:tcW w:w="3260" w:type="dxa"/>
            <w:vAlign w:val="bottom"/>
          </w:tcPr>
          <w:p>
            <w:pPr>
              <w:ind w:left="500"/>
              <w:spacing w:after="0"/>
              <w:rPr>
                <w:sz w:val="20"/>
                <w:szCs w:val="20"/>
                <w:color w:val="auto"/>
              </w:rPr>
            </w:pPr>
            <w:r>
              <w:rPr>
                <w:rFonts w:ascii="Arial" w:cs="Arial" w:eastAsia="Arial" w:hAnsi="Arial"/>
                <w:sz w:val="17"/>
                <w:szCs w:val="17"/>
                <w:color w:val="auto"/>
              </w:rPr>
              <w:t>2021, 2022, and 2023 AB</w:t>
            </w:r>
          </w:p>
        </w:tc>
        <w:tc>
          <w:tcPr>
            <w:tcW w:w="1900" w:type="dxa"/>
            <w:vAlign w:val="bottom"/>
          </w:tcPr>
          <w:p>
            <w:pPr>
              <w:jc w:val="right"/>
              <w:ind w:right="397"/>
              <w:spacing w:after="0"/>
              <w:rPr>
                <w:sz w:val="20"/>
                <w:szCs w:val="20"/>
                <w:color w:val="auto"/>
              </w:rPr>
            </w:pPr>
            <w:r>
              <w:rPr>
                <w:rFonts w:ascii="Arial" w:cs="Arial" w:eastAsia="Arial" w:hAnsi="Arial"/>
                <w:sz w:val="17"/>
                <w:szCs w:val="17"/>
                <w:color w:val="auto"/>
              </w:rPr>
              <w:t>$1,000,000</w:t>
            </w:r>
          </w:p>
        </w:tc>
        <w:tc>
          <w:tcPr>
            <w:tcW w:w="2380" w:type="dxa"/>
            <w:vAlign w:val="bottom"/>
          </w:tcPr>
          <w:p>
            <w:pPr>
              <w:jc w:val="right"/>
              <w:spacing w:after="0"/>
              <w:rPr>
                <w:sz w:val="20"/>
                <w:szCs w:val="20"/>
                <w:color w:val="auto"/>
              </w:rPr>
            </w:pPr>
            <w:r>
              <w:rPr>
                <w:rFonts w:ascii="Arial" w:cs="Arial" w:eastAsia="Arial" w:hAnsi="Arial"/>
                <w:sz w:val="17"/>
                <w:szCs w:val="17"/>
                <w:color w:val="auto"/>
              </w:rPr>
              <w:t>1/3 on March 30, 2022</w:t>
            </w:r>
          </w:p>
        </w:tc>
      </w:tr>
      <w:tr>
        <w:trPr>
          <w:trHeight w:val="190"/>
        </w:trPr>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260" w:type="dxa"/>
            <w:vAlign w:val="bottom"/>
          </w:tcPr>
          <w:p>
            <w:pPr>
              <w:ind w:left="500"/>
              <w:spacing w:after="0" w:line="190" w:lineRule="exact"/>
              <w:rPr>
                <w:sz w:val="20"/>
                <w:szCs w:val="20"/>
                <w:color w:val="auto"/>
              </w:rPr>
            </w:pPr>
            <w:r>
              <w:rPr>
                <w:rFonts w:ascii="Arial" w:cs="Arial" w:eastAsia="Arial" w:hAnsi="Arial"/>
                <w:sz w:val="17"/>
                <w:szCs w:val="17"/>
                <w:color w:val="auto"/>
              </w:rPr>
              <w:t>Adjusted EPS</w:t>
            </w:r>
          </w:p>
        </w:tc>
        <w:tc>
          <w:tcPr>
            <w:tcW w:w="1900" w:type="dxa"/>
            <w:vAlign w:val="bottom"/>
          </w:tcPr>
          <w:p>
            <w:pPr>
              <w:spacing w:after="0"/>
              <w:rPr>
                <w:sz w:val="16"/>
                <w:szCs w:val="16"/>
                <w:color w:val="auto"/>
              </w:rPr>
            </w:pPr>
          </w:p>
        </w:tc>
        <w:tc>
          <w:tcPr>
            <w:tcW w:w="2380" w:type="dxa"/>
            <w:vAlign w:val="bottom"/>
          </w:tcPr>
          <w:p>
            <w:pPr>
              <w:jc w:val="right"/>
              <w:spacing w:after="0" w:line="190" w:lineRule="exact"/>
              <w:rPr>
                <w:sz w:val="20"/>
                <w:szCs w:val="20"/>
                <w:color w:val="auto"/>
              </w:rPr>
            </w:pPr>
            <w:r>
              <w:rPr>
                <w:rFonts w:ascii="Arial" w:cs="Arial" w:eastAsia="Arial" w:hAnsi="Arial"/>
                <w:sz w:val="17"/>
                <w:szCs w:val="17"/>
                <w:color w:val="auto"/>
              </w:rPr>
              <w:t>1/3 on March 30, 2023</w:t>
            </w:r>
          </w:p>
        </w:tc>
      </w:tr>
      <w:tr>
        <w:trPr>
          <w:trHeight w:val="201"/>
        </w:trPr>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380" w:type="dxa"/>
            <w:vAlign w:val="bottom"/>
          </w:tcPr>
          <w:p>
            <w:pPr>
              <w:jc w:val="right"/>
              <w:spacing w:after="0"/>
              <w:rPr>
                <w:sz w:val="20"/>
                <w:szCs w:val="20"/>
                <w:color w:val="auto"/>
              </w:rPr>
            </w:pPr>
            <w:r>
              <w:rPr>
                <w:rFonts w:ascii="Arial" w:cs="Arial" w:eastAsia="Arial" w:hAnsi="Arial"/>
                <w:sz w:val="17"/>
                <w:szCs w:val="17"/>
                <w:color w:val="auto"/>
              </w:rPr>
              <w:t>1/3 on March 30, 2024</w:t>
            </w:r>
          </w:p>
        </w:tc>
      </w:tr>
      <w:tr>
        <w:trPr>
          <w:trHeight w:val="85"/>
        </w:trPr>
        <w:tc>
          <w:tcPr>
            <w:tcW w:w="1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20" w:type="dxa"/>
            <w:vAlign w:val="bottom"/>
            <w:tcBorders>
              <w:bottom w:val="single" w:sz="8" w:color="125288"/>
            </w:tcBorders>
          </w:tcPr>
          <w:p>
            <w:pPr>
              <w:spacing w:after="0"/>
              <w:rPr>
                <w:sz w:val="7"/>
                <w:szCs w:val="7"/>
                <w:color w:val="auto"/>
              </w:rPr>
            </w:pPr>
          </w:p>
        </w:tc>
        <w:tc>
          <w:tcPr>
            <w:tcW w:w="3260" w:type="dxa"/>
            <w:vAlign w:val="bottom"/>
            <w:tcBorders>
              <w:bottom w:val="single" w:sz="8" w:color="125288"/>
            </w:tcBorders>
          </w:tcPr>
          <w:p>
            <w:pPr>
              <w:spacing w:after="0"/>
              <w:rPr>
                <w:sz w:val="7"/>
                <w:szCs w:val="7"/>
                <w:color w:val="auto"/>
              </w:rPr>
            </w:pPr>
          </w:p>
        </w:tc>
        <w:tc>
          <w:tcPr>
            <w:tcW w:w="1900" w:type="dxa"/>
            <w:vAlign w:val="bottom"/>
            <w:tcBorders>
              <w:bottom w:val="single" w:sz="8" w:color="125288"/>
            </w:tcBorders>
          </w:tcPr>
          <w:p>
            <w:pPr>
              <w:spacing w:after="0"/>
              <w:rPr>
                <w:sz w:val="7"/>
                <w:szCs w:val="7"/>
                <w:color w:val="auto"/>
              </w:rPr>
            </w:pPr>
          </w:p>
        </w:tc>
        <w:tc>
          <w:tcPr>
            <w:tcW w:w="2380" w:type="dxa"/>
            <w:vAlign w:val="bottom"/>
            <w:tcBorders>
              <w:bottom w:val="single" w:sz="8" w:color="125288"/>
            </w:tcBorders>
          </w:tcPr>
          <w:p>
            <w:pPr>
              <w:spacing w:after="0"/>
              <w:rPr>
                <w:sz w:val="7"/>
                <w:szCs w:val="7"/>
                <w:color w:val="auto"/>
              </w:rPr>
            </w:pPr>
          </w:p>
        </w:tc>
      </w:tr>
      <w:tr>
        <w:trPr>
          <w:trHeight w:val="265"/>
        </w:trPr>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20" w:type="dxa"/>
            <w:vAlign w:val="bottom"/>
          </w:tcPr>
          <w:p>
            <w:pPr>
              <w:ind w:left="40"/>
              <w:spacing w:after="0"/>
              <w:rPr>
                <w:sz w:val="20"/>
                <w:szCs w:val="20"/>
                <w:color w:val="auto"/>
              </w:rPr>
            </w:pPr>
            <w:r>
              <w:rPr>
                <w:rFonts w:ascii="Arial" w:cs="Arial" w:eastAsia="Arial" w:hAnsi="Arial"/>
                <w:sz w:val="17"/>
                <w:szCs w:val="17"/>
                <w:color w:val="auto"/>
              </w:rPr>
              <w:t>PSUs</w:t>
            </w:r>
          </w:p>
        </w:tc>
        <w:tc>
          <w:tcPr>
            <w:tcW w:w="3260" w:type="dxa"/>
            <w:vAlign w:val="bottom"/>
          </w:tcPr>
          <w:p>
            <w:pPr>
              <w:ind w:left="500"/>
              <w:spacing w:after="0"/>
              <w:rPr>
                <w:sz w:val="20"/>
                <w:szCs w:val="20"/>
                <w:color w:val="auto"/>
              </w:rPr>
            </w:pPr>
            <w:r>
              <w:rPr>
                <w:rFonts w:ascii="Arial" w:cs="Arial" w:eastAsia="Arial" w:hAnsi="Arial"/>
                <w:sz w:val="17"/>
                <w:szCs w:val="17"/>
                <w:color w:val="auto"/>
              </w:rPr>
              <w:t>TSR Performance</w:t>
            </w:r>
          </w:p>
        </w:tc>
        <w:tc>
          <w:tcPr>
            <w:tcW w:w="1900" w:type="dxa"/>
            <w:vAlign w:val="bottom"/>
          </w:tcPr>
          <w:p>
            <w:pPr>
              <w:jc w:val="right"/>
              <w:ind w:right="397"/>
              <w:spacing w:after="0"/>
              <w:rPr>
                <w:sz w:val="20"/>
                <w:szCs w:val="20"/>
                <w:color w:val="auto"/>
              </w:rPr>
            </w:pPr>
            <w:r>
              <w:rPr>
                <w:rFonts w:ascii="Arial" w:cs="Arial" w:eastAsia="Arial" w:hAnsi="Arial"/>
                <w:sz w:val="17"/>
                <w:szCs w:val="17"/>
                <w:color w:val="auto"/>
              </w:rPr>
              <w:t>$1,000,000</w:t>
            </w:r>
          </w:p>
        </w:tc>
        <w:tc>
          <w:tcPr>
            <w:tcW w:w="2380" w:type="dxa"/>
            <w:vAlign w:val="bottom"/>
          </w:tcPr>
          <w:p>
            <w:pPr>
              <w:jc w:val="right"/>
              <w:spacing w:after="0"/>
              <w:rPr>
                <w:sz w:val="20"/>
                <w:szCs w:val="20"/>
                <w:color w:val="auto"/>
              </w:rPr>
            </w:pPr>
            <w:r>
              <w:rPr>
                <w:rFonts w:ascii="Arial" w:cs="Arial" w:eastAsia="Arial" w:hAnsi="Arial"/>
                <w:sz w:val="17"/>
                <w:szCs w:val="17"/>
                <w:color w:val="auto"/>
              </w:rPr>
              <w:t>1/6 on March 30, 2022</w:t>
            </w:r>
          </w:p>
        </w:tc>
      </w:tr>
      <w:tr>
        <w:trPr>
          <w:trHeight w:val="190"/>
        </w:trPr>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380" w:type="dxa"/>
            <w:vAlign w:val="bottom"/>
          </w:tcPr>
          <w:p>
            <w:pPr>
              <w:jc w:val="right"/>
              <w:spacing w:after="0" w:line="190" w:lineRule="exact"/>
              <w:rPr>
                <w:sz w:val="20"/>
                <w:szCs w:val="20"/>
                <w:color w:val="auto"/>
              </w:rPr>
            </w:pPr>
            <w:r>
              <w:rPr>
                <w:rFonts w:ascii="Arial" w:cs="Arial" w:eastAsia="Arial" w:hAnsi="Arial"/>
                <w:sz w:val="17"/>
                <w:szCs w:val="17"/>
                <w:color w:val="auto"/>
              </w:rPr>
              <w:t>1/6 on March 30, 2023</w:t>
            </w:r>
          </w:p>
        </w:tc>
      </w:tr>
      <w:tr>
        <w:trPr>
          <w:trHeight w:val="190"/>
        </w:trPr>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380" w:type="dxa"/>
            <w:vAlign w:val="bottom"/>
          </w:tcPr>
          <w:p>
            <w:pPr>
              <w:jc w:val="right"/>
              <w:spacing w:after="0" w:line="190" w:lineRule="exact"/>
              <w:rPr>
                <w:sz w:val="20"/>
                <w:szCs w:val="20"/>
                <w:color w:val="auto"/>
              </w:rPr>
            </w:pPr>
            <w:r>
              <w:rPr>
                <w:rFonts w:ascii="Arial" w:cs="Arial" w:eastAsia="Arial" w:hAnsi="Arial"/>
                <w:sz w:val="17"/>
                <w:szCs w:val="17"/>
                <w:color w:val="auto"/>
              </w:rPr>
              <w:t>1/6 on March 30, 2024</w:t>
            </w:r>
          </w:p>
        </w:tc>
      </w:tr>
      <w:tr>
        <w:trPr>
          <w:trHeight w:val="201"/>
        </w:trPr>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380" w:type="dxa"/>
            <w:vAlign w:val="bottom"/>
          </w:tcPr>
          <w:p>
            <w:pPr>
              <w:jc w:val="right"/>
              <w:spacing w:after="0"/>
              <w:rPr>
                <w:sz w:val="20"/>
                <w:szCs w:val="20"/>
                <w:color w:val="auto"/>
              </w:rPr>
            </w:pPr>
            <w:r>
              <w:rPr>
                <w:rFonts w:ascii="Arial" w:cs="Arial" w:eastAsia="Arial" w:hAnsi="Arial"/>
                <w:sz w:val="17"/>
                <w:szCs w:val="17"/>
                <w:color w:val="auto"/>
              </w:rPr>
              <w:t>1/2 on March 30, 2024</w:t>
            </w:r>
          </w:p>
        </w:tc>
      </w:tr>
      <w:tr>
        <w:trPr>
          <w:trHeight w:val="85"/>
        </w:trPr>
        <w:tc>
          <w:tcPr>
            <w:tcW w:w="1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20" w:type="dxa"/>
            <w:vAlign w:val="bottom"/>
            <w:tcBorders>
              <w:bottom w:val="single" w:sz="8" w:color="125288"/>
            </w:tcBorders>
          </w:tcPr>
          <w:p>
            <w:pPr>
              <w:spacing w:after="0"/>
              <w:rPr>
                <w:sz w:val="7"/>
                <w:szCs w:val="7"/>
                <w:color w:val="auto"/>
              </w:rPr>
            </w:pPr>
          </w:p>
        </w:tc>
        <w:tc>
          <w:tcPr>
            <w:tcW w:w="3260" w:type="dxa"/>
            <w:vAlign w:val="bottom"/>
            <w:tcBorders>
              <w:bottom w:val="single" w:sz="8" w:color="125288"/>
            </w:tcBorders>
          </w:tcPr>
          <w:p>
            <w:pPr>
              <w:spacing w:after="0"/>
              <w:rPr>
                <w:sz w:val="7"/>
                <w:szCs w:val="7"/>
                <w:color w:val="auto"/>
              </w:rPr>
            </w:pPr>
          </w:p>
        </w:tc>
        <w:tc>
          <w:tcPr>
            <w:tcW w:w="1900" w:type="dxa"/>
            <w:vAlign w:val="bottom"/>
            <w:tcBorders>
              <w:bottom w:val="single" w:sz="8" w:color="125288"/>
            </w:tcBorders>
          </w:tcPr>
          <w:p>
            <w:pPr>
              <w:spacing w:after="0"/>
              <w:rPr>
                <w:sz w:val="7"/>
                <w:szCs w:val="7"/>
                <w:color w:val="auto"/>
              </w:rPr>
            </w:pPr>
          </w:p>
        </w:tc>
        <w:tc>
          <w:tcPr>
            <w:tcW w:w="2380" w:type="dxa"/>
            <w:vAlign w:val="bottom"/>
            <w:tcBorders>
              <w:bottom w:val="single" w:sz="8" w:color="125288"/>
            </w:tcBorders>
          </w:tcPr>
          <w:p>
            <w:pPr>
              <w:spacing w:after="0"/>
              <w:rPr>
                <w:sz w:val="7"/>
                <w:szCs w:val="7"/>
                <w:color w:val="auto"/>
              </w:rPr>
            </w:pPr>
          </w:p>
        </w:tc>
      </w:tr>
      <w:tr>
        <w:trPr>
          <w:trHeight w:val="265"/>
        </w:trPr>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20" w:type="dxa"/>
            <w:vAlign w:val="bottom"/>
          </w:tcPr>
          <w:p>
            <w:pPr>
              <w:ind w:left="40"/>
              <w:spacing w:after="0"/>
              <w:rPr>
                <w:sz w:val="20"/>
                <w:szCs w:val="20"/>
                <w:color w:val="auto"/>
              </w:rPr>
            </w:pPr>
            <w:r>
              <w:rPr>
                <w:rFonts w:ascii="Arial" w:cs="Arial" w:eastAsia="Arial" w:hAnsi="Arial"/>
                <w:sz w:val="17"/>
                <w:szCs w:val="17"/>
                <w:color w:val="auto"/>
              </w:rPr>
              <w:t>PSUs</w:t>
            </w:r>
          </w:p>
        </w:tc>
        <w:tc>
          <w:tcPr>
            <w:tcW w:w="3260" w:type="dxa"/>
            <w:vAlign w:val="bottom"/>
          </w:tcPr>
          <w:p>
            <w:pPr>
              <w:ind w:left="500"/>
              <w:spacing w:after="0"/>
              <w:rPr>
                <w:sz w:val="20"/>
                <w:szCs w:val="20"/>
                <w:color w:val="auto"/>
              </w:rPr>
            </w:pPr>
            <w:r>
              <w:rPr>
                <w:rFonts w:ascii="Arial" w:cs="Arial" w:eastAsia="Arial" w:hAnsi="Arial"/>
                <w:sz w:val="17"/>
                <w:szCs w:val="17"/>
                <w:color w:val="auto"/>
              </w:rPr>
              <w:t>Cumulative 2021–2023 AB</w:t>
            </w:r>
          </w:p>
        </w:tc>
        <w:tc>
          <w:tcPr>
            <w:tcW w:w="1900" w:type="dxa"/>
            <w:vAlign w:val="bottom"/>
          </w:tcPr>
          <w:p>
            <w:pPr>
              <w:jc w:val="right"/>
              <w:ind w:right="397"/>
              <w:spacing w:after="0"/>
              <w:rPr>
                <w:sz w:val="20"/>
                <w:szCs w:val="20"/>
                <w:color w:val="auto"/>
              </w:rPr>
            </w:pPr>
            <w:r>
              <w:rPr>
                <w:rFonts w:ascii="Arial" w:cs="Arial" w:eastAsia="Arial" w:hAnsi="Arial"/>
                <w:sz w:val="17"/>
                <w:szCs w:val="17"/>
                <w:color w:val="auto"/>
              </w:rPr>
              <w:t>$1,000,000</w:t>
            </w:r>
          </w:p>
        </w:tc>
        <w:tc>
          <w:tcPr>
            <w:tcW w:w="2380" w:type="dxa"/>
            <w:vAlign w:val="bottom"/>
          </w:tcPr>
          <w:p>
            <w:pPr>
              <w:jc w:val="right"/>
              <w:spacing w:after="0"/>
              <w:rPr>
                <w:sz w:val="20"/>
                <w:szCs w:val="20"/>
                <w:color w:val="auto"/>
              </w:rPr>
            </w:pPr>
            <w:r>
              <w:rPr>
                <w:rFonts w:ascii="Arial" w:cs="Arial" w:eastAsia="Arial" w:hAnsi="Arial"/>
                <w:sz w:val="17"/>
                <w:szCs w:val="17"/>
                <w:color w:val="auto"/>
              </w:rPr>
              <w:t>100% on March 30, 2024</w:t>
            </w:r>
          </w:p>
        </w:tc>
      </w:tr>
      <w:tr>
        <w:trPr>
          <w:trHeight w:val="201"/>
        </w:trPr>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260" w:type="dxa"/>
            <w:vAlign w:val="bottom"/>
          </w:tcPr>
          <w:p>
            <w:pPr>
              <w:ind w:left="500"/>
              <w:spacing w:after="0"/>
              <w:rPr>
                <w:sz w:val="20"/>
                <w:szCs w:val="20"/>
                <w:color w:val="auto"/>
              </w:rPr>
            </w:pPr>
            <w:r>
              <w:rPr>
                <w:rFonts w:ascii="Arial" w:cs="Arial" w:eastAsia="Arial" w:hAnsi="Arial"/>
                <w:sz w:val="17"/>
                <w:szCs w:val="17"/>
                <w:color w:val="auto"/>
              </w:rPr>
              <w:t>Adjusted OI</w:t>
            </w:r>
          </w:p>
        </w:tc>
        <w:tc>
          <w:tcPr>
            <w:tcW w:w="19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85"/>
        </w:trPr>
        <w:tc>
          <w:tcPr>
            <w:tcW w:w="1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20" w:type="dxa"/>
            <w:vAlign w:val="bottom"/>
            <w:tcBorders>
              <w:bottom w:val="single" w:sz="8" w:color="125288"/>
            </w:tcBorders>
          </w:tcPr>
          <w:p>
            <w:pPr>
              <w:spacing w:after="0"/>
              <w:rPr>
                <w:sz w:val="7"/>
                <w:szCs w:val="7"/>
                <w:color w:val="auto"/>
              </w:rPr>
            </w:pPr>
          </w:p>
        </w:tc>
        <w:tc>
          <w:tcPr>
            <w:tcW w:w="3260" w:type="dxa"/>
            <w:vAlign w:val="bottom"/>
            <w:tcBorders>
              <w:bottom w:val="single" w:sz="8" w:color="125288"/>
            </w:tcBorders>
          </w:tcPr>
          <w:p>
            <w:pPr>
              <w:spacing w:after="0"/>
              <w:rPr>
                <w:sz w:val="7"/>
                <w:szCs w:val="7"/>
                <w:color w:val="auto"/>
              </w:rPr>
            </w:pPr>
          </w:p>
        </w:tc>
        <w:tc>
          <w:tcPr>
            <w:tcW w:w="1900" w:type="dxa"/>
            <w:vAlign w:val="bottom"/>
            <w:tcBorders>
              <w:bottom w:val="single" w:sz="8" w:color="125288"/>
            </w:tcBorders>
          </w:tcPr>
          <w:p>
            <w:pPr>
              <w:spacing w:after="0"/>
              <w:rPr>
                <w:sz w:val="7"/>
                <w:szCs w:val="7"/>
                <w:color w:val="auto"/>
              </w:rPr>
            </w:pPr>
          </w:p>
        </w:tc>
        <w:tc>
          <w:tcPr>
            <w:tcW w:w="2380" w:type="dxa"/>
            <w:vAlign w:val="bottom"/>
            <w:tcBorders>
              <w:bottom w:val="single" w:sz="8" w:color="125288"/>
            </w:tcBorders>
          </w:tcPr>
          <w:p>
            <w:pPr>
              <w:spacing w:after="0"/>
              <w:rPr>
                <w:sz w:val="7"/>
                <w:szCs w:val="7"/>
                <w:color w:val="auto"/>
              </w:rPr>
            </w:pPr>
          </w:p>
        </w:tc>
      </w:tr>
      <w:tr>
        <w:trPr>
          <w:trHeight w:val="265"/>
        </w:trPr>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20" w:type="dxa"/>
            <w:vAlign w:val="bottom"/>
          </w:tcPr>
          <w:p>
            <w:pPr>
              <w:ind w:left="40"/>
              <w:spacing w:after="0"/>
              <w:rPr>
                <w:sz w:val="20"/>
                <w:szCs w:val="20"/>
                <w:color w:val="auto"/>
              </w:rPr>
            </w:pPr>
            <w:r>
              <w:rPr>
                <w:rFonts w:ascii="Arial" w:cs="Arial" w:eastAsia="Arial" w:hAnsi="Arial"/>
                <w:sz w:val="17"/>
                <w:szCs w:val="17"/>
                <w:color w:val="auto"/>
              </w:rPr>
              <w:t>PSUs</w:t>
            </w:r>
          </w:p>
        </w:tc>
        <w:tc>
          <w:tcPr>
            <w:tcW w:w="3260" w:type="dxa"/>
            <w:vAlign w:val="bottom"/>
          </w:tcPr>
          <w:p>
            <w:pPr>
              <w:ind w:left="500"/>
              <w:spacing w:after="0"/>
              <w:rPr>
                <w:sz w:val="20"/>
                <w:szCs w:val="20"/>
                <w:color w:val="auto"/>
              </w:rPr>
            </w:pPr>
            <w:r>
              <w:rPr>
                <w:rFonts w:ascii="Arial" w:cs="Arial" w:eastAsia="Arial" w:hAnsi="Arial"/>
                <w:sz w:val="17"/>
                <w:szCs w:val="17"/>
                <w:color w:val="auto"/>
              </w:rPr>
              <w:t>Cumulative 2022–2024 AB</w:t>
            </w:r>
          </w:p>
        </w:tc>
        <w:tc>
          <w:tcPr>
            <w:tcW w:w="1900" w:type="dxa"/>
            <w:vAlign w:val="bottom"/>
          </w:tcPr>
          <w:p>
            <w:pPr>
              <w:jc w:val="right"/>
              <w:ind w:right="397"/>
              <w:spacing w:after="0"/>
              <w:rPr>
                <w:sz w:val="20"/>
                <w:szCs w:val="20"/>
                <w:color w:val="auto"/>
              </w:rPr>
            </w:pPr>
            <w:r>
              <w:rPr>
                <w:rFonts w:ascii="Arial" w:cs="Arial" w:eastAsia="Arial" w:hAnsi="Arial"/>
                <w:sz w:val="17"/>
                <w:szCs w:val="17"/>
                <w:color w:val="auto"/>
              </w:rPr>
              <w:t>$1,000,000</w:t>
            </w:r>
          </w:p>
        </w:tc>
        <w:tc>
          <w:tcPr>
            <w:tcW w:w="2380" w:type="dxa"/>
            <w:vAlign w:val="bottom"/>
          </w:tcPr>
          <w:p>
            <w:pPr>
              <w:jc w:val="right"/>
              <w:spacing w:after="0"/>
              <w:rPr>
                <w:sz w:val="20"/>
                <w:szCs w:val="20"/>
                <w:color w:val="auto"/>
              </w:rPr>
            </w:pPr>
            <w:r>
              <w:rPr>
                <w:rFonts w:ascii="Arial" w:cs="Arial" w:eastAsia="Arial" w:hAnsi="Arial"/>
                <w:sz w:val="17"/>
                <w:szCs w:val="17"/>
                <w:color w:val="auto"/>
              </w:rPr>
              <w:t>100% on March 30, 2025</w:t>
            </w:r>
          </w:p>
        </w:tc>
      </w:tr>
      <w:tr>
        <w:trPr>
          <w:trHeight w:val="201"/>
        </w:trPr>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260" w:type="dxa"/>
            <w:vAlign w:val="bottom"/>
          </w:tcPr>
          <w:p>
            <w:pPr>
              <w:ind w:left="500"/>
              <w:spacing w:after="0"/>
              <w:rPr>
                <w:sz w:val="20"/>
                <w:szCs w:val="20"/>
                <w:color w:val="auto"/>
              </w:rPr>
            </w:pPr>
            <w:r>
              <w:rPr>
                <w:rFonts w:ascii="Arial" w:cs="Arial" w:eastAsia="Arial" w:hAnsi="Arial"/>
                <w:sz w:val="17"/>
                <w:szCs w:val="17"/>
                <w:color w:val="auto"/>
              </w:rPr>
              <w:t>Adjusted OI</w:t>
            </w:r>
          </w:p>
        </w:tc>
        <w:tc>
          <w:tcPr>
            <w:tcW w:w="19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85"/>
        </w:trPr>
        <w:tc>
          <w:tcPr>
            <w:tcW w:w="1400" w:type="dxa"/>
            <w:vAlign w:val="bottom"/>
            <w:tcBorders>
              <w:bottom w:val="single" w:sz="8" w:color="125288"/>
            </w:tcBorders>
          </w:tcPr>
          <w:p>
            <w:pPr>
              <w:spacing w:after="0"/>
              <w:rPr>
                <w:sz w:val="7"/>
                <w:szCs w:val="7"/>
                <w:color w:val="auto"/>
              </w:rPr>
            </w:pPr>
          </w:p>
        </w:tc>
        <w:tc>
          <w:tcPr>
            <w:tcW w:w="2320" w:type="dxa"/>
            <w:vAlign w:val="bottom"/>
            <w:tcBorders>
              <w:bottom w:val="single" w:sz="8" w:color="125288"/>
            </w:tcBorders>
            <w:gridSpan w:val="2"/>
          </w:tcPr>
          <w:p>
            <w:pPr>
              <w:spacing w:after="0"/>
              <w:rPr>
                <w:sz w:val="7"/>
                <w:szCs w:val="7"/>
                <w:color w:val="auto"/>
              </w:rPr>
            </w:pPr>
          </w:p>
        </w:tc>
        <w:tc>
          <w:tcPr>
            <w:tcW w:w="3260" w:type="dxa"/>
            <w:vAlign w:val="bottom"/>
            <w:tcBorders>
              <w:bottom w:val="single" w:sz="8" w:color="125288"/>
            </w:tcBorders>
          </w:tcPr>
          <w:p>
            <w:pPr>
              <w:spacing w:after="0"/>
              <w:rPr>
                <w:sz w:val="7"/>
                <w:szCs w:val="7"/>
                <w:color w:val="auto"/>
              </w:rPr>
            </w:pPr>
          </w:p>
        </w:tc>
        <w:tc>
          <w:tcPr>
            <w:tcW w:w="1900" w:type="dxa"/>
            <w:vAlign w:val="bottom"/>
            <w:tcBorders>
              <w:bottom w:val="single" w:sz="8" w:color="125288"/>
            </w:tcBorders>
          </w:tcPr>
          <w:p>
            <w:pPr>
              <w:spacing w:after="0"/>
              <w:rPr>
                <w:sz w:val="7"/>
                <w:szCs w:val="7"/>
                <w:color w:val="auto"/>
              </w:rPr>
            </w:pPr>
          </w:p>
        </w:tc>
        <w:tc>
          <w:tcPr>
            <w:tcW w:w="2380" w:type="dxa"/>
            <w:vAlign w:val="bottom"/>
            <w:tcBorders>
              <w:bottom w:val="single" w:sz="8" w:color="125288"/>
            </w:tcBorders>
          </w:tcPr>
          <w:p>
            <w:pPr>
              <w:spacing w:after="0"/>
              <w:rPr>
                <w:sz w:val="7"/>
                <w:szCs w:val="7"/>
                <w:color w:val="auto"/>
              </w:rPr>
            </w:pPr>
          </w:p>
        </w:tc>
      </w:tr>
      <w:tr>
        <w:trPr>
          <w:trHeight w:val="265"/>
        </w:trPr>
        <w:tc>
          <w:tcPr>
            <w:tcW w:w="1400" w:type="dxa"/>
            <w:vAlign w:val="bottom"/>
          </w:tcPr>
          <w:p>
            <w:pPr>
              <w:ind w:left="40"/>
              <w:spacing w:after="0"/>
              <w:rPr>
                <w:sz w:val="20"/>
                <w:szCs w:val="20"/>
                <w:color w:val="auto"/>
              </w:rPr>
            </w:pPr>
            <w:r>
              <w:rPr>
                <w:rFonts w:ascii="Arial" w:cs="Arial" w:eastAsia="Arial" w:hAnsi="Arial"/>
                <w:sz w:val="17"/>
                <w:szCs w:val="17"/>
                <w:b w:val="1"/>
                <w:bCs w:val="1"/>
                <w:color w:val="auto"/>
              </w:rPr>
              <w:t>Grant Dixton</w:t>
            </w:r>
          </w:p>
        </w:tc>
        <w:tc>
          <w:tcPr>
            <w:tcW w:w="2320" w:type="dxa"/>
            <w:vAlign w:val="bottom"/>
            <w:gridSpan w:val="2"/>
          </w:tcPr>
          <w:p>
            <w:pPr>
              <w:ind w:left="300"/>
              <w:spacing w:after="0"/>
              <w:rPr>
                <w:sz w:val="20"/>
                <w:szCs w:val="20"/>
                <w:color w:val="auto"/>
              </w:rPr>
            </w:pPr>
            <w:r>
              <w:rPr>
                <w:rFonts w:ascii="Arial" w:cs="Arial" w:eastAsia="Arial" w:hAnsi="Arial"/>
                <w:sz w:val="17"/>
                <w:szCs w:val="17"/>
                <w:color w:val="auto"/>
              </w:rPr>
              <w:t>PSUs</w:t>
            </w:r>
          </w:p>
        </w:tc>
        <w:tc>
          <w:tcPr>
            <w:tcW w:w="3260" w:type="dxa"/>
            <w:vAlign w:val="bottom"/>
          </w:tcPr>
          <w:p>
            <w:pPr>
              <w:ind w:left="460"/>
              <w:spacing w:after="0"/>
              <w:rPr>
                <w:sz w:val="20"/>
                <w:szCs w:val="20"/>
                <w:color w:val="auto"/>
              </w:rPr>
            </w:pPr>
            <w:r>
              <w:rPr>
                <w:rFonts w:ascii="Arial" w:cs="Arial" w:eastAsia="Arial" w:hAnsi="Arial"/>
                <w:sz w:val="17"/>
                <w:szCs w:val="17"/>
                <w:color w:val="auto"/>
              </w:rPr>
              <w:t>2021, 2022, 2023 and 2024, AB</w:t>
            </w:r>
          </w:p>
        </w:tc>
        <w:tc>
          <w:tcPr>
            <w:tcW w:w="1900" w:type="dxa"/>
            <w:vAlign w:val="bottom"/>
          </w:tcPr>
          <w:p>
            <w:pPr>
              <w:jc w:val="right"/>
              <w:ind w:right="397"/>
              <w:spacing w:after="0"/>
              <w:rPr>
                <w:sz w:val="20"/>
                <w:szCs w:val="20"/>
                <w:color w:val="auto"/>
              </w:rPr>
            </w:pPr>
            <w:r>
              <w:rPr>
                <w:rFonts w:ascii="Arial" w:cs="Arial" w:eastAsia="Arial" w:hAnsi="Arial"/>
                <w:sz w:val="17"/>
                <w:szCs w:val="17"/>
                <w:color w:val="auto"/>
              </w:rPr>
              <w:t>$3,000,000</w:t>
            </w:r>
          </w:p>
        </w:tc>
        <w:tc>
          <w:tcPr>
            <w:tcW w:w="2380" w:type="dxa"/>
            <w:vAlign w:val="bottom"/>
          </w:tcPr>
          <w:p>
            <w:pPr>
              <w:jc w:val="right"/>
              <w:spacing w:after="0"/>
              <w:rPr>
                <w:sz w:val="20"/>
                <w:szCs w:val="20"/>
                <w:color w:val="auto"/>
              </w:rPr>
            </w:pPr>
            <w:r>
              <w:rPr>
                <w:rFonts w:ascii="Arial" w:cs="Arial" w:eastAsia="Arial" w:hAnsi="Arial"/>
                <w:sz w:val="17"/>
                <w:szCs w:val="17"/>
                <w:color w:val="auto"/>
              </w:rPr>
              <w:t>1/3 on June 29, 2022</w:t>
            </w:r>
          </w:p>
        </w:tc>
      </w:tr>
      <w:tr>
        <w:trPr>
          <w:trHeight w:val="190"/>
        </w:trPr>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260" w:type="dxa"/>
            <w:vAlign w:val="bottom"/>
          </w:tcPr>
          <w:p>
            <w:pPr>
              <w:ind w:left="460"/>
              <w:spacing w:after="0" w:line="190" w:lineRule="exact"/>
              <w:rPr>
                <w:sz w:val="20"/>
                <w:szCs w:val="20"/>
                <w:color w:val="auto"/>
              </w:rPr>
            </w:pPr>
            <w:r>
              <w:rPr>
                <w:rFonts w:ascii="Arial" w:cs="Arial" w:eastAsia="Arial" w:hAnsi="Arial"/>
                <w:sz w:val="17"/>
                <w:szCs w:val="17"/>
                <w:color w:val="auto"/>
              </w:rPr>
              <w:t>Adjusted OI</w:t>
            </w:r>
          </w:p>
        </w:tc>
        <w:tc>
          <w:tcPr>
            <w:tcW w:w="1900" w:type="dxa"/>
            <w:vAlign w:val="bottom"/>
          </w:tcPr>
          <w:p>
            <w:pPr>
              <w:spacing w:after="0"/>
              <w:rPr>
                <w:sz w:val="16"/>
                <w:szCs w:val="16"/>
                <w:color w:val="auto"/>
              </w:rPr>
            </w:pPr>
          </w:p>
        </w:tc>
        <w:tc>
          <w:tcPr>
            <w:tcW w:w="2380" w:type="dxa"/>
            <w:vAlign w:val="bottom"/>
          </w:tcPr>
          <w:p>
            <w:pPr>
              <w:jc w:val="right"/>
              <w:spacing w:after="0" w:line="190" w:lineRule="exact"/>
              <w:rPr>
                <w:sz w:val="20"/>
                <w:szCs w:val="20"/>
                <w:color w:val="auto"/>
              </w:rPr>
            </w:pPr>
            <w:r>
              <w:rPr>
                <w:rFonts w:ascii="Arial" w:cs="Arial" w:eastAsia="Arial" w:hAnsi="Arial"/>
                <w:sz w:val="17"/>
                <w:szCs w:val="17"/>
                <w:color w:val="auto"/>
              </w:rPr>
              <w:t>1/3 on June 29, 2023</w:t>
            </w:r>
          </w:p>
        </w:tc>
      </w:tr>
      <w:tr>
        <w:trPr>
          <w:trHeight w:val="190"/>
        </w:trPr>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380" w:type="dxa"/>
            <w:vAlign w:val="bottom"/>
          </w:tcPr>
          <w:p>
            <w:pPr>
              <w:jc w:val="right"/>
              <w:spacing w:after="0" w:line="190" w:lineRule="exact"/>
              <w:rPr>
                <w:sz w:val="20"/>
                <w:szCs w:val="20"/>
                <w:color w:val="auto"/>
              </w:rPr>
            </w:pPr>
            <w:r>
              <w:rPr>
                <w:rFonts w:ascii="Arial" w:cs="Arial" w:eastAsia="Arial" w:hAnsi="Arial"/>
                <w:sz w:val="17"/>
                <w:szCs w:val="17"/>
                <w:color w:val="auto"/>
              </w:rPr>
              <w:t>1/6 on June 29, 2024</w:t>
            </w:r>
          </w:p>
        </w:tc>
      </w:tr>
      <w:tr>
        <w:trPr>
          <w:trHeight w:val="201"/>
        </w:trPr>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380" w:type="dxa"/>
            <w:vAlign w:val="bottom"/>
          </w:tcPr>
          <w:p>
            <w:pPr>
              <w:jc w:val="right"/>
              <w:spacing w:after="0"/>
              <w:rPr>
                <w:sz w:val="20"/>
                <w:szCs w:val="20"/>
                <w:color w:val="auto"/>
              </w:rPr>
            </w:pPr>
            <w:r>
              <w:rPr>
                <w:rFonts w:ascii="Arial" w:cs="Arial" w:eastAsia="Arial" w:hAnsi="Arial"/>
                <w:sz w:val="17"/>
                <w:szCs w:val="17"/>
                <w:color w:val="auto"/>
              </w:rPr>
              <w:t>1/6 on June 29, 2025</w:t>
            </w:r>
          </w:p>
        </w:tc>
      </w:tr>
      <w:tr>
        <w:trPr>
          <w:trHeight w:val="85"/>
        </w:trPr>
        <w:tc>
          <w:tcPr>
            <w:tcW w:w="1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20" w:type="dxa"/>
            <w:vAlign w:val="bottom"/>
            <w:tcBorders>
              <w:bottom w:val="single" w:sz="8" w:color="125288"/>
            </w:tcBorders>
          </w:tcPr>
          <w:p>
            <w:pPr>
              <w:spacing w:after="0"/>
              <w:rPr>
                <w:sz w:val="7"/>
                <w:szCs w:val="7"/>
                <w:color w:val="auto"/>
              </w:rPr>
            </w:pPr>
          </w:p>
        </w:tc>
        <w:tc>
          <w:tcPr>
            <w:tcW w:w="3260" w:type="dxa"/>
            <w:vAlign w:val="bottom"/>
            <w:tcBorders>
              <w:bottom w:val="single" w:sz="8" w:color="125288"/>
            </w:tcBorders>
          </w:tcPr>
          <w:p>
            <w:pPr>
              <w:spacing w:after="0"/>
              <w:rPr>
                <w:sz w:val="7"/>
                <w:szCs w:val="7"/>
                <w:color w:val="auto"/>
              </w:rPr>
            </w:pPr>
          </w:p>
        </w:tc>
        <w:tc>
          <w:tcPr>
            <w:tcW w:w="1900" w:type="dxa"/>
            <w:vAlign w:val="bottom"/>
            <w:tcBorders>
              <w:bottom w:val="single" w:sz="8" w:color="125288"/>
            </w:tcBorders>
          </w:tcPr>
          <w:p>
            <w:pPr>
              <w:spacing w:after="0"/>
              <w:rPr>
                <w:sz w:val="7"/>
                <w:szCs w:val="7"/>
                <w:color w:val="auto"/>
              </w:rPr>
            </w:pPr>
          </w:p>
        </w:tc>
        <w:tc>
          <w:tcPr>
            <w:tcW w:w="2380" w:type="dxa"/>
            <w:vAlign w:val="bottom"/>
            <w:tcBorders>
              <w:bottom w:val="single" w:sz="8" w:color="125288"/>
            </w:tcBorders>
          </w:tcPr>
          <w:p>
            <w:pPr>
              <w:spacing w:after="0"/>
              <w:rPr>
                <w:sz w:val="7"/>
                <w:szCs w:val="7"/>
                <w:color w:val="auto"/>
              </w:rPr>
            </w:pPr>
          </w:p>
        </w:tc>
      </w:tr>
      <w:tr>
        <w:trPr>
          <w:trHeight w:val="265"/>
        </w:trPr>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20" w:type="dxa"/>
            <w:vAlign w:val="bottom"/>
          </w:tcPr>
          <w:p>
            <w:pPr>
              <w:ind w:left="40"/>
              <w:spacing w:after="0"/>
              <w:rPr>
                <w:sz w:val="20"/>
                <w:szCs w:val="20"/>
                <w:color w:val="auto"/>
              </w:rPr>
            </w:pPr>
            <w:r>
              <w:rPr>
                <w:rFonts w:ascii="Arial" w:cs="Arial" w:eastAsia="Arial" w:hAnsi="Arial"/>
                <w:sz w:val="17"/>
                <w:szCs w:val="17"/>
                <w:color w:val="auto"/>
              </w:rPr>
              <w:t>PSUs</w:t>
            </w:r>
          </w:p>
        </w:tc>
        <w:tc>
          <w:tcPr>
            <w:tcW w:w="3260" w:type="dxa"/>
            <w:vAlign w:val="bottom"/>
          </w:tcPr>
          <w:p>
            <w:pPr>
              <w:ind w:left="500"/>
              <w:spacing w:after="0"/>
              <w:rPr>
                <w:sz w:val="20"/>
                <w:szCs w:val="20"/>
                <w:color w:val="auto"/>
              </w:rPr>
            </w:pPr>
            <w:r>
              <w:rPr>
                <w:rFonts w:ascii="Arial" w:cs="Arial" w:eastAsia="Arial" w:hAnsi="Arial"/>
                <w:sz w:val="17"/>
                <w:szCs w:val="17"/>
                <w:color w:val="auto"/>
              </w:rPr>
              <w:t>2021, 2022, 2023 and 2024,</w:t>
            </w:r>
          </w:p>
        </w:tc>
        <w:tc>
          <w:tcPr>
            <w:tcW w:w="1900" w:type="dxa"/>
            <w:vAlign w:val="bottom"/>
          </w:tcPr>
          <w:p>
            <w:pPr>
              <w:jc w:val="right"/>
              <w:ind w:right="397"/>
              <w:spacing w:after="0"/>
              <w:rPr>
                <w:sz w:val="20"/>
                <w:szCs w:val="20"/>
                <w:color w:val="auto"/>
              </w:rPr>
            </w:pPr>
            <w:r>
              <w:rPr>
                <w:rFonts w:ascii="Arial" w:cs="Arial" w:eastAsia="Arial" w:hAnsi="Arial"/>
                <w:sz w:val="17"/>
                <w:szCs w:val="17"/>
                <w:color w:val="auto"/>
              </w:rPr>
              <w:t>$3,000,000</w:t>
            </w:r>
          </w:p>
        </w:tc>
        <w:tc>
          <w:tcPr>
            <w:tcW w:w="2380" w:type="dxa"/>
            <w:vAlign w:val="bottom"/>
          </w:tcPr>
          <w:p>
            <w:pPr>
              <w:jc w:val="right"/>
              <w:spacing w:after="0"/>
              <w:rPr>
                <w:sz w:val="20"/>
                <w:szCs w:val="20"/>
                <w:color w:val="auto"/>
              </w:rPr>
            </w:pPr>
            <w:r>
              <w:rPr>
                <w:rFonts w:ascii="Arial" w:cs="Arial" w:eastAsia="Arial" w:hAnsi="Arial"/>
                <w:sz w:val="17"/>
                <w:szCs w:val="17"/>
                <w:color w:val="auto"/>
              </w:rPr>
              <w:t>1/3 on June 29, 2022</w:t>
            </w:r>
          </w:p>
        </w:tc>
      </w:tr>
      <w:tr>
        <w:trPr>
          <w:trHeight w:val="190"/>
        </w:trPr>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260" w:type="dxa"/>
            <w:vAlign w:val="bottom"/>
          </w:tcPr>
          <w:p>
            <w:pPr>
              <w:ind w:left="500"/>
              <w:spacing w:after="0" w:line="190" w:lineRule="exact"/>
              <w:rPr>
                <w:sz w:val="20"/>
                <w:szCs w:val="20"/>
                <w:color w:val="auto"/>
              </w:rPr>
            </w:pPr>
            <w:r>
              <w:rPr>
                <w:rFonts w:ascii="Arial" w:cs="Arial" w:eastAsia="Arial" w:hAnsi="Arial"/>
                <w:sz w:val="17"/>
                <w:szCs w:val="17"/>
                <w:color w:val="auto"/>
              </w:rPr>
              <w:t>AB Adjusted EPS</w:t>
            </w:r>
          </w:p>
        </w:tc>
        <w:tc>
          <w:tcPr>
            <w:tcW w:w="1900" w:type="dxa"/>
            <w:vAlign w:val="bottom"/>
          </w:tcPr>
          <w:p>
            <w:pPr>
              <w:spacing w:after="0"/>
              <w:rPr>
                <w:sz w:val="16"/>
                <w:szCs w:val="16"/>
                <w:color w:val="auto"/>
              </w:rPr>
            </w:pPr>
          </w:p>
        </w:tc>
        <w:tc>
          <w:tcPr>
            <w:tcW w:w="2380" w:type="dxa"/>
            <w:vAlign w:val="bottom"/>
          </w:tcPr>
          <w:p>
            <w:pPr>
              <w:jc w:val="right"/>
              <w:spacing w:after="0" w:line="190" w:lineRule="exact"/>
              <w:rPr>
                <w:sz w:val="20"/>
                <w:szCs w:val="20"/>
                <w:color w:val="auto"/>
              </w:rPr>
            </w:pPr>
            <w:r>
              <w:rPr>
                <w:rFonts w:ascii="Arial" w:cs="Arial" w:eastAsia="Arial" w:hAnsi="Arial"/>
                <w:sz w:val="17"/>
                <w:szCs w:val="17"/>
                <w:color w:val="auto"/>
              </w:rPr>
              <w:t>1/3 on June 29, 2023</w:t>
            </w:r>
          </w:p>
        </w:tc>
      </w:tr>
      <w:tr>
        <w:trPr>
          <w:trHeight w:val="190"/>
        </w:trPr>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380" w:type="dxa"/>
            <w:vAlign w:val="bottom"/>
          </w:tcPr>
          <w:p>
            <w:pPr>
              <w:jc w:val="right"/>
              <w:spacing w:after="0" w:line="190" w:lineRule="exact"/>
              <w:rPr>
                <w:sz w:val="20"/>
                <w:szCs w:val="20"/>
                <w:color w:val="auto"/>
              </w:rPr>
            </w:pPr>
            <w:r>
              <w:rPr>
                <w:rFonts w:ascii="Arial" w:cs="Arial" w:eastAsia="Arial" w:hAnsi="Arial"/>
                <w:sz w:val="17"/>
                <w:szCs w:val="17"/>
                <w:color w:val="auto"/>
              </w:rPr>
              <w:t>1/6 on June 29, 2024</w:t>
            </w:r>
          </w:p>
        </w:tc>
      </w:tr>
      <w:tr>
        <w:trPr>
          <w:trHeight w:val="201"/>
        </w:trPr>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380" w:type="dxa"/>
            <w:vAlign w:val="bottom"/>
          </w:tcPr>
          <w:p>
            <w:pPr>
              <w:jc w:val="right"/>
              <w:spacing w:after="0"/>
              <w:rPr>
                <w:sz w:val="20"/>
                <w:szCs w:val="20"/>
                <w:color w:val="auto"/>
              </w:rPr>
            </w:pPr>
            <w:r>
              <w:rPr>
                <w:rFonts w:ascii="Arial" w:cs="Arial" w:eastAsia="Arial" w:hAnsi="Arial"/>
                <w:sz w:val="17"/>
                <w:szCs w:val="17"/>
                <w:color w:val="auto"/>
              </w:rPr>
              <w:t>1/6 on June 29, 2025</w:t>
            </w:r>
          </w:p>
        </w:tc>
      </w:tr>
      <w:tr>
        <w:trPr>
          <w:trHeight w:val="85"/>
        </w:trPr>
        <w:tc>
          <w:tcPr>
            <w:tcW w:w="1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20" w:type="dxa"/>
            <w:vAlign w:val="bottom"/>
            <w:tcBorders>
              <w:bottom w:val="single" w:sz="8" w:color="125288"/>
            </w:tcBorders>
          </w:tcPr>
          <w:p>
            <w:pPr>
              <w:spacing w:after="0"/>
              <w:rPr>
                <w:sz w:val="7"/>
                <w:szCs w:val="7"/>
                <w:color w:val="auto"/>
              </w:rPr>
            </w:pPr>
          </w:p>
        </w:tc>
        <w:tc>
          <w:tcPr>
            <w:tcW w:w="3260" w:type="dxa"/>
            <w:vAlign w:val="bottom"/>
            <w:tcBorders>
              <w:bottom w:val="single" w:sz="8" w:color="125288"/>
            </w:tcBorders>
          </w:tcPr>
          <w:p>
            <w:pPr>
              <w:spacing w:after="0"/>
              <w:rPr>
                <w:sz w:val="7"/>
                <w:szCs w:val="7"/>
                <w:color w:val="auto"/>
              </w:rPr>
            </w:pPr>
          </w:p>
        </w:tc>
        <w:tc>
          <w:tcPr>
            <w:tcW w:w="1900" w:type="dxa"/>
            <w:vAlign w:val="bottom"/>
            <w:tcBorders>
              <w:bottom w:val="single" w:sz="8" w:color="125288"/>
            </w:tcBorders>
          </w:tcPr>
          <w:p>
            <w:pPr>
              <w:spacing w:after="0"/>
              <w:rPr>
                <w:sz w:val="7"/>
                <w:szCs w:val="7"/>
                <w:color w:val="auto"/>
              </w:rPr>
            </w:pPr>
          </w:p>
        </w:tc>
        <w:tc>
          <w:tcPr>
            <w:tcW w:w="2380" w:type="dxa"/>
            <w:vAlign w:val="bottom"/>
            <w:tcBorders>
              <w:bottom w:val="single" w:sz="8" w:color="125288"/>
            </w:tcBorders>
          </w:tcPr>
          <w:p>
            <w:pPr>
              <w:spacing w:after="0"/>
              <w:rPr>
                <w:sz w:val="7"/>
                <w:szCs w:val="7"/>
                <w:color w:val="auto"/>
              </w:rPr>
            </w:pPr>
          </w:p>
        </w:tc>
      </w:tr>
      <w:tr>
        <w:trPr>
          <w:trHeight w:val="265"/>
        </w:trPr>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20" w:type="dxa"/>
            <w:vAlign w:val="bottom"/>
          </w:tcPr>
          <w:p>
            <w:pPr>
              <w:ind w:left="40"/>
              <w:spacing w:after="0"/>
              <w:rPr>
                <w:sz w:val="20"/>
                <w:szCs w:val="20"/>
                <w:color w:val="auto"/>
              </w:rPr>
            </w:pPr>
            <w:r>
              <w:rPr>
                <w:rFonts w:ascii="Arial" w:cs="Arial" w:eastAsia="Arial" w:hAnsi="Arial"/>
                <w:sz w:val="17"/>
                <w:szCs w:val="17"/>
                <w:color w:val="auto"/>
              </w:rPr>
              <w:t>PSUs</w:t>
            </w:r>
          </w:p>
        </w:tc>
        <w:tc>
          <w:tcPr>
            <w:tcW w:w="3260" w:type="dxa"/>
            <w:vAlign w:val="bottom"/>
          </w:tcPr>
          <w:p>
            <w:pPr>
              <w:ind w:left="500"/>
              <w:spacing w:after="0"/>
              <w:rPr>
                <w:sz w:val="20"/>
                <w:szCs w:val="20"/>
                <w:color w:val="auto"/>
              </w:rPr>
            </w:pPr>
            <w:r>
              <w:rPr>
                <w:rFonts w:ascii="Arial" w:cs="Arial" w:eastAsia="Arial" w:hAnsi="Arial"/>
                <w:sz w:val="17"/>
                <w:szCs w:val="17"/>
                <w:color w:val="auto"/>
              </w:rPr>
              <w:t>Cumulative 2021–2023 AB</w:t>
            </w:r>
          </w:p>
        </w:tc>
        <w:tc>
          <w:tcPr>
            <w:tcW w:w="1900" w:type="dxa"/>
            <w:vAlign w:val="bottom"/>
          </w:tcPr>
          <w:p>
            <w:pPr>
              <w:jc w:val="right"/>
              <w:ind w:right="397"/>
              <w:spacing w:after="0"/>
              <w:rPr>
                <w:sz w:val="20"/>
                <w:szCs w:val="20"/>
                <w:color w:val="auto"/>
              </w:rPr>
            </w:pPr>
            <w:r>
              <w:rPr>
                <w:rFonts w:ascii="Arial" w:cs="Arial" w:eastAsia="Arial" w:hAnsi="Arial"/>
                <w:sz w:val="17"/>
                <w:szCs w:val="17"/>
                <w:color w:val="auto"/>
              </w:rPr>
              <w:t>$1,000,000</w:t>
            </w:r>
          </w:p>
        </w:tc>
        <w:tc>
          <w:tcPr>
            <w:tcW w:w="2380" w:type="dxa"/>
            <w:vAlign w:val="bottom"/>
          </w:tcPr>
          <w:p>
            <w:pPr>
              <w:jc w:val="right"/>
              <w:spacing w:after="0"/>
              <w:rPr>
                <w:sz w:val="20"/>
                <w:szCs w:val="20"/>
                <w:color w:val="auto"/>
              </w:rPr>
            </w:pPr>
            <w:r>
              <w:rPr>
                <w:rFonts w:ascii="Arial" w:cs="Arial" w:eastAsia="Arial" w:hAnsi="Arial"/>
                <w:sz w:val="17"/>
                <w:szCs w:val="17"/>
                <w:color w:val="auto"/>
              </w:rPr>
              <w:t>100% on June 29, 2024</w:t>
            </w:r>
          </w:p>
        </w:tc>
      </w:tr>
      <w:tr>
        <w:trPr>
          <w:trHeight w:val="201"/>
        </w:trPr>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260" w:type="dxa"/>
            <w:vAlign w:val="bottom"/>
          </w:tcPr>
          <w:p>
            <w:pPr>
              <w:ind w:left="500"/>
              <w:spacing w:after="0"/>
              <w:rPr>
                <w:sz w:val="20"/>
                <w:szCs w:val="20"/>
                <w:color w:val="auto"/>
              </w:rPr>
            </w:pPr>
            <w:r>
              <w:rPr>
                <w:rFonts w:ascii="Arial" w:cs="Arial" w:eastAsia="Arial" w:hAnsi="Arial"/>
                <w:sz w:val="17"/>
                <w:szCs w:val="17"/>
                <w:color w:val="auto"/>
              </w:rPr>
              <w:t>Adjusted OI</w:t>
            </w:r>
          </w:p>
        </w:tc>
        <w:tc>
          <w:tcPr>
            <w:tcW w:w="19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85"/>
        </w:trPr>
        <w:tc>
          <w:tcPr>
            <w:tcW w:w="1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20" w:type="dxa"/>
            <w:vAlign w:val="bottom"/>
            <w:tcBorders>
              <w:bottom w:val="single" w:sz="8" w:color="125288"/>
            </w:tcBorders>
          </w:tcPr>
          <w:p>
            <w:pPr>
              <w:spacing w:after="0"/>
              <w:rPr>
                <w:sz w:val="7"/>
                <w:szCs w:val="7"/>
                <w:color w:val="auto"/>
              </w:rPr>
            </w:pPr>
          </w:p>
        </w:tc>
        <w:tc>
          <w:tcPr>
            <w:tcW w:w="3260" w:type="dxa"/>
            <w:vAlign w:val="bottom"/>
            <w:tcBorders>
              <w:bottom w:val="single" w:sz="8" w:color="125288"/>
            </w:tcBorders>
          </w:tcPr>
          <w:p>
            <w:pPr>
              <w:spacing w:after="0"/>
              <w:rPr>
                <w:sz w:val="7"/>
                <w:szCs w:val="7"/>
                <w:color w:val="auto"/>
              </w:rPr>
            </w:pPr>
          </w:p>
        </w:tc>
        <w:tc>
          <w:tcPr>
            <w:tcW w:w="1900" w:type="dxa"/>
            <w:vAlign w:val="bottom"/>
            <w:tcBorders>
              <w:bottom w:val="single" w:sz="8" w:color="125288"/>
            </w:tcBorders>
          </w:tcPr>
          <w:p>
            <w:pPr>
              <w:spacing w:after="0"/>
              <w:rPr>
                <w:sz w:val="7"/>
                <w:szCs w:val="7"/>
                <w:color w:val="auto"/>
              </w:rPr>
            </w:pPr>
          </w:p>
        </w:tc>
        <w:tc>
          <w:tcPr>
            <w:tcW w:w="2380" w:type="dxa"/>
            <w:vAlign w:val="bottom"/>
            <w:tcBorders>
              <w:bottom w:val="single" w:sz="8" w:color="125288"/>
            </w:tcBorders>
          </w:tcPr>
          <w:p>
            <w:pPr>
              <w:spacing w:after="0"/>
              <w:rPr>
                <w:sz w:val="7"/>
                <w:szCs w:val="7"/>
                <w:color w:val="auto"/>
              </w:rPr>
            </w:pPr>
          </w:p>
        </w:tc>
      </w:tr>
      <w:tr>
        <w:trPr>
          <w:trHeight w:val="265"/>
        </w:trPr>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20" w:type="dxa"/>
            <w:vAlign w:val="bottom"/>
          </w:tcPr>
          <w:p>
            <w:pPr>
              <w:ind w:left="40"/>
              <w:spacing w:after="0"/>
              <w:rPr>
                <w:sz w:val="20"/>
                <w:szCs w:val="20"/>
                <w:color w:val="auto"/>
              </w:rPr>
            </w:pPr>
            <w:r>
              <w:rPr>
                <w:rFonts w:ascii="Arial" w:cs="Arial" w:eastAsia="Arial" w:hAnsi="Arial"/>
                <w:sz w:val="17"/>
                <w:szCs w:val="17"/>
                <w:color w:val="auto"/>
              </w:rPr>
              <w:t>PSUs</w:t>
            </w:r>
          </w:p>
        </w:tc>
        <w:tc>
          <w:tcPr>
            <w:tcW w:w="3260" w:type="dxa"/>
            <w:vAlign w:val="bottom"/>
          </w:tcPr>
          <w:p>
            <w:pPr>
              <w:ind w:left="500"/>
              <w:spacing w:after="0"/>
              <w:rPr>
                <w:sz w:val="20"/>
                <w:szCs w:val="20"/>
                <w:color w:val="auto"/>
              </w:rPr>
            </w:pPr>
            <w:r>
              <w:rPr>
                <w:rFonts w:ascii="Arial" w:cs="Arial" w:eastAsia="Arial" w:hAnsi="Arial"/>
                <w:sz w:val="17"/>
                <w:szCs w:val="17"/>
                <w:color w:val="auto"/>
              </w:rPr>
              <w:t>Cumulative 2022–2024 AB</w:t>
            </w:r>
          </w:p>
        </w:tc>
        <w:tc>
          <w:tcPr>
            <w:tcW w:w="1900" w:type="dxa"/>
            <w:vAlign w:val="bottom"/>
          </w:tcPr>
          <w:p>
            <w:pPr>
              <w:jc w:val="right"/>
              <w:ind w:right="397"/>
              <w:spacing w:after="0"/>
              <w:rPr>
                <w:sz w:val="20"/>
                <w:szCs w:val="20"/>
                <w:color w:val="auto"/>
              </w:rPr>
            </w:pPr>
            <w:r>
              <w:rPr>
                <w:rFonts w:ascii="Arial" w:cs="Arial" w:eastAsia="Arial" w:hAnsi="Arial"/>
                <w:sz w:val="17"/>
                <w:szCs w:val="17"/>
                <w:color w:val="auto"/>
              </w:rPr>
              <w:t>$1,000,000</w:t>
            </w:r>
          </w:p>
        </w:tc>
        <w:tc>
          <w:tcPr>
            <w:tcW w:w="2380" w:type="dxa"/>
            <w:vAlign w:val="bottom"/>
          </w:tcPr>
          <w:p>
            <w:pPr>
              <w:jc w:val="right"/>
              <w:spacing w:after="0"/>
              <w:rPr>
                <w:sz w:val="20"/>
                <w:szCs w:val="20"/>
                <w:color w:val="auto"/>
              </w:rPr>
            </w:pPr>
            <w:r>
              <w:rPr>
                <w:rFonts w:ascii="Arial" w:cs="Arial" w:eastAsia="Arial" w:hAnsi="Arial"/>
                <w:sz w:val="17"/>
                <w:szCs w:val="17"/>
                <w:color w:val="auto"/>
              </w:rPr>
              <w:t>100% on March 30, 2025</w:t>
            </w:r>
          </w:p>
        </w:tc>
      </w:tr>
      <w:tr>
        <w:trPr>
          <w:trHeight w:val="201"/>
        </w:trPr>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260" w:type="dxa"/>
            <w:vAlign w:val="bottom"/>
          </w:tcPr>
          <w:p>
            <w:pPr>
              <w:ind w:left="500"/>
              <w:spacing w:after="0"/>
              <w:rPr>
                <w:sz w:val="20"/>
                <w:szCs w:val="20"/>
                <w:color w:val="auto"/>
              </w:rPr>
            </w:pPr>
            <w:r>
              <w:rPr>
                <w:rFonts w:ascii="Arial" w:cs="Arial" w:eastAsia="Arial" w:hAnsi="Arial"/>
                <w:sz w:val="17"/>
                <w:szCs w:val="17"/>
                <w:color w:val="auto"/>
              </w:rPr>
              <w:t>Adjusted OI</w:t>
            </w:r>
          </w:p>
        </w:tc>
        <w:tc>
          <w:tcPr>
            <w:tcW w:w="19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85"/>
        </w:trPr>
        <w:tc>
          <w:tcPr>
            <w:tcW w:w="1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20" w:type="dxa"/>
            <w:vAlign w:val="bottom"/>
            <w:tcBorders>
              <w:bottom w:val="single" w:sz="8" w:color="125288"/>
            </w:tcBorders>
          </w:tcPr>
          <w:p>
            <w:pPr>
              <w:spacing w:after="0"/>
              <w:rPr>
                <w:sz w:val="7"/>
                <w:szCs w:val="7"/>
                <w:color w:val="auto"/>
              </w:rPr>
            </w:pPr>
          </w:p>
        </w:tc>
        <w:tc>
          <w:tcPr>
            <w:tcW w:w="3260" w:type="dxa"/>
            <w:vAlign w:val="bottom"/>
            <w:tcBorders>
              <w:bottom w:val="single" w:sz="8" w:color="125288"/>
            </w:tcBorders>
          </w:tcPr>
          <w:p>
            <w:pPr>
              <w:spacing w:after="0"/>
              <w:rPr>
                <w:sz w:val="7"/>
                <w:szCs w:val="7"/>
                <w:color w:val="auto"/>
              </w:rPr>
            </w:pPr>
          </w:p>
        </w:tc>
        <w:tc>
          <w:tcPr>
            <w:tcW w:w="1900" w:type="dxa"/>
            <w:vAlign w:val="bottom"/>
            <w:tcBorders>
              <w:bottom w:val="single" w:sz="8" w:color="125288"/>
            </w:tcBorders>
          </w:tcPr>
          <w:p>
            <w:pPr>
              <w:spacing w:after="0"/>
              <w:rPr>
                <w:sz w:val="7"/>
                <w:szCs w:val="7"/>
                <w:color w:val="auto"/>
              </w:rPr>
            </w:pPr>
          </w:p>
        </w:tc>
        <w:tc>
          <w:tcPr>
            <w:tcW w:w="2380" w:type="dxa"/>
            <w:vAlign w:val="bottom"/>
            <w:tcBorders>
              <w:bottom w:val="single" w:sz="8" w:color="125288"/>
            </w:tcBorders>
          </w:tcPr>
          <w:p>
            <w:pPr>
              <w:spacing w:after="0"/>
              <w:rPr>
                <w:sz w:val="7"/>
                <w:szCs w:val="7"/>
                <w:color w:val="auto"/>
              </w:rPr>
            </w:pPr>
          </w:p>
        </w:tc>
      </w:tr>
      <w:tr>
        <w:trPr>
          <w:trHeight w:val="276"/>
        </w:trPr>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20" w:type="dxa"/>
            <w:vAlign w:val="bottom"/>
          </w:tcPr>
          <w:p>
            <w:pPr>
              <w:ind w:left="40"/>
              <w:spacing w:after="0"/>
              <w:rPr>
                <w:sz w:val="20"/>
                <w:szCs w:val="20"/>
                <w:color w:val="auto"/>
              </w:rPr>
            </w:pPr>
            <w:r>
              <w:rPr>
                <w:rFonts w:ascii="Arial" w:cs="Arial" w:eastAsia="Arial" w:hAnsi="Arial"/>
                <w:sz w:val="17"/>
                <w:szCs w:val="17"/>
                <w:color w:val="auto"/>
              </w:rPr>
              <w:t>RSUs</w:t>
            </w:r>
          </w:p>
        </w:tc>
        <w:tc>
          <w:tcPr>
            <w:tcW w:w="3260" w:type="dxa"/>
            <w:vAlign w:val="bottom"/>
          </w:tcPr>
          <w:p>
            <w:pPr>
              <w:ind w:left="500"/>
              <w:spacing w:after="0"/>
              <w:rPr>
                <w:sz w:val="20"/>
                <w:szCs w:val="20"/>
                <w:color w:val="auto"/>
              </w:rPr>
            </w:pPr>
            <w:r>
              <w:rPr>
                <w:rFonts w:ascii="Arial" w:cs="Arial" w:eastAsia="Arial" w:hAnsi="Arial"/>
                <w:sz w:val="17"/>
                <w:szCs w:val="17"/>
                <w:color w:val="auto"/>
              </w:rPr>
              <w:t>Time-Based</w:t>
            </w:r>
          </w:p>
        </w:tc>
        <w:tc>
          <w:tcPr>
            <w:tcW w:w="1900" w:type="dxa"/>
            <w:vAlign w:val="bottom"/>
          </w:tcPr>
          <w:p>
            <w:pPr>
              <w:jc w:val="right"/>
              <w:ind w:right="397"/>
              <w:spacing w:after="0"/>
              <w:rPr>
                <w:sz w:val="20"/>
                <w:szCs w:val="20"/>
                <w:color w:val="auto"/>
              </w:rPr>
            </w:pPr>
            <w:r>
              <w:rPr>
                <w:rFonts w:ascii="Arial" w:cs="Arial" w:eastAsia="Arial" w:hAnsi="Arial"/>
                <w:sz w:val="17"/>
                <w:szCs w:val="17"/>
                <w:color w:val="auto"/>
              </w:rPr>
              <w:t>$2,000,000</w:t>
            </w:r>
          </w:p>
        </w:tc>
        <w:tc>
          <w:tcPr>
            <w:tcW w:w="2380" w:type="dxa"/>
            <w:vAlign w:val="bottom"/>
          </w:tcPr>
          <w:p>
            <w:pPr>
              <w:jc w:val="right"/>
              <w:spacing w:after="0"/>
              <w:rPr>
                <w:sz w:val="20"/>
                <w:szCs w:val="20"/>
                <w:color w:val="auto"/>
              </w:rPr>
            </w:pPr>
            <w:r>
              <w:rPr>
                <w:rFonts w:ascii="Arial" w:cs="Arial" w:eastAsia="Arial" w:hAnsi="Arial"/>
                <w:sz w:val="17"/>
                <w:szCs w:val="17"/>
                <w:color w:val="auto"/>
              </w:rPr>
              <w:t>100% on June 29,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148830" cy="152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135" w:lineRule="exact"/>
        <w:rPr>
          <w:sz w:val="20"/>
          <w:szCs w:val="20"/>
          <w:color w:val="auto"/>
        </w:rPr>
      </w:pPr>
    </w:p>
    <w:p>
      <w:pPr>
        <w:jc w:val="both"/>
        <w:ind w:left="320" w:right="80" w:hanging="277"/>
        <w:spacing w:after="0" w:line="252" w:lineRule="auto"/>
        <w:tabs>
          <w:tab w:leader="none" w:pos="32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On October 29, 2021, pursuant to the Alegre Employment Agreement, the Compensation Committee awarded Mr. Alegre PSUs. Mr. Alegre renounced those awards when he was notified that they had been granted, and he did not receive any other form of compensation in lieu thereof. The awards consisted of two grants—one with a target value of $2.5 million eligible to vest on March 30, 2024, by reference to 2022 AB Adjusted EPS, and the other with a target value of $3.0 million eligible to vest on March 30, 2025, by reference to the cumulative AB Adjusted OI objective for 2022–2024. For more information on these awards see “—Employment Agreements—Daniel Alegre—Annual Equity Awards” below.</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color w:val="auto"/>
        </w:rPr>
        <w:t>For more information on these awards, see “—Grants of Plan Based Awards” below.</w:t>
      </w:r>
    </w:p>
    <w:p>
      <w:pPr>
        <w:spacing w:after="0" w:line="138"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If and when the Workplace Responsibility Committee determines that the Company has made appropriate progress toward the achievement of the Transformational Goals, Mr. Kotick will be eligible to receive an equity award pursuant to the Kotick Employment Agreement. However, pursuant to the terms of the Microsoft Merger Agreement, Mr. Kotick may not be granted an equity award prior to July 18, 2022.</w:t>
      </w:r>
    </w:p>
    <w:p>
      <w:pPr>
        <w:spacing w:after="0" w:line="157"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84" w:name="page85"/>
    <w:bookmarkEnd w:id="84"/>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125288"/>
        </w:rPr>
        <w:t>What Happened to Performance-Based Equity Awards That Were Contingent on 2021 Performance</w:t>
      </w:r>
    </w:p>
    <w:p>
      <w:pPr>
        <w:spacing w:after="0" w:line="149"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The following table shows the extent to which the portion of the equity awards granted to our NEOs other than our CEO with the potential to vest based on our 2021 performance, cumulative 2019–2021 performance, or TSR performance between the NEO’s hire date and year end, actually vested.</w:t>
      </w:r>
    </w:p>
    <w:p>
      <w:pPr>
        <w:spacing w:after="0" w:line="260"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Consistent with our pay-for-performance approach, equity award achievement ranged from 0% to 100% of target because we did not achieve all the applicable goals. Our Compensation Committee makes all determinations as to the level of achievement of a performance metric underlying an equity award by reference, in the case of financial metrics, to auditable financial measures.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940" w:type="dxa"/>
            <w:vAlign w:val="bottom"/>
            <w:gridSpan w:val="3"/>
          </w:tcPr>
          <w:p>
            <w:pPr>
              <w:jc w:val="right"/>
              <w:spacing w:after="0"/>
              <w:rPr>
                <w:sz w:val="20"/>
                <w:szCs w:val="20"/>
                <w:color w:val="auto"/>
              </w:rPr>
            </w:pPr>
            <w:r>
              <w:rPr>
                <w:rFonts w:ascii="Arial" w:cs="Arial" w:eastAsia="Arial" w:hAnsi="Arial"/>
                <w:sz w:val="15"/>
                <w:szCs w:val="15"/>
                <w:b w:val="1"/>
                <w:bCs w:val="1"/>
                <w:color w:val="125288"/>
              </w:rPr>
              <w:t>Performance Objectives and Actual Results</w:t>
            </w:r>
          </w:p>
        </w:tc>
        <w:tc>
          <w:tcPr>
            <w:tcW w:w="1100" w:type="dxa"/>
            <w:vAlign w:val="bottom"/>
          </w:tcPr>
          <w:p>
            <w:pPr>
              <w:spacing w:after="0"/>
              <w:rPr>
                <w:sz w:val="17"/>
                <w:szCs w:val="17"/>
                <w:color w:val="auto"/>
              </w:rPr>
            </w:pPr>
          </w:p>
        </w:tc>
      </w:tr>
      <w:tr>
        <w:trPr>
          <w:trHeight w:val="41"/>
        </w:trPr>
        <w:tc>
          <w:tcPr>
            <w:tcW w:w="5740" w:type="dxa"/>
            <w:vAlign w:val="bottom"/>
          </w:tcPr>
          <w:p>
            <w:pPr>
              <w:spacing w:after="0"/>
              <w:rPr>
                <w:sz w:val="3"/>
                <w:szCs w:val="3"/>
                <w:color w:val="auto"/>
              </w:rPr>
            </w:pPr>
          </w:p>
        </w:tc>
        <w:tc>
          <w:tcPr>
            <w:tcW w:w="480" w:type="dxa"/>
            <w:vAlign w:val="bottom"/>
            <w:tcBorders>
              <w:bottom w:val="single" w:sz="8" w:color="125288"/>
            </w:tcBorders>
          </w:tcPr>
          <w:p>
            <w:pPr>
              <w:spacing w:after="0"/>
              <w:rPr>
                <w:sz w:val="3"/>
                <w:szCs w:val="3"/>
                <w:color w:val="auto"/>
              </w:rPr>
            </w:pPr>
          </w:p>
        </w:tc>
        <w:tc>
          <w:tcPr>
            <w:tcW w:w="1400" w:type="dxa"/>
            <w:vAlign w:val="bottom"/>
            <w:tcBorders>
              <w:bottom w:val="single" w:sz="8" w:color="125288"/>
            </w:tcBorders>
          </w:tcPr>
          <w:p>
            <w:pPr>
              <w:spacing w:after="0"/>
              <w:rPr>
                <w:sz w:val="3"/>
                <w:szCs w:val="3"/>
                <w:color w:val="auto"/>
              </w:rPr>
            </w:pPr>
          </w:p>
        </w:tc>
        <w:tc>
          <w:tcPr>
            <w:tcW w:w="940" w:type="dxa"/>
            <w:vAlign w:val="bottom"/>
            <w:tcBorders>
              <w:bottom w:val="single" w:sz="8" w:color="125288"/>
            </w:tcBorders>
          </w:tcPr>
          <w:p>
            <w:pPr>
              <w:spacing w:after="0"/>
              <w:rPr>
                <w:sz w:val="3"/>
                <w:szCs w:val="3"/>
                <w:color w:val="auto"/>
              </w:rPr>
            </w:pPr>
          </w:p>
        </w:tc>
        <w:tc>
          <w:tcPr>
            <w:tcW w:w="1600" w:type="dxa"/>
            <w:vAlign w:val="bottom"/>
            <w:tcBorders>
              <w:bottom w:val="single" w:sz="8" w:color="125288"/>
            </w:tcBorders>
          </w:tcPr>
          <w:p>
            <w:pPr>
              <w:spacing w:after="0"/>
              <w:rPr>
                <w:sz w:val="3"/>
                <w:szCs w:val="3"/>
                <w:color w:val="auto"/>
              </w:rPr>
            </w:pPr>
          </w:p>
        </w:tc>
        <w:tc>
          <w:tcPr>
            <w:tcW w:w="1100" w:type="dxa"/>
            <w:vAlign w:val="bottom"/>
            <w:tcBorders>
              <w:bottom w:val="single" w:sz="8" w:color="125288"/>
            </w:tcBorders>
          </w:tcPr>
          <w:p>
            <w:pPr>
              <w:spacing w:after="0"/>
              <w:rPr>
                <w:sz w:val="3"/>
                <w:szCs w:val="3"/>
                <w:color w:val="auto"/>
              </w:rPr>
            </w:pPr>
          </w:p>
        </w:tc>
      </w:tr>
      <w:tr>
        <w:trPr>
          <w:trHeight w:val="212"/>
        </w:trPr>
        <w:tc>
          <w:tcPr>
            <w:tcW w:w="5740" w:type="dxa"/>
            <w:vAlign w:val="bottom"/>
          </w:tcPr>
          <w:p>
            <w:pPr>
              <w:ind w:left="60"/>
              <w:spacing w:after="0"/>
              <w:rPr>
                <w:sz w:val="20"/>
                <w:szCs w:val="20"/>
                <w:color w:val="auto"/>
              </w:rPr>
            </w:pPr>
            <w:r>
              <w:rPr>
                <w:rFonts w:ascii="Arial" w:cs="Arial" w:eastAsia="Arial" w:hAnsi="Arial"/>
                <w:sz w:val="15"/>
                <w:szCs w:val="15"/>
                <w:b w:val="1"/>
                <w:bCs w:val="1"/>
                <w:color w:val="125288"/>
              </w:rPr>
              <w:t>Financial Performance Measures</w:t>
            </w:r>
          </w:p>
        </w:tc>
        <w:tc>
          <w:tcPr>
            <w:tcW w:w="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jc w:val="right"/>
              <w:ind w:right="778"/>
              <w:spacing w:after="0"/>
              <w:rPr>
                <w:sz w:val="20"/>
                <w:szCs w:val="20"/>
                <w:color w:val="auto"/>
              </w:rPr>
            </w:pPr>
            <w:r>
              <w:rPr>
                <w:rFonts w:ascii="Arial" w:cs="Arial" w:eastAsia="Arial" w:hAnsi="Arial"/>
                <w:sz w:val="15"/>
                <w:szCs w:val="15"/>
                <w:b w:val="1"/>
                <w:bCs w:val="1"/>
                <w:color w:val="125288"/>
              </w:rPr>
              <w:t>Actual</w:t>
            </w:r>
          </w:p>
        </w:tc>
        <w:tc>
          <w:tcPr>
            <w:tcW w:w="1100" w:type="dxa"/>
            <w:vAlign w:val="bottom"/>
          </w:tcPr>
          <w:p>
            <w:pPr>
              <w:jc w:val="right"/>
              <w:spacing w:after="0"/>
              <w:rPr>
                <w:sz w:val="20"/>
                <w:szCs w:val="20"/>
                <w:color w:val="auto"/>
              </w:rPr>
            </w:pPr>
            <w:r>
              <w:rPr>
                <w:rFonts w:ascii="Arial" w:cs="Arial" w:eastAsia="Arial" w:hAnsi="Arial"/>
                <w:sz w:val="15"/>
                <w:szCs w:val="15"/>
                <w:b w:val="1"/>
                <w:bCs w:val="1"/>
                <w:color w:val="125288"/>
              </w:rPr>
              <w:t>Actual</w:t>
            </w:r>
          </w:p>
        </w:tc>
      </w:tr>
      <w:tr>
        <w:trPr>
          <w:trHeight w:val="214"/>
        </w:trPr>
        <w:tc>
          <w:tcPr>
            <w:tcW w:w="5740" w:type="dxa"/>
            <w:vAlign w:val="bottom"/>
          </w:tcPr>
          <w:p>
            <w:pPr>
              <w:ind w:left="60"/>
              <w:spacing w:after="0"/>
              <w:rPr>
                <w:sz w:val="20"/>
                <w:szCs w:val="20"/>
                <w:color w:val="auto"/>
              </w:rPr>
            </w:pPr>
            <w:r>
              <w:rPr>
                <w:rFonts w:ascii="Arial" w:cs="Arial" w:eastAsia="Arial" w:hAnsi="Arial"/>
                <w:sz w:val="15"/>
                <w:szCs w:val="15"/>
                <w:b w:val="1"/>
                <w:bCs w:val="1"/>
                <w:color w:val="125288"/>
              </w:rPr>
              <w:t>(dollars in millions, except share-based amounts)</w:t>
            </w:r>
          </w:p>
        </w:tc>
        <w:tc>
          <w:tcPr>
            <w:tcW w:w="480" w:type="dxa"/>
            <w:vAlign w:val="bottom"/>
          </w:tcPr>
          <w:p>
            <w:pPr>
              <w:spacing w:after="0"/>
              <w:rPr>
                <w:sz w:val="18"/>
                <w:szCs w:val="18"/>
                <w:color w:val="auto"/>
              </w:rPr>
            </w:pPr>
          </w:p>
        </w:tc>
        <w:tc>
          <w:tcPr>
            <w:tcW w:w="1400" w:type="dxa"/>
            <w:vAlign w:val="bottom"/>
          </w:tcPr>
          <w:p>
            <w:pPr>
              <w:jc w:val="right"/>
              <w:ind w:right="618"/>
              <w:spacing w:after="0"/>
              <w:rPr>
                <w:sz w:val="20"/>
                <w:szCs w:val="20"/>
                <w:color w:val="auto"/>
              </w:rPr>
            </w:pPr>
            <w:r>
              <w:rPr>
                <w:rFonts w:ascii="Arial" w:cs="Arial" w:eastAsia="Arial" w:hAnsi="Arial"/>
                <w:sz w:val="15"/>
                <w:szCs w:val="15"/>
                <w:b w:val="1"/>
                <w:bCs w:val="1"/>
                <w:color w:val="125288"/>
              </w:rPr>
              <w:t>Target</w:t>
            </w:r>
          </w:p>
        </w:tc>
        <w:tc>
          <w:tcPr>
            <w:tcW w:w="940" w:type="dxa"/>
            <w:vAlign w:val="bottom"/>
          </w:tcPr>
          <w:p>
            <w:pPr>
              <w:spacing w:after="0"/>
              <w:rPr>
                <w:sz w:val="18"/>
                <w:szCs w:val="18"/>
                <w:color w:val="auto"/>
              </w:rPr>
            </w:pPr>
          </w:p>
        </w:tc>
        <w:tc>
          <w:tcPr>
            <w:tcW w:w="1600" w:type="dxa"/>
            <w:vAlign w:val="bottom"/>
          </w:tcPr>
          <w:p>
            <w:pPr>
              <w:jc w:val="right"/>
              <w:ind w:right="778"/>
              <w:spacing w:after="0"/>
              <w:rPr>
                <w:sz w:val="20"/>
                <w:szCs w:val="20"/>
                <w:color w:val="auto"/>
              </w:rPr>
            </w:pPr>
            <w:r>
              <w:rPr>
                <w:rFonts w:ascii="Arial" w:cs="Arial" w:eastAsia="Arial" w:hAnsi="Arial"/>
                <w:sz w:val="15"/>
                <w:szCs w:val="15"/>
                <w:b w:val="1"/>
                <w:bCs w:val="1"/>
                <w:color w:val="125288"/>
              </w:rPr>
              <w:t>Results</w:t>
            </w:r>
          </w:p>
        </w:tc>
        <w:tc>
          <w:tcPr>
            <w:tcW w:w="1100" w:type="dxa"/>
            <w:vAlign w:val="bottom"/>
          </w:tcPr>
          <w:p>
            <w:pPr>
              <w:jc w:val="right"/>
              <w:spacing w:after="0"/>
              <w:rPr>
                <w:sz w:val="20"/>
                <w:szCs w:val="20"/>
                <w:color w:val="auto"/>
              </w:rPr>
            </w:pPr>
            <w:r>
              <w:rPr>
                <w:rFonts w:ascii="Arial" w:cs="Arial" w:eastAsia="Arial" w:hAnsi="Arial"/>
                <w:sz w:val="15"/>
                <w:szCs w:val="15"/>
                <w:b w:val="1"/>
                <w:bCs w:val="1"/>
                <w:color w:val="125288"/>
              </w:rPr>
              <w:t>Achievement</w:t>
            </w:r>
          </w:p>
        </w:tc>
      </w:tr>
      <w:tr>
        <w:trPr>
          <w:trHeight w:val="41"/>
        </w:trPr>
        <w:tc>
          <w:tcPr>
            <w:tcW w:w="5740" w:type="dxa"/>
            <w:vAlign w:val="bottom"/>
            <w:tcBorders>
              <w:bottom w:val="single" w:sz="8" w:color="125288"/>
            </w:tcBorders>
          </w:tcPr>
          <w:p>
            <w:pPr>
              <w:spacing w:after="0"/>
              <w:rPr>
                <w:sz w:val="3"/>
                <w:szCs w:val="3"/>
                <w:color w:val="auto"/>
              </w:rPr>
            </w:pPr>
          </w:p>
        </w:tc>
        <w:tc>
          <w:tcPr>
            <w:tcW w:w="480" w:type="dxa"/>
            <w:vAlign w:val="bottom"/>
            <w:tcBorders>
              <w:bottom w:val="single" w:sz="8" w:color="125288"/>
            </w:tcBorders>
          </w:tcPr>
          <w:p>
            <w:pPr>
              <w:spacing w:after="0"/>
              <w:rPr>
                <w:sz w:val="3"/>
                <w:szCs w:val="3"/>
                <w:color w:val="auto"/>
              </w:rPr>
            </w:pPr>
          </w:p>
        </w:tc>
        <w:tc>
          <w:tcPr>
            <w:tcW w:w="1400" w:type="dxa"/>
            <w:vAlign w:val="bottom"/>
            <w:tcBorders>
              <w:bottom w:val="single" w:sz="8" w:color="125288"/>
            </w:tcBorders>
          </w:tcPr>
          <w:p>
            <w:pPr>
              <w:spacing w:after="0"/>
              <w:rPr>
                <w:sz w:val="3"/>
                <w:szCs w:val="3"/>
                <w:color w:val="auto"/>
              </w:rPr>
            </w:pPr>
          </w:p>
        </w:tc>
        <w:tc>
          <w:tcPr>
            <w:tcW w:w="940" w:type="dxa"/>
            <w:vAlign w:val="bottom"/>
            <w:tcBorders>
              <w:bottom w:val="single" w:sz="8" w:color="125288"/>
            </w:tcBorders>
          </w:tcPr>
          <w:p>
            <w:pPr>
              <w:spacing w:after="0"/>
              <w:rPr>
                <w:sz w:val="3"/>
                <w:szCs w:val="3"/>
                <w:color w:val="auto"/>
              </w:rPr>
            </w:pPr>
          </w:p>
        </w:tc>
        <w:tc>
          <w:tcPr>
            <w:tcW w:w="1600" w:type="dxa"/>
            <w:vAlign w:val="bottom"/>
            <w:tcBorders>
              <w:bottom w:val="single" w:sz="8" w:color="125288"/>
            </w:tcBorders>
          </w:tcPr>
          <w:p>
            <w:pPr>
              <w:spacing w:after="0"/>
              <w:rPr>
                <w:sz w:val="3"/>
                <w:szCs w:val="3"/>
                <w:color w:val="auto"/>
              </w:rPr>
            </w:pPr>
          </w:p>
        </w:tc>
        <w:tc>
          <w:tcPr>
            <w:tcW w:w="1100" w:type="dxa"/>
            <w:vAlign w:val="bottom"/>
            <w:tcBorders>
              <w:bottom w:val="single" w:sz="8" w:color="125288"/>
            </w:tcBorders>
          </w:tcPr>
          <w:p>
            <w:pPr>
              <w:spacing w:after="0"/>
              <w:rPr>
                <w:sz w:val="3"/>
                <w:szCs w:val="3"/>
                <w:color w:val="auto"/>
              </w:rPr>
            </w:pPr>
          </w:p>
        </w:tc>
      </w:tr>
      <w:tr>
        <w:trPr>
          <w:trHeight w:val="396"/>
        </w:trPr>
        <w:tc>
          <w:tcPr>
            <w:tcW w:w="5740" w:type="dxa"/>
            <w:vAlign w:val="bottom"/>
            <w:tcBorders>
              <w:bottom w:val="single" w:sz="8" w:color="125288"/>
            </w:tcBorders>
          </w:tcPr>
          <w:p>
            <w:pPr>
              <w:ind w:left="60"/>
              <w:spacing w:after="0"/>
              <w:rPr>
                <w:sz w:val="20"/>
                <w:szCs w:val="20"/>
                <w:color w:val="auto"/>
              </w:rPr>
            </w:pPr>
            <w:r>
              <w:rPr>
                <w:rFonts w:ascii="Arial" w:cs="Arial" w:eastAsia="Arial" w:hAnsi="Arial"/>
                <w:sz w:val="17"/>
                <w:szCs w:val="17"/>
                <w:color w:val="auto"/>
              </w:rPr>
              <w:t>AB Adjusted OI</w:t>
            </w:r>
            <w:r>
              <w:rPr>
                <w:rFonts w:ascii="Arial" w:cs="Arial" w:eastAsia="Arial" w:hAnsi="Arial"/>
                <w:sz w:val="27"/>
                <w:szCs w:val="27"/>
                <w:color w:val="auto"/>
                <w:vertAlign w:val="superscript"/>
              </w:rPr>
              <w:t>(1)</w:t>
            </w:r>
          </w:p>
        </w:tc>
        <w:tc>
          <w:tcPr>
            <w:tcW w:w="480" w:type="dxa"/>
            <w:vAlign w:val="bottom"/>
            <w:tcBorders>
              <w:bottom w:val="single" w:sz="8" w:color="125288"/>
            </w:tcBorders>
          </w:tcPr>
          <w:p>
            <w:pPr>
              <w:jc w:val="right"/>
              <w:ind w:right="117"/>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125288"/>
            </w:tcBorders>
          </w:tcPr>
          <w:p>
            <w:pPr>
              <w:jc w:val="right"/>
              <w:ind w:right="618"/>
              <w:spacing w:after="0"/>
              <w:rPr>
                <w:sz w:val="20"/>
                <w:szCs w:val="20"/>
                <w:color w:val="auto"/>
              </w:rPr>
            </w:pPr>
            <w:r>
              <w:rPr>
                <w:rFonts w:ascii="Arial" w:cs="Arial" w:eastAsia="Arial" w:hAnsi="Arial"/>
                <w:sz w:val="17"/>
                <w:szCs w:val="17"/>
                <w:color w:val="auto"/>
              </w:rPr>
              <w:t>3,810</w:t>
            </w:r>
          </w:p>
        </w:tc>
        <w:tc>
          <w:tcPr>
            <w:tcW w:w="940" w:type="dxa"/>
            <w:vAlign w:val="bottom"/>
            <w:tcBorders>
              <w:bottom w:val="single" w:sz="8" w:color="125288"/>
            </w:tcBorders>
          </w:tcPr>
          <w:p>
            <w:pPr>
              <w:jc w:val="right"/>
              <w:ind w:right="77"/>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125288"/>
            </w:tcBorders>
          </w:tcPr>
          <w:p>
            <w:pPr>
              <w:jc w:val="right"/>
              <w:ind w:right="778"/>
              <w:spacing w:after="0"/>
              <w:rPr>
                <w:sz w:val="20"/>
                <w:szCs w:val="20"/>
                <w:color w:val="auto"/>
              </w:rPr>
            </w:pPr>
            <w:r>
              <w:rPr>
                <w:rFonts w:ascii="Arial" w:cs="Arial" w:eastAsia="Arial" w:hAnsi="Arial"/>
                <w:sz w:val="17"/>
                <w:szCs w:val="17"/>
                <w:color w:val="auto"/>
              </w:rPr>
              <w:t>3,403</w:t>
            </w:r>
          </w:p>
        </w:tc>
        <w:tc>
          <w:tcPr>
            <w:tcW w:w="1100" w:type="dxa"/>
            <w:vAlign w:val="bottom"/>
            <w:tcBorders>
              <w:bottom w:val="single" w:sz="8" w:color="125288"/>
            </w:tcBorders>
          </w:tcPr>
          <w:p>
            <w:pPr>
              <w:jc w:val="right"/>
              <w:spacing w:after="0"/>
              <w:rPr>
                <w:sz w:val="20"/>
                <w:szCs w:val="20"/>
                <w:color w:val="auto"/>
              </w:rPr>
            </w:pPr>
            <w:r>
              <w:rPr>
                <w:rFonts w:ascii="Arial" w:cs="Arial" w:eastAsia="Arial" w:hAnsi="Arial"/>
                <w:sz w:val="17"/>
                <w:szCs w:val="17"/>
                <w:color w:val="auto"/>
              </w:rPr>
              <w:t>89.3%</w:t>
            </w:r>
          </w:p>
        </w:tc>
      </w:tr>
      <w:tr>
        <w:trPr>
          <w:trHeight w:val="396"/>
        </w:trPr>
        <w:tc>
          <w:tcPr>
            <w:tcW w:w="5740" w:type="dxa"/>
            <w:vAlign w:val="bottom"/>
            <w:tcBorders>
              <w:bottom w:val="single" w:sz="8" w:color="125288"/>
            </w:tcBorders>
          </w:tcPr>
          <w:p>
            <w:pPr>
              <w:ind w:left="60"/>
              <w:spacing w:after="0"/>
              <w:rPr>
                <w:sz w:val="20"/>
                <w:szCs w:val="20"/>
                <w:color w:val="auto"/>
              </w:rPr>
            </w:pPr>
            <w:r>
              <w:rPr>
                <w:rFonts w:ascii="Arial" w:cs="Arial" w:eastAsia="Arial" w:hAnsi="Arial"/>
                <w:sz w:val="17"/>
                <w:szCs w:val="17"/>
                <w:color w:val="auto"/>
              </w:rPr>
              <w:t>AB Adjusted EPS</w:t>
            </w:r>
            <w:r>
              <w:rPr>
                <w:rFonts w:ascii="Arial" w:cs="Arial" w:eastAsia="Arial" w:hAnsi="Arial"/>
                <w:sz w:val="27"/>
                <w:szCs w:val="27"/>
                <w:color w:val="auto"/>
                <w:vertAlign w:val="superscript"/>
              </w:rPr>
              <w:t>(1)</w:t>
            </w:r>
          </w:p>
        </w:tc>
        <w:tc>
          <w:tcPr>
            <w:tcW w:w="480" w:type="dxa"/>
            <w:vAlign w:val="bottom"/>
            <w:tcBorders>
              <w:bottom w:val="single" w:sz="8" w:color="125288"/>
            </w:tcBorders>
          </w:tcPr>
          <w:p>
            <w:pPr>
              <w:jc w:val="right"/>
              <w:ind w:right="117"/>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125288"/>
            </w:tcBorders>
          </w:tcPr>
          <w:p>
            <w:pPr>
              <w:jc w:val="right"/>
              <w:ind w:right="618"/>
              <w:spacing w:after="0"/>
              <w:rPr>
                <w:sz w:val="20"/>
                <w:szCs w:val="20"/>
                <w:color w:val="auto"/>
              </w:rPr>
            </w:pPr>
            <w:r>
              <w:rPr>
                <w:rFonts w:ascii="Arial" w:cs="Arial" w:eastAsia="Arial" w:hAnsi="Arial"/>
                <w:sz w:val="17"/>
                <w:szCs w:val="17"/>
                <w:color w:val="auto"/>
              </w:rPr>
              <w:t>3.85</w:t>
            </w:r>
          </w:p>
        </w:tc>
        <w:tc>
          <w:tcPr>
            <w:tcW w:w="940" w:type="dxa"/>
            <w:vAlign w:val="bottom"/>
            <w:tcBorders>
              <w:bottom w:val="single" w:sz="8" w:color="125288"/>
            </w:tcBorders>
          </w:tcPr>
          <w:p>
            <w:pPr>
              <w:jc w:val="right"/>
              <w:ind w:right="77"/>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125288"/>
            </w:tcBorders>
          </w:tcPr>
          <w:p>
            <w:pPr>
              <w:jc w:val="right"/>
              <w:ind w:right="778"/>
              <w:spacing w:after="0"/>
              <w:rPr>
                <w:sz w:val="20"/>
                <w:szCs w:val="20"/>
                <w:color w:val="auto"/>
              </w:rPr>
            </w:pPr>
            <w:r>
              <w:rPr>
                <w:rFonts w:ascii="Arial" w:cs="Arial" w:eastAsia="Arial" w:hAnsi="Arial"/>
                <w:sz w:val="17"/>
                <w:szCs w:val="17"/>
                <w:color w:val="auto"/>
              </w:rPr>
              <w:t>3.62</w:t>
            </w:r>
          </w:p>
        </w:tc>
        <w:tc>
          <w:tcPr>
            <w:tcW w:w="1100" w:type="dxa"/>
            <w:vAlign w:val="bottom"/>
            <w:tcBorders>
              <w:bottom w:val="single" w:sz="8" w:color="125288"/>
            </w:tcBorders>
          </w:tcPr>
          <w:p>
            <w:pPr>
              <w:jc w:val="right"/>
              <w:spacing w:after="0"/>
              <w:rPr>
                <w:sz w:val="20"/>
                <w:szCs w:val="20"/>
                <w:color w:val="auto"/>
              </w:rPr>
            </w:pPr>
            <w:r>
              <w:rPr>
                <w:rFonts w:ascii="Arial" w:cs="Arial" w:eastAsia="Arial" w:hAnsi="Arial"/>
                <w:sz w:val="17"/>
                <w:szCs w:val="17"/>
                <w:color w:val="auto"/>
              </w:rPr>
              <w:t>94.1%</w:t>
            </w:r>
          </w:p>
        </w:tc>
      </w:tr>
      <w:tr>
        <w:trPr>
          <w:trHeight w:val="396"/>
        </w:trPr>
        <w:tc>
          <w:tcPr>
            <w:tcW w:w="5740" w:type="dxa"/>
            <w:vAlign w:val="bottom"/>
            <w:tcBorders>
              <w:bottom w:val="single" w:sz="8" w:color="125288"/>
            </w:tcBorders>
          </w:tcPr>
          <w:p>
            <w:pPr>
              <w:ind w:left="60"/>
              <w:spacing w:after="0"/>
              <w:rPr>
                <w:sz w:val="20"/>
                <w:szCs w:val="20"/>
                <w:color w:val="auto"/>
              </w:rPr>
            </w:pPr>
            <w:r>
              <w:rPr>
                <w:rFonts w:ascii="Arial" w:cs="Arial" w:eastAsia="Arial" w:hAnsi="Arial"/>
                <w:sz w:val="17"/>
                <w:szCs w:val="17"/>
                <w:color w:val="auto"/>
              </w:rPr>
              <w:t>Cumulative 2019–2021 AB Adjusted OI</w:t>
            </w:r>
            <w:r>
              <w:rPr>
                <w:rFonts w:ascii="Arial" w:cs="Arial" w:eastAsia="Arial" w:hAnsi="Arial"/>
                <w:sz w:val="27"/>
                <w:szCs w:val="27"/>
                <w:color w:val="auto"/>
                <w:vertAlign w:val="superscript"/>
              </w:rPr>
              <w:t>(1)</w:t>
            </w:r>
          </w:p>
        </w:tc>
        <w:tc>
          <w:tcPr>
            <w:tcW w:w="480" w:type="dxa"/>
            <w:vAlign w:val="bottom"/>
            <w:tcBorders>
              <w:bottom w:val="single" w:sz="8" w:color="125288"/>
            </w:tcBorders>
          </w:tcPr>
          <w:p>
            <w:pPr>
              <w:jc w:val="right"/>
              <w:ind w:right="117"/>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125288"/>
            </w:tcBorders>
          </w:tcPr>
          <w:p>
            <w:pPr>
              <w:jc w:val="right"/>
              <w:ind w:right="618"/>
              <w:spacing w:after="0"/>
              <w:rPr>
                <w:sz w:val="20"/>
                <w:szCs w:val="20"/>
                <w:color w:val="auto"/>
              </w:rPr>
            </w:pPr>
            <w:r>
              <w:rPr>
                <w:rFonts w:ascii="Arial" w:cs="Arial" w:eastAsia="Arial" w:hAnsi="Arial"/>
                <w:sz w:val="17"/>
                <w:szCs w:val="17"/>
                <w:color w:val="auto"/>
              </w:rPr>
              <w:t>10,072</w:t>
            </w:r>
          </w:p>
        </w:tc>
        <w:tc>
          <w:tcPr>
            <w:tcW w:w="940" w:type="dxa"/>
            <w:vAlign w:val="bottom"/>
            <w:tcBorders>
              <w:bottom w:val="single" w:sz="8" w:color="125288"/>
            </w:tcBorders>
          </w:tcPr>
          <w:p>
            <w:pPr>
              <w:jc w:val="right"/>
              <w:ind w:right="77"/>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125288"/>
            </w:tcBorders>
          </w:tcPr>
          <w:p>
            <w:pPr>
              <w:jc w:val="right"/>
              <w:ind w:right="778"/>
              <w:spacing w:after="0"/>
              <w:rPr>
                <w:sz w:val="20"/>
                <w:szCs w:val="20"/>
                <w:color w:val="auto"/>
              </w:rPr>
            </w:pPr>
            <w:r>
              <w:rPr>
                <w:rFonts w:ascii="Arial" w:cs="Arial" w:eastAsia="Arial" w:hAnsi="Arial"/>
                <w:sz w:val="17"/>
                <w:szCs w:val="17"/>
                <w:color w:val="auto"/>
              </w:rPr>
              <w:t>8,942</w:t>
            </w:r>
          </w:p>
        </w:tc>
        <w:tc>
          <w:tcPr>
            <w:tcW w:w="1100" w:type="dxa"/>
            <w:vAlign w:val="bottom"/>
            <w:tcBorders>
              <w:bottom w:val="single" w:sz="8" w:color="125288"/>
            </w:tcBorders>
          </w:tcPr>
          <w:p>
            <w:pPr>
              <w:jc w:val="right"/>
              <w:spacing w:after="0"/>
              <w:rPr>
                <w:sz w:val="20"/>
                <w:szCs w:val="20"/>
                <w:color w:val="auto"/>
              </w:rPr>
            </w:pPr>
            <w:r>
              <w:rPr>
                <w:rFonts w:ascii="Arial" w:cs="Arial" w:eastAsia="Arial" w:hAnsi="Arial"/>
                <w:sz w:val="17"/>
                <w:szCs w:val="17"/>
                <w:color w:val="auto"/>
              </w:rPr>
              <w:t>88.8%</w:t>
            </w:r>
          </w:p>
        </w:tc>
      </w:tr>
      <w:tr>
        <w:trPr>
          <w:trHeight w:val="267"/>
        </w:trPr>
        <w:tc>
          <w:tcPr>
            <w:tcW w:w="5740" w:type="dxa"/>
            <w:vAlign w:val="bottom"/>
          </w:tcPr>
          <w:p>
            <w:pPr>
              <w:ind w:left="60"/>
              <w:spacing w:after="0"/>
              <w:rPr>
                <w:sz w:val="20"/>
                <w:szCs w:val="20"/>
                <w:color w:val="auto"/>
              </w:rPr>
            </w:pPr>
            <w:r>
              <w:rPr>
                <w:rFonts w:ascii="Arial" w:cs="Arial" w:eastAsia="Arial" w:hAnsi="Arial"/>
                <w:sz w:val="17"/>
                <w:szCs w:val="17"/>
                <w:color w:val="auto"/>
              </w:rPr>
              <w:t>TSR performance compared to the S&amp;P 500 April 7, 2020, through</w:t>
            </w:r>
          </w:p>
        </w:tc>
        <w:tc>
          <w:tcPr>
            <w:tcW w:w="480" w:type="dxa"/>
            <w:vAlign w:val="bottom"/>
          </w:tcPr>
          <w:p>
            <w:pPr>
              <w:spacing w:after="0"/>
              <w:rPr>
                <w:sz w:val="23"/>
                <w:szCs w:val="23"/>
                <w:color w:val="auto"/>
              </w:rPr>
            </w:pPr>
          </w:p>
        </w:tc>
        <w:tc>
          <w:tcPr>
            <w:tcW w:w="1400" w:type="dxa"/>
            <w:vAlign w:val="bottom"/>
          </w:tcPr>
          <w:p>
            <w:pPr>
              <w:jc w:val="right"/>
              <w:ind w:right="618"/>
              <w:spacing w:after="0"/>
              <w:rPr>
                <w:sz w:val="20"/>
                <w:szCs w:val="20"/>
                <w:color w:val="auto"/>
              </w:rPr>
            </w:pPr>
            <w:r>
              <w:rPr>
                <w:rFonts w:ascii="Arial" w:cs="Arial" w:eastAsia="Arial" w:hAnsi="Arial"/>
                <w:sz w:val="17"/>
                <w:szCs w:val="17"/>
                <w:color w:val="auto"/>
              </w:rPr>
              <w:t>10%</w:t>
            </w:r>
          </w:p>
        </w:tc>
        <w:tc>
          <w:tcPr>
            <w:tcW w:w="940" w:type="dxa"/>
            <w:vAlign w:val="bottom"/>
          </w:tcPr>
          <w:p>
            <w:pPr>
              <w:spacing w:after="0"/>
              <w:rPr>
                <w:sz w:val="23"/>
                <w:szCs w:val="23"/>
                <w:color w:val="auto"/>
              </w:rPr>
            </w:pPr>
          </w:p>
        </w:tc>
        <w:tc>
          <w:tcPr>
            <w:tcW w:w="1600" w:type="dxa"/>
            <w:vAlign w:val="bottom"/>
          </w:tcPr>
          <w:p>
            <w:pPr>
              <w:jc w:val="right"/>
              <w:ind w:right="778"/>
              <w:spacing w:after="0"/>
              <w:rPr>
                <w:sz w:val="20"/>
                <w:szCs w:val="20"/>
                <w:color w:val="auto"/>
              </w:rPr>
            </w:pPr>
            <w:r>
              <w:rPr>
                <w:rFonts w:ascii="Arial" w:cs="Arial" w:eastAsia="Arial" w:hAnsi="Arial"/>
                <w:sz w:val="17"/>
                <w:szCs w:val="17"/>
                <w:color w:val="auto"/>
              </w:rPr>
              <w:t>-71%</w:t>
            </w:r>
          </w:p>
        </w:tc>
        <w:tc>
          <w:tcPr>
            <w:tcW w:w="110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319"/>
        </w:trPr>
        <w:tc>
          <w:tcPr>
            <w:tcW w:w="5740" w:type="dxa"/>
            <w:vAlign w:val="bottom"/>
            <w:tcBorders>
              <w:bottom w:val="single" w:sz="8" w:color="125288"/>
            </w:tcBorders>
          </w:tcPr>
          <w:p>
            <w:pPr>
              <w:ind w:left="60"/>
              <w:spacing w:after="0"/>
              <w:rPr>
                <w:sz w:val="20"/>
                <w:szCs w:val="20"/>
                <w:color w:val="auto"/>
              </w:rPr>
            </w:pPr>
            <w:r>
              <w:rPr>
                <w:rFonts w:ascii="Arial" w:cs="Arial" w:eastAsia="Arial" w:hAnsi="Arial"/>
                <w:sz w:val="17"/>
                <w:szCs w:val="17"/>
                <w:color w:val="auto"/>
              </w:rPr>
              <w:t>December 31, 2021</w:t>
            </w:r>
            <w:r>
              <w:rPr>
                <w:rFonts w:ascii="Arial" w:cs="Arial" w:eastAsia="Arial" w:hAnsi="Arial"/>
                <w:sz w:val="27"/>
                <w:szCs w:val="27"/>
                <w:color w:val="auto"/>
                <w:vertAlign w:val="superscript"/>
              </w:rPr>
              <w:t>(2)</w:t>
            </w:r>
          </w:p>
        </w:tc>
        <w:tc>
          <w:tcPr>
            <w:tcW w:w="480" w:type="dxa"/>
            <w:vAlign w:val="bottom"/>
            <w:tcBorders>
              <w:bottom w:val="single" w:sz="8" w:color="125288"/>
            </w:tcBorders>
          </w:tcPr>
          <w:p>
            <w:pPr>
              <w:spacing w:after="0"/>
              <w:rPr>
                <w:sz w:val="24"/>
                <w:szCs w:val="24"/>
                <w:color w:val="auto"/>
              </w:rPr>
            </w:pPr>
          </w:p>
        </w:tc>
        <w:tc>
          <w:tcPr>
            <w:tcW w:w="1400" w:type="dxa"/>
            <w:vAlign w:val="bottom"/>
            <w:tcBorders>
              <w:bottom w:val="single" w:sz="8" w:color="125288"/>
            </w:tcBorders>
          </w:tcPr>
          <w:p>
            <w:pPr>
              <w:spacing w:after="0"/>
              <w:rPr>
                <w:sz w:val="24"/>
                <w:szCs w:val="24"/>
                <w:color w:val="auto"/>
              </w:rPr>
            </w:pPr>
          </w:p>
        </w:tc>
        <w:tc>
          <w:tcPr>
            <w:tcW w:w="940" w:type="dxa"/>
            <w:vAlign w:val="bottom"/>
            <w:tcBorders>
              <w:bottom w:val="single" w:sz="8" w:color="125288"/>
            </w:tcBorders>
          </w:tcPr>
          <w:p>
            <w:pPr>
              <w:spacing w:after="0"/>
              <w:rPr>
                <w:sz w:val="24"/>
                <w:szCs w:val="24"/>
                <w:color w:val="auto"/>
              </w:rPr>
            </w:pPr>
          </w:p>
        </w:tc>
        <w:tc>
          <w:tcPr>
            <w:tcW w:w="1600" w:type="dxa"/>
            <w:vAlign w:val="bottom"/>
            <w:tcBorders>
              <w:bottom w:val="single" w:sz="8" w:color="125288"/>
            </w:tcBorders>
          </w:tcPr>
          <w:p>
            <w:pPr>
              <w:spacing w:after="0"/>
              <w:rPr>
                <w:sz w:val="24"/>
                <w:szCs w:val="24"/>
                <w:color w:val="auto"/>
              </w:rPr>
            </w:pPr>
          </w:p>
        </w:tc>
        <w:tc>
          <w:tcPr>
            <w:tcW w:w="1100" w:type="dxa"/>
            <w:vAlign w:val="bottom"/>
            <w:tcBorders>
              <w:bottom w:val="single" w:sz="8" w:color="125288"/>
            </w:tcBorders>
          </w:tcPr>
          <w:p>
            <w:pPr>
              <w:spacing w:after="0"/>
              <w:rPr>
                <w:sz w:val="24"/>
                <w:szCs w:val="24"/>
                <w:color w:val="auto"/>
              </w:rPr>
            </w:pPr>
          </w:p>
        </w:tc>
      </w:tr>
      <w:tr>
        <w:trPr>
          <w:trHeight w:val="267"/>
        </w:trPr>
        <w:tc>
          <w:tcPr>
            <w:tcW w:w="5740" w:type="dxa"/>
            <w:vAlign w:val="bottom"/>
          </w:tcPr>
          <w:p>
            <w:pPr>
              <w:ind w:left="60"/>
              <w:spacing w:after="0"/>
              <w:rPr>
                <w:sz w:val="20"/>
                <w:szCs w:val="20"/>
                <w:color w:val="auto"/>
              </w:rPr>
            </w:pPr>
            <w:r>
              <w:rPr>
                <w:rFonts w:ascii="Arial" w:cs="Arial" w:eastAsia="Arial" w:hAnsi="Arial"/>
                <w:sz w:val="17"/>
                <w:szCs w:val="17"/>
                <w:color w:val="auto"/>
              </w:rPr>
              <w:t>TSR performance compared to the S&amp;P 500 February 1, 2021, through</w:t>
            </w:r>
          </w:p>
        </w:tc>
        <w:tc>
          <w:tcPr>
            <w:tcW w:w="480" w:type="dxa"/>
            <w:vAlign w:val="bottom"/>
          </w:tcPr>
          <w:p>
            <w:pPr>
              <w:spacing w:after="0"/>
              <w:rPr>
                <w:sz w:val="23"/>
                <w:szCs w:val="23"/>
                <w:color w:val="auto"/>
              </w:rPr>
            </w:pPr>
          </w:p>
        </w:tc>
        <w:tc>
          <w:tcPr>
            <w:tcW w:w="1400" w:type="dxa"/>
            <w:vAlign w:val="bottom"/>
          </w:tcPr>
          <w:p>
            <w:pPr>
              <w:jc w:val="right"/>
              <w:ind w:right="618"/>
              <w:spacing w:after="0"/>
              <w:rPr>
                <w:sz w:val="20"/>
                <w:szCs w:val="20"/>
                <w:color w:val="auto"/>
              </w:rPr>
            </w:pPr>
            <w:r>
              <w:rPr>
                <w:rFonts w:ascii="Arial" w:cs="Arial" w:eastAsia="Arial" w:hAnsi="Arial"/>
                <w:sz w:val="17"/>
                <w:szCs w:val="17"/>
                <w:color w:val="auto"/>
              </w:rPr>
              <w:t>10%</w:t>
            </w:r>
          </w:p>
        </w:tc>
        <w:tc>
          <w:tcPr>
            <w:tcW w:w="940" w:type="dxa"/>
            <w:vAlign w:val="bottom"/>
          </w:tcPr>
          <w:p>
            <w:pPr>
              <w:spacing w:after="0"/>
              <w:rPr>
                <w:sz w:val="23"/>
                <w:szCs w:val="23"/>
                <w:color w:val="auto"/>
              </w:rPr>
            </w:pPr>
          </w:p>
        </w:tc>
        <w:tc>
          <w:tcPr>
            <w:tcW w:w="1600" w:type="dxa"/>
            <w:vAlign w:val="bottom"/>
          </w:tcPr>
          <w:p>
            <w:pPr>
              <w:jc w:val="right"/>
              <w:ind w:right="778"/>
              <w:spacing w:after="0"/>
              <w:rPr>
                <w:sz w:val="20"/>
                <w:szCs w:val="20"/>
                <w:color w:val="auto"/>
              </w:rPr>
            </w:pPr>
            <w:r>
              <w:rPr>
                <w:rFonts w:ascii="Arial" w:cs="Arial" w:eastAsia="Arial" w:hAnsi="Arial"/>
                <w:sz w:val="17"/>
                <w:szCs w:val="17"/>
                <w:color w:val="auto"/>
              </w:rPr>
              <w:t>-58%</w:t>
            </w:r>
          </w:p>
        </w:tc>
        <w:tc>
          <w:tcPr>
            <w:tcW w:w="110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354"/>
        </w:trPr>
        <w:tc>
          <w:tcPr>
            <w:tcW w:w="5740" w:type="dxa"/>
            <w:vAlign w:val="bottom"/>
          </w:tcPr>
          <w:p>
            <w:pPr>
              <w:ind w:left="60"/>
              <w:spacing w:after="0"/>
              <w:rPr>
                <w:sz w:val="20"/>
                <w:szCs w:val="20"/>
                <w:color w:val="auto"/>
              </w:rPr>
            </w:pPr>
            <w:r>
              <w:rPr>
                <w:rFonts w:ascii="Arial" w:cs="Arial" w:eastAsia="Arial" w:hAnsi="Arial"/>
                <w:sz w:val="17"/>
                <w:szCs w:val="17"/>
                <w:color w:val="auto"/>
              </w:rPr>
              <w:t>December 31, 2021</w:t>
            </w:r>
            <w:r>
              <w:rPr>
                <w:rFonts w:ascii="Arial" w:cs="Arial" w:eastAsia="Arial" w:hAnsi="Arial"/>
                <w:sz w:val="27"/>
                <w:szCs w:val="27"/>
                <w:color w:val="auto"/>
                <w:vertAlign w:val="superscript"/>
              </w:rPr>
              <w:t>(3)</w:t>
            </w: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7148830" cy="152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16" w:lineRule="exact"/>
        <w:rPr>
          <w:sz w:val="20"/>
          <w:szCs w:val="20"/>
          <w:color w:val="auto"/>
        </w:rPr>
      </w:pPr>
    </w:p>
    <w:p>
      <w:pPr>
        <w:jc w:val="both"/>
        <w:ind w:left="340" w:right="100" w:hanging="285"/>
        <w:spacing w:after="0" w:line="252" w:lineRule="auto"/>
        <w:tabs>
          <w:tab w:leader="none" w:pos="34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These are non-GAAP measures. Results for AB Adjusted OI and AB Adjusted EPS include $160 million and $0.16, respectively, associated with share-based compensation expense related to achievement against 2021 performance targets which was not excluded from the financial objectives used by management and our Compensation Committee to assess the performance of our NEOs. For more information, including how these measures are calculated and why our Compensation Committee believes they are an appropriate way to assess our executives’ performance, see “General—Financial Measures Used in this Proxy Statement—Financial Metrics Used to Measure 2021 Compensation-Related Performance” at the beginning of this proxy statement.</w:t>
      </w:r>
    </w:p>
    <w:p>
      <w:pPr>
        <w:spacing w:after="0" w:line="21" w:lineRule="exact"/>
        <w:rPr>
          <w:rFonts w:ascii="Arial" w:cs="Arial" w:eastAsia="Arial" w:hAnsi="Arial"/>
          <w:sz w:val="15"/>
          <w:szCs w:val="15"/>
          <w:color w:val="auto"/>
        </w:rPr>
      </w:pPr>
    </w:p>
    <w:p>
      <w:pPr>
        <w:jc w:val="both"/>
        <w:ind w:left="340" w:right="100" w:hanging="285"/>
        <w:spacing w:after="0" w:line="257" w:lineRule="auto"/>
        <w:tabs>
          <w:tab w:leader="none" w:pos="34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This measure underlaid a tranche of an award of PSUs to Mr. Alegre. Please see “—Grants of Plan-Based Awards for 2021” and “—Outstanding Equity Awards at December 31, 2021” below and the proxy statement for our 2021 annual meeting of shareholders filed with the SEC on Schedule 14A on May 3, 2021, for more information about that award.</w:t>
      </w:r>
    </w:p>
    <w:p>
      <w:pPr>
        <w:spacing w:after="0" w:line="16" w:lineRule="exact"/>
        <w:rPr>
          <w:rFonts w:ascii="Arial" w:cs="Arial" w:eastAsia="Arial" w:hAnsi="Arial"/>
          <w:sz w:val="15"/>
          <w:szCs w:val="15"/>
          <w:color w:val="auto"/>
        </w:rPr>
      </w:pPr>
    </w:p>
    <w:p>
      <w:pPr>
        <w:jc w:val="both"/>
        <w:ind w:left="340" w:right="100" w:hanging="285"/>
        <w:spacing w:after="0" w:line="263" w:lineRule="auto"/>
        <w:tabs>
          <w:tab w:leader="none" w:pos="34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This measure underlaid a tranche of an award of PSUs to Mr. Bulatao. Please see “—Grants of Plan-Based Awards for 2021, “—Outstanding Equity Awards at December 31, 2021,” and “Employment Agreements—Brian Bulatao—Contract Inducement—PSUs (Relative TSR)” below, for more information about that award.</w:t>
      </w:r>
    </w:p>
    <w:p>
      <w:pPr>
        <w:spacing w:after="0" w:line="200" w:lineRule="exact"/>
        <w:rPr>
          <w:sz w:val="20"/>
          <w:szCs w:val="20"/>
          <w:color w:val="auto"/>
        </w:rPr>
      </w:pPr>
    </w:p>
    <w:p>
      <w:pPr>
        <w:spacing w:after="0" w:line="271"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85" w:name="page86"/>
    <w:bookmarkEnd w:id="85"/>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This performance resulted in the following award achievements for our NEOs other than our CEO:</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4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125288"/>
              </w:rPr>
              <w:t>Award</w:t>
            </w:r>
          </w:p>
        </w:tc>
        <w:tc>
          <w:tcPr>
            <w:tcW w:w="196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125288"/>
              </w:rPr>
              <w:t>Aggregate Shares</w:t>
            </w:r>
          </w:p>
        </w:tc>
        <w:tc>
          <w:tcPr>
            <w:tcW w:w="8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1420" w:type="dxa"/>
            <w:vAlign w:val="bottom"/>
          </w:tcPr>
          <w:p>
            <w:pPr>
              <w:spacing w:after="0"/>
              <w:rPr>
                <w:sz w:val="6"/>
                <w:szCs w:val="6"/>
                <w:color w:val="auto"/>
              </w:rPr>
            </w:pPr>
          </w:p>
        </w:tc>
        <w:tc>
          <w:tcPr>
            <w:tcW w:w="1180" w:type="dxa"/>
            <w:vAlign w:val="bottom"/>
            <w:vMerge w:val="restart"/>
          </w:tcPr>
          <w:p>
            <w:pPr>
              <w:spacing w:after="0"/>
              <w:rPr>
                <w:sz w:val="20"/>
                <w:szCs w:val="20"/>
                <w:color w:val="auto"/>
              </w:rPr>
            </w:pPr>
            <w:r>
              <w:rPr>
                <w:rFonts w:ascii="Arial" w:cs="Arial" w:eastAsia="Arial" w:hAnsi="Arial"/>
                <w:sz w:val="15"/>
                <w:szCs w:val="15"/>
                <w:b w:val="1"/>
                <w:bCs w:val="1"/>
                <w:color w:val="125288"/>
              </w:rPr>
              <w:t>Grant</w:t>
            </w:r>
          </w:p>
        </w:tc>
        <w:tc>
          <w:tcPr>
            <w:tcW w:w="56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b w:val="1"/>
                <w:bCs w:val="1"/>
                <w:color w:val="125288"/>
              </w:rPr>
              <w:t>Achievement</w:t>
            </w:r>
          </w:p>
        </w:tc>
        <w:tc>
          <w:tcPr>
            <w:tcW w:w="420" w:type="dxa"/>
            <w:vAlign w:val="bottom"/>
          </w:tcPr>
          <w:p>
            <w:pPr>
              <w:spacing w:after="0"/>
              <w:rPr>
                <w:sz w:val="6"/>
                <w:szCs w:val="6"/>
                <w:color w:val="auto"/>
              </w:rPr>
            </w:pPr>
          </w:p>
        </w:tc>
        <w:tc>
          <w:tcPr>
            <w:tcW w:w="196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42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420" w:type="dxa"/>
            <w:vAlign w:val="bottom"/>
            <w:tcBorders>
              <w:bottom w:val="single" w:sz="8" w:color="125288"/>
            </w:tcBorders>
          </w:tcPr>
          <w:p>
            <w:pPr>
              <w:spacing w:after="0"/>
              <w:rPr>
                <w:sz w:val="3"/>
                <w:szCs w:val="3"/>
                <w:color w:val="auto"/>
              </w:rPr>
            </w:pPr>
          </w:p>
        </w:tc>
        <w:tc>
          <w:tcPr>
            <w:tcW w:w="820" w:type="dxa"/>
            <w:vAlign w:val="bottom"/>
            <w:tcBorders>
              <w:bottom w:val="single" w:sz="8" w:color="125288"/>
            </w:tcBorders>
          </w:tcPr>
          <w:p>
            <w:pPr>
              <w:spacing w:after="0"/>
              <w:rPr>
                <w:sz w:val="3"/>
                <w:szCs w:val="3"/>
                <w:color w:val="auto"/>
              </w:rPr>
            </w:pPr>
          </w:p>
        </w:tc>
        <w:tc>
          <w:tcPr>
            <w:tcW w:w="1140" w:type="dxa"/>
            <w:vAlign w:val="bottom"/>
            <w:tcBorders>
              <w:bottom w:val="single" w:sz="8" w:color="125288"/>
            </w:tcBorders>
          </w:tcPr>
          <w:p>
            <w:pPr>
              <w:spacing w:after="0"/>
              <w:rPr>
                <w:sz w:val="3"/>
                <w:szCs w:val="3"/>
                <w:color w:val="auto"/>
              </w:rPr>
            </w:pPr>
          </w:p>
        </w:tc>
        <w:tc>
          <w:tcPr>
            <w:tcW w:w="860" w:type="dxa"/>
            <w:vAlign w:val="bottom"/>
            <w:tcBorders>
              <w:bottom w:val="single" w:sz="8" w:color="125288"/>
            </w:tcBorders>
          </w:tcPr>
          <w:p>
            <w:pPr>
              <w:spacing w:after="0"/>
              <w:rPr>
                <w:sz w:val="3"/>
                <w:szCs w:val="3"/>
                <w:color w:val="auto"/>
              </w:rPr>
            </w:pPr>
          </w:p>
        </w:tc>
        <w:tc>
          <w:tcPr>
            <w:tcW w:w="1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2"/>
        </w:trPr>
        <w:tc>
          <w:tcPr>
            <w:tcW w:w="14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1420" w:type="dxa"/>
            <w:vAlign w:val="bottom"/>
          </w:tcPr>
          <w:p>
            <w:pPr>
              <w:ind w:left="40"/>
              <w:spacing w:after="0"/>
              <w:rPr>
                <w:sz w:val="20"/>
                <w:szCs w:val="20"/>
                <w:color w:val="auto"/>
              </w:rPr>
            </w:pPr>
            <w:r>
              <w:rPr>
                <w:rFonts w:ascii="Arial" w:cs="Arial" w:eastAsia="Arial" w:hAnsi="Arial"/>
                <w:sz w:val="15"/>
                <w:szCs w:val="15"/>
                <w:b w:val="1"/>
                <w:bCs w:val="1"/>
                <w:color w:val="125288"/>
              </w:rPr>
              <w:t>Executive</w:t>
            </w:r>
          </w:p>
        </w:tc>
        <w:tc>
          <w:tcPr>
            <w:tcW w:w="1180" w:type="dxa"/>
            <w:vAlign w:val="bottom"/>
          </w:tcPr>
          <w:p>
            <w:pPr>
              <w:spacing w:after="0"/>
              <w:rPr>
                <w:sz w:val="20"/>
                <w:szCs w:val="20"/>
                <w:color w:val="auto"/>
              </w:rPr>
            </w:pPr>
            <w:r>
              <w:rPr>
                <w:rFonts w:ascii="Arial" w:cs="Arial" w:eastAsia="Arial" w:hAnsi="Arial"/>
                <w:sz w:val="15"/>
                <w:szCs w:val="15"/>
                <w:b w:val="1"/>
                <w:bCs w:val="1"/>
                <w:color w:val="125288"/>
              </w:rPr>
              <w:t>Type</w:t>
            </w:r>
          </w:p>
        </w:tc>
        <w:tc>
          <w:tcPr>
            <w:tcW w:w="2400" w:type="dxa"/>
            <w:vAlign w:val="bottom"/>
            <w:gridSpan w:val="2"/>
          </w:tcPr>
          <w:p>
            <w:pPr>
              <w:ind w:left="160"/>
              <w:spacing w:after="0"/>
              <w:rPr>
                <w:sz w:val="20"/>
                <w:szCs w:val="20"/>
                <w:color w:val="auto"/>
              </w:rPr>
            </w:pPr>
            <w:r>
              <w:rPr>
                <w:rFonts w:ascii="Arial" w:cs="Arial" w:eastAsia="Arial" w:hAnsi="Arial"/>
                <w:sz w:val="15"/>
                <w:szCs w:val="15"/>
                <w:b w:val="1"/>
                <w:bCs w:val="1"/>
                <w:color w:val="125288"/>
              </w:rPr>
              <w:t>Performance Metric</w:t>
            </w:r>
          </w:p>
        </w:tc>
        <w:tc>
          <w:tcPr>
            <w:tcW w:w="164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125288"/>
              </w:rPr>
              <w:t>(% of Target)</w:t>
            </w:r>
          </w:p>
        </w:tc>
        <w:tc>
          <w:tcPr>
            <w:tcW w:w="820" w:type="dxa"/>
            <w:vAlign w:val="bottom"/>
          </w:tcPr>
          <w:p>
            <w:pPr>
              <w:jc w:val="right"/>
              <w:ind w:right="58"/>
              <w:spacing w:after="0"/>
              <w:rPr>
                <w:sz w:val="20"/>
                <w:szCs w:val="20"/>
                <w:color w:val="auto"/>
              </w:rPr>
            </w:pPr>
            <w:r>
              <w:rPr>
                <w:rFonts w:ascii="Arial" w:cs="Arial" w:eastAsia="Arial" w:hAnsi="Arial"/>
                <w:sz w:val="15"/>
                <w:szCs w:val="15"/>
                <w:b w:val="1"/>
                <w:bCs w:val="1"/>
                <w:color w:val="125288"/>
              </w:rPr>
              <w:t>Target</w:t>
            </w:r>
          </w:p>
        </w:tc>
        <w:tc>
          <w:tcPr>
            <w:tcW w:w="1140" w:type="dxa"/>
            <w:vAlign w:val="bottom"/>
          </w:tcPr>
          <w:p>
            <w:pPr>
              <w:jc w:val="right"/>
              <w:ind w:right="197"/>
              <w:spacing w:after="0"/>
              <w:rPr>
                <w:sz w:val="20"/>
                <w:szCs w:val="20"/>
                <w:color w:val="auto"/>
              </w:rPr>
            </w:pPr>
            <w:r>
              <w:rPr>
                <w:rFonts w:ascii="Arial" w:cs="Arial" w:eastAsia="Arial" w:hAnsi="Arial"/>
                <w:sz w:val="15"/>
                <w:szCs w:val="15"/>
                <w:b w:val="1"/>
                <w:bCs w:val="1"/>
                <w:color w:val="125288"/>
              </w:rPr>
              <w:t>Maximum</w:t>
            </w:r>
          </w:p>
        </w:tc>
        <w:tc>
          <w:tcPr>
            <w:tcW w:w="860" w:type="dxa"/>
            <w:vAlign w:val="bottom"/>
          </w:tcPr>
          <w:p>
            <w:pPr>
              <w:jc w:val="right"/>
              <w:ind w:right="57"/>
              <w:spacing w:after="0"/>
              <w:rPr>
                <w:sz w:val="20"/>
                <w:szCs w:val="20"/>
                <w:color w:val="auto"/>
              </w:rPr>
            </w:pPr>
            <w:r>
              <w:rPr>
                <w:rFonts w:ascii="Arial" w:cs="Arial" w:eastAsia="Arial" w:hAnsi="Arial"/>
                <w:sz w:val="15"/>
                <w:szCs w:val="15"/>
                <w:b w:val="1"/>
                <w:bCs w:val="1"/>
                <w:color w:val="125288"/>
              </w:rPr>
              <w:t>Achieved</w:t>
            </w:r>
          </w:p>
        </w:tc>
        <w:tc>
          <w:tcPr>
            <w:tcW w:w="1800" w:type="dxa"/>
            <w:vAlign w:val="bottom"/>
          </w:tcPr>
          <w:p>
            <w:pPr>
              <w:jc w:val="right"/>
              <w:spacing w:after="0"/>
              <w:rPr>
                <w:sz w:val="20"/>
                <w:szCs w:val="20"/>
                <w:color w:val="auto"/>
              </w:rPr>
            </w:pPr>
            <w:r>
              <w:rPr>
                <w:rFonts w:ascii="Arial" w:cs="Arial" w:eastAsia="Arial" w:hAnsi="Arial"/>
                <w:sz w:val="15"/>
                <w:szCs w:val="15"/>
                <w:b w:val="1"/>
                <w:bCs w:val="1"/>
                <w:color w:val="125288"/>
              </w:rPr>
              <w:t>Vesting Date</w:t>
            </w:r>
          </w:p>
        </w:tc>
        <w:tc>
          <w:tcPr>
            <w:tcW w:w="0" w:type="dxa"/>
            <w:vAlign w:val="bottom"/>
          </w:tcPr>
          <w:p>
            <w:pPr>
              <w:spacing w:after="0"/>
              <w:rPr>
                <w:sz w:val="1"/>
                <w:szCs w:val="1"/>
                <w:color w:val="auto"/>
              </w:rPr>
            </w:pPr>
          </w:p>
        </w:tc>
      </w:tr>
      <w:tr>
        <w:trPr>
          <w:trHeight w:val="41"/>
        </w:trPr>
        <w:tc>
          <w:tcPr>
            <w:tcW w:w="1420" w:type="dxa"/>
            <w:vAlign w:val="bottom"/>
            <w:tcBorders>
              <w:bottom w:val="single" w:sz="8" w:color="125288"/>
            </w:tcBorders>
          </w:tcPr>
          <w:p>
            <w:pPr>
              <w:spacing w:after="0"/>
              <w:rPr>
                <w:sz w:val="3"/>
                <w:szCs w:val="3"/>
                <w:color w:val="auto"/>
              </w:rPr>
            </w:pPr>
          </w:p>
        </w:tc>
        <w:tc>
          <w:tcPr>
            <w:tcW w:w="1180" w:type="dxa"/>
            <w:vAlign w:val="bottom"/>
            <w:tcBorders>
              <w:bottom w:val="single" w:sz="8" w:color="125288"/>
            </w:tcBorders>
          </w:tcPr>
          <w:p>
            <w:pPr>
              <w:spacing w:after="0"/>
              <w:rPr>
                <w:sz w:val="3"/>
                <w:szCs w:val="3"/>
                <w:color w:val="auto"/>
              </w:rPr>
            </w:pPr>
          </w:p>
        </w:tc>
        <w:tc>
          <w:tcPr>
            <w:tcW w:w="560" w:type="dxa"/>
            <w:vAlign w:val="bottom"/>
            <w:tcBorders>
              <w:bottom w:val="single" w:sz="8" w:color="125288"/>
            </w:tcBorders>
          </w:tcPr>
          <w:p>
            <w:pPr>
              <w:spacing w:after="0"/>
              <w:rPr>
                <w:sz w:val="3"/>
                <w:szCs w:val="3"/>
                <w:color w:val="auto"/>
              </w:rPr>
            </w:pPr>
          </w:p>
        </w:tc>
        <w:tc>
          <w:tcPr>
            <w:tcW w:w="1840" w:type="dxa"/>
            <w:vAlign w:val="bottom"/>
            <w:tcBorders>
              <w:bottom w:val="single" w:sz="8" w:color="125288"/>
            </w:tcBorders>
          </w:tcPr>
          <w:p>
            <w:pPr>
              <w:spacing w:after="0"/>
              <w:rPr>
                <w:sz w:val="3"/>
                <w:szCs w:val="3"/>
                <w:color w:val="auto"/>
              </w:rPr>
            </w:pPr>
          </w:p>
        </w:tc>
        <w:tc>
          <w:tcPr>
            <w:tcW w:w="1640" w:type="dxa"/>
            <w:vAlign w:val="bottom"/>
            <w:tcBorders>
              <w:bottom w:val="single" w:sz="8" w:color="125288"/>
            </w:tcBorders>
            <w:gridSpan w:val="2"/>
          </w:tcPr>
          <w:p>
            <w:pPr>
              <w:spacing w:after="0"/>
              <w:rPr>
                <w:sz w:val="3"/>
                <w:szCs w:val="3"/>
                <w:color w:val="auto"/>
              </w:rPr>
            </w:pPr>
          </w:p>
        </w:tc>
        <w:tc>
          <w:tcPr>
            <w:tcW w:w="820" w:type="dxa"/>
            <w:vAlign w:val="bottom"/>
            <w:tcBorders>
              <w:bottom w:val="single" w:sz="8" w:color="125288"/>
            </w:tcBorders>
          </w:tcPr>
          <w:p>
            <w:pPr>
              <w:spacing w:after="0"/>
              <w:rPr>
                <w:sz w:val="3"/>
                <w:szCs w:val="3"/>
                <w:color w:val="auto"/>
              </w:rPr>
            </w:pPr>
          </w:p>
        </w:tc>
        <w:tc>
          <w:tcPr>
            <w:tcW w:w="1140" w:type="dxa"/>
            <w:vAlign w:val="bottom"/>
            <w:tcBorders>
              <w:bottom w:val="single" w:sz="8" w:color="125288"/>
            </w:tcBorders>
          </w:tcPr>
          <w:p>
            <w:pPr>
              <w:spacing w:after="0"/>
              <w:rPr>
                <w:sz w:val="3"/>
                <w:szCs w:val="3"/>
                <w:color w:val="auto"/>
              </w:rPr>
            </w:pPr>
          </w:p>
        </w:tc>
        <w:tc>
          <w:tcPr>
            <w:tcW w:w="860" w:type="dxa"/>
            <w:vAlign w:val="bottom"/>
            <w:tcBorders>
              <w:bottom w:val="single" w:sz="8" w:color="125288"/>
            </w:tcBorders>
          </w:tcPr>
          <w:p>
            <w:pPr>
              <w:spacing w:after="0"/>
              <w:rPr>
                <w:sz w:val="3"/>
                <w:szCs w:val="3"/>
                <w:color w:val="auto"/>
              </w:rPr>
            </w:pPr>
          </w:p>
        </w:tc>
        <w:tc>
          <w:tcPr>
            <w:tcW w:w="1800" w:type="dxa"/>
            <w:vAlign w:val="bottom"/>
            <w:tcBorders>
              <w:bottom w:val="single" w:sz="8" w:color="125288"/>
            </w:tcBorders>
          </w:tcPr>
          <w:p>
            <w:pPr>
              <w:spacing w:after="0"/>
              <w:rPr>
                <w:sz w:val="3"/>
                <w:szCs w:val="3"/>
                <w:color w:val="auto"/>
              </w:rPr>
            </w:pPr>
          </w:p>
        </w:tc>
        <w:tc>
          <w:tcPr>
            <w:tcW w:w="0" w:type="dxa"/>
            <w:vAlign w:val="bottom"/>
          </w:tcPr>
          <w:p>
            <w:pPr>
              <w:spacing w:after="0"/>
              <w:rPr>
                <w:sz w:val="1"/>
                <w:szCs w:val="1"/>
                <w:color w:val="auto"/>
              </w:rPr>
            </w:pPr>
          </w:p>
        </w:tc>
      </w:tr>
      <w:tr>
        <w:trPr>
          <w:trHeight w:val="303"/>
        </w:trPr>
        <w:tc>
          <w:tcPr>
            <w:tcW w:w="1420" w:type="dxa"/>
            <w:vAlign w:val="bottom"/>
          </w:tcPr>
          <w:p>
            <w:pPr>
              <w:ind w:left="40"/>
              <w:spacing w:after="0"/>
              <w:rPr>
                <w:sz w:val="20"/>
                <w:szCs w:val="20"/>
                <w:color w:val="auto"/>
              </w:rPr>
            </w:pPr>
            <w:r>
              <w:rPr>
                <w:rFonts w:ascii="Arial" w:cs="Arial" w:eastAsia="Arial" w:hAnsi="Arial"/>
                <w:sz w:val="17"/>
                <w:szCs w:val="17"/>
                <w:b w:val="1"/>
                <w:bCs w:val="1"/>
                <w:color w:val="auto"/>
              </w:rPr>
              <w:t>Armin Zerza</w:t>
            </w:r>
          </w:p>
        </w:tc>
        <w:tc>
          <w:tcPr>
            <w:tcW w:w="1180" w:type="dxa"/>
            <w:vAlign w:val="bottom"/>
          </w:tcPr>
          <w:p>
            <w:pPr>
              <w:spacing w:after="0"/>
              <w:rPr>
                <w:sz w:val="20"/>
                <w:szCs w:val="20"/>
                <w:color w:val="auto"/>
              </w:rPr>
            </w:pPr>
            <w:r>
              <w:rPr>
                <w:rFonts w:ascii="Arial" w:cs="Arial" w:eastAsia="Arial" w:hAnsi="Arial"/>
                <w:sz w:val="17"/>
                <w:szCs w:val="17"/>
                <w:color w:val="auto"/>
              </w:rPr>
              <w:t>PSUs</w:t>
            </w:r>
          </w:p>
        </w:tc>
        <w:tc>
          <w:tcPr>
            <w:tcW w:w="560" w:type="dxa"/>
            <w:vAlign w:val="bottom"/>
          </w:tcPr>
          <w:p>
            <w:pPr>
              <w:ind w:left="160"/>
              <w:spacing w:after="0"/>
              <w:rPr>
                <w:sz w:val="20"/>
                <w:szCs w:val="20"/>
                <w:color w:val="auto"/>
              </w:rPr>
            </w:pPr>
            <w:r>
              <w:rPr>
                <w:rFonts w:ascii="Arial" w:cs="Arial" w:eastAsia="Arial" w:hAnsi="Arial"/>
                <w:sz w:val="17"/>
                <w:szCs w:val="17"/>
                <w:color w:val="auto"/>
              </w:rPr>
              <w:t>2021</w:t>
            </w:r>
          </w:p>
        </w:tc>
        <w:tc>
          <w:tcPr>
            <w:tcW w:w="1840" w:type="dxa"/>
            <w:vAlign w:val="bottom"/>
          </w:tcPr>
          <w:p>
            <w:pPr>
              <w:ind w:left="20"/>
              <w:spacing w:after="0" w:line="302" w:lineRule="exact"/>
              <w:rPr>
                <w:sz w:val="20"/>
                <w:szCs w:val="20"/>
                <w:color w:val="auto"/>
              </w:rPr>
            </w:pPr>
            <w:r>
              <w:rPr>
                <w:rFonts w:ascii="Arial" w:cs="Arial" w:eastAsia="Arial" w:hAnsi="Arial"/>
                <w:sz w:val="17"/>
                <w:szCs w:val="17"/>
                <w:color w:val="auto"/>
              </w:rPr>
              <w:t>AB Adjusted OI</w:t>
            </w:r>
            <w:r>
              <w:rPr>
                <w:rFonts w:ascii="Arial" w:cs="Arial" w:eastAsia="Arial" w:hAnsi="Arial"/>
                <w:sz w:val="27"/>
                <w:szCs w:val="27"/>
                <w:color w:val="auto"/>
                <w:vertAlign w:val="superscript"/>
              </w:rPr>
              <w:t>(1)</w:t>
            </w:r>
          </w:p>
        </w:tc>
        <w:tc>
          <w:tcPr>
            <w:tcW w:w="1640" w:type="dxa"/>
            <w:vAlign w:val="bottom"/>
            <w:gridSpan w:val="2"/>
          </w:tcPr>
          <w:p>
            <w:pPr>
              <w:jc w:val="right"/>
              <w:ind w:right="240"/>
              <w:spacing w:after="0" w:line="302" w:lineRule="exact"/>
              <w:rPr>
                <w:sz w:val="20"/>
                <w:szCs w:val="20"/>
                <w:color w:val="auto"/>
              </w:rPr>
            </w:pPr>
            <w:r>
              <w:rPr>
                <w:rFonts w:ascii="Arial" w:cs="Arial" w:eastAsia="Arial" w:hAnsi="Arial"/>
                <w:sz w:val="33"/>
                <w:szCs w:val="33"/>
                <w:color w:val="auto"/>
                <w:vertAlign w:val="subscript"/>
              </w:rPr>
              <w:t>89</w:t>
            </w:r>
            <w:r>
              <w:rPr>
                <w:rFonts w:ascii="Arial" w:cs="Arial" w:eastAsia="Arial" w:hAnsi="Arial"/>
                <w:sz w:val="14"/>
                <w:szCs w:val="14"/>
                <w:color w:val="auto"/>
              </w:rPr>
              <w:t>(2)</w:t>
            </w:r>
          </w:p>
        </w:tc>
        <w:tc>
          <w:tcPr>
            <w:tcW w:w="820" w:type="dxa"/>
            <w:vAlign w:val="bottom"/>
          </w:tcPr>
          <w:p>
            <w:pPr>
              <w:jc w:val="right"/>
              <w:ind w:right="58"/>
              <w:spacing w:after="0"/>
              <w:rPr>
                <w:sz w:val="20"/>
                <w:szCs w:val="20"/>
                <w:color w:val="auto"/>
              </w:rPr>
            </w:pPr>
            <w:r>
              <w:rPr>
                <w:rFonts w:ascii="Arial" w:cs="Arial" w:eastAsia="Arial" w:hAnsi="Arial"/>
                <w:sz w:val="17"/>
                <w:szCs w:val="17"/>
                <w:color w:val="auto"/>
              </w:rPr>
              <w:t>10,485</w:t>
            </w:r>
          </w:p>
        </w:tc>
        <w:tc>
          <w:tcPr>
            <w:tcW w:w="1140" w:type="dxa"/>
            <w:vAlign w:val="bottom"/>
          </w:tcPr>
          <w:p>
            <w:pPr>
              <w:jc w:val="right"/>
              <w:ind w:right="197"/>
              <w:spacing w:after="0"/>
              <w:rPr>
                <w:sz w:val="20"/>
                <w:szCs w:val="20"/>
                <w:color w:val="auto"/>
              </w:rPr>
            </w:pPr>
            <w:r>
              <w:rPr>
                <w:rFonts w:ascii="Arial" w:cs="Arial" w:eastAsia="Arial" w:hAnsi="Arial"/>
                <w:sz w:val="17"/>
                <w:szCs w:val="17"/>
                <w:color w:val="auto"/>
              </w:rPr>
              <w:t>13,107</w:t>
            </w:r>
          </w:p>
        </w:tc>
        <w:tc>
          <w:tcPr>
            <w:tcW w:w="860" w:type="dxa"/>
            <w:vAlign w:val="bottom"/>
          </w:tcPr>
          <w:p>
            <w:pPr>
              <w:jc w:val="right"/>
              <w:ind w:right="57"/>
              <w:spacing w:after="0"/>
              <w:rPr>
                <w:sz w:val="20"/>
                <w:szCs w:val="20"/>
                <w:color w:val="auto"/>
              </w:rPr>
            </w:pPr>
            <w:r>
              <w:rPr>
                <w:rFonts w:ascii="Arial" w:cs="Arial" w:eastAsia="Arial" w:hAnsi="Arial"/>
                <w:sz w:val="17"/>
                <w:szCs w:val="17"/>
                <w:color w:val="auto"/>
              </w:rPr>
              <w:t>9,365</w:t>
            </w:r>
          </w:p>
        </w:tc>
        <w:tc>
          <w:tcPr>
            <w:tcW w:w="1800" w:type="dxa"/>
            <w:vAlign w:val="bottom"/>
          </w:tcPr>
          <w:p>
            <w:pPr>
              <w:jc w:val="right"/>
              <w:spacing w:after="0" w:line="302" w:lineRule="exact"/>
              <w:rPr>
                <w:sz w:val="20"/>
                <w:szCs w:val="20"/>
                <w:color w:val="auto"/>
              </w:rPr>
            </w:pPr>
            <w:r>
              <w:rPr>
                <w:rFonts w:ascii="Arial" w:cs="Arial" w:eastAsia="Arial" w:hAnsi="Arial"/>
                <w:sz w:val="17"/>
                <w:szCs w:val="17"/>
                <w:color w:val="auto"/>
              </w:rPr>
              <w:t>March 30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of 2022</w:t>
            </w:r>
          </w:p>
        </w:tc>
        <w:tc>
          <w:tcPr>
            <w:tcW w:w="0" w:type="dxa"/>
            <w:vAlign w:val="bottom"/>
          </w:tcPr>
          <w:p>
            <w:pPr>
              <w:spacing w:after="0"/>
              <w:rPr>
                <w:sz w:val="1"/>
                <w:szCs w:val="1"/>
                <w:color w:val="auto"/>
              </w:rPr>
            </w:pPr>
          </w:p>
        </w:tc>
      </w:tr>
      <w:tr>
        <w:trPr>
          <w:trHeight w:val="319"/>
        </w:trPr>
        <w:tc>
          <w:tcPr>
            <w:tcW w:w="1420" w:type="dxa"/>
            <w:vAlign w:val="bottom"/>
          </w:tcPr>
          <w:p>
            <w:pPr>
              <w:spacing w:after="0"/>
              <w:rPr>
                <w:sz w:val="24"/>
                <w:szCs w:val="24"/>
                <w:color w:val="auto"/>
              </w:rPr>
            </w:pPr>
          </w:p>
        </w:tc>
        <w:tc>
          <w:tcPr>
            <w:tcW w:w="1180" w:type="dxa"/>
            <w:vAlign w:val="bottom"/>
            <w:tcBorders>
              <w:bottom w:val="single" w:sz="8" w:color="125288"/>
            </w:tcBorders>
          </w:tcPr>
          <w:p>
            <w:pPr>
              <w:spacing w:after="0"/>
              <w:rPr>
                <w:sz w:val="24"/>
                <w:szCs w:val="24"/>
                <w:color w:val="auto"/>
              </w:rPr>
            </w:pPr>
          </w:p>
        </w:tc>
        <w:tc>
          <w:tcPr>
            <w:tcW w:w="560" w:type="dxa"/>
            <w:vAlign w:val="bottom"/>
            <w:tcBorders>
              <w:bottom w:val="single" w:sz="8" w:color="125288"/>
            </w:tcBorders>
          </w:tcPr>
          <w:p>
            <w:pPr>
              <w:spacing w:after="0"/>
              <w:rPr>
                <w:sz w:val="24"/>
                <w:szCs w:val="24"/>
                <w:color w:val="auto"/>
              </w:rPr>
            </w:pPr>
          </w:p>
        </w:tc>
        <w:tc>
          <w:tcPr>
            <w:tcW w:w="1840" w:type="dxa"/>
            <w:vAlign w:val="bottom"/>
            <w:tcBorders>
              <w:bottom w:val="single" w:sz="8" w:color="125288"/>
            </w:tcBorders>
          </w:tcPr>
          <w:p>
            <w:pPr>
              <w:spacing w:after="0"/>
              <w:rPr>
                <w:sz w:val="24"/>
                <w:szCs w:val="24"/>
                <w:color w:val="auto"/>
              </w:rPr>
            </w:pPr>
          </w:p>
        </w:tc>
        <w:tc>
          <w:tcPr>
            <w:tcW w:w="1220" w:type="dxa"/>
            <w:vAlign w:val="bottom"/>
            <w:tcBorders>
              <w:bottom w:val="single" w:sz="8" w:color="125288"/>
            </w:tcBorders>
          </w:tcPr>
          <w:p>
            <w:pPr>
              <w:spacing w:after="0"/>
              <w:rPr>
                <w:sz w:val="24"/>
                <w:szCs w:val="24"/>
                <w:color w:val="auto"/>
              </w:rPr>
            </w:pPr>
          </w:p>
        </w:tc>
        <w:tc>
          <w:tcPr>
            <w:tcW w:w="420" w:type="dxa"/>
            <w:vAlign w:val="bottom"/>
            <w:tcBorders>
              <w:bottom w:val="single" w:sz="8" w:color="125288"/>
            </w:tcBorders>
          </w:tcPr>
          <w:p>
            <w:pPr>
              <w:spacing w:after="0"/>
              <w:rPr>
                <w:sz w:val="24"/>
                <w:szCs w:val="24"/>
                <w:color w:val="auto"/>
              </w:rPr>
            </w:pPr>
          </w:p>
        </w:tc>
        <w:tc>
          <w:tcPr>
            <w:tcW w:w="820" w:type="dxa"/>
            <w:vAlign w:val="bottom"/>
            <w:tcBorders>
              <w:bottom w:val="single" w:sz="8" w:color="125288"/>
            </w:tcBorders>
          </w:tcPr>
          <w:p>
            <w:pPr>
              <w:spacing w:after="0"/>
              <w:rPr>
                <w:sz w:val="24"/>
                <w:szCs w:val="24"/>
                <w:color w:val="auto"/>
              </w:rPr>
            </w:pPr>
          </w:p>
        </w:tc>
        <w:tc>
          <w:tcPr>
            <w:tcW w:w="1140" w:type="dxa"/>
            <w:vAlign w:val="bottom"/>
            <w:tcBorders>
              <w:bottom w:val="single" w:sz="8" w:color="125288"/>
            </w:tcBorders>
          </w:tcPr>
          <w:p>
            <w:pPr>
              <w:spacing w:after="0"/>
              <w:rPr>
                <w:sz w:val="24"/>
                <w:szCs w:val="24"/>
                <w:color w:val="auto"/>
              </w:rPr>
            </w:pPr>
          </w:p>
        </w:tc>
        <w:tc>
          <w:tcPr>
            <w:tcW w:w="860" w:type="dxa"/>
            <w:vAlign w:val="bottom"/>
            <w:tcBorders>
              <w:bottom w:val="single" w:sz="8" w:color="125288"/>
            </w:tcBorders>
          </w:tcPr>
          <w:p>
            <w:pPr>
              <w:spacing w:after="0"/>
              <w:rPr>
                <w:sz w:val="24"/>
                <w:szCs w:val="24"/>
                <w:color w:val="auto"/>
              </w:rPr>
            </w:pPr>
          </w:p>
        </w:tc>
        <w:tc>
          <w:tcPr>
            <w:tcW w:w="1800" w:type="dxa"/>
            <w:vAlign w:val="bottom"/>
            <w:tcBorders>
              <w:bottom w:val="single" w:sz="8" w:color="125288"/>
            </w:tcBorders>
          </w:tcPr>
          <w:p>
            <w:pPr>
              <w:jc w:val="right"/>
              <w:spacing w:after="0"/>
              <w:rPr>
                <w:sz w:val="20"/>
                <w:szCs w:val="20"/>
                <w:color w:val="auto"/>
              </w:rPr>
            </w:pPr>
            <w:r>
              <w:rPr>
                <w:rFonts w:ascii="Arial" w:cs="Arial" w:eastAsia="Arial" w:hAnsi="Arial"/>
                <w:sz w:val="17"/>
                <w:szCs w:val="17"/>
                <w:color w:val="auto"/>
              </w:rPr>
              <w:t>and 2023</w:t>
            </w:r>
            <w:r>
              <w:rPr>
                <w:rFonts w:ascii="Arial" w:cs="Arial" w:eastAsia="Arial" w:hAnsi="Arial"/>
                <w:sz w:val="27"/>
                <w:szCs w:val="27"/>
                <w:color w:val="auto"/>
                <w:vertAlign w:val="superscript"/>
              </w:rPr>
              <w:t>(1)</w:t>
            </w:r>
          </w:p>
        </w:tc>
        <w:tc>
          <w:tcPr>
            <w:tcW w:w="0" w:type="dxa"/>
            <w:vAlign w:val="bottom"/>
          </w:tcPr>
          <w:p>
            <w:pPr>
              <w:spacing w:after="0"/>
              <w:rPr>
                <w:sz w:val="1"/>
                <w:szCs w:val="1"/>
                <w:color w:val="auto"/>
              </w:rPr>
            </w:pPr>
          </w:p>
        </w:tc>
      </w:tr>
      <w:tr>
        <w:trPr>
          <w:trHeight w:val="360"/>
        </w:trPr>
        <w:tc>
          <w:tcPr>
            <w:tcW w:w="1420" w:type="dxa"/>
            <w:vAlign w:val="bottom"/>
          </w:tcPr>
          <w:p>
            <w:pPr>
              <w:spacing w:after="0"/>
              <w:rPr>
                <w:sz w:val="24"/>
                <w:szCs w:val="24"/>
                <w:color w:val="auto"/>
              </w:rPr>
            </w:pPr>
          </w:p>
        </w:tc>
        <w:tc>
          <w:tcPr>
            <w:tcW w:w="1180" w:type="dxa"/>
            <w:vAlign w:val="bottom"/>
            <w:tcBorders>
              <w:bottom w:val="single" w:sz="8" w:color="125288"/>
            </w:tcBorders>
          </w:tcPr>
          <w:p>
            <w:pPr>
              <w:spacing w:after="0"/>
              <w:rPr>
                <w:sz w:val="20"/>
                <w:szCs w:val="20"/>
                <w:color w:val="auto"/>
              </w:rPr>
            </w:pPr>
            <w:r>
              <w:rPr>
                <w:rFonts w:ascii="Arial" w:cs="Arial" w:eastAsia="Arial" w:hAnsi="Arial"/>
                <w:sz w:val="17"/>
                <w:szCs w:val="17"/>
                <w:color w:val="auto"/>
              </w:rPr>
              <w:t>PSUs</w:t>
            </w:r>
          </w:p>
        </w:tc>
        <w:tc>
          <w:tcPr>
            <w:tcW w:w="560" w:type="dxa"/>
            <w:vAlign w:val="bottom"/>
            <w:tcBorders>
              <w:bottom w:val="single" w:sz="8" w:color="125288"/>
            </w:tcBorders>
          </w:tcPr>
          <w:p>
            <w:pPr>
              <w:ind w:left="160"/>
              <w:spacing w:after="0"/>
              <w:rPr>
                <w:sz w:val="20"/>
                <w:szCs w:val="20"/>
                <w:color w:val="auto"/>
              </w:rPr>
            </w:pPr>
            <w:r>
              <w:rPr>
                <w:rFonts w:ascii="Arial" w:cs="Arial" w:eastAsia="Arial" w:hAnsi="Arial"/>
                <w:sz w:val="17"/>
                <w:szCs w:val="17"/>
                <w:color w:val="auto"/>
              </w:rPr>
              <w:t>2021</w:t>
            </w:r>
          </w:p>
        </w:tc>
        <w:tc>
          <w:tcPr>
            <w:tcW w:w="1840" w:type="dxa"/>
            <w:vAlign w:val="bottom"/>
            <w:tcBorders>
              <w:bottom w:val="single" w:sz="8" w:color="125288"/>
            </w:tcBorders>
          </w:tcPr>
          <w:p>
            <w:pPr>
              <w:ind w:left="20"/>
              <w:spacing w:after="0"/>
              <w:rPr>
                <w:sz w:val="20"/>
                <w:szCs w:val="20"/>
                <w:color w:val="auto"/>
              </w:rPr>
            </w:pPr>
            <w:r>
              <w:rPr>
                <w:rFonts w:ascii="Arial" w:cs="Arial" w:eastAsia="Arial" w:hAnsi="Arial"/>
                <w:sz w:val="17"/>
                <w:szCs w:val="17"/>
                <w:color w:val="auto"/>
              </w:rPr>
              <w:t>AB Adjusted OI</w:t>
            </w:r>
          </w:p>
        </w:tc>
        <w:tc>
          <w:tcPr>
            <w:tcW w:w="1640" w:type="dxa"/>
            <w:vAlign w:val="bottom"/>
            <w:tcBorders>
              <w:bottom w:val="single" w:sz="8" w:color="125288"/>
            </w:tcBorders>
            <w:gridSpan w:val="2"/>
          </w:tcPr>
          <w:p>
            <w:pPr>
              <w:jc w:val="right"/>
              <w:ind w:right="240"/>
              <w:spacing w:after="0" w:line="356" w:lineRule="exact"/>
              <w:rPr>
                <w:sz w:val="20"/>
                <w:szCs w:val="20"/>
                <w:color w:val="auto"/>
              </w:rPr>
            </w:pPr>
            <w:r>
              <w:rPr>
                <w:rFonts w:ascii="Arial" w:cs="Arial" w:eastAsia="Arial" w:hAnsi="Arial"/>
                <w:sz w:val="33"/>
                <w:szCs w:val="33"/>
                <w:color w:val="auto"/>
                <w:vertAlign w:val="subscript"/>
              </w:rPr>
              <w:t>0</w:t>
            </w:r>
            <w:r>
              <w:rPr>
                <w:rFonts w:ascii="Arial" w:cs="Arial" w:eastAsia="Arial" w:hAnsi="Arial"/>
                <w:sz w:val="14"/>
                <w:szCs w:val="14"/>
                <w:color w:val="auto"/>
              </w:rPr>
              <w:t>(3)</w:t>
            </w:r>
          </w:p>
        </w:tc>
        <w:tc>
          <w:tcPr>
            <w:tcW w:w="820" w:type="dxa"/>
            <w:vAlign w:val="bottom"/>
            <w:tcBorders>
              <w:bottom w:val="single" w:sz="8" w:color="125288"/>
            </w:tcBorders>
          </w:tcPr>
          <w:p>
            <w:pPr>
              <w:jc w:val="right"/>
              <w:ind w:right="58"/>
              <w:spacing w:after="0"/>
              <w:rPr>
                <w:sz w:val="20"/>
                <w:szCs w:val="20"/>
                <w:color w:val="auto"/>
              </w:rPr>
            </w:pPr>
            <w:r>
              <w:rPr>
                <w:rFonts w:ascii="Arial" w:cs="Arial" w:eastAsia="Arial" w:hAnsi="Arial"/>
                <w:sz w:val="17"/>
                <w:szCs w:val="17"/>
                <w:color w:val="auto"/>
              </w:rPr>
              <w:t>606</w:t>
            </w:r>
          </w:p>
        </w:tc>
        <w:tc>
          <w:tcPr>
            <w:tcW w:w="1140" w:type="dxa"/>
            <w:vAlign w:val="bottom"/>
            <w:tcBorders>
              <w:bottom w:val="single" w:sz="8" w:color="125288"/>
            </w:tcBorders>
          </w:tcPr>
          <w:p>
            <w:pPr>
              <w:jc w:val="right"/>
              <w:ind w:right="197"/>
              <w:spacing w:after="0"/>
              <w:rPr>
                <w:sz w:val="20"/>
                <w:szCs w:val="20"/>
                <w:color w:val="auto"/>
              </w:rPr>
            </w:pPr>
            <w:r>
              <w:rPr>
                <w:rFonts w:ascii="Arial" w:cs="Arial" w:eastAsia="Arial" w:hAnsi="Arial"/>
                <w:sz w:val="17"/>
                <w:szCs w:val="17"/>
                <w:color w:val="auto"/>
              </w:rPr>
              <w:t>758</w:t>
            </w:r>
          </w:p>
        </w:tc>
        <w:tc>
          <w:tcPr>
            <w:tcW w:w="860" w:type="dxa"/>
            <w:vAlign w:val="bottom"/>
            <w:tcBorders>
              <w:bottom w:val="single" w:sz="8" w:color="125288"/>
            </w:tcBorders>
          </w:tcPr>
          <w:p>
            <w:pPr>
              <w:jc w:val="right"/>
              <w:ind w:right="57"/>
              <w:spacing w:after="0"/>
              <w:rPr>
                <w:sz w:val="20"/>
                <w:szCs w:val="20"/>
                <w:color w:val="auto"/>
              </w:rPr>
            </w:pPr>
            <w:r>
              <w:rPr>
                <w:rFonts w:ascii="Arial" w:cs="Arial" w:eastAsia="Arial" w:hAnsi="Arial"/>
                <w:sz w:val="17"/>
                <w:szCs w:val="17"/>
                <w:color w:val="auto"/>
              </w:rPr>
              <w:t>0</w:t>
            </w:r>
          </w:p>
        </w:tc>
        <w:tc>
          <w:tcPr>
            <w:tcW w:w="1800" w:type="dxa"/>
            <w:vAlign w:val="bottom"/>
            <w:tcBorders>
              <w:bottom w:val="single" w:sz="8" w:color="125288"/>
            </w:tcBorders>
          </w:tcPr>
          <w:p>
            <w:pPr>
              <w:jc w:val="right"/>
              <w:spacing w:after="0"/>
              <w:rPr>
                <w:sz w:val="20"/>
                <w:szCs w:val="20"/>
                <w:color w:val="auto"/>
              </w:rPr>
            </w:pPr>
            <w:r>
              <w:rPr>
                <w:rFonts w:ascii="Arial" w:cs="Arial" w:eastAsia="Arial" w:hAnsi="Arial"/>
                <w:sz w:val="17"/>
                <w:szCs w:val="17"/>
                <w:color w:val="auto"/>
              </w:rPr>
              <w:t>March 30, 2024</w:t>
            </w:r>
          </w:p>
        </w:tc>
        <w:tc>
          <w:tcPr>
            <w:tcW w:w="0" w:type="dxa"/>
            <w:vAlign w:val="bottom"/>
          </w:tcPr>
          <w:p>
            <w:pPr>
              <w:spacing w:after="0"/>
              <w:rPr>
                <w:sz w:val="1"/>
                <w:szCs w:val="1"/>
                <w:color w:val="auto"/>
              </w:rPr>
            </w:pPr>
          </w:p>
        </w:tc>
      </w:tr>
      <w:tr>
        <w:trPr>
          <w:trHeight w:val="265"/>
        </w:trPr>
        <w:tc>
          <w:tcPr>
            <w:tcW w:w="142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PSUs</w:t>
            </w:r>
          </w:p>
        </w:tc>
        <w:tc>
          <w:tcPr>
            <w:tcW w:w="2400" w:type="dxa"/>
            <w:vAlign w:val="bottom"/>
            <w:gridSpan w:val="2"/>
          </w:tcPr>
          <w:p>
            <w:pPr>
              <w:ind w:left="160"/>
              <w:spacing w:after="0"/>
              <w:rPr>
                <w:sz w:val="20"/>
                <w:szCs w:val="20"/>
                <w:color w:val="auto"/>
              </w:rPr>
            </w:pPr>
            <w:r>
              <w:rPr>
                <w:rFonts w:ascii="Arial" w:cs="Arial" w:eastAsia="Arial" w:hAnsi="Arial"/>
                <w:sz w:val="17"/>
                <w:szCs w:val="17"/>
                <w:color w:val="auto"/>
              </w:rPr>
              <w:t>Cumulative 2019–2021 AB</w:t>
            </w:r>
          </w:p>
        </w:tc>
        <w:tc>
          <w:tcPr>
            <w:tcW w:w="1640" w:type="dxa"/>
            <w:vAlign w:val="bottom"/>
            <w:gridSpan w:val="2"/>
          </w:tcPr>
          <w:p>
            <w:pPr>
              <w:jc w:val="right"/>
              <w:ind w:right="240"/>
              <w:spacing w:after="0" w:line="265" w:lineRule="exact"/>
              <w:rPr>
                <w:sz w:val="20"/>
                <w:szCs w:val="20"/>
                <w:color w:val="auto"/>
              </w:rPr>
            </w:pPr>
            <w:r>
              <w:rPr>
                <w:rFonts w:ascii="Arial" w:cs="Arial" w:eastAsia="Arial" w:hAnsi="Arial"/>
                <w:sz w:val="30"/>
                <w:szCs w:val="30"/>
                <w:color w:val="auto"/>
                <w:vertAlign w:val="subscript"/>
              </w:rPr>
              <w:t>89</w:t>
            </w:r>
            <w:r>
              <w:rPr>
                <w:rFonts w:ascii="Arial" w:cs="Arial" w:eastAsia="Arial" w:hAnsi="Arial"/>
                <w:sz w:val="13"/>
                <w:szCs w:val="13"/>
                <w:color w:val="auto"/>
              </w:rPr>
              <w:t>(2)</w:t>
            </w:r>
          </w:p>
        </w:tc>
        <w:tc>
          <w:tcPr>
            <w:tcW w:w="820" w:type="dxa"/>
            <w:vAlign w:val="bottom"/>
          </w:tcPr>
          <w:p>
            <w:pPr>
              <w:jc w:val="right"/>
              <w:ind w:right="58"/>
              <w:spacing w:after="0"/>
              <w:rPr>
                <w:sz w:val="20"/>
                <w:szCs w:val="20"/>
                <w:color w:val="auto"/>
              </w:rPr>
            </w:pPr>
            <w:r>
              <w:rPr>
                <w:rFonts w:ascii="Arial" w:cs="Arial" w:eastAsia="Arial" w:hAnsi="Arial"/>
                <w:sz w:val="17"/>
                <w:szCs w:val="17"/>
                <w:color w:val="auto"/>
              </w:rPr>
              <w:t>18,556</w:t>
            </w:r>
          </w:p>
        </w:tc>
        <w:tc>
          <w:tcPr>
            <w:tcW w:w="1140" w:type="dxa"/>
            <w:vAlign w:val="bottom"/>
          </w:tcPr>
          <w:p>
            <w:pPr>
              <w:jc w:val="right"/>
              <w:ind w:right="197"/>
              <w:spacing w:after="0"/>
              <w:rPr>
                <w:sz w:val="20"/>
                <w:szCs w:val="20"/>
                <w:color w:val="auto"/>
              </w:rPr>
            </w:pPr>
            <w:r>
              <w:rPr>
                <w:rFonts w:ascii="Arial" w:cs="Arial" w:eastAsia="Arial" w:hAnsi="Arial"/>
                <w:sz w:val="17"/>
                <w:szCs w:val="17"/>
                <w:color w:val="auto"/>
              </w:rPr>
              <w:t>23,195</w:t>
            </w:r>
          </w:p>
        </w:tc>
        <w:tc>
          <w:tcPr>
            <w:tcW w:w="860" w:type="dxa"/>
            <w:vAlign w:val="bottom"/>
          </w:tcPr>
          <w:p>
            <w:pPr>
              <w:jc w:val="right"/>
              <w:ind w:right="57"/>
              <w:spacing w:after="0"/>
              <w:rPr>
                <w:sz w:val="20"/>
                <w:szCs w:val="20"/>
                <w:color w:val="auto"/>
              </w:rPr>
            </w:pPr>
            <w:r>
              <w:rPr>
                <w:rFonts w:ascii="Arial" w:cs="Arial" w:eastAsia="Arial" w:hAnsi="Arial"/>
                <w:sz w:val="17"/>
                <w:szCs w:val="17"/>
                <w:color w:val="auto"/>
              </w:rPr>
              <w:t>16,474</w:t>
            </w:r>
          </w:p>
        </w:tc>
        <w:tc>
          <w:tcPr>
            <w:tcW w:w="1800" w:type="dxa"/>
            <w:vAlign w:val="bottom"/>
          </w:tcPr>
          <w:p>
            <w:pPr>
              <w:jc w:val="right"/>
              <w:spacing w:after="0"/>
              <w:rPr>
                <w:sz w:val="20"/>
                <w:szCs w:val="20"/>
                <w:color w:val="auto"/>
              </w:rPr>
            </w:pPr>
            <w:r>
              <w:rPr>
                <w:rFonts w:ascii="Arial" w:cs="Arial" w:eastAsia="Arial" w:hAnsi="Arial"/>
                <w:sz w:val="17"/>
                <w:szCs w:val="17"/>
                <w:color w:val="auto"/>
              </w:rPr>
              <w:t>March 30, 2022</w:t>
            </w: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0" w:type="dxa"/>
            <w:vAlign w:val="bottom"/>
            <w:gridSpan w:val="2"/>
          </w:tcPr>
          <w:p>
            <w:pPr>
              <w:ind w:left="160"/>
              <w:spacing w:after="0"/>
              <w:rPr>
                <w:sz w:val="20"/>
                <w:szCs w:val="20"/>
                <w:color w:val="auto"/>
              </w:rPr>
            </w:pPr>
            <w:r>
              <w:rPr>
                <w:rFonts w:ascii="Arial" w:cs="Arial" w:eastAsia="Arial" w:hAnsi="Arial"/>
                <w:sz w:val="17"/>
                <w:szCs w:val="17"/>
                <w:color w:val="auto"/>
              </w:rPr>
              <w:t>Adjusted OI</w:t>
            </w: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
        </w:trPr>
        <w:tc>
          <w:tcPr>
            <w:tcW w:w="1420" w:type="dxa"/>
            <w:vAlign w:val="bottom"/>
            <w:tcBorders>
              <w:bottom w:val="single" w:sz="8" w:color="125288"/>
            </w:tcBorders>
          </w:tcPr>
          <w:p>
            <w:pPr>
              <w:spacing w:after="0"/>
              <w:rPr>
                <w:sz w:val="7"/>
                <w:szCs w:val="7"/>
                <w:color w:val="auto"/>
              </w:rPr>
            </w:pPr>
          </w:p>
        </w:tc>
        <w:tc>
          <w:tcPr>
            <w:tcW w:w="1180" w:type="dxa"/>
            <w:vAlign w:val="bottom"/>
            <w:tcBorders>
              <w:bottom w:val="single" w:sz="8" w:color="125288"/>
            </w:tcBorders>
          </w:tcPr>
          <w:p>
            <w:pPr>
              <w:spacing w:after="0"/>
              <w:rPr>
                <w:sz w:val="7"/>
                <w:szCs w:val="7"/>
                <w:color w:val="auto"/>
              </w:rPr>
            </w:pPr>
          </w:p>
        </w:tc>
        <w:tc>
          <w:tcPr>
            <w:tcW w:w="560" w:type="dxa"/>
            <w:vAlign w:val="bottom"/>
            <w:tcBorders>
              <w:bottom w:val="single" w:sz="8" w:color="125288"/>
            </w:tcBorders>
          </w:tcPr>
          <w:p>
            <w:pPr>
              <w:spacing w:after="0"/>
              <w:rPr>
                <w:sz w:val="7"/>
                <w:szCs w:val="7"/>
                <w:color w:val="auto"/>
              </w:rPr>
            </w:pPr>
          </w:p>
        </w:tc>
        <w:tc>
          <w:tcPr>
            <w:tcW w:w="1840" w:type="dxa"/>
            <w:vAlign w:val="bottom"/>
            <w:tcBorders>
              <w:bottom w:val="single" w:sz="8" w:color="125288"/>
            </w:tcBorders>
          </w:tcPr>
          <w:p>
            <w:pPr>
              <w:spacing w:after="0"/>
              <w:rPr>
                <w:sz w:val="7"/>
                <w:szCs w:val="7"/>
                <w:color w:val="auto"/>
              </w:rPr>
            </w:pPr>
          </w:p>
        </w:tc>
        <w:tc>
          <w:tcPr>
            <w:tcW w:w="1220" w:type="dxa"/>
            <w:vAlign w:val="bottom"/>
            <w:tcBorders>
              <w:bottom w:val="single" w:sz="8" w:color="125288"/>
            </w:tcBorders>
          </w:tcPr>
          <w:p>
            <w:pPr>
              <w:spacing w:after="0"/>
              <w:rPr>
                <w:sz w:val="7"/>
                <w:szCs w:val="7"/>
                <w:color w:val="auto"/>
              </w:rPr>
            </w:pPr>
          </w:p>
        </w:tc>
        <w:tc>
          <w:tcPr>
            <w:tcW w:w="420" w:type="dxa"/>
            <w:vAlign w:val="bottom"/>
            <w:tcBorders>
              <w:bottom w:val="single" w:sz="8" w:color="125288"/>
            </w:tcBorders>
          </w:tcPr>
          <w:p>
            <w:pPr>
              <w:spacing w:after="0"/>
              <w:rPr>
                <w:sz w:val="7"/>
                <w:szCs w:val="7"/>
                <w:color w:val="auto"/>
              </w:rPr>
            </w:pPr>
          </w:p>
        </w:tc>
        <w:tc>
          <w:tcPr>
            <w:tcW w:w="820" w:type="dxa"/>
            <w:vAlign w:val="bottom"/>
            <w:tcBorders>
              <w:bottom w:val="single" w:sz="8" w:color="125288"/>
            </w:tcBorders>
          </w:tcPr>
          <w:p>
            <w:pPr>
              <w:spacing w:after="0"/>
              <w:rPr>
                <w:sz w:val="7"/>
                <w:szCs w:val="7"/>
                <w:color w:val="auto"/>
              </w:rPr>
            </w:pPr>
          </w:p>
        </w:tc>
        <w:tc>
          <w:tcPr>
            <w:tcW w:w="1140" w:type="dxa"/>
            <w:vAlign w:val="bottom"/>
            <w:tcBorders>
              <w:bottom w:val="single" w:sz="8" w:color="125288"/>
            </w:tcBorders>
          </w:tcPr>
          <w:p>
            <w:pPr>
              <w:spacing w:after="0"/>
              <w:rPr>
                <w:sz w:val="7"/>
                <w:szCs w:val="7"/>
                <w:color w:val="auto"/>
              </w:rPr>
            </w:pPr>
          </w:p>
        </w:tc>
        <w:tc>
          <w:tcPr>
            <w:tcW w:w="860" w:type="dxa"/>
            <w:vAlign w:val="bottom"/>
            <w:tcBorders>
              <w:bottom w:val="single" w:sz="8" w:color="125288"/>
            </w:tcBorders>
          </w:tcPr>
          <w:p>
            <w:pPr>
              <w:spacing w:after="0"/>
              <w:rPr>
                <w:sz w:val="7"/>
                <w:szCs w:val="7"/>
                <w:color w:val="auto"/>
              </w:rPr>
            </w:pPr>
          </w:p>
        </w:tc>
        <w:tc>
          <w:tcPr>
            <w:tcW w:w="1800" w:type="dxa"/>
            <w:vAlign w:val="bottom"/>
            <w:tcBorders>
              <w:bottom w:val="single" w:sz="8" w:color="125288"/>
            </w:tcBorders>
          </w:tcPr>
          <w:p>
            <w:pPr>
              <w:spacing w:after="0"/>
              <w:rPr>
                <w:sz w:val="7"/>
                <w:szCs w:val="7"/>
                <w:color w:val="auto"/>
              </w:rPr>
            </w:pPr>
          </w:p>
        </w:tc>
        <w:tc>
          <w:tcPr>
            <w:tcW w:w="0" w:type="dxa"/>
            <w:vAlign w:val="bottom"/>
          </w:tcPr>
          <w:p>
            <w:pPr>
              <w:spacing w:after="0"/>
              <w:rPr>
                <w:sz w:val="1"/>
                <w:szCs w:val="1"/>
                <w:color w:val="auto"/>
              </w:rPr>
            </w:pPr>
          </w:p>
        </w:tc>
      </w:tr>
      <w:tr>
        <w:trPr>
          <w:trHeight w:val="360"/>
        </w:trPr>
        <w:tc>
          <w:tcPr>
            <w:tcW w:w="1420" w:type="dxa"/>
            <w:vAlign w:val="bottom"/>
          </w:tcPr>
          <w:p>
            <w:pPr>
              <w:ind w:left="40"/>
              <w:spacing w:after="0"/>
              <w:rPr>
                <w:sz w:val="20"/>
                <w:szCs w:val="20"/>
                <w:color w:val="auto"/>
              </w:rPr>
            </w:pPr>
            <w:r>
              <w:rPr>
                <w:rFonts w:ascii="Arial" w:cs="Arial" w:eastAsia="Arial" w:hAnsi="Arial"/>
                <w:sz w:val="17"/>
                <w:szCs w:val="17"/>
                <w:b w:val="1"/>
                <w:bCs w:val="1"/>
                <w:color w:val="auto"/>
              </w:rPr>
              <w:t>Daniel Alegre</w:t>
            </w:r>
          </w:p>
        </w:tc>
        <w:tc>
          <w:tcPr>
            <w:tcW w:w="1180" w:type="dxa"/>
            <w:vAlign w:val="bottom"/>
            <w:tcBorders>
              <w:bottom w:val="single" w:sz="8" w:color="125288"/>
            </w:tcBorders>
          </w:tcPr>
          <w:p>
            <w:pPr>
              <w:spacing w:after="0"/>
              <w:rPr>
                <w:sz w:val="20"/>
                <w:szCs w:val="20"/>
                <w:color w:val="auto"/>
              </w:rPr>
            </w:pPr>
            <w:r>
              <w:rPr>
                <w:rFonts w:ascii="Arial" w:cs="Arial" w:eastAsia="Arial" w:hAnsi="Arial"/>
                <w:sz w:val="17"/>
                <w:szCs w:val="17"/>
                <w:color w:val="auto"/>
              </w:rPr>
              <w:t>PSUs</w:t>
            </w:r>
          </w:p>
        </w:tc>
        <w:tc>
          <w:tcPr>
            <w:tcW w:w="560" w:type="dxa"/>
            <w:vAlign w:val="bottom"/>
            <w:tcBorders>
              <w:bottom w:val="single" w:sz="8" w:color="125288"/>
            </w:tcBorders>
          </w:tcPr>
          <w:p>
            <w:pPr>
              <w:ind w:left="160"/>
              <w:spacing w:after="0"/>
              <w:rPr>
                <w:sz w:val="20"/>
                <w:szCs w:val="20"/>
                <w:color w:val="auto"/>
              </w:rPr>
            </w:pPr>
            <w:r>
              <w:rPr>
                <w:rFonts w:ascii="Arial" w:cs="Arial" w:eastAsia="Arial" w:hAnsi="Arial"/>
                <w:sz w:val="17"/>
                <w:szCs w:val="17"/>
                <w:color w:val="auto"/>
              </w:rPr>
              <w:t>2021</w:t>
            </w:r>
          </w:p>
        </w:tc>
        <w:tc>
          <w:tcPr>
            <w:tcW w:w="1840" w:type="dxa"/>
            <w:vAlign w:val="bottom"/>
            <w:tcBorders>
              <w:bottom w:val="single" w:sz="8" w:color="125288"/>
            </w:tcBorders>
          </w:tcPr>
          <w:p>
            <w:pPr>
              <w:ind w:left="20"/>
              <w:spacing w:after="0"/>
              <w:rPr>
                <w:sz w:val="20"/>
                <w:szCs w:val="20"/>
                <w:color w:val="auto"/>
              </w:rPr>
            </w:pPr>
            <w:r>
              <w:rPr>
                <w:rFonts w:ascii="Arial" w:cs="Arial" w:eastAsia="Arial" w:hAnsi="Arial"/>
                <w:sz w:val="17"/>
                <w:szCs w:val="17"/>
                <w:color w:val="auto"/>
              </w:rPr>
              <w:t>AB Adjusted EPS</w:t>
            </w:r>
          </w:p>
        </w:tc>
        <w:tc>
          <w:tcPr>
            <w:tcW w:w="1640" w:type="dxa"/>
            <w:vAlign w:val="bottom"/>
            <w:tcBorders>
              <w:bottom w:val="single" w:sz="8" w:color="125288"/>
            </w:tcBorders>
            <w:gridSpan w:val="2"/>
          </w:tcPr>
          <w:p>
            <w:pPr>
              <w:jc w:val="right"/>
              <w:ind w:right="240"/>
              <w:spacing w:after="0" w:line="356" w:lineRule="exact"/>
              <w:rPr>
                <w:sz w:val="20"/>
                <w:szCs w:val="20"/>
                <w:color w:val="auto"/>
              </w:rPr>
            </w:pPr>
            <w:r>
              <w:rPr>
                <w:rFonts w:ascii="Arial" w:cs="Arial" w:eastAsia="Arial" w:hAnsi="Arial"/>
                <w:sz w:val="33"/>
                <w:szCs w:val="33"/>
                <w:color w:val="auto"/>
                <w:vertAlign w:val="subscript"/>
              </w:rPr>
              <w:t>94</w:t>
            </w:r>
            <w:r>
              <w:rPr>
                <w:rFonts w:ascii="Arial" w:cs="Arial" w:eastAsia="Arial" w:hAnsi="Arial"/>
                <w:sz w:val="14"/>
                <w:szCs w:val="14"/>
                <w:color w:val="auto"/>
              </w:rPr>
              <w:t>(4)</w:t>
            </w:r>
          </w:p>
        </w:tc>
        <w:tc>
          <w:tcPr>
            <w:tcW w:w="820" w:type="dxa"/>
            <w:vAlign w:val="bottom"/>
            <w:tcBorders>
              <w:bottom w:val="single" w:sz="8" w:color="125288"/>
            </w:tcBorders>
          </w:tcPr>
          <w:p>
            <w:pPr>
              <w:jc w:val="right"/>
              <w:ind w:right="58"/>
              <w:spacing w:after="0"/>
              <w:rPr>
                <w:sz w:val="20"/>
                <w:szCs w:val="20"/>
                <w:color w:val="auto"/>
              </w:rPr>
            </w:pPr>
            <w:r>
              <w:rPr>
                <w:rFonts w:ascii="Arial" w:cs="Arial" w:eastAsia="Arial" w:hAnsi="Arial"/>
                <w:sz w:val="17"/>
                <w:szCs w:val="17"/>
                <w:color w:val="auto"/>
              </w:rPr>
              <w:t>18,240</w:t>
            </w:r>
          </w:p>
        </w:tc>
        <w:tc>
          <w:tcPr>
            <w:tcW w:w="1140" w:type="dxa"/>
            <w:vAlign w:val="bottom"/>
            <w:tcBorders>
              <w:bottom w:val="single" w:sz="8" w:color="125288"/>
            </w:tcBorders>
          </w:tcPr>
          <w:p>
            <w:pPr>
              <w:jc w:val="right"/>
              <w:ind w:right="197"/>
              <w:spacing w:after="0"/>
              <w:rPr>
                <w:sz w:val="20"/>
                <w:szCs w:val="20"/>
                <w:color w:val="auto"/>
              </w:rPr>
            </w:pPr>
            <w:r>
              <w:rPr>
                <w:rFonts w:ascii="Arial" w:cs="Arial" w:eastAsia="Arial" w:hAnsi="Arial"/>
                <w:sz w:val="17"/>
                <w:szCs w:val="17"/>
                <w:color w:val="auto"/>
              </w:rPr>
              <w:t>36,480</w:t>
            </w:r>
          </w:p>
        </w:tc>
        <w:tc>
          <w:tcPr>
            <w:tcW w:w="860" w:type="dxa"/>
            <w:vAlign w:val="bottom"/>
            <w:tcBorders>
              <w:bottom w:val="single" w:sz="8" w:color="125288"/>
            </w:tcBorders>
          </w:tcPr>
          <w:p>
            <w:pPr>
              <w:jc w:val="right"/>
              <w:ind w:right="57"/>
              <w:spacing w:after="0"/>
              <w:rPr>
                <w:sz w:val="20"/>
                <w:szCs w:val="20"/>
                <w:color w:val="auto"/>
              </w:rPr>
            </w:pPr>
            <w:r>
              <w:rPr>
                <w:rFonts w:ascii="Arial" w:cs="Arial" w:eastAsia="Arial" w:hAnsi="Arial"/>
                <w:sz w:val="17"/>
                <w:szCs w:val="17"/>
                <w:color w:val="auto"/>
              </w:rPr>
              <w:t>17,166</w:t>
            </w:r>
          </w:p>
        </w:tc>
        <w:tc>
          <w:tcPr>
            <w:tcW w:w="1800" w:type="dxa"/>
            <w:vAlign w:val="bottom"/>
            <w:tcBorders>
              <w:bottom w:val="single" w:sz="8" w:color="125288"/>
            </w:tcBorders>
          </w:tcPr>
          <w:p>
            <w:pPr>
              <w:jc w:val="right"/>
              <w:spacing w:after="0"/>
              <w:rPr>
                <w:sz w:val="20"/>
                <w:szCs w:val="20"/>
                <w:color w:val="auto"/>
              </w:rPr>
            </w:pPr>
            <w:r>
              <w:rPr>
                <w:rFonts w:ascii="Arial" w:cs="Arial" w:eastAsia="Arial" w:hAnsi="Arial"/>
                <w:sz w:val="17"/>
                <w:szCs w:val="17"/>
                <w:color w:val="auto"/>
              </w:rPr>
              <w:t>March 30, 2022</w:t>
            </w:r>
          </w:p>
        </w:tc>
        <w:tc>
          <w:tcPr>
            <w:tcW w:w="0" w:type="dxa"/>
            <w:vAlign w:val="bottom"/>
          </w:tcPr>
          <w:p>
            <w:pPr>
              <w:spacing w:after="0"/>
              <w:rPr>
                <w:sz w:val="1"/>
                <w:szCs w:val="1"/>
                <w:color w:val="auto"/>
              </w:rPr>
            </w:pPr>
          </w:p>
        </w:tc>
      </w:tr>
      <w:tr>
        <w:trPr>
          <w:trHeight w:val="360"/>
        </w:trPr>
        <w:tc>
          <w:tcPr>
            <w:tcW w:w="1420" w:type="dxa"/>
            <w:vAlign w:val="bottom"/>
          </w:tcPr>
          <w:p>
            <w:pPr>
              <w:spacing w:after="0"/>
              <w:rPr>
                <w:sz w:val="24"/>
                <w:szCs w:val="24"/>
                <w:color w:val="auto"/>
              </w:rPr>
            </w:pPr>
          </w:p>
        </w:tc>
        <w:tc>
          <w:tcPr>
            <w:tcW w:w="1180" w:type="dxa"/>
            <w:vAlign w:val="bottom"/>
            <w:tcBorders>
              <w:bottom w:val="single" w:sz="8" w:color="125288"/>
            </w:tcBorders>
          </w:tcPr>
          <w:p>
            <w:pPr>
              <w:spacing w:after="0"/>
              <w:rPr>
                <w:sz w:val="20"/>
                <w:szCs w:val="20"/>
                <w:color w:val="auto"/>
              </w:rPr>
            </w:pPr>
            <w:r>
              <w:rPr>
                <w:rFonts w:ascii="Arial" w:cs="Arial" w:eastAsia="Arial" w:hAnsi="Arial"/>
                <w:sz w:val="17"/>
                <w:szCs w:val="17"/>
                <w:color w:val="auto"/>
              </w:rPr>
              <w:t>PSUs</w:t>
            </w:r>
          </w:p>
        </w:tc>
        <w:tc>
          <w:tcPr>
            <w:tcW w:w="560" w:type="dxa"/>
            <w:vAlign w:val="bottom"/>
            <w:tcBorders>
              <w:bottom w:val="single" w:sz="8" w:color="125288"/>
            </w:tcBorders>
          </w:tcPr>
          <w:p>
            <w:pPr>
              <w:ind w:left="160"/>
              <w:spacing w:after="0"/>
              <w:rPr>
                <w:sz w:val="20"/>
                <w:szCs w:val="20"/>
                <w:color w:val="auto"/>
              </w:rPr>
            </w:pPr>
            <w:r>
              <w:rPr>
                <w:rFonts w:ascii="Arial" w:cs="Arial" w:eastAsia="Arial" w:hAnsi="Arial"/>
                <w:sz w:val="17"/>
                <w:szCs w:val="17"/>
                <w:color w:val="auto"/>
              </w:rPr>
              <w:t>2021</w:t>
            </w:r>
          </w:p>
        </w:tc>
        <w:tc>
          <w:tcPr>
            <w:tcW w:w="1840" w:type="dxa"/>
            <w:vAlign w:val="bottom"/>
            <w:tcBorders>
              <w:bottom w:val="single" w:sz="8" w:color="125288"/>
            </w:tcBorders>
          </w:tcPr>
          <w:p>
            <w:pPr>
              <w:ind w:left="20"/>
              <w:spacing w:after="0"/>
              <w:rPr>
                <w:sz w:val="20"/>
                <w:szCs w:val="20"/>
                <w:color w:val="auto"/>
              </w:rPr>
            </w:pPr>
            <w:r>
              <w:rPr>
                <w:rFonts w:ascii="Arial" w:cs="Arial" w:eastAsia="Arial" w:hAnsi="Arial"/>
                <w:sz w:val="17"/>
                <w:szCs w:val="17"/>
                <w:color w:val="auto"/>
              </w:rPr>
              <w:t>AB Adjusted OI</w:t>
            </w:r>
          </w:p>
        </w:tc>
        <w:tc>
          <w:tcPr>
            <w:tcW w:w="1640" w:type="dxa"/>
            <w:vAlign w:val="bottom"/>
            <w:tcBorders>
              <w:bottom w:val="single" w:sz="8" w:color="125288"/>
            </w:tcBorders>
            <w:gridSpan w:val="2"/>
          </w:tcPr>
          <w:p>
            <w:pPr>
              <w:jc w:val="right"/>
              <w:ind w:right="240"/>
              <w:spacing w:after="0" w:line="356" w:lineRule="exact"/>
              <w:rPr>
                <w:sz w:val="20"/>
                <w:szCs w:val="20"/>
                <w:color w:val="auto"/>
              </w:rPr>
            </w:pPr>
            <w:r>
              <w:rPr>
                <w:rFonts w:ascii="Arial" w:cs="Arial" w:eastAsia="Arial" w:hAnsi="Arial"/>
                <w:sz w:val="33"/>
                <w:szCs w:val="33"/>
                <w:color w:val="auto"/>
                <w:vertAlign w:val="subscript"/>
              </w:rPr>
              <w:t>89</w:t>
            </w:r>
            <w:r>
              <w:rPr>
                <w:rFonts w:ascii="Arial" w:cs="Arial" w:eastAsia="Arial" w:hAnsi="Arial"/>
                <w:sz w:val="14"/>
                <w:szCs w:val="14"/>
                <w:color w:val="auto"/>
              </w:rPr>
              <w:t>(5)</w:t>
            </w:r>
          </w:p>
        </w:tc>
        <w:tc>
          <w:tcPr>
            <w:tcW w:w="820" w:type="dxa"/>
            <w:vAlign w:val="bottom"/>
            <w:tcBorders>
              <w:bottom w:val="single" w:sz="8" w:color="125288"/>
            </w:tcBorders>
          </w:tcPr>
          <w:p>
            <w:pPr>
              <w:jc w:val="right"/>
              <w:ind w:right="58"/>
              <w:spacing w:after="0"/>
              <w:rPr>
                <w:sz w:val="20"/>
                <w:szCs w:val="20"/>
                <w:color w:val="auto"/>
              </w:rPr>
            </w:pPr>
            <w:r>
              <w:rPr>
                <w:rFonts w:ascii="Arial" w:cs="Arial" w:eastAsia="Arial" w:hAnsi="Arial"/>
                <w:sz w:val="17"/>
                <w:szCs w:val="17"/>
                <w:color w:val="auto"/>
              </w:rPr>
              <w:t>31,920</w:t>
            </w:r>
          </w:p>
        </w:tc>
        <w:tc>
          <w:tcPr>
            <w:tcW w:w="1140" w:type="dxa"/>
            <w:vAlign w:val="bottom"/>
            <w:tcBorders>
              <w:bottom w:val="single" w:sz="8" w:color="125288"/>
            </w:tcBorders>
          </w:tcPr>
          <w:p>
            <w:pPr>
              <w:jc w:val="right"/>
              <w:ind w:right="197"/>
              <w:spacing w:after="0"/>
              <w:rPr>
                <w:sz w:val="20"/>
                <w:szCs w:val="20"/>
                <w:color w:val="auto"/>
              </w:rPr>
            </w:pPr>
            <w:r>
              <w:rPr>
                <w:rFonts w:ascii="Arial" w:cs="Arial" w:eastAsia="Arial" w:hAnsi="Arial"/>
                <w:sz w:val="17"/>
                <w:szCs w:val="17"/>
                <w:color w:val="auto"/>
              </w:rPr>
              <w:t>79,800</w:t>
            </w:r>
          </w:p>
        </w:tc>
        <w:tc>
          <w:tcPr>
            <w:tcW w:w="860" w:type="dxa"/>
            <w:vAlign w:val="bottom"/>
            <w:tcBorders>
              <w:bottom w:val="single" w:sz="8" w:color="125288"/>
            </w:tcBorders>
          </w:tcPr>
          <w:p>
            <w:pPr>
              <w:jc w:val="right"/>
              <w:ind w:right="57"/>
              <w:spacing w:after="0"/>
              <w:rPr>
                <w:sz w:val="20"/>
                <w:szCs w:val="20"/>
                <w:color w:val="auto"/>
              </w:rPr>
            </w:pPr>
            <w:r>
              <w:rPr>
                <w:rFonts w:ascii="Arial" w:cs="Arial" w:eastAsia="Arial" w:hAnsi="Arial"/>
                <w:sz w:val="17"/>
                <w:szCs w:val="17"/>
                <w:color w:val="auto"/>
              </w:rPr>
              <w:t>15,960</w:t>
            </w:r>
          </w:p>
        </w:tc>
        <w:tc>
          <w:tcPr>
            <w:tcW w:w="1800" w:type="dxa"/>
            <w:vAlign w:val="bottom"/>
            <w:tcBorders>
              <w:bottom w:val="single" w:sz="8" w:color="125288"/>
            </w:tcBorders>
          </w:tcPr>
          <w:p>
            <w:pPr>
              <w:jc w:val="right"/>
              <w:spacing w:after="0"/>
              <w:rPr>
                <w:sz w:val="20"/>
                <w:szCs w:val="20"/>
                <w:color w:val="auto"/>
              </w:rPr>
            </w:pPr>
            <w:r>
              <w:rPr>
                <w:rFonts w:ascii="Arial" w:cs="Arial" w:eastAsia="Arial" w:hAnsi="Arial"/>
                <w:sz w:val="17"/>
                <w:szCs w:val="17"/>
                <w:color w:val="auto"/>
              </w:rPr>
              <w:t>March 30, 2022</w:t>
            </w:r>
          </w:p>
        </w:tc>
        <w:tc>
          <w:tcPr>
            <w:tcW w:w="0" w:type="dxa"/>
            <w:vAlign w:val="bottom"/>
          </w:tcPr>
          <w:p>
            <w:pPr>
              <w:spacing w:after="0"/>
              <w:rPr>
                <w:sz w:val="1"/>
                <w:szCs w:val="1"/>
                <w:color w:val="auto"/>
              </w:rPr>
            </w:pPr>
          </w:p>
        </w:tc>
      </w:tr>
      <w:tr>
        <w:trPr>
          <w:trHeight w:val="360"/>
        </w:trPr>
        <w:tc>
          <w:tcPr>
            <w:tcW w:w="1420" w:type="dxa"/>
            <w:vAlign w:val="bottom"/>
          </w:tcPr>
          <w:p>
            <w:pPr>
              <w:spacing w:after="0"/>
              <w:rPr>
                <w:sz w:val="24"/>
                <w:szCs w:val="24"/>
                <w:color w:val="auto"/>
              </w:rPr>
            </w:pPr>
          </w:p>
        </w:tc>
        <w:tc>
          <w:tcPr>
            <w:tcW w:w="1180" w:type="dxa"/>
            <w:vAlign w:val="bottom"/>
            <w:tcBorders>
              <w:bottom w:val="single" w:sz="8" w:color="125288"/>
            </w:tcBorders>
          </w:tcPr>
          <w:p>
            <w:pPr>
              <w:spacing w:after="0"/>
              <w:rPr>
                <w:sz w:val="20"/>
                <w:szCs w:val="20"/>
                <w:color w:val="auto"/>
              </w:rPr>
            </w:pPr>
            <w:r>
              <w:rPr>
                <w:rFonts w:ascii="Arial" w:cs="Arial" w:eastAsia="Arial" w:hAnsi="Arial"/>
                <w:sz w:val="17"/>
                <w:szCs w:val="17"/>
                <w:color w:val="auto"/>
              </w:rPr>
              <w:t>PSUs</w:t>
            </w:r>
          </w:p>
        </w:tc>
        <w:tc>
          <w:tcPr>
            <w:tcW w:w="2400" w:type="dxa"/>
            <w:vAlign w:val="bottom"/>
            <w:tcBorders>
              <w:bottom w:val="single" w:sz="8" w:color="125288"/>
            </w:tcBorders>
            <w:gridSpan w:val="2"/>
          </w:tcPr>
          <w:p>
            <w:pPr>
              <w:ind w:left="160"/>
              <w:spacing w:after="0"/>
              <w:rPr>
                <w:sz w:val="20"/>
                <w:szCs w:val="20"/>
                <w:color w:val="auto"/>
              </w:rPr>
            </w:pPr>
            <w:r>
              <w:rPr>
                <w:rFonts w:ascii="Arial" w:cs="Arial" w:eastAsia="Arial" w:hAnsi="Arial"/>
                <w:sz w:val="17"/>
                <w:szCs w:val="17"/>
                <w:color w:val="auto"/>
              </w:rPr>
              <w:t>TSR Performance</w:t>
            </w:r>
          </w:p>
        </w:tc>
        <w:tc>
          <w:tcPr>
            <w:tcW w:w="1640" w:type="dxa"/>
            <w:vAlign w:val="bottom"/>
            <w:tcBorders>
              <w:bottom w:val="single" w:sz="8" w:color="125288"/>
            </w:tcBorders>
            <w:gridSpan w:val="2"/>
          </w:tcPr>
          <w:p>
            <w:pPr>
              <w:jc w:val="right"/>
              <w:ind w:right="240"/>
              <w:spacing w:after="0" w:line="356" w:lineRule="exact"/>
              <w:rPr>
                <w:sz w:val="20"/>
                <w:szCs w:val="20"/>
                <w:color w:val="auto"/>
              </w:rPr>
            </w:pPr>
            <w:r>
              <w:rPr>
                <w:rFonts w:ascii="Arial" w:cs="Arial" w:eastAsia="Arial" w:hAnsi="Arial"/>
                <w:sz w:val="33"/>
                <w:szCs w:val="33"/>
                <w:color w:val="auto"/>
                <w:vertAlign w:val="subscript"/>
              </w:rPr>
              <w:t>0</w:t>
            </w:r>
            <w:r>
              <w:rPr>
                <w:rFonts w:ascii="Arial" w:cs="Arial" w:eastAsia="Arial" w:hAnsi="Arial"/>
                <w:sz w:val="14"/>
                <w:szCs w:val="14"/>
                <w:color w:val="auto"/>
              </w:rPr>
              <w:t>(6)</w:t>
            </w:r>
          </w:p>
        </w:tc>
        <w:tc>
          <w:tcPr>
            <w:tcW w:w="820" w:type="dxa"/>
            <w:vAlign w:val="bottom"/>
            <w:tcBorders>
              <w:bottom w:val="single" w:sz="8" w:color="125288"/>
            </w:tcBorders>
          </w:tcPr>
          <w:p>
            <w:pPr>
              <w:jc w:val="right"/>
              <w:ind w:right="58"/>
              <w:spacing w:after="0"/>
              <w:rPr>
                <w:sz w:val="20"/>
                <w:szCs w:val="20"/>
                <w:color w:val="auto"/>
              </w:rPr>
            </w:pPr>
            <w:r>
              <w:rPr>
                <w:rFonts w:ascii="Arial" w:cs="Arial" w:eastAsia="Arial" w:hAnsi="Arial"/>
                <w:sz w:val="17"/>
                <w:szCs w:val="17"/>
                <w:color w:val="auto"/>
              </w:rPr>
              <w:t>13,680</w:t>
            </w:r>
          </w:p>
        </w:tc>
        <w:tc>
          <w:tcPr>
            <w:tcW w:w="1140" w:type="dxa"/>
            <w:vAlign w:val="bottom"/>
            <w:tcBorders>
              <w:bottom w:val="single" w:sz="8" w:color="125288"/>
            </w:tcBorders>
          </w:tcPr>
          <w:p>
            <w:pPr>
              <w:jc w:val="right"/>
              <w:ind w:right="197"/>
              <w:spacing w:after="0"/>
              <w:rPr>
                <w:sz w:val="20"/>
                <w:szCs w:val="20"/>
                <w:color w:val="auto"/>
              </w:rPr>
            </w:pPr>
            <w:r>
              <w:rPr>
                <w:rFonts w:ascii="Arial" w:cs="Arial" w:eastAsia="Arial" w:hAnsi="Arial"/>
                <w:sz w:val="17"/>
                <w:szCs w:val="17"/>
                <w:color w:val="auto"/>
              </w:rPr>
              <w:t>20,520</w:t>
            </w:r>
          </w:p>
        </w:tc>
        <w:tc>
          <w:tcPr>
            <w:tcW w:w="860" w:type="dxa"/>
            <w:vAlign w:val="bottom"/>
            <w:tcBorders>
              <w:bottom w:val="single" w:sz="8" w:color="125288"/>
            </w:tcBorders>
          </w:tcPr>
          <w:p>
            <w:pPr>
              <w:jc w:val="right"/>
              <w:ind w:right="57"/>
              <w:spacing w:after="0"/>
              <w:rPr>
                <w:sz w:val="20"/>
                <w:szCs w:val="20"/>
                <w:color w:val="auto"/>
              </w:rPr>
            </w:pPr>
            <w:r>
              <w:rPr>
                <w:rFonts w:ascii="Arial" w:cs="Arial" w:eastAsia="Arial" w:hAnsi="Arial"/>
                <w:sz w:val="17"/>
                <w:szCs w:val="17"/>
                <w:color w:val="auto"/>
              </w:rPr>
              <w:t>0</w:t>
            </w:r>
          </w:p>
        </w:tc>
        <w:tc>
          <w:tcPr>
            <w:tcW w:w="1800" w:type="dxa"/>
            <w:vAlign w:val="bottom"/>
            <w:tcBorders>
              <w:bottom w:val="single" w:sz="8" w:color="125288"/>
            </w:tcBorders>
          </w:tcPr>
          <w:p>
            <w:pPr>
              <w:jc w:val="right"/>
              <w:spacing w:after="0"/>
              <w:rPr>
                <w:sz w:val="20"/>
                <w:szCs w:val="20"/>
                <w:color w:val="auto"/>
              </w:rPr>
            </w:pPr>
            <w:r>
              <w:rPr>
                <w:rFonts w:ascii="Arial" w:cs="Arial" w:eastAsia="Arial" w:hAnsi="Arial"/>
                <w:sz w:val="17"/>
                <w:szCs w:val="17"/>
                <w:color w:val="auto"/>
              </w:rPr>
              <w:t>March 30, 2022</w:t>
            </w:r>
          </w:p>
        </w:tc>
        <w:tc>
          <w:tcPr>
            <w:tcW w:w="0" w:type="dxa"/>
            <w:vAlign w:val="bottom"/>
          </w:tcPr>
          <w:p>
            <w:pPr>
              <w:spacing w:after="0"/>
              <w:rPr>
                <w:sz w:val="1"/>
                <w:szCs w:val="1"/>
                <w:color w:val="auto"/>
              </w:rPr>
            </w:pPr>
          </w:p>
        </w:tc>
      </w:tr>
      <w:tr>
        <w:trPr>
          <w:trHeight w:val="360"/>
        </w:trPr>
        <w:tc>
          <w:tcPr>
            <w:tcW w:w="1420" w:type="dxa"/>
            <w:vAlign w:val="bottom"/>
          </w:tcPr>
          <w:p>
            <w:pPr>
              <w:spacing w:after="0"/>
              <w:rPr>
                <w:sz w:val="24"/>
                <w:szCs w:val="24"/>
                <w:color w:val="auto"/>
              </w:rPr>
            </w:pPr>
          </w:p>
        </w:tc>
        <w:tc>
          <w:tcPr>
            <w:tcW w:w="1180" w:type="dxa"/>
            <w:vAlign w:val="bottom"/>
            <w:tcBorders>
              <w:bottom w:val="single" w:sz="8" w:color="125288"/>
            </w:tcBorders>
          </w:tcPr>
          <w:p>
            <w:pPr>
              <w:spacing w:after="0"/>
              <w:rPr>
                <w:sz w:val="20"/>
                <w:szCs w:val="20"/>
                <w:color w:val="auto"/>
              </w:rPr>
            </w:pPr>
            <w:r>
              <w:rPr>
                <w:rFonts w:ascii="Arial" w:cs="Arial" w:eastAsia="Arial" w:hAnsi="Arial"/>
                <w:sz w:val="17"/>
                <w:szCs w:val="17"/>
                <w:color w:val="auto"/>
              </w:rPr>
              <w:t>PSUs</w:t>
            </w:r>
          </w:p>
        </w:tc>
        <w:tc>
          <w:tcPr>
            <w:tcW w:w="2400" w:type="dxa"/>
            <w:vAlign w:val="bottom"/>
            <w:tcBorders>
              <w:bottom w:val="single" w:sz="8" w:color="125288"/>
            </w:tcBorders>
            <w:gridSpan w:val="2"/>
          </w:tcPr>
          <w:p>
            <w:pPr>
              <w:ind w:left="160"/>
              <w:spacing w:after="0"/>
              <w:rPr>
                <w:sz w:val="20"/>
                <w:szCs w:val="20"/>
                <w:color w:val="auto"/>
              </w:rPr>
            </w:pPr>
            <w:r>
              <w:rPr>
                <w:rFonts w:ascii="Arial" w:cs="Arial" w:eastAsia="Arial" w:hAnsi="Arial"/>
                <w:sz w:val="17"/>
                <w:szCs w:val="17"/>
                <w:color w:val="auto"/>
              </w:rPr>
              <w:t>EPS (2021 vs. 2020)</w:t>
            </w:r>
          </w:p>
        </w:tc>
        <w:tc>
          <w:tcPr>
            <w:tcW w:w="1640" w:type="dxa"/>
            <w:vAlign w:val="bottom"/>
            <w:tcBorders>
              <w:bottom w:val="single" w:sz="8" w:color="125288"/>
            </w:tcBorders>
            <w:gridSpan w:val="2"/>
          </w:tcPr>
          <w:p>
            <w:pPr>
              <w:jc w:val="right"/>
              <w:ind w:right="240"/>
              <w:spacing w:after="0" w:line="356" w:lineRule="exact"/>
              <w:rPr>
                <w:sz w:val="20"/>
                <w:szCs w:val="20"/>
                <w:color w:val="auto"/>
              </w:rPr>
            </w:pPr>
            <w:r>
              <w:rPr>
                <w:rFonts w:ascii="Arial" w:cs="Arial" w:eastAsia="Arial" w:hAnsi="Arial"/>
                <w:sz w:val="33"/>
                <w:szCs w:val="33"/>
                <w:color w:val="auto"/>
                <w:vertAlign w:val="subscript"/>
              </w:rPr>
              <w:t>0</w:t>
            </w:r>
            <w:r>
              <w:rPr>
                <w:rFonts w:ascii="Arial" w:cs="Arial" w:eastAsia="Arial" w:hAnsi="Arial"/>
                <w:sz w:val="14"/>
                <w:szCs w:val="14"/>
                <w:color w:val="auto"/>
              </w:rPr>
              <w:t>(7)</w:t>
            </w:r>
          </w:p>
        </w:tc>
        <w:tc>
          <w:tcPr>
            <w:tcW w:w="820" w:type="dxa"/>
            <w:vAlign w:val="bottom"/>
            <w:tcBorders>
              <w:bottom w:val="single" w:sz="8" w:color="125288"/>
            </w:tcBorders>
          </w:tcPr>
          <w:p>
            <w:pPr>
              <w:jc w:val="right"/>
              <w:ind w:right="58"/>
              <w:spacing w:after="0"/>
              <w:rPr>
                <w:sz w:val="20"/>
                <w:szCs w:val="20"/>
                <w:color w:val="auto"/>
              </w:rPr>
            </w:pPr>
            <w:r>
              <w:rPr>
                <w:rFonts w:ascii="Arial" w:cs="Arial" w:eastAsia="Arial" w:hAnsi="Arial"/>
                <w:sz w:val="17"/>
                <w:szCs w:val="17"/>
                <w:color w:val="auto"/>
              </w:rPr>
              <w:t>32,723</w:t>
            </w:r>
          </w:p>
        </w:tc>
        <w:tc>
          <w:tcPr>
            <w:tcW w:w="1140" w:type="dxa"/>
            <w:vAlign w:val="bottom"/>
            <w:tcBorders>
              <w:bottom w:val="single" w:sz="8" w:color="125288"/>
            </w:tcBorders>
          </w:tcPr>
          <w:p>
            <w:pPr>
              <w:jc w:val="right"/>
              <w:ind w:right="197"/>
              <w:spacing w:after="0"/>
              <w:rPr>
                <w:sz w:val="20"/>
                <w:szCs w:val="20"/>
                <w:color w:val="auto"/>
              </w:rPr>
            </w:pPr>
            <w:r>
              <w:rPr>
                <w:rFonts w:ascii="Arial" w:cs="Arial" w:eastAsia="Arial" w:hAnsi="Arial"/>
                <w:sz w:val="17"/>
                <w:szCs w:val="17"/>
                <w:color w:val="auto"/>
              </w:rPr>
              <w:t>32,723</w:t>
            </w:r>
          </w:p>
        </w:tc>
        <w:tc>
          <w:tcPr>
            <w:tcW w:w="860" w:type="dxa"/>
            <w:vAlign w:val="bottom"/>
            <w:tcBorders>
              <w:bottom w:val="single" w:sz="8" w:color="125288"/>
            </w:tcBorders>
          </w:tcPr>
          <w:p>
            <w:pPr>
              <w:jc w:val="right"/>
              <w:ind w:right="57"/>
              <w:spacing w:after="0"/>
              <w:rPr>
                <w:sz w:val="20"/>
                <w:szCs w:val="20"/>
                <w:color w:val="auto"/>
              </w:rPr>
            </w:pPr>
            <w:r>
              <w:rPr>
                <w:rFonts w:ascii="Arial" w:cs="Arial" w:eastAsia="Arial" w:hAnsi="Arial"/>
                <w:sz w:val="17"/>
                <w:szCs w:val="17"/>
                <w:color w:val="auto"/>
              </w:rPr>
              <w:t>0</w:t>
            </w:r>
          </w:p>
        </w:tc>
        <w:tc>
          <w:tcPr>
            <w:tcW w:w="1800" w:type="dxa"/>
            <w:vAlign w:val="bottom"/>
            <w:tcBorders>
              <w:bottom w:val="single" w:sz="8" w:color="125288"/>
            </w:tcBorders>
          </w:tcPr>
          <w:p>
            <w:pPr>
              <w:jc w:val="right"/>
              <w:spacing w:after="0"/>
              <w:rPr>
                <w:sz w:val="20"/>
                <w:szCs w:val="20"/>
                <w:color w:val="auto"/>
              </w:rPr>
            </w:pPr>
            <w:r>
              <w:rPr>
                <w:rFonts w:ascii="Arial" w:cs="Arial" w:eastAsia="Arial" w:hAnsi="Arial"/>
                <w:sz w:val="17"/>
                <w:szCs w:val="17"/>
                <w:color w:val="auto"/>
              </w:rPr>
              <w:t>March 30, 2023</w:t>
            </w:r>
          </w:p>
        </w:tc>
        <w:tc>
          <w:tcPr>
            <w:tcW w:w="0" w:type="dxa"/>
            <w:vAlign w:val="bottom"/>
          </w:tcPr>
          <w:p>
            <w:pPr>
              <w:spacing w:after="0"/>
              <w:rPr>
                <w:sz w:val="1"/>
                <w:szCs w:val="1"/>
                <w:color w:val="auto"/>
              </w:rPr>
            </w:pPr>
          </w:p>
        </w:tc>
      </w:tr>
      <w:tr>
        <w:trPr>
          <w:trHeight w:val="265"/>
        </w:trPr>
        <w:tc>
          <w:tcPr>
            <w:tcW w:w="142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Performance-</w:t>
            </w:r>
          </w:p>
        </w:tc>
        <w:tc>
          <w:tcPr>
            <w:tcW w:w="560" w:type="dxa"/>
            <w:vAlign w:val="bottom"/>
          </w:tcPr>
          <w:p>
            <w:pPr>
              <w:ind w:left="160"/>
              <w:spacing w:after="0"/>
              <w:rPr>
                <w:sz w:val="20"/>
                <w:szCs w:val="20"/>
                <w:color w:val="auto"/>
              </w:rPr>
            </w:pPr>
            <w:r>
              <w:rPr>
                <w:rFonts w:ascii="Arial" w:cs="Arial" w:eastAsia="Arial" w:hAnsi="Arial"/>
                <w:sz w:val="17"/>
                <w:szCs w:val="17"/>
                <w:color w:val="auto"/>
              </w:rPr>
              <w:t>2021</w:t>
            </w:r>
          </w:p>
        </w:tc>
        <w:tc>
          <w:tcPr>
            <w:tcW w:w="1840" w:type="dxa"/>
            <w:vAlign w:val="bottom"/>
          </w:tcPr>
          <w:p>
            <w:pPr>
              <w:ind w:left="20"/>
              <w:spacing w:after="0"/>
              <w:rPr>
                <w:sz w:val="20"/>
                <w:szCs w:val="20"/>
                <w:color w:val="auto"/>
              </w:rPr>
            </w:pPr>
            <w:r>
              <w:rPr>
                <w:rFonts w:ascii="Arial" w:cs="Arial" w:eastAsia="Arial" w:hAnsi="Arial"/>
                <w:sz w:val="17"/>
                <w:szCs w:val="17"/>
                <w:color w:val="auto"/>
              </w:rPr>
              <w:t>AB Adjusted OI</w:t>
            </w:r>
          </w:p>
        </w:tc>
        <w:tc>
          <w:tcPr>
            <w:tcW w:w="1640" w:type="dxa"/>
            <w:vAlign w:val="bottom"/>
            <w:gridSpan w:val="2"/>
          </w:tcPr>
          <w:p>
            <w:pPr>
              <w:jc w:val="right"/>
              <w:ind w:right="240"/>
              <w:spacing w:after="0" w:line="266" w:lineRule="exact"/>
              <w:rPr>
                <w:sz w:val="20"/>
                <w:szCs w:val="20"/>
                <w:color w:val="auto"/>
              </w:rPr>
            </w:pPr>
            <w:r>
              <w:rPr>
                <w:rFonts w:ascii="Arial" w:cs="Arial" w:eastAsia="Arial" w:hAnsi="Arial"/>
                <w:sz w:val="17"/>
                <w:szCs w:val="17"/>
                <w:color w:val="auto"/>
              </w:rPr>
              <w:t>100</w:t>
            </w:r>
            <w:r>
              <w:rPr>
                <w:rFonts w:ascii="Arial" w:cs="Arial" w:eastAsia="Arial" w:hAnsi="Arial"/>
                <w:sz w:val="27"/>
                <w:szCs w:val="27"/>
                <w:color w:val="auto"/>
                <w:vertAlign w:val="superscript"/>
              </w:rPr>
              <w:t>(8)</w:t>
            </w:r>
          </w:p>
        </w:tc>
        <w:tc>
          <w:tcPr>
            <w:tcW w:w="820" w:type="dxa"/>
            <w:vAlign w:val="bottom"/>
          </w:tcPr>
          <w:p>
            <w:pPr>
              <w:jc w:val="right"/>
              <w:ind w:right="58"/>
              <w:spacing w:after="0"/>
              <w:rPr>
                <w:sz w:val="20"/>
                <w:szCs w:val="20"/>
                <w:color w:val="auto"/>
              </w:rPr>
            </w:pPr>
            <w:r>
              <w:rPr>
                <w:rFonts w:ascii="Arial" w:cs="Arial" w:eastAsia="Arial" w:hAnsi="Arial"/>
                <w:sz w:val="17"/>
                <w:szCs w:val="17"/>
                <w:color w:val="auto"/>
              </w:rPr>
              <w:t>68,939</w:t>
            </w:r>
          </w:p>
        </w:tc>
        <w:tc>
          <w:tcPr>
            <w:tcW w:w="1140" w:type="dxa"/>
            <w:vAlign w:val="bottom"/>
          </w:tcPr>
          <w:p>
            <w:pPr>
              <w:jc w:val="right"/>
              <w:ind w:right="197"/>
              <w:spacing w:after="0"/>
              <w:rPr>
                <w:sz w:val="20"/>
                <w:szCs w:val="20"/>
                <w:color w:val="auto"/>
              </w:rPr>
            </w:pPr>
            <w:r>
              <w:rPr>
                <w:rFonts w:ascii="Arial" w:cs="Arial" w:eastAsia="Arial" w:hAnsi="Arial"/>
                <w:sz w:val="17"/>
                <w:szCs w:val="17"/>
                <w:color w:val="auto"/>
              </w:rPr>
              <w:t>68,939</w:t>
            </w:r>
          </w:p>
        </w:tc>
        <w:tc>
          <w:tcPr>
            <w:tcW w:w="860" w:type="dxa"/>
            <w:vAlign w:val="bottom"/>
          </w:tcPr>
          <w:p>
            <w:pPr>
              <w:jc w:val="right"/>
              <w:ind w:right="57"/>
              <w:spacing w:after="0"/>
              <w:rPr>
                <w:sz w:val="20"/>
                <w:szCs w:val="20"/>
                <w:color w:val="auto"/>
              </w:rPr>
            </w:pPr>
            <w:r>
              <w:rPr>
                <w:rFonts w:ascii="Arial" w:cs="Arial" w:eastAsia="Arial" w:hAnsi="Arial"/>
                <w:sz w:val="17"/>
                <w:szCs w:val="17"/>
                <w:color w:val="auto"/>
              </w:rPr>
              <w:t>68,939</w:t>
            </w:r>
          </w:p>
        </w:tc>
        <w:tc>
          <w:tcPr>
            <w:tcW w:w="1800" w:type="dxa"/>
            <w:vAlign w:val="bottom"/>
          </w:tcPr>
          <w:p>
            <w:pPr>
              <w:jc w:val="right"/>
              <w:spacing w:after="0"/>
              <w:rPr>
                <w:sz w:val="20"/>
                <w:szCs w:val="20"/>
                <w:color w:val="auto"/>
              </w:rPr>
            </w:pPr>
            <w:r>
              <w:rPr>
                <w:rFonts w:ascii="Arial" w:cs="Arial" w:eastAsia="Arial" w:hAnsi="Arial"/>
                <w:sz w:val="17"/>
                <w:szCs w:val="17"/>
                <w:color w:val="auto"/>
              </w:rPr>
              <w:t>March 30, 2022</w:t>
            </w:r>
          </w:p>
        </w:tc>
        <w:tc>
          <w:tcPr>
            <w:tcW w:w="0" w:type="dxa"/>
            <w:vAlign w:val="bottom"/>
          </w:tcPr>
          <w:p>
            <w:pPr>
              <w:spacing w:after="0"/>
              <w:rPr>
                <w:sz w:val="1"/>
                <w:szCs w:val="1"/>
                <w:color w:val="auto"/>
              </w:rPr>
            </w:pPr>
          </w:p>
        </w:tc>
      </w:tr>
      <w:tr>
        <w:trPr>
          <w:trHeight w:val="190"/>
        </w:trPr>
        <w:tc>
          <w:tcPr>
            <w:tcW w:w="1420" w:type="dxa"/>
            <w:vAlign w:val="bottom"/>
          </w:tcPr>
          <w:p>
            <w:pPr>
              <w:spacing w:after="0"/>
              <w:rPr>
                <w:sz w:val="16"/>
                <w:szCs w:val="16"/>
                <w:color w:val="auto"/>
              </w:rPr>
            </w:pPr>
          </w:p>
        </w:tc>
        <w:tc>
          <w:tcPr>
            <w:tcW w:w="1180" w:type="dxa"/>
            <w:vAlign w:val="bottom"/>
          </w:tcPr>
          <w:p>
            <w:pPr>
              <w:spacing w:after="0" w:line="190" w:lineRule="exact"/>
              <w:rPr>
                <w:sz w:val="20"/>
                <w:szCs w:val="20"/>
                <w:color w:val="auto"/>
              </w:rPr>
            </w:pPr>
            <w:r>
              <w:rPr>
                <w:rFonts w:ascii="Arial" w:cs="Arial" w:eastAsia="Arial" w:hAnsi="Arial"/>
                <w:sz w:val="17"/>
                <w:szCs w:val="17"/>
                <w:color w:val="auto"/>
              </w:rPr>
              <w:t>Vesting Stock</w:t>
            </w:r>
          </w:p>
        </w:tc>
        <w:tc>
          <w:tcPr>
            <w:tcW w:w="5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Options</w:t>
            </w:r>
          </w:p>
        </w:tc>
        <w:tc>
          <w:tcPr>
            <w:tcW w:w="5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
        </w:trPr>
        <w:tc>
          <w:tcPr>
            <w:tcW w:w="1420" w:type="dxa"/>
            <w:vAlign w:val="bottom"/>
            <w:tcBorders>
              <w:bottom w:val="single" w:sz="8" w:color="125288"/>
            </w:tcBorders>
          </w:tcPr>
          <w:p>
            <w:pPr>
              <w:spacing w:after="0"/>
              <w:rPr>
                <w:sz w:val="7"/>
                <w:szCs w:val="7"/>
                <w:color w:val="auto"/>
              </w:rPr>
            </w:pPr>
          </w:p>
        </w:tc>
        <w:tc>
          <w:tcPr>
            <w:tcW w:w="1180" w:type="dxa"/>
            <w:vAlign w:val="bottom"/>
            <w:tcBorders>
              <w:bottom w:val="single" w:sz="8" w:color="125288"/>
            </w:tcBorders>
          </w:tcPr>
          <w:p>
            <w:pPr>
              <w:spacing w:after="0"/>
              <w:rPr>
                <w:sz w:val="7"/>
                <w:szCs w:val="7"/>
                <w:color w:val="auto"/>
              </w:rPr>
            </w:pPr>
          </w:p>
        </w:tc>
        <w:tc>
          <w:tcPr>
            <w:tcW w:w="560" w:type="dxa"/>
            <w:vAlign w:val="bottom"/>
            <w:tcBorders>
              <w:bottom w:val="single" w:sz="8" w:color="125288"/>
            </w:tcBorders>
          </w:tcPr>
          <w:p>
            <w:pPr>
              <w:spacing w:after="0"/>
              <w:rPr>
                <w:sz w:val="7"/>
                <w:szCs w:val="7"/>
                <w:color w:val="auto"/>
              </w:rPr>
            </w:pPr>
          </w:p>
        </w:tc>
        <w:tc>
          <w:tcPr>
            <w:tcW w:w="1840" w:type="dxa"/>
            <w:vAlign w:val="bottom"/>
            <w:tcBorders>
              <w:bottom w:val="single" w:sz="8" w:color="125288"/>
            </w:tcBorders>
          </w:tcPr>
          <w:p>
            <w:pPr>
              <w:spacing w:after="0"/>
              <w:rPr>
                <w:sz w:val="7"/>
                <w:szCs w:val="7"/>
                <w:color w:val="auto"/>
              </w:rPr>
            </w:pPr>
          </w:p>
        </w:tc>
        <w:tc>
          <w:tcPr>
            <w:tcW w:w="1220" w:type="dxa"/>
            <w:vAlign w:val="bottom"/>
            <w:tcBorders>
              <w:bottom w:val="single" w:sz="8" w:color="125288"/>
            </w:tcBorders>
          </w:tcPr>
          <w:p>
            <w:pPr>
              <w:spacing w:after="0"/>
              <w:rPr>
                <w:sz w:val="7"/>
                <w:szCs w:val="7"/>
                <w:color w:val="auto"/>
              </w:rPr>
            </w:pPr>
          </w:p>
        </w:tc>
        <w:tc>
          <w:tcPr>
            <w:tcW w:w="420" w:type="dxa"/>
            <w:vAlign w:val="bottom"/>
            <w:tcBorders>
              <w:bottom w:val="single" w:sz="8" w:color="125288"/>
            </w:tcBorders>
          </w:tcPr>
          <w:p>
            <w:pPr>
              <w:spacing w:after="0"/>
              <w:rPr>
                <w:sz w:val="7"/>
                <w:szCs w:val="7"/>
                <w:color w:val="auto"/>
              </w:rPr>
            </w:pPr>
          </w:p>
        </w:tc>
        <w:tc>
          <w:tcPr>
            <w:tcW w:w="820" w:type="dxa"/>
            <w:vAlign w:val="bottom"/>
            <w:tcBorders>
              <w:bottom w:val="single" w:sz="8" w:color="125288"/>
            </w:tcBorders>
          </w:tcPr>
          <w:p>
            <w:pPr>
              <w:spacing w:after="0"/>
              <w:rPr>
                <w:sz w:val="7"/>
                <w:szCs w:val="7"/>
                <w:color w:val="auto"/>
              </w:rPr>
            </w:pPr>
          </w:p>
        </w:tc>
        <w:tc>
          <w:tcPr>
            <w:tcW w:w="1140" w:type="dxa"/>
            <w:vAlign w:val="bottom"/>
            <w:tcBorders>
              <w:bottom w:val="single" w:sz="8" w:color="125288"/>
            </w:tcBorders>
          </w:tcPr>
          <w:p>
            <w:pPr>
              <w:spacing w:after="0"/>
              <w:rPr>
                <w:sz w:val="7"/>
                <w:szCs w:val="7"/>
                <w:color w:val="auto"/>
              </w:rPr>
            </w:pPr>
          </w:p>
        </w:tc>
        <w:tc>
          <w:tcPr>
            <w:tcW w:w="860" w:type="dxa"/>
            <w:vAlign w:val="bottom"/>
            <w:tcBorders>
              <w:bottom w:val="single" w:sz="8" w:color="125288"/>
            </w:tcBorders>
          </w:tcPr>
          <w:p>
            <w:pPr>
              <w:spacing w:after="0"/>
              <w:rPr>
                <w:sz w:val="7"/>
                <w:szCs w:val="7"/>
                <w:color w:val="auto"/>
              </w:rPr>
            </w:pPr>
          </w:p>
        </w:tc>
        <w:tc>
          <w:tcPr>
            <w:tcW w:w="1800" w:type="dxa"/>
            <w:vAlign w:val="bottom"/>
            <w:tcBorders>
              <w:bottom w:val="single" w:sz="8" w:color="125288"/>
            </w:tcBorders>
          </w:tcPr>
          <w:p>
            <w:pPr>
              <w:spacing w:after="0"/>
              <w:rPr>
                <w:sz w:val="7"/>
                <w:szCs w:val="7"/>
                <w:color w:val="auto"/>
              </w:rPr>
            </w:pPr>
          </w:p>
        </w:tc>
        <w:tc>
          <w:tcPr>
            <w:tcW w:w="0" w:type="dxa"/>
            <w:vAlign w:val="bottom"/>
          </w:tcPr>
          <w:p>
            <w:pPr>
              <w:spacing w:after="0"/>
              <w:rPr>
                <w:sz w:val="1"/>
                <w:szCs w:val="1"/>
                <w:color w:val="auto"/>
              </w:rPr>
            </w:pPr>
          </w:p>
        </w:tc>
      </w:tr>
      <w:tr>
        <w:trPr>
          <w:trHeight w:val="360"/>
        </w:trPr>
        <w:tc>
          <w:tcPr>
            <w:tcW w:w="1420" w:type="dxa"/>
            <w:vAlign w:val="bottom"/>
          </w:tcPr>
          <w:p>
            <w:pPr>
              <w:ind w:left="40"/>
              <w:spacing w:after="0"/>
              <w:rPr>
                <w:sz w:val="20"/>
                <w:szCs w:val="20"/>
                <w:color w:val="auto"/>
              </w:rPr>
            </w:pPr>
            <w:r>
              <w:rPr>
                <w:rFonts w:ascii="Arial" w:cs="Arial" w:eastAsia="Arial" w:hAnsi="Arial"/>
                <w:sz w:val="17"/>
                <w:szCs w:val="17"/>
                <w:b w:val="1"/>
                <w:bCs w:val="1"/>
                <w:color w:val="auto"/>
              </w:rPr>
              <w:t>Brian Bulatao</w:t>
            </w:r>
          </w:p>
        </w:tc>
        <w:tc>
          <w:tcPr>
            <w:tcW w:w="1180" w:type="dxa"/>
            <w:vAlign w:val="bottom"/>
            <w:tcBorders>
              <w:bottom w:val="single" w:sz="8" w:color="125288"/>
            </w:tcBorders>
          </w:tcPr>
          <w:p>
            <w:pPr>
              <w:spacing w:after="0"/>
              <w:rPr>
                <w:sz w:val="20"/>
                <w:szCs w:val="20"/>
                <w:color w:val="auto"/>
              </w:rPr>
            </w:pPr>
            <w:r>
              <w:rPr>
                <w:rFonts w:ascii="Arial" w:cs="Arial" w:eastAsia="Arial" w:hAnsi="Arial"/>
                <w:sz w:val="17"/>
                <w:szCs w:val="17"/>
                <w:color w:val="auto"/>
              </w:rPr>
              <w:t>PSUs</w:t>
            </w:r>
          </w:p>
        </w:tc>
        <w:tc>
          <w:tcPr>
            <w:tcW w:w="560" w:type="dxa"/>
            <w:vAlign w:val="bottom"/>
            <w:tcBorders>
              <w:bottom w:val="single" w:sz="8" w:color="125288"/>
            </w:tcBorders>
          </w:tcPr>
          <w:p>
            <w:pPr>
              <w:ind w:left="160"/>
              <w:spacing w:after="0"/>
              <w:rPr>
                <w:sz w:val="20"/>
                <w:szCs w:val="20"/>
                <w:color w:val="auto"/>
              </w:rPr>
            </w:pPr>
            <w:r>
              <w:rPr>
                <w:rFonts w:ascii="Arial" w:cs="Arial" w:eastAsia="Arial" w:hAnsi="Arial"/>
                <w:sz w:val="17"/>
                <w:szCs w:val="17"/>
                <w:color w:val="auto"/>
              </w:rPr>
              <w:t>2021</w:t>
            </w:r>
          </w:p>
        </w:tc>
        <w:tc>
          <w:tcPr>
            <w:tcW w:w="1840" w:type="dxa"/>
            <w:vAlign w:val="bottom"/>
            <w:tcBorders>
              <w:bottom w:val="single" w:sz="8" w:color="125288"/>
            </w:tcBorders>
          </w:tcPr>
          <w:p>
            <w:pPr>
              <w:ind w:left="20"/>
              <w:spacing w:after="0"/>
              <w:rPr>
                <w:sz w:val="20"/>
                <w:szCs w:val="20"/>
                <w:color w:val="auto"/>
              </w:rPr>
            </w:pPr>
            <w:r>
              <w:rPr>
                <w:rFonts w:ascii="Arial" w:cs="Arial" w:eastAsia="Arial" w:hAnsi="Arial"/>
                <w:sz w:val="17"/>
                <w:szCs w:val="17"/>
                <w:color w:val="auto"/>
              </w:rPr>
              <w:t>AB Adjusted EPS</w:t>
            </w:r>
          </w:p>
        </w:tc>
        <w:tc>
          <w:tcPr>
            <w:tcW w:w="1640" w:type="dxa"/>
            <w:vAlign w:val="bottom"/>
            <w:tcBorders>
              <w:bottom w:val="single" w:sz="8" w:color="125288"/>
            </w:tcBorders>
            <w:gridSpan w:val="2"/>
          </w:tcPr>
          <w:p>
            <w:pPr>
              <w:jc w:val="right"/>
              <w:ind w:right="240"/>
              <w:spacing w:after="0" w:line="356" w:lineRule="exact"/>
              <w:rPr>
                <w:sz w:val="20"/>
                <w:szCs w:val="20"/>
                <w:color w:val="auto"/>
              </w:rPr>
            </w:pPr>
            <w:r>
              <w:rPr>
                <w:rFonts w:ascii="Arial" w:cs="Arial" w:eastAsia="Arial" w:hAnsi="Arial"/>
                <w:sz w:val="33"/>
                <w:szCs w:val="33"/>
                <w:color w:val="auto"/>
                <w:vertAlign w:val="subscript"/>
              </w:rPr>
              <w:t>0</w:t>
            </w:r>
            <w:r>
              <w:rPr>
                <w:rFonts w:ascii="Arial" w:cs="Arial" w:eastAsia="Arial" w:hAnsi="Arial"/>
                <w:sz w:val="14"/>
                <w:szCs w:val="14"/>
                <w:color w:val="auto"/>
              </w:rPr>
              <w:t>(9)</w:t>
            </w:r>
          </w:p>
        </w:tc>
        <w:tc>
          <w:tcPr>
            <w:tcW w:w="820" w:type="dxa"/>
            <w:vAlign w:val="bottom"/>
            <w:tcBorders>
              <w:bottom w:val="single" w:sz="8" w:color="125288"/>
            </w:tcBorders>
          </w:tcPr>
          <w:p>
            <w:pPr>
              <w:jc w:val="right"/>
              <w:ind w:right="58"/>
              <w:spacing w:after="0"/>
              <w:rPr>
                <w:sz w:val="20"/>
                <w:szCs w:val="20"/>
                <w:color w:val="auto"/>
              </w:rPr>
            </w:pPr>
            <w:r>
              <w:rPr>
                <w:rFonts w:ascii="Arial" w:cs="Arial" w:eastAsia="Arial" w:hAnsi="Arial"/>
                <w:sz w:val="17"/>
                <w:szCs w:val="17"/>
                <w:color w:val="auto"/>
              </w:rPr>
              <w:t>3,604</w:t>
            </w:r>
          </w:p>
        </w:tc>
        <w:tc>
          <w:tcPr>
            <w:tcW w:w="1140" w:type="dxa"/>
            <w:vAlign w:val="bottom"/>
            <w:tcBorders>
              <w:bottom w:val="single" w:sz="8" w:color="125288"/>
            </w:tcBorders>
          </w:tcPr>
          <w:p>
            <w:pPr>
              <w:jc w:val="right"/>
              <w:ind w:right="197"/>
              <w:spacing w:after="0"/>
              <w:rPr>
                <w:sz w:val="20"/>
                <w:szCs w:val="20"/>
                <w:color w:val="auto"/>
              </w:rPr>
            </w:pPr>
            <w:r>
              <w:rPr>
                <w:rFonts w:ascii="Arial" w:cs="Arial" w:eastAsia="Arial" w:hAnsi="Arial"/>
                <w:sz w:val="17"/>
                <w:szCs w:val="17"/>
                <w:color w:val="auto"/>
              </w:rPr>
              <w:t>7,208</w:t>
            </w:r>
          </w:p>
        </w:tc>
        <w:tc>
          <w:tcPr>
            <w:tcW w:w="860" w:type="dxa"/>
            <w:vAlign w:val="bottom"/>
            <w:tcBorders>
              <w:bottom w:val="single" w:sz="8" w:color="125288"/>
            </w:tcBorders>
          </w:tcPr>
          <w:p>
            <w:pPr>
              <w:jc w:val="right"/>
              <w:ind w:right="57"/>
              <w:spacing w:after="0"/>
              <w:rPr>
                <w:sz w:val="20"/>
                <w:szCs w:val="20"/>
                <w:color w:val="auto"/>
              </w:rPr>
            </w:pPr>
            <w:r>
              <w:rPr>
                <w:rFonts w:ascii="Arial" w:cs="Arial" w:eastAsia="Arial" w:hAnsi="Arial"/>
                <w:sz w:val="17"/>
                <w:szCs w:val="17"/>
                <w:color w:val="auto"/>
              </w:rPr>
              <w:t>0</w:t>
            </w:r>
          </w:p>
        </w:tc>
        <w:tc>
          <w:tcPr>
            <w:tcW w:w="1800" w:type="dxa"/>
            <w:vAlign w:val="bottom"/>
            <w:tcBorders>
              <w:bottom w:val="single" w:sz="8" w:color="125288"/>
            </w:tcBorders>
          </w:tcPr>
          <w:p>
            <w:pPr>
              <w:jc w:val="right"/>
              <w:spacing w:after="0"/>
              <w:rPr>
                <w:sz w:val="20"/>
                <w:szCs w:val="20"/>
                <w:color w:val="auto"/>
              </w:rPr>
            </w:pPr>
            <w:r>
              <w:rPr>
                <w:rFonts w:ascii="Arial" w:cs="Arial" w:eastAsia="Arial" w:hAnsi="Arial"/>
                <w:sz w:val="17"/>
                <w:szCs w:val="17"/>
                <w:color w:val="auto"/>
              </w:rPr>
              <w:t>March 30, 2022</w:t>
            </w:r>
          </w:p>
        </w:tc>
        <w:tc>
          <w:tcPr>
            <w:tcW w:w="0" w:type="dxa"/>
            <w:vAlign w:val="bottom"/>
          </w:tcPr>
          <w:p>
            <w:pPr>
              <w:spacing w:after="0"/>
              <w:rPr>
                <w:sz w:val="1"/>
                <w:szCs w:val="1"/>
                <w:color w:val="auto"/>
              </w:rPr>
            </w:pPr>
          </w:p>
        </w:tc>
      </w:tr>
      <w:tr>
        <w:trPr>
          <w:trHeight w:val="360"/>
        </w:trPr>
        <w:tc>
          <w:tcPr>
            <w:tcW w:w="1420" w:type="dxa"/>
            <w:vAlign w:val="bottom"/>
          </w:tcPr>
          <w:p>
            <w:pPr>
              <w:spacing w:after="0"/>
              <w:rPr>
                <w:sz w:val="24"/>
                <w:szCs w:val="24"/>
                <w:color w:val="auto"/>
              </w:rPr>
            </w:pPr>
          </w:p>
        </w:tc>
        <w:tc>
          <w:tcPr>
            <w:tcW w:w="1180" w:type="dxa"/>
            <w:vAlign w:val="bottom"/>
            <w:tcBorders>
              <w:bottom w:val="single" w:sz="8" w:color="125288"/>
            </w:tcBorders>
          </w:tcPr>
          <w:p>
            <w:pPr>
              <w:spacing w:after="0"/>
              <w:rPr>
                <w:sz w:val="20"/>
                <w:szCs w:val="20"/>
                <w:color w:val="auto"/>
              </w:rPr>
            </w:pPr>
            <w:r>
              <w:rPr>
                <w:rFonts w:ascii="Arial" w:cs="Arial" w:eastAsia="Arial" w:hAnsi="Arial"/>
                <w:sz w:val="17"/>
                <w:szCs w:val="17"/>
                <w:color w:val="auto"/>
              </w:rPr>
              <w:t>PSUs</w:t>
            </w:r>
          </w:p>
        </w:tc>
        <w:tc>
          <w:tcPr>
            <w:tcW w:w="560" w:type="dxa"/>
            <w:vAlign w:val="bottom"/>
            <w:tcBorders>
              <w:bottom w:val="single" w:sz="8" w:color="125288"/>
            </w:tcBorders>
          </w:tcPr>
          <w:p>
            <w:pPr>
              <w:ind w:left="160"/>
              <w:spacing w:after="0"/>
              <w:rPr>
                <w:sz w:val="20"/>
                <w:szCs w:val="20"/>
                <w:color w:val="auto"/>
              </w:rPr>
            </w:pPr>
            <w:r>
              <w:rPr>
                <w:rFonts w:ascii="Arial" w:cs="Arial" w:eastAsia="Arial" w:hAnsi="Arial"/>
                <w:sz w:val="17"/>
                <w:szCs w:val="17"/>
                <w:color w:val="auto"/>
              </w:rPr>
              <w:t>2021</w:t>
            </w:r>
          </w:p>
        </w:tc>
        <w:tc>
          <w:tcPr>
            <w:tcW w:w="1840" w:type="dxa"/>
            <w:vAlign w:val="bottom"/>
            <w:tcBorders>
              <w:bottom w:val="single" w:sz="8" w:color="125288"/>
            </w:tcBorders>
          </w:tcPr>
          <w:p>
            <w:pPr>
              <w:ind w:left="20"/>
              <w:spacing w:after="0"/>
              <w:rPr>
                <w:sz w:val="20"/>
                <w:szCs w:val="20"/>
                <w:color w:val="auto"/>
              </w:rPr>
            </w:pPr>
            <w:r>
              <w:rPr>
                <w:rFonts w:ascii="Arial" w:cs="Arial" w:eastAsia="Arial" w:hAnsi="Arial"/>
                <w:sz w:val="17"/>
                <w:szCs w:val="17"/>
                <w:color w:val="auto"/>
              </w:rPr>
              <w:t>AB Adjusted OI</w:t>
            </w:r>
          </w:p>
        </w:tc>
        <w:tc>
          <w:tcPr>
            <w:tcW w:w="1640" w:type="dxa"/>
            <w:vAlign w:val="bottom"/>
            <w:tcBorders>
              <w:bottom w:val="single" w:sz="8" w:color="125288"/>
            </w:tcBorders>
            <w:gridSpan w:val="2"/>
          </w:tcPr>
          <w:p>
            <w:pPr>
              <w:jc w:val="right"/>
              <w:ind w:right="160"/>
              <w:spacing w:after="0" w:line="356" w:lineRule="exact"/>
              <w:rPr>
                <w:sz w:val="20"/>
                <w:szCs w:val="20"/>
                <w:color w:val="auto"/>
              </w:rPr>
            </w:pPr>
            <w:r>
              <w:rPr>
                <w:rFonts w:ascii="Arial" w:cs="Arial" w:eastAsia="Arial" w:hAnsi="Arial"/>
                <w:sz w:val="33"/>
                <w:szCs w:val="33"/>
                <w:color w:val="auto"/>
                <w:vertAlign w:val="subscript"/>
              </w:rPr>
              <w:t>0</w:t>
            </w:r>
            <w:r>
              <w:rPr>
                <w:rFonts w:ascii="Arial" w:cs="Arial" w:eastAsia="Arial" w:hAnsi="Arial"/>
                <w:sz w:val="14"/>
                <w:szCs w:val="14"/>
                <w:color w:val="auto"/>
              </w:rPr>
              <w:t>(10)</w:t>
            </w:r>
          </w:p>
        </w:tc>
        <w:tc>
          <w:tcPr>
            <w:tcW w:w="820" w:type="dxa"/>
            <w:vAlign w:val="bottom"/>
            <w:tcBorders>
              <w:bottom w:val="single" w:sz="8" w:color="125288"/>
            </w:tcBorders>
          </w:tcPr>
          <w:p>
            <w:pPr>
              <w:jc w:val="right"/>
              <w:ind w:right="58"/>
              <w:spacing w:after="0"/>
              <w:rPr>
                <w:sz w:val="20"/>
                <w:szCs w:val="20"/>
                <w:color w:val="auto"/>
              </w:rPr>
            </w:pPr>
            <w:r>
              <w:rPr>
                <w:rFonts w:ascii="Arial" w:cs="Arial" w:eastAsia="Arial" w:hAnsi="Arial"/>
                <w:sz w:val="17"/>
                <w:szCs w:val="17"/>
                <w:color w:val="auto"/>
              </w:rPr>
              <w:t>9,009</w:t>
            </w:r>
          </w:p>
        </w:tc>
        <w:tc>
          <w:tcPr>
            <w:tcW w:w="1140" w:type="dxa"/>
            <w:vAlign w:val="bottom"/>
            <w:tcBorders>
              <w:bottom w:val="single" w:sz="8" w:color="125288"/>
            </w:tcBorders>
          </w:tcPr>
          <w:p>
            <w:pPr>
              <w:jc w:val="right"/>
              <w:ind w:right="197"/>
              <w:spacing w:after="0"/>
              <w:rPr>
                <w:sz w:val="20"/>
                <w:szCs w:val="20"/>
                <w:color w:val="auto"/>
              </w:rPr>
            </w:pPr>
            <w:r>
              <w:rPr>
                <w:rFonts w:ascii="Arial" w:cs="Arial" w:eastAsia="Arial" w:hAnsi="Arial"/>
                <w:sz w:val="17"/>
                <w:szCs w:val="17"/>
                <w:color w:val="auto"/>
              </w:rPr>
              <w:t>18,018</w:t>
            </w:r>
          </w:p>
        </w:tc>
        <w:tc>
          <w:tcPr>
            <w:tcW w:w="860" w:type="dxa"/>
            <w:vAlign w:val="bottom"/>
            <w:tcBorders>
              <w:bottom w:val="single" w:sz="8" w:color="125288"/>
            </w:tcBorders>
          </w:tcPr>
          <w:p>
            <w:pPr>
              <w:jc w:val="right"/>
              <w:ind w:right="57"/>
              <w:spacing w:after="0"/>
              <w:rPr>
                <w:sz w:val="20"/>
                <w:szCs w:val="20"/>
                <w:color w:val="auto"/>
              </w:rPr>
            </w:pPr>
            <w:r>
              <w:rPr>
                <w:rFonts w:ascii="Arial" w:cs="Arial" w:eastAsia="Arial" w:hAnsi="Arial"/>
                <w:sz w:val="17"/>
                <w:szCs w:val="17"/>
                <w:color w:val="auto"/>
              </w:rPr>
              <w:t>0</w:t>
            </w:r>
          </w:p>
        </w:tc>
        <w:tc>
          <w:tcPr>
            <w:tcW w:w="1800" w:type="dxa"/>
            <w:vAlign w:val="bottom"/>
            <w:tcBorders>
              <w:bottom w:val="single" w:sz="8" w:color="125288"/>
            </w:tcBorders>
          </w:tcPr>
          <w:p>
            <w:pPr>
              <w:jc w:val="right"/>
              <w:spacing w:after="0"/>
              <w:rPr>
                <w:sz w:val="20"/>
                <w:szCs w:val="20"/>
                <w:color w:val="auto"/>
              </w:rPr>
            </w:pPr>
            <w:r>
              <w:rPr>
                <w:rFonts w:ascii="Arial" w:cs="Arial" w:eastAsia="Arial" w:hAnsi="Arial"/>
                <w:sz w:val="17"/>
                <w:szCs w:val="17"/>
                <w:color w:val="auto"/>
              </w:rPr>
              <w:t>March 30, 2022</w:t>
            </w:r>
          </w:p>
        </w:tc>
        <w:tc>
          <w:tcPr>
            <w:tcW w:w="0" w:type="dxa"/>
            <w:vAlign w:val="bottom"/>
          </w:tcPr>
          <w:p>
            <w:pPr>
              <w:spacing w:after="0"/>
              <w:rPr>
                <w:sz w:val="1"/>
                <w:szCs w:val="1"/>
                <w:color w:val="auto"/>
              </w:rPr>
            </w:pPr>
          </w:p>
        </w:tc>
      </w:tr>
      <w:tr>
        <w:trPr>
          <w:trHeight w:val="360"/>
        </w:trPr>
        <w:tc>
          <w:tcPr>
            <w:tcW w:w="1420" w:type="dxa"/>
            <w:vAlign w:val="bottom"/>
          </w:tcPr>
          <w:p>
            <w:pPr>
              <w:spacing w:after="0"/>
              <w:rPr>
                <w:sz w:val="24"/>
                <w:szCs w:val="24"/>
                <w:color w:val="auto"/>
              </w:rPr>
            </w:pPr>
          </w:p>
        </w:tc>
        <w:tc>
          <w:tcPr>
            <w:tcW w:w="1180" w:type="dxa"/>
            <w:vAlign w:val="bottom"/>
            <w:tcBorders>
              <w:bottom w:val="single" w:sz="8" w:color="125288"/>
            </w:tcBorders>
          </w:tcPr>
          <w:p>
            <w:pPr>
              <w:spacing w:after="0"/>
              <w:rPr>
                <w:sz w:val="20"/>
                <w:szCs w:val="20"/>
                <w:color w:val="auto"/>
              </w:rPr>
            </w:pPr>
            <w:r>
              <w:rPr>
                <w:rFonts w:ascii="Arial" w:cs="Arial" w:eastAsia="Arial" w:hAnsi="Arial"/>
                <w:sz w:val="17"/>
                <w:szCs w:val="17"/>
                <w:color w:val="auto"/>
              </w:rPr>
              <w:t>PSUs</w:t>
            </w:r>
          </w:p>
        </w:tc>
        <w:tc>
          <w:tcPr>
            <w:tcW w:w="2400" w:type="dxa"/>
            <w:vAlign w:val="bottom"/>
            <w:tcBorders>
              <w:bottom w:val="single" w:sz="8" w:color="125288"/>
            </w:tcBorders>
            <w:gridSpan w:val="2"/>
          </w:tcPr>
          <w:p>
            <w:pPr>
              <w:ind w:left="160"/>
              <w:spacing w:after="0"/>
              <w:rPr>
                <w:sz w:val="20"/>
                <w:szCs w:val="20"/>
                <w:color w:val="auto"/>
              </w:rPr>
            </w:pPr>
            <w:r>
              <w:rPr>
                <w:rFonts w:ascii="Arial" w:cs="Arial" w:eastAsia="Arial" w:hAnsi="Arial"/>
                <w:sz w:val="17"/>
                <w:szCs w:val="17"/>
                <w:color w:val="auto"/>
              </w:rPr>
              <w:t>TSR Performance</w:t>
            </w:r>
          </w:p>
        </w:tc>
        <w:tc>
          <w:tcPr>
            <w:tcW w:w="1640" w:type="dxa"/>
            <w:vAlign w:val="bottom"/>
            <w:tcBorders>
              <w:bottom w:val="single" w:sz="8" w:color="125288"/>
            </w:tcBorders>
            <w:gridSpan w:val="2"/>
          </w:tcPr>
          <w:p>
            <w:pPr>
              <w:jc w:val="right"/>
              <w:ind w:right="160"/>
              <w:spacing w:after="0" w:line="356" w:lineRule="exact"/>
              <w:rPr>
                <w:sz w:val="20"/>
                <w:szCs w:val="20"/>
                <w:color w:val="auto"/>
              </w:rPr>
            </w:pPr>
            <w:r>
              <w:rPr>
                <w:rFonts w:ascii="Arial" w:cs="Arial" w:eastAsia="Arial" w:hAnsi="Arial"/>
                <w:sz w:val="33"/>
                <w:szCs w:val="33"/>
                <w:color w:val="auto"/>
                <w:vertAlign w:val="subscript"/>
              </w:rPr>
              <w:t>0</w:t>
            </w:r>
            <w:r>
              <w:rPr>
                <w:rFonts w:ascii="Arial" w:cs="Arial" w:eastAsia="Arial" w:hAnsi="Arial"/>
                <w:sz w:val="14"/>
                <w:szCs w:val="14"/>
                <w:color w:val="auto"/>
              </w:rPr>
              <w:t>(11)</w:t>
            </w:r>
          </w:p>
        </w:tc>
        <w:tc>
          <w:tcPr>
            <w:tcW w:w="820" w:type="dxa"/>
            <w:vAlign w:val="bottom"/>
            <w:tcBorders>
              <w:bottom w:val="single" w:sz="8" w:color="125288"/>
            </w:tcBorders>
          </w:tcPr>
          <w:p>
            <w:pPr>
              <w:jc w:val="right"/>
              <w:ind w:right="58"/>
              <w:spacing w:after="0"/>
              <w:rPr>
                <w:sz w:val="20"/>
                <w:szCs w:val="20"/>
                <w:color w:val="auto"/>
              </w:rPr>
            </w:pPr>
            <w:r>
              <w:rPr>
                <w:rFonts w:ascii="Arial" w:cs="Arial" w:eastAsia="Arial" w:hAnsi="Arial"/>
                <w:sz w:val="17"/>
                <w:szCs w:val="17"/>
                <w:color w:val="auto"/>
              </w:rPr>
              <w:t>1,802</w:t>
            </w:r>
          </w:p>
        </w:tc>
        <w:tc>
          <w:tcPr>
            <w:tcW w:w="1140" w:type="dxa"/>
            <w:vAlign w:val="bottom"/>
            <w:tcBorders>
              <w:bottom w:val="single" w:sz="8" w:color="125288"/>
            </w:tcBorders>
          </w:tcPr>
          <w:p>
            <w:pPr>
              <w:jc w:val="right"/>
              <w:ind w:right="197"/>
              <w:spacing w:after="0"/>
              <w:rPr>
                <w:sz w:val="20"/>
                <w:szCs w:val="20"/>
                <w:color w:val="auto"/>
              </w:rPr>
            </w:pPr>
            <w:r>
              <w:rPr>
                <w:rFonts w:ascii="Arial" w:cs="Arial" w:eastAsia="Arial" w:hAnsi="Arial"/>
                <w:sz w:val="17"/>
                <w:szCs w:val="17"/>
                <w:color w:val="auto"/>
              </w:rPr>
              <w:t>1,802</w:t>
            </w:r>
          </w:p>
        </w:tc>
        <w:tc>
          <w:tcPr>
            <w:tcW w:w="860" w:type="dxa"/>
            <w:vAlign w:val="bottom"/>
            <w:tcBorders>
              <w:bottom w:val="single" w:sz="8" w:color="125288"/>
            </w:tcBorders>
          </w:tcPr>
          <w:p>
            <w:pPr>
              <w:jc w:val="right"/>
              <w:ind w:right="57"/>
              <w:spacing w:after="0"/>
              <w:rPr>
                <w:sz w:val="20"/>
                <w:szCs w:val="20"/>
                <w:color w:val="auto"/>
              </w:rPr>
            </w:pPr>
            <w:r>
              <w:rPr>
                <w:rFonts w:ascii="Arial" w:cs="Arial" w:eastAsia="Arial" w:hAnsi="Arial"/>
                <w:sz w:val="17"/>
                <w:szCs w:val="17"/>
                <w:color w:val="auto"/>
              </w:rPr>
              <w:t>0</w:t>
            </w:r>
          </w:p>
        </w:tc>
        <w:tc>
          <w:tcPr>
            <w:tcW w:w="1800" w:type="dxa"/>
            <w:vAlign w:val="bottom"/>
            <w:tcBorders>
              <w:bottom w:val="single" w:sz="8" w:color="125288"/>
            </w:tcBorders>
          </w:tcPr>
          <w:p>
            <w:pPr>
              <w:jc w:val="right"/>
              <w:spacing w:after="0"/>
              <w:rPr>
                <w:sz w:val="20"/>
                <w:szCs w:val="20"/>
                <w:color w:val="auto"/>
              </w:rPr>
            </w:pPr>
            <w:r>
              <w:rPr>
                <w:rFonts w:ascii="Arial" w:cs="Arial" w:eastAsia="Arial" w:hAnsi="Arial"/>
                <w:sz w:val="17"/>
                <w:szCs w:val="17"/>
                <w:color w:val="auto"/>
              </w:rPr>
              <w:t>March 30, 2022</w:t>
            </w:r>
          </w:p>
        </w:tc>
        <w:tc>
          <w:tcPr>
            <w:tcW w:w="0" w:type="dxa"/>
            <w:vAlign w:val="bottom"/>
          </w:tcPr>
          <w:p>
            <w:pPr>
              <w:spacing w:after="0"/>
              <w:rPr>
                <w:sz w:val="1"/>
                <w:szCs w:val="1"/>
                <w:color w:val="auto"/>
              </w:rPr>
            </w:pPr>
          </w:p>
        </w:tc>
      </w:tr>
      <w:tr>
        <w:trPr>
          <w:trHeight w:val="265"/>
        </w:trPr>
        <w:tc>
          <w:tcPr>
            <w:tcW w:w="142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Performance-</w:t>
            </w:r>
          </w:p>
        </w:tc>
        <w:tc>
          <w:tcPr>
            <w:tcW w:w="560" w:type="dxa"/>
            <w:vAlign w:val="bottom"/>
          </w:tcPr>
          <w:p>
            <w:pPr>
              <w:ind w:left="160"/>
              <w:spacing w:after="0"/>
              <w:rPr>
                <w:sz w:val="20"/>
                <w:szCs w:val="20"/>
                <w:color w:val="auto"/>
              </w:rPr>
            </w:pPr>
            <w:r>
              <w:rPr>
                <w:rFonts w:ascii="Arial" w:cs="Arial" w:eastAsia="Arial" w:hAnsi="Arial"/>
                <w:sz w:val="17"/>
                <w:szCs w:val="17"/>
                <w:color w:val="auto"/>
              </w:rPr>
              <w:t>2021</w:t>
            </w:r>
          </w:p>
        </w:tc>
        <w:tc>
          <w:tcPr>
            <w:tcW w:w="1840" w:type="dxa"/>
            <w:vAlign w:val="bottom"/>
          </w:tcPr>
          <w:p>
            <w:pPr>
              <w:ind w:left="20"/>
              <w:spacing w:after="0"/>
              <w:rPr>
                <w:sz w:val="20"/>
                <w:szCs w:val="20"/>
                <w:color w:val="auto"/>
              </w:rPr>
            </w:pPr>
            <w:r>
              <w:rPr>
                <w:rFonts w:ascii="Arial" w:cs="Arial" w:eastAsia="Arial" w:hAnsi="Arial"/>
                <w:sz w:val="17"/>
                <w:szCs w:val="17"/>
                <w:color w:val="auto"/>
              </w:rPr>
              <w:t>AB Adjusted OI</w:t>
            </w:r>
          </w:p>
        </w:tc>
        <w:tc>
          <w:tcPr>
            <w:tcW w:w="1640" w:type="dxa"/>
            <w:vAlign w:val="bottom"/>
            <w:gridSpan w:val="2"/>
          </w:tcPr>
          <w:p>
            <w:pPr>
              <w:jc w:val="right"/>
              <w:ind w:right="240"/>
              <w:spacing w:after="0" w:line="266" w:lineRule="exact"/>
              <w:rPr>
                <w:sz w:val="20"/>
                <w:szCs w:val="20"/>
                <w:color w:val="auto"/>
              </w:rPr>
            </w:pPr>
            <w:r>
              <w:rPr>
                <w:rFonts w:ascii="Arial" w:cs="Arial" w:eastAsia="Arial" w:hAnsi="Arial"/>
                <w:sz w:val="17"/>
                <w:szCs w:val="17"/>
                <w:color w:val="auto"/>
              </w:rPr>
              <w:t>100</w:t>
            </w:r>
            <w:r>
              <w:rPr>
                <w:rFonts w:ascii="Arial" w:cs="Arial" w:eastAsia="Arial" w:hAnsi="Arial"/>
                <w:sz w:val="27"/>
                <w:szCs w:val="27"/>
                <w:color w:val="auto"/>
                <w:vertAlign w:val="superscript"/>
              </w:rPr>
              <w:t>(8)</w:t>
            </w:r>
          </w:p>
        </w:tc>
        <w:tc>
          <w:tcPr>
            <w:tcW w:w="820" w:type="dxa"/>
            <w:vAlign w:val="bottom"/>
          </w:tcPr>
          <w:p>
            <w:pPr>
              <w:jc w:val="right"/>
              <w:ind w:right="58"/>
              <w:spacing w:after="0"/>
              <w:rPr>
                <w:sz w:val="20"/>
                <w:szCs w:val="20"/>
                <w:color w:val="auto"/>
              </w:rPr>
            </w:pPr>
            <w:r>
              <w:rPr>
                <w:rFonts w:ascii="Arial" w:cs="Arial" w:eastAsia="Arial" w:hAnsi="Arial"/>
                <w:sz w:val="17"/>
                <w:szCs w:val="17"/>
                <w:color w:val="auto"/>
              </w:rPr>
              <w:t>15,747</w:t>
            </w:r>
          </w:p>
        </w:tc>
        <w:tc>
          <w:tcPr>
            <w:tcW w:w="1140" w:type="dxa"/>
            <w:vAlign w:val="bottom"/>
          </w:tcPr>
          <w:p>
            <w:pPr>
              <w:jc w:val="right"/>
              <w:ind w:right="197"/>
              <w:spacing w:after="0"/>
              <w:rPr>
                <w:sz w:val="20"/>
                <w:szCs w:val="20"/>
                <w:color w:val="auto"/>
              </w:rPr>
            </w:pPr>
            <w:r>
              <w:rPr>
                <w:rFonts w:ascii="Arial" w:cs="Arial" w:eastAsia="Arial" w:hAnsi="Arial"/>
                <w:sz w:val="17"/>
                <w:szCs w:val="17"/>
                <w:color w:val="auto"/>
              </w:rPr>
              <w:t>15,747</w:t>
            </w:r>
          </w:p>
        </w:tc>
        <w:tc>
          <w:tcPr>
            <w:tcW w:w="860" w:type="dxa"/>
            <w:vAlign w:val="bottom"/>
          </w:tcPr>
          <w:p>
            <w:pPr>
              <w:jc w:val="right"/>
              <w:ind w:right="57"/>
              <w:spacing w:after="0"/>
              <w:rPr>
                <w:sz w:val="20"/>
                <w:szCs w:val="20"/>
                <w:color w:val="auto"/>
              </w:rPr>
            </w:pPr>
            <w:r>
              <w:rPr>
                <w:rFonts w:ascii="Arial" w:cs="Arial" w:eastAsia="Arial" w:hAnsi="Arial"/>
                <w:sz w:val="17"/>
                <w:szCs w:val="17"/>
                <w:color w:val="auto"/>
              </w:rPr>
              <w:t>15,747</w:t>
            </w:r>
          </w:p>
        </w:tc>
        <w:tc>
          <w:tcPr>
            <w:tcW w:w="1800" w:type="dxa"/>
            <w:vAlign w:val="bottom"/>
          </w:tcPr>
          <w:p>
            <w:pPr>
              <w:jc w:val="right"/>
              <w:spacing w:after="0"/>
              <w:rPr>
                <w:sz w:val="20"/>
                <w:szCs w:val="20"/>
                <w:color w:val="auto"/>
              </w:rPr>
            </w:pPr>
            <w:r>
              <w:rPr>
                <w:rFonts w:ascii="Arial" w:cs="Arial" w:eastAsia="Arial" w:hAnsi="Arial"/>
                <w:sz w:val="17"/>
                <w:szCs w:val="17"/>
                <w:color w:val="auto"/>
              </w:rPr>
              <w:t>March 30, 2022</w:t>
            </w:r>
          </w:p>
        </w:tc>
        <w:tc>
          <w:tcPr>
            <w:tcW w:w="0" w:type="dxa"/>
            <w:vAlign w:val="bottom"/>
          </w:tcPr>
          <w:p>
            <w:pPr>
              <w:spacing w:after="0"/>
              <w:rPr>
                <w:sz w:val="1"/>
                <w:szCs w:val="1"/>
                <w:color w:val="auto"/>
              </w:rPr>
            </w:pPr>
          </w:p>
        </w:tc>
      </w:tr>
      <w:tr>
        <w:trPr>
          <w:trHeight w:val="190"/>
        </w:trPr>
        <w:tc>
          <w:tcPr>
            <w:tcW w:w="1420" w:type="dxa"/>
            <w:vAlign w:val="bottom"/>
          </w:tcPr>
          <w:p>
            <w:pPr>
              <w:spacing w:after="0"/>
              <w:rPr>
                <w:sz w:val="16"/>
                <w:szCs w:val="16"/>
                <w:color w:val="auto"/>
              </w:rPr>
            </w:pPr>
          </w:p>
        </w:tc>
        <w:tc>
          <w:tcPr>
            <w:tcW w:w="1180" w:type="dxa"/>
            <w:vAlign w:val="bottom"/>
          </w:tcPr>
          <w:p>
            <w:pPr>
              <w:spacing w:after="0" w:line="190" w:lineRule="exact"/>
              <w:rPr>
                <w:sz w:val="20"/>
                <w:szCs w:val="20"/>
                <w:color w:val="auto"/>
              </w:rPr>
            </w:pPr>
            <w:r>
              <w:rPr>
                <w:rFonts w:ascii="Arial" w:cs="Arial" w:eastAsia="Arial" w:hAnsi="Arial"/>
                <w:sz w:val="17"/>
                <w:szCs w:val="17"/>
                <w:color w:val="auto"/>
              </w:rPr>
              <w:t>Vesting Stock</w:t>
            </w:r>
          </w:p>
        </w:tc>
        <w:tc>
          <w:tcPr>
            <w:tcW w:w="5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Options</w:t>
            </w:r>
          </w:p>
        </w:tc>
        <w:tc>
          <w:tcPr>
            <w:tcW w:w="5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
        </w:trPr>
        <w:tc>
          <w:tcPr>
            <w:tcW w:w="1420" w:type="dxa"/>
            <w:vAlign w:val="bottom"/>
            <w:tcBorders>
              <w:bottom w:val="single" w:sz="8" w:color="125288"/>
            </w:tcBorders>
          </w:tcPr>
          <w:p>
            <w:pPr>
              <w:spacing w:after="0"/>
              <w:rPr>
                <w:sz w:val="7"/>
                <w:szCs w:val="7"/>
                <w:color w:val="auto"/>
              </w:rPr>
            </w:pPr>
          </w:p>
        </w:tc>
        <w:tc>
          <w:tcPr>
            <w:tcW w:w="1180" w:type="dxa"/>
            <w:vAlign w:val="bottom"/>
            <w:tcBorders>
              <w:bottom w:val="single" w:sz="8" w:color="125288"/>
            </w:tcBorders>
          </w:tcPr>
          <w:p>
            <w:pPr>
              <w:spacing w:after="0"/>
              <w:rPr>
                <w:sz w:val="7"/>
                <w:szCs w:val="7"/>
                <w:color w:val="auto"/>
              </w:rPr>
            </w:pPr>
          </w:p>
        </w:tc>
        <w:tc>
          <w:tcPr>
            <w:tcW w:w="560" w:type="dxa"/>
            <w:vAlign w:val="bottom"/>
            <w:tcBorders>
              <w:bottom w:val="single" w:sz="8" w:color="125288"/>
            </w:tcBorders>
          </w:tcPr>
          <w:p>
            <w:pPr>
              <w:spacing w:after="0"/>
              <w:rPr>
                <w:sz w:val="7"/>
                <w:szCs w:val="7"/>
                <w:color w:val="auto"/>
              </w:rPr>
            </w:pPr>
          </w:p>
        </w:tc>
        <w:tc>
          <w:tcPr>
            <w:tcW w:w="1840" w:type="dxa"/>
            <w:vAlign w:val="bottom"/>
            <w:tcBorders>
              <w:bottom w:val="single" w:sz="8" w:color="125288"/>
            </w:tcBorders>
          </w:tcPr>
          <w:p>
            <w:pPr>
              <w:spacing w:after="0"/>
              <w:rPr>
                <w:sz w:val="7"/>
                <w:szCs w:val="7"/>
                <w:color w:val="auto"/>
              </w:rPr>
            </w:pPr>
          </w:p>
        </w:tc>
        <w:tc>
          <w:tcPr>
            <w:tcW w:w="1220" w:type="dxa"/>
            <w:vAlign w:val="bottom"/>
            <w:tcBorders>
              <w:bottom w:val="single" w:sz="8" w:color="125288"/>
            </w:tcBorders>
          </w:tcPr>
          <w:p>
            <w:pPr>
              <w:spacing w:after="0"/>
              <w:rPr>
                <w:sz w:val="7"/>
                <w:szCs w:val="7"/>
                <w:color w:val="auto"/>
              </w:rPr>
            </w:pPr>
          </w:p>
        </w:tc>
        <w:tc>
          <w:tcPr>
            <w:tcW w:w="420" w:type="dxa"/>
            <w:vAlign w:val="bottom"/>
            <w:tcBorders>
              <w:bottom w:val="single" w:sz="8" w:color="125288"/>
            </w:tcBorders>
          </w:tcPr>
          <w:p>
            <w:pPr>
              <w:spacing w:after="0"/>
              <w:rPr>
                <w:sz w:val="7"/>
                <w:szCs w:val="7"/>
                <w:color w:val="auto"/>
              </w:rPr>
            </w:pPr>
          </w:p>
        </w:tc>
        <w:tc>
          <w:tcPr>
            <w:tcW w:w="820" w:type="dxa"/>
            <w:vAlign w:val="bottom"/>
            <w:tcBorders>
              <w:bottom w:val="single" w:sz="8" w:color="125288"/>
            </w:tcBorders>
          </w:tcPr>
          <w:p>
            <w:pPr>
              <w:spacing w:after="0"/>
              <w:rPr>
                <w:sz w:val="7"/>
                <w:szCs w:val="7"/>
                <w:color w:val="auto"/>
              </w:rPr>
            </w:pPr>
          </w:p>
        </w:tc>
        <w:tc>
          <w:tcPr>
            <w:tcW w:w="1140" w:type="dxa"/>
            <w:vAlign w:val="bottom"/>
            <w:tcBorders>
              <w:bottom w:val="single" w:sz="8" w:color="125288"/>
            </w:tcBorders>
          </w:tcPr>
          <w:p>
            <w:pPr>
              <w:spacing w:after="0"/>
              <w:rPr>
                <w:sz w:val="7"/>
                <w:szCs w:val="7"/>
                <w:color w:val="auto"/>
              </w:rPr>
            </w:pPr>
          </w:p>
        </w:tc>
        <w:tc>
          <w:tcPr>
            <w:tcW w:w="860" w:type="dxa"/>
            <w:vAlign w:val="bottom"/>
            <w:tcBorders>
              <w:bottom w:val="single" w:sz="8" w:color="125288"/>
            </w:tcBorders>
          </w:tcPr>
          <w:p>
            <w:pPr>
              <w:spacing w:after="0"/>
              <w:rPr>
                <w:sz w:val="7"/>
                <w:szCs w:val="7"/>
                <w:color w:val="auto"/>
              </w:rPr>
            </w:pPr>
          </w:p>
        </w:tc>
        <w:tc>
          <w:tcPr>
            <w:tcW w:w="1800" w:type="dxa"/>
            <w:vAlign w:val="bottom"/>
            <w:tcBorders>
              <w:bottom w:val="single" w:sz="8" w:color="125288"/>
            </w:tcBorders>
          </w:tcPr>
          <w:p>
            <w:pPr>
              <w:spacing w:after="0"/>
              <w:rPr>
                <w:sz w:val="7"/>
                <w:szCs w:val="7"/>
                <w:color w:val="auto"/>
              </w:rPr>
            </w:pPr>
          </w:p>
        </w:tc>
        <w:tc>
          <w:tcPr>
            <w:tcW w:w="0" w:type="dxa"/>
            <w:vAlign w:val="bottom"/>
          </w:tcPr>
          <w:p>
            <w:pPr>
              <w:spacing w:after="0"/>
              <w:rPr>
                <w:sz w:val="1"/>
                <w:szCs w:val="1"/>
                <w:color w:val="auto"/>
              </w:rPr>
            </w:pPr>
          </w:p>
        </w:tc>
      </w:tr>
      <w:tr>
        <w:trPr>
          <w:trHeight w:val="360"/>
        </w:trPr>
        <w:tc>
          <w:tcPr>
            <w:tcW w:w="1420" w:type="dxa"/>
            <w:vAlign w:val="bottom"/>
          </w:tcPr>
          <w:p>
            <w:pPr>
              <w:ind w:left="40"/>
              <w:spacing w:after="0"/>
              <w:rPr>
                <w:sz w:val="20"/>
                <w:szCs w:val="20"/>
                <w:color w:val="auto"/>
              </w:rPr>
            </w:pPr>
            <w:r>
              <w:rPr>
                <w:rFonts w:ascii="Arial" w:cs="Arial" w:eastAsia="Arial" w:hAnsi="Arial"/>
                <w:sz w:val="17"/>
                <w:szCs w:val="17"/>
                <w:b w:val="1"/>
                <w:bCs w:val="1"/>
                <w:color w:val="auto"/>
              </w:rPr>
              <w:t>Grant Dixton</w:t>
            </w:r>
          </w:p>
        </w:tc>
        <w:tc>
          <w:tcPr>
            <w:tcW w:w="1180" w:type="dxa"/>
            <w:vAlign w:val="bottom"/>
            <w:tcBorders>
              <w:bottom w:val="single" w:sz="8" w:color="125288"/>
            </w:tcBorders>
          </w:tcPr>
          <w:p>
            <w:pPr>
              <w:spacing w:after="0"/>
              <w:rPr>
                <w:sz w:val="20"/>
                <w:szCs w:val="20"/>
                <w:color w:val="auto"/>
              </w:rPr>
            </w:pPr>
            <w:r>
              <w:rPr>
                <w:rFonts w:ascii="Arial" w:cs="Arial" w:eastAsia="Arial" w:hAnsi="Arial"/>
                <w:sz w:val="17"/>
                <w:szCs w:val="17"/>
                <w:color w:val="auto"/>
              </w:rPr>
              <w:t>PSUs</w:t>
            </w:r>
          </w:p>
        </w:tc>
        <w:tc>
          <w:tcPr>
            <w:tcW w:w="560" w:type="dxa"/>
            <w:vAlign w:val="bottom"/>
            <w:tcBorders>
              <w:bottom w:val="single" w:sz="8" w:color="125288"/>
            </w:tcBorders>
          </w:tcPr>
          <w:p>
            <w:pPr>
              <w:ind w:left="160"/>
              <w:spacing w:after="0"/>
              <w:rPr>
                <w:sz w:val="20"/>
                <w:szCs w:val="20"/>
                <w:color w:val="auto"/>
              </w:rPr>
            </w:pPr>
            <w:r>
              <w:rPr>
                <w:rFonts w:ascii="Arial" w:cs="Arial" w:eastAsia="Arial" w:hAnsi="Arial"/>
                <w:sz w:val="17"/>
                <w:szCs w:val="17"/>
                <w:color w:val="auto"/>
              </w:rPr>
              <w:t>2021</w:t>
            </w:r>
          </w:p>
        </w:tc>
        <w:tc>
          <w:tcPr>
            <w:tcW w:w="1840" w:type="dxa"/>
            <w:vAlign w:val="bottom"/>
            <w:tcBorders>
              <w:bottom w:val="single" w:sz="8" w:color="125288"/>
            </w:tcBorders>
          </w:tcPr>
          <w:p>
            <w:pPr>
              <w:ind w:left="20"/>
              <w:spacing w:after="0"/>
              <w:rPr>
                <w:sz w:val="20"/>
                <w:szCs w:val="20"/>
                <w:color w:val="auto"/>
              </w:rPr>
            </w:pPr>
            <w:r>
              <w:rPr>
                <w:rFonts w:ascii="Arial" w:cs="Arial" w:eastAsia="Arial" w:hAnsi="Arial"/>
                <w:sz w:val="17"/>
                <w:szCs w:val="17"/>
                <w:color w:val="auto"/>
              </w:rPr>
              <w:t>AB Adjusted EPS</w:t>
            </w:r>
          </w:p>
        </w:tc>
        <w:tc>
          <w:tcPr>
            <w:tcW w:w="1640" w:type="dxa"/>
            <w:vAlign w:val="bottom"/>
            <w:tcBorders>
              <w:bottom w:val="single" w:sz="8" w:color="125288"/>
            </w:tcBorders>
            <w:gridSpan w:val="2"/>
          </w:tcPr>
          <w:p>
            <w:pPr>
              <w:jc w:val="right"/>
              <w:ind w:right="240"/>
              <w:spacing w:after="0" w:line="356" w:lineRule="exact"/>
              <w:rPr>
                <w:sz w:val="20"/>
                <w:szCs w:val="20"/>
                <w:color w:val="auto"/>
              </w:rPr>
            </w:pPr>
            <w:r>
              <w:rPr>
                <w:rFonts w:ascii="Arial" w:cs="Arial" w:eastAsia="Arial" w:hAnsi="Arial"/>
                <w:sz w:val="33"/>
                <w:szCs w:val="33"/>
                <w:color w:val="auto"/>
                <w:vertAlign w:val="subscript"/>
              </w:rPr>
              <w:t>94</w:t>
            </w:r>
            <w:r>
              <w:rPr>
                <w:rFonts w:ascii="Arial" w:cs="Arial" w:eastAsia="Arial" w:hAnsi="Arial"/>
                <w:sz w:val="14"/>
                <w:szCs w:val="14"/>
                <w:color w:val="auto"/>
              </w:rPr>
              <w:t>(3)</w:t>
            </w:r>
          </w:p>
        </w:tc>
        <w:tc>
          <w:tcPr>
            <w:tcW w:w="820" w:type="dxa"/>
            <w:vAlign w:val="bottom"/>
            <w:tcBorders>
              <w:bottom w:val="single" w:sz="8" w:color="125288"/>
            </w:tcBorders>
          </w:tcPr>
          <w:p>
            <w:pPr>
              <w:jc w:val="right"/>
              <w:ind w:right="58"/>
              <w:spacing w:after="0"/>
              <w:rPr>
                <w:sz w:val="20"/>
                <w:szCs w:val="20"/>
                <w:color w:val="auto"/>
              </w:rPr>
            </w:pPr>
            <w:r>
              <w:rPr>
                <w:rFonts w:ascii="Arial" w:cs="Arial" w:eastAsia="Arial" w:hAnsi="Arial"/>
                <w:sz w:val="17"/>
                <w:szCs w:val="17"/>
                <w:color w:val="auto"/>
              </w:rPr>
              <w:t>12,451</w:t>
            </w:r>
          </w:p>
        </w:tc>
        <w:tc>
          <w:tcPr>
            <w:tcW w:w="1140" w:type="dxa"/>
            <w:vAlign w:val="bottom"/>
            <w:tcBorders>
              <w:bottom w:val="single" w:sz="8" w:color="125288"/>
            </w:tcBorders>
          </w:tcPr>
          <w:p>
            <w:pPr>
              <w:jc w:val="right"/>
              <w:ind w:right="197"/>
              <w:spacing w:after="0"/>
              <w:rPr>
                <w:sz w:val="20"/>
                <w:szCs w:val="20"/>
                <w:color w:val="auto"/>
              </w:rPr>
            </w:pPr>
            <w:r>
              <w:rPr>
                <w:rFonts w:ascii="Arial" w:cs="Arial" w:eastAsia="Arial" w:hAnsi="Arial"/>
                <w:sz w:val="17"/>
                <w:szCs w:val="17"/>
                <w:color w:val="auto"/>
              </w:rPr>
              <w:t>15,564</w:t>
            </w:r>
          </w:p>
        </w:tc>
        <w:tc>
          <w:tcPr>
            <w:tcW w:w="860" w:type="dxa"/>
            <w:vAlign w:val="bottom"/>
            <w:tcBorders>
              <w:bottom w:val="single" w:sz="8" w:color="125288"/>
            </w:tcBorders>
          </w:tcPr>
          <w:p>
            <w:pPr>
              <w:jc w:val="right"/>
              <w:ind w:right="57"/>
              <w:spacing w:after="0"/>
              <w:rPr>
                <w:sz w:val="20"/>
                <w:szCs w:val="20"/>
                <w:color w:val="auto"/>
              </w:rPr>
            </w:pPr>
            <w:r>
              <w:rPr>
                <w:rFonts w:ascii="Arial" w:cs="Arial" w:eastAsia="Arial" w:hAnsi="Arial"/>
                <w:sz w:val="17"/>
                <w:szCs w:val="17"/>
                <w:color w:val="auto"/>
              </w:rPr>
              <w:t>8,787</w:t>
            </w:r>
          </w:p>
        </w:tc>
        <w:tc>
          <w:tcPr>
            <w:tcW w:w="1800" w:type="dxa"/>
            <w:vAlign w:val="bottom"/>
            <w:tcBorders>
              <w:bottom w:val="single" w:sz="8" w:color="125288"/>
            </w:tcBorders>
          </w:tcPr>
          <w:p>
            <w:pPr>
              <w:jc w:val="right"/>
              <w:spacing w:after="0"/>
              <w:rPr>
                <w:sz w:val="20"/>
                <w:szCs w:val="20"/>
                <w:color w:val="auto"/>
              </w:rPr>
            </w:pPr>
            <w:r>
              <w:rPr>
                <w:rFonts w:ascii="Arial" w:cs="Arial" w:eastAsia="Arial" w:hAnsi="Arial"/>
                <w:sz w:val="17"/>
                <w:szCs w:val="17"/>
                <w:color w:val="auto"/>
              </w:rPr>
              <w:t>June 29, 2022</w:t>
            </w:r>
          </w:p>
        </w:tc>
        <w:tc>
          <w:tcPr>
            <w:tcW w:w="0" w:type="dxa"/>
            <w:vAlign w:val="bottom"/>
          </w:tcPr>
          <w:p>
            <w:pPr>
              <w:spacing w:after="0"/>
              <w:rPr>
                <w:sz w:val="1"/>
                <w:szCs w:val="1"/>
                <w:color w:val="auto"/>
              </w:rPr>
            </w:pPr>
          </w:p>
        </w:tc>
      </w:tr>
      <w:tr>
        <w:trPr>
          <w:trHeight w:val="360"/>
        </w:trPr>
        <w:tc>
          <w:tcPr>
            <w:tcW w:w="1420" w:type="dxa"/>
            <w:vAlign w:val="bottom"/>
            <w:tcBorders>
              <w:bottom w:val="single" w:sz="8" w:color="125288"/>
            </w:tcBorders>
          </w:tcPr>
          <w:p>
            <w:pPr>
              <w:spacing w:after="0"/>
              <w:rPr>
                <w:sz w:val="24"/>
                <w:szCs w:val="24"/>
                <w:color w:val="auto"/>
              </w:rPr>
            </w:pPr>
          </w:p>
        </w:tc>
        <w:tc>
          <w:tcPr>
            <w:tcW w:w="1180" w:type="dxa"/>
            <w:vAlign w:val="bottom"/>
            <w:tcBorders>
              <w:bottom w:val="single" w:sz="8" w:color="125288"/>
            </w:tcBorders>
          </w:tcPr>
          <w:p>
            <w:pPr>
              <w:spacing w:after="0"/>
              <w:rPr>
                <w:sz w:val="20"/>
                <w:szCs w:val="20"/>
                <w:color w:val="auto"/>
              </w:rPr>
            </w:pPr>
            <w:r>
              <w:rPr>
                <w:rFonts w:ascii="Arial" w:cs="Arial" w:eastAsia="Arial" w:hAnsi="Arial"/>
                <w:sz w:val="17"/>
                <w:szCs w:val="17"/>
                <w:color w:val="auto"/>
              </w:rPr>
              <w:t>PSUs</w:t>
            </w:r>
          </w:p>
        </w:tc>
        <w:tc>
          <w:tcPr>
            <w:tcW w:w="560" w:type="dxa"/>
            <w:vAlign w:val="bottom"/>
            <w:tcBorders>
              <w:bottom w:val="single" w:sz="8" w:color="125288"/>
            </w:tcBorders>
          </w:tcPr>
          <w:p>
            <w:pPr>
              <w:ind w:left="160"/>
              <w:spacing w:after="0"/>
              <w:rPr>
                <w:sz w:val="20"/>
                <w:szCs w:val="20"/>
                <w:color w:val="auto"/>
              </w:rPr>
            </w:pPr>
            <w:r>
              <w:rPr>
                <w:rFonts w:ascii="Arial" w:cs="Arial" w:eastAsia="Arial" w:hAnsi="Arial"/>
                <w:sz w:val="17"/>
                <w:szCs w:val="17"/>
                <w:color w:val="auto"/>
              </w:rPr>
              <w:t>2021</w:t>
            </w:r>
          </w:p>
        </w:tc>
        <w:tc>
          <w:tcPr>
            <w:tcW w:w="1840" w:type="dxa"/>
            <w:vAlign w:val="bottom"/>
            <w:tcBorders>
              <w:bottom w:val="single" w:sz="8" w:color="125288"/>
            </w:tcBorders>
          </w:tcPr>
          <w:p>
            <w:pPr>
              <w:ind w:left="20"/>
              <w:spacing w:after="0"/>
              <w:rPr>
                <w:sz w:val="20"/>
                <w:szCs w:val="20"/>
                <w:color w:val="auto"/>
              </w:rPr>
            </w:pPr>
            <w:r>
              <w:rPr>
                <w:rFonts w:ascii="Arial" w:cs="Arial" w:eastAsia="Arial" w:hAnsi="Arial"/>
                <w:sz w:val="17"/>
                <w:szCs w:val="17"/>
                <w:color w:val="auto"/>
              </w:rPr>
              <w:t>AB Adjusted OI</w:t>
            </w:r>
          </w:p>
        </w:tc>
        <w:tc>
          <w:tcPr>
            <w:tcW w:w="1640" w:type="dxa"/>
            <w:vAlign w:val="bottom"/>
            <w:tcBorders>
              <w:bottom w:val="single" w:sz="8" w:color="125288"/>
            </w:tcBorders>
            <w:gridSpan w:val="2"/>
          </w:tcPr>
          <w:p>
            <w:pPr>
              <w:jc w:val="right"/>
              <w:ind w:right="240"/>
              <w:spacing w:after="0" w:line="356" w:lineRule="exact"/>
              <w:rPr>
                <w:sz w:val="20"/>
                <w:szCs w:val="20"/>
                <w:color w:val="auto"/>
              </w:rPr>
            </w:pPr>
            <w:r>
              <w:rPr>
                <w:rFonts w:ascii="Arial" w:cs="Arial" w:eastAsia="Arial" w:hAnsi="Arial"/>
                <w:sz w:val="33"/>
                <w:szCs w:val="33"/>
                <w:color w:val="auto"/>
                <w:vertAlign w:val="subscript"/>
              </w:rPr>
              <w:t>0</w:t>
            </w:r>
            <w:r>
              <w:rPr>
                <w:rFonts w:ascii="Arial" w:cs="Arial" w:eastAsia="Arial" w:hAnsi="Arial"/>
                <w:sz w:val="14"/>
                <w:szCs w:val="14"/>
                <w:color w:val="auto"/>
              </w:rPr>
              <w:t>(3)</w:t>
            </w:r>
          </w:p>
        </w:tc>
        <w:tc>
          <w:tcPr>
            <w:tcW w:w="820" w:type="dxa"/>
            <w:vAlign w:val="bottom"/>
            <w:tcBorders>
              <w:bottom w:val="single" w:sz="8" w:color="125288"/>
            </w:tcBorders>
          </w:tcPr>
          <w:p>
            <w:pPr>
              <w:jc w:val="right"/>
              <w:ind w:right="58"/>
              <w:spacing w:after="0"/>
              <w:rPr>
                <w:sz w:val="20"/>
                <w:szCs w:val="20"/>
                <w:color w:val="auto"/>
              </w:rPr>
            </w:pPr>
            <w:r>
              <w:rPr>
                <w:rFonts w:ascii="Arial" w:cs="Arial" w:eastAsia="Arial" w:hAnsi="Arial"/>
                <w:sz w:val="17"/>
                <w:szCs w:val="17"/>
                <w:color w:val="auto"/>
              </w:rPr>
              <w:t>12,451</w:t>
            </w:r>
          </w:p>
        </w:tc>
        <w:tc>
          <w:tcPr>
            <w:tcW w:w="1140" w:type="dxa"/>
            <w:vAlign w:val="bottom"/>
            <w:tcBorders>
              <w:bottom w:val="single" w:sz="8" w:color="125288"/>
            </w:tcBorders>
          </w:tcPr>
          <w:p>
            <w:pPr>
              <w:jc w:val="right"/>
              <w:ind w:right="197"/>
              <w:spacing w:after="0"/>
              <w:rPr>
                <w:sz w:val="20"/>
                <w:szCs w:val="20"/>
                <w:color w:val="auto"/>
              </w:rPr>
            </w:pPr>
            <w:r>
              <w:rPr>
                <w:rFonts w:ascii="Arial" w:cs="Arial" w:eastAsia="Arial" w:hAnsi="Arial"/>
                <w:sz w:val="17"/>
                <w:szCs w:val="17"/>
                <w:color w:val="auto"/>
              </w:rPr>
              <w:t>15,564</w:t>
            </w:r>
          </w:p>
        </w:tc>
        <w:tc>
          <w:tcPr>
            <w:tcW w:w="860" w:type="dxa"/>
            <w:vAlign w:val="bottom"/>
            <w:tcBorders>
              <w:bottom w:val="single" w:sz="8" w:color="125288"/>
            </w:tcBorders>
          </w:tcPr>
          <w:p>
            <w:pPr>
              <w:jc w:val="right"/>
              <w:ind w:right="57"/>
              <w:spacing w:after="0"/>
              <w:rPr>
                <w:sz w:val="20"/>
                <w:szCs w:val="20"/>
                <w:color w:val="auto"/>
              </w:rPr>
            </w:pPr>
            <w:r>
              <w:rPr>
                <w:rFonts w:ascii="Arial" w:cs="Arial" w:eastAsia="Arial" w:hAnsi="Arial"/>
                <w:sz w:val="17"/>
                <w:szCs w:val="17"/>
                <w:color w:val="auto"/>
              </w:rPr>
              <w:t>0</w:t>
            </w:r>
          </w:p>
        </w:tc>
        <w:tc>
          <w:tcPr>
            <w:tcW w:w="1800" w:type="dxa"/>
            <w:vAlign w:val="bottom"/>
            <w:tcBorders>
              <w:bottom w:val="single" w:sz="8" w:color="125288"/>
            </w:tcBorders>
          </w:tcPr>
          <w:p>
            <w:pPr>
              <w:jc w:val="right"/>
              <w:spacing w:after="0"/>
              <w:rPr>
                <w:sz w:val="20"/>
                <w:szCs w:val="20"/>
                <w:color w:val="auto"/>
              </w:rPr>
            </w:pPr>
            <w:r>
              <w:rPr>
                <w:rFonts w:ascii="Arial" w:cs="Arial" w:eastAsia="Arial" w:hAnsi="Arial"/>
                <w:sz w:val="17"/>
                <w:szCs w:val="17"/>
                <w:color w:val="auto"/>
              </w:rPr>
              <w:t>June 29, 2022</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320" w:hanging="277"/>
        <w:spacing w:after="0"/>
        <w:tabs>
          <w:tab w:leader="none" w:pos="32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Represents multiple grants.</w:t>
      </w:r>
    </w:p>
    <w:p>
      <w:pPr>
        <w:spacing w:after="0" w:line="41" w:lineRule="exact"/>
        <w:rPr>
          <w:rFonts w:ascii="Arial" w:cs="Arial" w:eastAsia="Arial" w:hAnsi="Arial"/>
          <w:sz w:val="15"/>
          <w:szCs w:val="15"/>
          <w:color w:val="auto"/>
        </w:rPr>
      </w:pPr>
    </w:p>
    <w:p>
      <w:pPr>
        <w:ind w:left="320" w:hanging="277"/>
        <w:spacing w:after="0"/>
        <w:tabs>
          <w:tab w:leader="none" w:pos="32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Award canceled for performance below 85% and vests on a 1:1 performance-to-payout ratio from 85% to 125%.</w:t>
      </w:r>
    </w:p>
    <w:p>
      <w:pPr>
        <w:spacing w:after="0" w:line="41" w:lineRule="exact"/>
        <w:rPr>
          <w:rFonts w:ascii="Arial" w:cs="Arial" w:eastAsia="Arial" w:hAnsi="Arial"/>
          <w:sz w:val="15"/>
          <w:szCs w:val="15"/>
          <w:color w:val="auto"/>
        </w:rPr>
      </w:pPr>
    </w:p>
    <w:p>
      <w:pPr>
        <w:ind w:left="320" w:right="80" w:hanging="277"/>
        <w:spacing w:after="0" w:line="266" w:lineRule="auto"/>
        <w:tabs>
          <w:tab w:leader="none" w:pos="32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Award canceled for performance below 90%. 50% of PSUs vest at 90% performance. PSUs vest on a 1:5 performance-to-payout ratio from 90% to 100% and a 1:1 performance-to-payout ratio from 100% to 125%.</w:t>
      </w:r>
    </w:p>
    <w:p>
      <w:pPr>
        <w:spacing w:after="0" w:line="9" w:lineRule="exact"/>
        <w:rPr>
          <w:rFonts w:ascii="Arial" w:cs="Arial" w:eastAsia="Arial" w:hAnsi="Arial"/>
          <w:sz w:val="15"/>
          <w:szCs w:val="15"/>
          <w:color w:val="auto"/>
        </w:rPr>
      </w:pPr>
    </w:p>
    <w:p>
      <w:pPr>
        <w:ind w:left="320" w:right="80" w:hanging="277"/>
        <w:spacing w:after="0" w:line="266" w:lineRule="auto"/>
        <w:tabs>
          <w:tab w:leader="none" w:pos="32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Award canceled for performance below 85%. 50% of PSUs vest from 85% to 90% performance. PSUs vest on a 1:1 performance-to-payout ratio from 90% to 200%.</w:t>
      </w:r>
    </w:p>
    <w:p>
      <w:pPr>
        <w:spacing w:after="0" w:line="9" w:lineRule="exact"/>
        <w:rPr>
          <w:rFonts w:ascii="Arial" w:cs="Arial" w:eastAsia="Arial" w:hAnsi="Arial"/>
          <w:sz w:val="15"/>
          <w:szCs w:val="15"/>
          <w:color w:val="auto"/>
        </w:rPr>
      </w:pPr>
    </w:p>
    <w:p>
      <w:pPr>
        <w:ind w:left="320" w:right="80" w:hanging="277"/>
        <w:spacing w:after="0" w:line="266" w:lineRule="auto"/>
        <w:tabs>
          <w:tab w:leader="none" w:pos="32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Award canceled for performance below 85%. 50% of PSUs vest from 85% to 90% performance. PSUs vest on a 1:1 performance-to-payout ratio from 90% to 250%.</w:t>
      </w:r>
    </w:p>
    <w:p>
      <w:pPr>
        <w:spacing w:after="0" w:line="9" w:lineRule="exact"/>
        <w:rPr>
          <w:rFonts w:ascii="Arial" w:cs="Arial" w:eastAsia="Arial" w:hAnsi="Arial"/>
          <w:sz w:val="15"/>
          <w:szCs w:val="15"/>
          <w:color w:val="auto"/>
        </w:rPr>
      </w:pPr>
    </w:p>
    <w:p>
      <w:pPr>
        <w:ind w:left="320" w:hanging="277"/>
        <w:spacing w:after="0"/>
        <w:tabs>
          <w:tab w:leader="none" w:pos="32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Our TSR performance compared to the S&amp;P 500 between April 7, 2020, and December 31, 2021.</w:t>
      </w:r>
    </w:p>
    <w:p>
      <w:pPr>
        <w:spacing w:after="0" w:line="41" w:lineRule="exact"/>
        <w:rPr>
          <w:rFonts w:ascii="Arial" w:cs="Arial" w:eastAsia="Arial" w:hAnsi="Arial"/>
          <w:sz w:val="15"/>
          <w:szCs w:val="15"/>
          <w:color w:val="auto"/>
        </w:rPr>
      </w:pPr>
    </w:p>
    <w:p>
      <w:pPr>
        <w:ind w:left="320" w:hanging="277"/>
        <w:spacing w:after="0"/>
        <w:tabs>
          <w:tab w:leader="none" w:pos="32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Award canceled for performance at or below 110%. PSUs vest from 0% to 100% for performance between 110% and 120%.</w:t>
      </w:r>
    </w:p>
    <w:p>
      <w:pPr>
        <w:spacing w:after="0" w:line="41" w:lineRule="exact"/>
        <w:rPr>
          <w:rFonts w:ascii="Arial" w:cs="Arial" w:eastAsia="Arial" w:hAnsi="Arial"/>
          <w:sz w:val="15"/>
          <w:szCs w:val="15"/>
          <w:color w:val="auto"/>
        </w:rPr>
      </w:pPr>
    </w:p>
    <w:p>
      <w:pPr>
        <w:ind w:left="320" w:hanging="277"/>
        <w:spacing w:after="0"/>
        <w:tabs>
          <w:tab w:leader="none" w:pos="32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Award canceled for performance below 50% and requires 50% performance for 100% of the options to vest.</w:t>
      </w:r>
    </w:p>
    <w:p>
      <w:pPr>
        <w:spacing w:after="0" w:line="41" w:lineRule="exact"/>
        <w:rPr>
          <w:rFonts w:ascii="Arial" w:cs="Arial" w:eastAsia="Arial" w:hAnsi="Arial"/>
          <w:sz w:val="15"/>
          <w:szCs w:val="15"/>
          <w:color w:val="auto"/>
        </w:rPr>
      </w:pPr>
    </w:p>
    <w:p>
      <w:pPr>
        <w:ind w:left="320" w:hanging="277"/>
        <w:spacing w:after="0"/>
        <w:tabs>
          <w:tab w:leader="none" w:pos="32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Award canceled for performance below 100% and vests on a 1:1 performance-to-payout ratio from 100% to 200%.</w:t>
      </w:r>
    </w:p>
    <w:p>
      <w:pPr>
        <w:spacing w:after="0" w:line="41" w:lineRule="exact"/>
        <w:rPr>
          <w:rFonts w:ascii="Arial" w:cs="Arial" w:eastAsia="Arial" w:hAnsi="Arial"/>
          <w:sz w:val="15"/>
          <w:szCs w:val="15"/>
          <w:color w:val="auto"/>
        </w:rPr>
      </w:pPr>
    </w:p>
    <w:p>
      <w:pPr>
        <w:ind w:left="340" w:hanging="297"/>
        <w:spacing w:after="0"/>
        <w:tabs>
          <w:tab w:leader="none" w:pos="34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Award canceled for performance below 90% and vests on a 1:1 performance-to-payout ratio from 90% to 200%.</w:t>
      </w:r>
    </w:p>
    <w:p>
      <w:pPr>
        <w:spacing w:after="0" w:line="41" w:lineRule="exact"/>
        <w:rPr>
          <w:rFonts w:ascii="Arial" w:cs="Arial" w:eastAsia="Arial" w:hAnsi="Arial"/>
          <w:sz w:val="15"/>
          <w:szCs w:val="15"/>
          <w:color w:val="auto"/>
        </w:rPr>
      </w:pPr>
    </w:p>
    <w:p>
      <w:pPr>
        <w:ind w:left="340" w:hanging="297"/>
        <w:spacing w:after="0"/>
        <w:tabs>
          <w:tab w:leader="none" w:pos="34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Our TSR performance compared to the S&amp;P 500 between February 1, 2021, and December 31, 2021.</w:t>
      </w: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color w:val="auto"/>
        </w:rPr>
        <w:t>For more information on these awards, see “—Outstanding Equity Awards” below.</w:t>
      </w:r>
    </w:p>
    <w:p>
      <w:pPr>
        <w:spacing w:after="0" w:line="163"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86" w:name="page87"/>
    <w:bookmarkEnd w:id="86"/>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125288"/>
        </w:rPr>
        <w:t>No Dividend Equivalents</w:t>
      </w:r>
    </w:p>
    <w:p>
      <w:pPr>
        <w:spacing w:after="0" w:line="149"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None of the outstanding equity awards made to our NEOs are entitled to receive dividend equivalents, and we do not anticipate making time- or performance-based vesting awards with the right to receive dividend equivalents in the future.</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125288"/>
        </w:rPr>
        <w:t>Other Award Terms</w:t>
      </w:r>
    </w:p>
    <w:p>
      <w:pPr>
        <w:spacing w:after="0" w:line="149"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Stock options have an exercise price equal to the closing price of our Common Stock on The Nasdaq Stock Market on the effective date of the grant.</w:t>
      </w:r>
    </w:p>
    <w:p>
      <w:pPr>
        <w:spacing w:after="0" w:line="255"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Equity awards generally will cease to vest if the holder’s employment terminates, and vested stock options generally will remain exercisable for a limited period of time (90 days or less) after the termination date. For information about how the termination of an NEO’s employment would affect their outstanding equity awards, please see “—Potential Payments upon Termination or Change of Control” below.</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125288"/>
        </w:rPr>
        <w:t>Incentive Plan Limitations on Equity Awards</w:t>
      </w:r>
    </w:p>
    <w:p>
      <w:pPr>
        <w:spacing w:after="0" w:line="149"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Under the 2014 Plan—the plan under which all of our equity incentive awards are now granted—there are limits on the number of stock options we can grant to anyone, including our executive officers, in a single year. There are similar restrictions on the number of RSU awards and performance shares we can grant to any participant in a single year.</w:t>
      </w:r>
    </w:p>
    <w:p>
      <w:pPr>
        <w:spacing w:after="0" w:line="23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Change-of-Control Arrangements</w:t>
      </w:r>
    </w:p>
    <w:p>
      <w:pPr>
        <w:spacing w:after="0" w:line="142"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Aside from our CEO, none of our executives has any change-of-control protection pursuant to their employment agreement. Our CEO’s employment agreement provides for certain protection in the event he is terminated following a change of control (known as a “double trigger”). These benefits are described under “—Potential Payments upon Termination or Change of Control” below.</w:t>
      </w:r>
    </w:p>
    <w:p>
      <w:pPr>
        <w:spacing w:after="0" w:line="260"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Pursuant to the Merger Agreement, Activision Blizzard and Microsoft agreed that certain of our employees, including named executive officers Grant Dixton, Brian Bulatao and Armin Zerza, will be entitled to terminate their employment within 60 days following the six-month anniversary of the effective time, which will be deemed a termination by the executive for “good reason,” entitling the executive officer to certain equity acceleration benefits and the severance benefits under their individual arrangements or, if greater, the enhanced severance plan, each as described in the Merger Proxy Statement.</w:t>
      </w:r>
    </w:p>
    <w:p>
      <w:pPr>
        <w:spacing w:after="0" w:line="23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Limited Retirement Benefits</w:t>
      </w:r>
    </w:p>
    <w:p>
      <w:pPr>
        <w:spacing w:after="0" w:line="142" w:lineRule="exact"/>
        <w:rPr>
          <w:sz w:val="20"/>
          <w:szCs w:val="20"/>
          <w:color w:val="auto"/>
        </w:rPr>
      </w:pPr>
    </w:p>
    <w:p>
      <w:pPr>
        <w:jc w:val="both"/>
        <w:ind w:right="20"/>
        <w:spacing w:after="0" w:line="237" w:lineRule="auto"/>
        <w:rPr>
          <w:sz w:val="20"/>
          <w:szCs w:val="20"/>
          <w:color w:val="auto"/>
        </w:rPr>
      </w:pPr>
      <w:r>
        <w:rPr>
          <w:rFonts w:ascii="Arial" w:cs="Arial" w:eastAsia="Arial" w:hAnsi="Arial"/>
          <w:sz w:val="19"/>
          <w:szCs w:val="19"/>
          <w:color w:val="auto"/>
        </w:rPr>
        <w:t>We offer a 401(k) plan to all employees in the U.S., including our eligible NEOs, and we match a certain percentage of each employee’s contributions to that plan. Please see the “Summary Compensation Table” below for further details. We do not provide any other retirement benefits to our employees, including our NEOs. We believe that retirement arrangements are particular to, and should remain the responsibility of, each individual officer. The emphasis on minimal retirement arrangements ensures that a substantial portion of our NEOs’ long-term wealth accumulation depends on the achievement of Activision Blizzard profitability objectives and appreciation in the value of our Common Stock.</w:t>
      </w:r>
    </w:p>
    <w:p>
      <w:pPr>
        <w:spacing w:after="0" w:line="23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Standard Health and Welfare Benefits</w:t>
      </w:r>
    </w:p>
    <w:p>
      <w:pPr>
        <w:spacing w:after="0" w:line="142"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Our NEOs are eligible to participate in our medical, vision, and dental insurance programs, on the same terms as the broad employee population. Please see the “Summary Compensation Table” below for further details.</w:t>
      </w:r>
    </w:p>
    <w:p>
      <w:pPr>
        <w:spacing w:after="0" w:line="150"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87" w:name="page88"/>
    <w:bookmarkEnd w:id="87"/>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IMPACT OF PROPOSED ACQUISITION BY MICROSOFT</w:t>
      </w:r>
    </w:p>
    <w:p>
      <w:pPr>
        <w:spacing w:after="0" w:line="309" w:lineRule="exact"/>
        <w:rPr>
          <w:sz w:val="20"/>
          <w:szCs w:val="20"/>
          <w:color w:val="auto"/>
        </w:rPr>
      </w:pPr>
    </w:p>
    <w:p>
      <w:pPr>
        <w:jc w:val="both"/>
        <w:spacing w:after="0"/>
        <w:rPr>
          <w:sz w:val="20"/>
          <w:szCs w:val="20"/>
          <w:color w:val="auto"/>
        </w:rPr>
      </w:pPr>
      <w:r>
        <w:rPr>
          <w:rFonts w:ascii="Arial" w:cs="Arial" w:eastAsia="Arial" w:hAnsi="Arial"/>
          <w:sz w:val="19"/>
          <w:szCs w:val="19"/>
          <w:color w:val="auto"/>
        </w:rPr>
        <w:t>On January 18, 2022, we announced that we had entered into the Microsoft Merger Agreement. For details regarding the impact the completion of the proposed transaction with Microsoft would have on the unvested equity awards then held by our NEOs and any amounts otherwise payable to them, please see the Merger Proxy Statement.</w:t>
      </w:r>
    </w:p>
    <w:p>
      <w:pPr>
        <w:spacing w:after="0" w:line="33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ADDITIONAL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Equity Award Granting Policy</w:t>
      </w:r>
    </w:p>
    <w:p>
      <w:pPr>
        <w:spacing w:after="0" w:line="142"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All equity awards are approved by our Compensation Committee, other than grants to our non-employee directors, which are approved by the full Board. Pursuant to a policy approved by our Compensation Committee, awards are generally effective on the third trading day following approval unless the Company is in a “trading blackout,” as described in our insider trading and pre-clearance policies, in which case the effective date of the awards is, instead, one trading day after the blackout period ends.</w:t>
      </w:r>
    </w:p>
    <w:p>
      <w:pPr>
        <w:spacing w:after="0" w:line="23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Impact of Tax and Accounting Considerations</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125288"/>
        </w:rPr>
        <w:t>How We Manage Limits on Compensation Deductibility</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Since January 1, 2018, other than any “performance-based” compensation “grandfathered” under the Tax Cuts and Jobs Act transition rules, we are not able to take a U.S. tax deduction for any compensation in excess of $1 million paid to any of our “covered employees,” including our NEOs. We have considered, and will continue to consider, how the transition rules apply to our executive compensation. We continue to believe it is important that we retain the flexibility to structure compensation arrangements necessary to attract, retain, and motivate the best executive talent, even if such arrangements result in non-deductible compensation expenses.</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125288"/>
        </w:rPr>
        <w:t>How We Manage Limits on Deferral of Compensation</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9"/>
          <w:szCs w:val="19"/>
          <w:color w:val="auto"/>
        </w:rPr>
        <w:t>To the extent any compensation paid or committed to any of our NEOs constitutes a deferral of compensation within the meaning of Section 409A of the Internal Revenue Code, the Compensation Committee intends to cause that compensation to comply with the requirements of Section 409A and to avoid the imposition of penalty taxes and interest upon the person receiving the compensation.</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125288"/>
        </w:rPr>
        <w:t>Accounting Considerations</w:t>
      </w:r>
    </w:p>
    <w:p>
      <w:pPr>
        <w:spacing w:after="0" w:line="149"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The Compensation Committee also takes accounting considerations, including the impact of Accounting Standards Codification (“ASC”) Topic 718, into account in structuring compensation programs and determining the form and amount of compensation awarded.</w:t>
      </w:r>
    </w:p>
    <w:p>
      <w:pPr>
        <w:spacing w:after="0" w:line="154"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88" w:name="page89"/>
    <w:bookmarkEnd w:id="88"/>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sz w:val="1"/>
          <w:szCs w:val="1"/>
          <w:color w:val="auto"/>
        </w:rPr>
        <w:drawing>
          <wp:inline distT="0" distB="0" distL="0" distR="0">
            <wp:extent cx="445135" cy="151130"/>
            <wp:effectExtent l="0" t="0" r="0" b="0"/>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45135" cy="151130"/>
                    </a:xfrm>
                    <a:prstGeom prst="rect">
                      <a:avLst/>
                    </a:prstGeom>
                    <a:noFill/>
                    <a:ln>
                      <a:noFill/>
                    </a:ln>
                  </pic:spPr>
                </pic:pic>
              </a:graphicData>
            </a:graphic>
          </wp:inline>
        </w:drawing>
      </w:r>
      <w:r>
        <w:rPr>
          <w:rFonts w:ascii="Arial" w:cs="Arial" w:eastAsia="Arial" w:hAnsi="Arial"/>
          <w:sz w:val="31"/>
          <w:szCs w:val="31"/>
          <w:b w:val="1"/>
          <w:bCs w:val="1"/>
          <w:color w:val="125288"/>
        </w:rPr>
        <w:t xml:space="preserve"> COMPENSATION COMMITTEE REPORT</w:t>
      </w:r>
    </w:p>
    <w:p>
      <w:pPr>
        <w:spacing w:after="0" w:line="336"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Compensation Committee has reviewed and discussed with management the Compensation Discussion and Analysis included under “Executive Compensation—Compensation Discussion and Analysis” above. Based on that review and discussion, the Compensation Committee recommended to our Board that the Compensation Discussion and Analysis be included in this proxy statement and also be incorporated by reference into our Annual Report on Form 10-K for the period ended December 31, 2021.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Members of the Compensation Committee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Robert Morgado (Chair), Reveta Bowers, and Dawn Ostroff</w:t>
      </w:r>
    </w:p>
    <w:p>
      <w:pPr>
        <w:spacing w:after="0" w:line="183"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89" w:name="page90"/>
    <w:bookmarkEnd w:id="89"/>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sz w:val="1"/>
          <w:szCs w:val="1"/>
          <w:color w:val="auto"/>
        </w:rPr>
        <w:drawing>
          <wp:inline distT="0" distB="0" distL="0" distR="0">
            <wp:extent cx="445135" cy="151130"/>
            <wp:effectExtent l="0" t="0" r="0" b="0"/>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45135" cy="151130"/>
                    </a:xfrm>
                    <a:prstGeom prst="rect">
                      <a:avLst/>
                    </a:prstGeom>
                    <a:noFill/>
                    <a:ln>
                      <a:noFill/>
                    </a:ln>
                  </pic:spPr>
                </pic:pic>
              </a:graphicData>
            </a:graphic>
          </wp:inline>
        </w:drawing>
      </w:r>
      <w:r>
        <w:rPr>
          <w:rFonts w:ascii="Arial" w:cs="Arial" w:eastAsia="Arial" w:hAnsi="Arial"/>
          <w:sz w:val="31"/>
          <w:szCs w:val="31"/>
          <w:b w:val="1"/>
          <w:bCs w:val="1"/>
          <w:color w:val="125288"/>
        </w:rPr>
        <w:t xml:space="preserve"> EXECUTIVE COMPENSATION TABLES</w:t>
      </w:r>
    </w:p>
    <w:p>
      <w:pPr>
        <w:spacing w:after="0" w:line="216"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SUMMARY COMPENSATION TABLE</w:t>
      </w: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color w:val="auto"/>
        </w:rPr>
        <w:t>The table below presents information with respect to each of our NEOs regarding compensation earned during the periods indicated.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80" w:type="dxa"/>
            <w:vAlign w:val="bottom"/>
          </w:tcPr>
          <w:p>
            <w:pPr>
              <w:jc w:val="right"/>
              <w:ind w:right="161"/>
              <w:spacing w:after="0"/>
              <w:rPr>
                <w:sz w:val="20"/>
                <w:szCs w:val="20"/>
                <w:color w:val="auto"/>
              </w:rPr>
            </w:pPr>
            <w:r>
              <w:rPr>
                <w:rFonts w:ascii="Arial" w:cs="Arial" w:eastAsia="Arial" w:hAnsi="Arial"/>
                <w:sz w:val="15"/>
                <w:szCs w:val="15"/>
                <w:b w:val="1"/>
                <w:bCs w:val="1"/>
                <w:color w:val="125288"/>
              </w:rPr>
              <w:t>Non-Equity</w:t>
            </w: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00" w:type="dxa"/>
            <w:vAlign w:val="bottom"/>
          </w:tcPr>
          <w:p>
            <w:pPr>
              <w:jc w:val="right"/>
              <w:ind w:right="241"/>
              <w:spacing w:after="0"/>
              <w:rPr>
                <w:sz w:val="20"/>
                <w:szCs w:val="20"/>
                <w:color w:val="auto"/>
              </w:rPr>
            </w:pPr>
            <w:r>
              <w:rPr>
                <w:rFonts w:ascii="Arial" w:cs="Arial" w:eastAsia="Arial" w:hAnsi="Arial"/>
                <w:sz w:val="15"/>
                <w:szCs w:val="15"/>
                <w:b w:val="1"/>
                <w:bCs w:val="1"/>
                <w:color w:val="125288"/>
              </w:rPr>
              <w:t>Stock</w:t>
            </w:r>
          </w:p>
        </w:tc>
        <w:tc>
          <w:tcPr>
            <w:tcW w:w="1260" w:type="dxa"/>
            <w:vAlign w:val="bottom"/>
          </w:tcPr>
          <w:p>
            <w:pPr>
              <w:jc w:val="right"/>
              <w:ind w:right="281"/>
              <w:spacing w:after="0"/>
              <w:rPr>
                <w:sz w:val="20"/>
                <w:szCs w:val="20"/>
                <w:color w:val="auto"/>
              </w:rPr>
            </w:pPr>
            <w:r>
              <w:rPr>
                <w:rFonts w:ascii="Arial" w:cs="Arial" w:eastAsia="Arial" w:hAnsi="Arial"/>
                <w:sz w:val="15"/>
                <w:szCs w:val="15"/>
                <w:b w:val="1"/>
                <w:bCs w:val="1"/>
                <w:color w:val="125288"/>
              </w:rPr>
              <w:t>Option</w:t>
            </w:r>
          </w:p>
        </w:tc>
        <w:tc>
          <w:tcPr>
            <w:tcW w:w="1580" w:type="dxa"/>
            <w:vAlign w:val="bottom"/>
          </w:tcPr>
          <w:p>
            <w:pPr>
              <w:jc w:val="right"/>
              <w:ind w:right="161"/>
              <w:spacing w:after="0"/>
              <w:rPr>
                <w:sz w:val="20"/>
                <w:szCs w:val="20"/>
                <w:color w:val="auto"/>
              </w:rPr>
            </w:pPr>
            <w:r>
              <w:rPr>
                <w:rFonts w:ascii="Arial" w:cs="Arial" w:eastAsia="Arial" w:hAnsi="Arial"/>
                <w:sz w:val="15"/>
                <w:szCs w:val="15"/>
                <w:b w:val="1"/>
                <w:bCs w:val="1"/>
                <w:color w:val="125288"/>
              </w:rPr>
              <w:t>Incentive Plan</w:t>
            </w:r>
          </w:p>
        </w:tc>
        <w:tc>
          <w:tcPr>
            <w:tcW w:w="1300" w:type="dxa"/>
            <w:vAlign w:val="bottom"/>
          </w:tcPr>
          <w:p>
            <w:pPr>
              <w:jc w:val="right"/>
              <w:ind w:right="118"/>
              <w:spacing w:after="0"/>
              <w:rPr>
                <w:sz w:val="20"/>
                <w:szCs w:val="20"/>
                <w:color w:val="auto"/>
              </w:rPr>
            </w:pPr>
            <w:r>
              <w:rPr>
                <w:rFonts w:ascii="Arial" w:cs="Arial" w:eastAsia="Arial" w:hAnsi="Arial"/>
                <w:sz w:val="15"/>
                <w:szCs w:val="15"/>
                <w:b w:val="1"/>
                <w:bCs w:val="1"/>
                <w:color w:val="125288"/>
              </w:rPr>
              <w:t>All Other</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800" w:type="dxa"/>
            <w:vAlign w:val="bottom"/>
          </w:tcPr>
          <w:p>
            <w:pPr>
              <w:ind w:left="40"/>
              <w:spacing w:after="0"/>
              <w:rPr>
                <w:sz w:val="20"/>
                <w:szCs w:val="20"/>
                <w:color w:val="auto"/>
              </w:rPr>
            </w:pPr>
            <w:r>
              <w:rPr>
                <w:rFonts w:ascii="Arial" w:cs="Arial" w:eastAsia="Arial" w:hAnsi="Arial"/>
                <w:sz w:val="15"/>
                <w:szCs w:val="15"/>
                <w:b w:val="1"/>
                <w:bCs w:val="1"/>
                <w:color w:val="125288"/>
              </w:rPr>
              <w:t>Name and Principal</w:t>
            </w:r>
          </w:p>
        </w:tc>
        <w:tc>
          <w:tcPr>
            <w:tcW w:w="720" w:type="dxa"/>
            <w:vAlign w:val="bottom"/>
          </w:tcPr>
          <w:p>
            <w:pPr>
              <w:spacing w:after="0"/>
              <w:rPr>
                <w:sz w:val="15"/>
                <w:szCs w:val="15"/>
                <w:color w:val="auto"/>
              </w:rPr>
            </w:pPr>
          </w:p>
        </w:tc>
        <w:tc>
          <w:tcPr>
            <w:tcW w:w="1220" w:type="dxa"/>
            <w:vAlign w:val="bottom"/>
          </w:tcPr>
          <w:p>
            <w:pPr>
              <w:jc w:val="right"/>
              <w:ind w:right="178"/>
              <w:spacing w:after="0"/>
              <w:rPr>
                <w:sz w:val="20"/>
                <w:szCs w:val="20"/>
                <w:color w:val="auto"/>
              </w:rPr>
            </w:pPr>
            <w:r>
              <w:rPr>
                <w:rFonts w:ascii="Arial" w:cs="Arial" w:eastAsia="Arial" w:hAnsi="Arial"/>
                <w:sz w:val="15"/>
                <w:szCs w:val="15"/>
                <w:b w:val="1"/>
                <w:bCs w:val="1"/>
                <w:color w:val="125288"/>
              </w:rPr>
              <w:t>Salary</w:t>
            </w:r>
          </w:p>
        </w:tc>
        <w:tc>
          <w:tcPr>
            <w:tcW w:w="1080" w:type="dxa"/>
            <w:vAlign w:val="bottom"/>
          </w:tcPr>
          <w:p>
            <w:pPr>
              <w:jc w:val="right"/>
              <w:ind w:right="140"/>
              <w:spacing w:after="0" w:line="178" w:lineRule="exact"/>
              <w:rPr>
                <w:sz w:val="20"/>
                <w:szCs w:val="20"/>
                <w:color w:val="auto"/>
              </w:rPr>
            </w:pPr>
            <w:r>
              <w:rPr>
                <w:rFonts w:ascii="Arial" w:cs="Arial" w:eastAsia="Arial" w:hAnsi="Arial"/>
                <w:sz w:val="15"/>
                <w:szCs w:val="15"/>
                <w:b w:val="1"/>
                <w:bCs w:val="1"/>
                <w:color w:val="125288"/>
              </w:rPr>
              <w:t>Bonus</w:t>
            </w:r>
            <w:r>
              <w:rPr>
                <w:rFonts w:ascii="Arial" w:cs="Arial" w:eastAsia="Arial" w:hAnsi="Arial"/>
                <w:sz w:val="19"/>
                <w:szCs w:val="19"/>
                <w:b w:val="1"/>
                <w:bCs w:val="1"/>
                <w:color w:val="125288"/>
                <w:vertAlign w:val="superscript"/>
              </w:rPr>
              <w:t>(1)</w:t>
            </w:r>
          </w:p>
        </w:tc>
        <w:tc>
          <w:tcPr>
            <w:tcW w:w="1300" w:type="dxa"/>
            <w:vAlign w:val="bottom"/>
          </w:tcPr>
          <w:p>
            <w:pPr>
              <w:jc w:val="right"/>
              <w:ind w:right="201"/>
              <w:spacing w:after="0" w:line="178" w:lineRule="exact"/>
              <w:rPr>
                <w:sz w:val="20"/>
                <w:szCs w:val="20"/>
                <w:color w:val="auto"/>
              </w:rPr>
            </w:pPr>
            <w:r>
              <w:rPr>
                <w:rFonts w:ascii="Arial" w:cs="Arial" w:eastAsia="Arial" w:hAnsi="Arial"/>
                <w:sz w:val="15"/>
                <w:szCs w:val="15"/>
                <w:b w:val="1"/>
                <w:bCs w:val="1"/>
                <w:color w:val="125288"/>
              </w:rPr>
              <w:t>Awards</w:t>
            </w:r>
            <w:r>
              <w:rPr>
                <w:rFonts w:ascii="Arial" w:cs="Arial" w:eastAsia="Arial" w:hAnsi="Arial"/>
                <w:sz w:val="19"/>
                <w:szCs w:val="19"/>
                <w:b w:val="1"/>
                <w:bCs w:val="1"/>
                <w:color w:val="125288"/>
                <w:vertAlign w:val="superscript"/>
              </w:rPr>
              <w:t>(2)</w:t>
            </w:r>
          </w:p>
        </w:tc>
        <w:tc>
          <w:tcPr>
            <w:tcW w:w="1260" w:type="dxa"/>
            <w:vAlign w:val="bottom"/>
          </w:tcPr>
          <w:p>
            <w:pPr>
              <w:jc w:val="right"/>
              <w:ind w:right="241"/>
              <w:spacing w:after="0" w:line="178" w:lineRule="exact"/>
              <w:rPr>
                <w:sz w:val="20"/>
                <w:szCs w:val="20"/>
                <w:color w:val="auto"/>
              </w:rPr>
            </w:pPr>
            <w:r>
              <w:rPr>
                <w:rFonts w:ascii="Arial" w:cs="Arial" w:eastAsia="Arial" w:hAnsi="Arial"/>
                <w:sz w:val="15"/>
                <w:szCs w:val="15"/>
                <w:b w:val="1"/>
                <w:bCs w:val="1"/>
                <w:color w:val="125288"/>
              </w:rPr>
              <w:t>Awards</w:t>
            </w:r>
            <w:r>
              <w:rPr>
                <w:rFonts w:ascii="Arial" w:cs="Arial" w:eastAsia="Arial" w:hAnsi="Arial"/>
                <w:sz w:val="19"/>
                <w:szCs w:val="19"/>
                <w:b w:val="1"/>
                <w:bCs w:val="1"/>
                <w:color w:val="125288"/>
                <w:vertAlign w:val="superscript"/>
              </w:rPr>
              <w:t>(2)</w:t>
            </w:r>
          </w:p>
        </w:tc>
        <w:tc>
          <w:tcPr>
            <w:tcW w:w="1580" w:type="dxa"/>
            <w:vAlign w:val="bottom"/>
          </w:tcPr>
          <w:p>
            <w:pPr>
              <w:jc w:val="right"/>
              <w:ind w:right="121"/>
              <w:spacing w:after="0" w:line="178" w:lineRule="exact"/>
              <w:rPr>
                <w:sz w:val="20"/>
                <w:szCs w:val="20"/>
                <w:color w:val="auto"/>
              </w:rPr>
            </w:pPr>
            <w:r>
              <w:rPr>
                <w:rFonts w:ascii="Arial" w:cs="Arial" w:eastAsia="Arial" w:hAnsi="Arial"/>
                <w:sz w:val="15"/>
                <w:szCs w:val="15"/>
                <w:b w:val="1"/>
                <w:bCs w:val="1"/>
                <w:color w:val="125288"/>
              </w:rPr>
              <w:t>Compensation</w:t>
            </w:r>
            <w:r>
              <w:rPr>
                <w:rFonts w:ascii="Arial" w:cs="Arial" w:eastAsia="Arial" w:hAnsi="Arial"/>
                <w:sz w:val="19"/>
                <w:szCs w:val="19"/>
                <w:b w:val="1"/>
                <w:bCs w:val="1"/>
                <w:color w:val="125288"/>
                <w:vertAlign w:val="superscript"/>
              </w:rPr>
              <w:t>(3)</w:t>
            </w:r>
          </w:p>
        </w:tc>
        <w:tc>
          <w:tcPr>
            <w:tcW w:w="1300" w:type="dxa"/>
            <w:vAlign w:val="bottom"/>
          </w:tcPr>
          <w:p>
            <w:pPr>
              <w:jc w:val="right"/>
              <w:ind w:right="58"/>
              <w:spacing w:after="0"/>
              <w:rPr>
                <w:sz w:val="20"/>
                <w:szCs w:val="20"/>
                <w:color w:val="auto"/>
              </w:rPr>
            </w:pPr>
            <w:r>
              <w:rPr>
                <w:rFonts w:ascii="Arial" w:cs="Arial" w:eastAsia="Arial" w:hAnsi="Arial"/>
                <w:sz w:val="15"/>
                <w:szCs w:val="15"/>
                <w:b w:val="1"/>
                <w:bCs w:val="1"/>
                <w:color w:val="125288"/>
              </w:rPr>
              <w:t>Compensation</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125288"/>
              </w:rPr>
              <w:t>Total</w:t>
            </w:r>
          </w:p>
        </w:tc>
        <w:tc>
          <w:tcPr>
            <w:tcW w:w="0" w:type="dxa"/>
            <w:vAlign w:val="bottom"/>
          </w:tcPr>
          <w:p>
            <w:pPr>
              <w:spacing w:after="0"/>
              <w:rPr>
                <w:sz w:val="1"/>
                <w:szCs w:val="1"/>
                <w:color w:val="auto"/>
              </w:rPr>
            </w:pPr>
          </w:p>
        </w:tc>
      </w:tr>
      <w:tr>
        <w:trPr>
          <w:trHeight w:val="197"/>
        </w:trPr>
        <w:tc>
          <w:tcPr>
            <w:tcW w:w="1800" w:type="dxa"/>
            <w:vAlign w:val="bottom"/>
            <w:tcBorders>
              <w:bottom w:val="single" w:sz="8" w:color="125288"/>
            </w:tcBorders>
          </w:tcPr>
          <w:p>
            <w:pPr>
              <w:ind w:left="40"/>
              <w:spacing w:after="0"/>
              <w:rPr>
                <w:sz w:val="20"/>
                <w:szCs w:val="20"/>
                <w:color w:val="auto"/>
              </w:rPr>
            </w:pPr>
            <w:r>
              <w:rPr>
                <w:rFonts w:ascii="Arial" w:cs="Arial" w:eastAsia="Arial" w:hAnsi="Arial"/>
                <w:sz w:val="15"/>
                <w:szCs w:val="15"/>
                <w:b w:val="1"/>
                <w:bCs w:val="1"/>
                <w:color w:val="125288"/>
              </w:rPr>
              <w:t>Position</w:t>
            </w:r>
          </w:p>
        </w:tc>
        <w:tc>
          <w:tcPr>
            <w:tcW w:w="720" w:type="dxa"/>
            <w:vAlign w:val="bottom"/>
            <w:tcBorders>
              <w:bottom w:val="single" w:sz="8" w:color="125288"/>
            </w:tcBorders>
          </w:tcPr>
          <w:p>
            <w:pPr>
              <w:jc w:val="right"/>
              <w:ind w:right="117"/>
              <w:spacing w:after="0"/>
              <w:rPr>
                <w:sz w:val="20"/>
                <w:szCs w:val="20"/>
                <w:color w:val="auto"/>
              </w:rPr>
            </w:pPr>
            <w:r>
              <w:rPr>
                <w:rFonts w:ascii="Arial" w:cs="Arial" w:eastAsia="Arial" w:hAnsi="Arial"/>
                <w:sz w:val="15"/>
                <w:szCs w:val="15"/>
                <w:b w:val="1"/>
                <w:bCs w:val="1"/>
                <w:color w:val="125288"/>
              </w:rPr>
              <w:t>Year</w:t>
            </w:r>
          </w:p>
        </w:tc>
        <w:tc>
          <w:tcPr>
            <w:tcW w:w="1220" w:type="dxa"/>
            <w:vAlign w:val="bottom"/>
            <w:tcBorders>
              <w:bottom w:val="single" w:sz="8" w:color="125288"/>
            </w:tcBorders>
          </w:tcPr>
          <w:p>
            <w:pPr>
              <w:jc w:val="right"/>
              <w:ind w:right="178"/>
              <w:spacing w:after="0"/>
              <w:rPr>
                <w:sz w:val="20"/>
                <w:szCs w:val="20"/>
                <w:color w:val="auto"/>
              </w:rPr>
            </w:pPr>
            <w:r>
              <w:rPr>
                <w:rFonts w:ascii="Arial" w:cs="Arial" w:eastAsia="Arial" w:hAnsi="Arial"/>
                <w:sz w:val="15"/>
                <w:szCs w:val="15"/>
                <w:b w:val="1"/>
                <w:bCs w:val="1"/>
                <w:color w:val="125288"/>
              </w:rPr>
              <w:t>($)</w:t>
            </w:r>
          </w:p>
        </w:tc>
        <w:tc>
          <w:tcPr>
            <w:tcW w:w="1080" w:type="dxa"/>
            <w:vAlign w:val="bottom"/>
            <w:tcBorders>
              <w:bottom w:val="single" w:sz="8" w:color="125288"/>
            </w:tcBorders>
          </w:tcPr>
          <w:p>
            <w:pPr>
              <w:jc w:val="right"/>
              <w:ind w:right="140"/>
              <w:spacing w:after="0"/>
              <w:rPr>
                <w:sz w:val="20"/>
                <w:szCs w:val="20"/>
                <w:color w:val="auto"/>
              </w:rPr>
            </w:pPr>
            <w:r>
              <w:rPr>
                <w:rFonts w:ascii="Arial" w:cs="Arial" w:eastAsia="Arial" w:hAnsi="Arial"/>
                <w:sz w:val="15"/>
                <w:szCs w:val="15"/>
                <w:b w:val="1"/>
                <w:bCs w:val="1"/>
                <w:color w:val="125288"/>
              </w:rPr>
              <w:t>($)</w:t>
            </w:r>
          </w:p>
        </w:tc>
        <w:tc>
          <w:tcPr>
            <w:tcW w:w="1300" w:type="dxa"/>
            <w:vAlign w:val="bottom"/>
            <w:tcBorders>
              <w:bottom w:val="single" w:sz="8" w:color="125288"/>
            </w:tcBorders>
          </w:tcPr>
          <w:p>
            <w:pPr>
              <w:jc w:val="right"/>
              <w:ind w:right="201"/>
              <w:spacing w:after="0"/>
              <w:rPr>
                <w:sz w:val="20"/>
                <w:szCs w:val="20"/>
                <w:color w:val="auto"/>
              </w:rPr>
            </w:pPr>
            <w:r>
              <w:rPr>
                <w:rFonts w:ascii="Arial" w:cs="Arial" w:eastAsia="Arial" w:hAnsi="Arial"/>
                <w:sz w:val="15"/>
                <w:szCs w:val="15"/>
                <w:b w:val="1"/>
                <w:bCs w:val="1"/>
                <w:color w:val="125288"/>
              </w:rPr>
              <w:t>($)</w:t>
            </w:r>
          </w:p>
        </w:tc>
        <w:tc>
          <w:tcPr>
            <w:tcW w:w="1260" w:type="dxa"/>
            <w:vAlign w:val="bottom"/>
            <w:tcBorders>
              <w:bottom w:val="single" w:sz="8" w:color="125288"/>
            </w:tcBorders>
          </w:tcPr>
          <w:p>
            <w:pPr>
              <w:jc w:val="right"/>
              <w:ind w:right="241"/>
              <w:spacing w:after="0"/>
              <w:rPr>
                <w:sz w:val="20"/>
                <w:szCs w:val="20"/>
                <w:color w:val="auto"/>
              </w:rPr>
            </w:pPr>
            <w:r>
              <w:rPr>
                <w:rFonts w:ascii="Arial" w:cs="Arial" w:eastAsia="Arial" w:hAnsi="Arial"/>
                <w:sz w:val="15"/>
                <w:szCs w:val="15"/>
                <w:b w:val="1"/>
                <w:bCs w:val="1"/>
                <w:color w:val="125288"/>
              </w:rPr>
              <w:t>($)</w:t>
            </w:r>
          </w:p>
        </w:tc>
        <w:tc>
          <w:tcPr>
            <w:tcW w:w="1580" w:type="dxa"/>
            <w:vAlign w:val="bottom"/>
            <w:tcBorders>
              <w:bottom w:val="single" w:sz="8" w:color="125288"/>
            </w:tcBorders>
          </w:tcPr>
          <w:p>
            <w:pPr>
              <w:jc w:val="right"/>
              <w:ind w:right="121"/>
              <w:spacing w:after="0"/>
              <w:rPr>
                <w:sz w:val="20"/>
                <w:szCs w:val="20"/>
                <w:color w:val="auto"/>
              </w:rPr>
            </w:pPr>
            <w:r>
              <w:rPr>
                <w:rFonts w:ascii="Arial" w:cs="Arial" w:eastAsia="Arial" w:hAnsi="Arial"/>
                <w:sz w:val="15"/>
                <w:szCs w:val="15"/>
                <w:b w:val="1"/>
                <w:bCs w:val="1"/>
                <w:color w:val="125288"/>
              </w:rPr>
              <w:t>($)</w:t>
            </w:r>
          </w:p>
        </w:tc>
        <w:tc>
          <w:tcPr>
            <w:tcW w:w="1300" w:type="dxa"/>
            <w:vAlign w:val="bottom"/>
            <w:tcBorders>
              <w:bottom w:val="single" w:sz="8" w:color="125288"/>
            </w:tcBorders>
          </w:tcPr>
          <w:p>
            <w:pPr>
              <w:jc w:val="right"/>
              <w:ind w:right="58"/>
              <w:spacing w:after="0"/>
              <w:rPr>
                <w:sz w:val="20"/>
                <w:szCs w:val="20"/>
                <w:color w:val="auto"/>
              </w:rPr>
            </w:pPr>
            <w:r>
              <w:rPr>
                <w:rFonts w:ascii="Arial" w:cs="Arial" w:eastAsia="Arial" w:hAnsi="Arial"/>
                <w:sz w:val="15"/>
                <w:szCs w:val="15"/>
                <w:b w:val="1"/>
                <w:bCs w:val="1"/>
                <w:color w:val="125288"/>
              </w:rPr>
              <w:t>($)</w:t>
            </w:r>
          </w:p>
        </w:tc>
        <w:tc>
          <w:tcPr>
            <w:tcW w:w="1000" w:type="dxa"/>
            <w:vAlign w:val="bottom"/>
            <w:tcBorders>
              <w:bottom w:val="single" w:sz="8" w:color="125288"/>
            </w:tcBorders>
          </w:tcPr>
          <w:p>
            <w:pPr>
              <w:jc w:val="right"/>
              <w:spacing w:after="0"/>
              <w:rPr>
                <w:sz w:val="20"/>
                <w:szCs w:val="20"/>
                <w:color w:val="auto"/>
              </w:rPr>
            </w:pPr>
            <w:r>
              <w:rPr>
                <w:rFonts w:ascii="Arial" w:cs="Arial" w:eastAsia="Arial" w:hAnsi="Arial"/>
                <w:sz w:val="15"/>
                <w:szCs w:val="15"/>
                <w:b w:val="1"/>
                <w:bCs w:val="1"/>
                <w:color w:val="125288"/>
              </w:rPr>
              <w:t>($)</w:t>
            </w:r>
          </w:p>
        </w:tc>
        <w:tc>
          <w:tcPr>
            <w:tcW w:w="0" w:type="dxa"/>
            <w:vAlign w:val="bottom"/>
          </w:tcPr>
          <w:p>
            <w:pPr>
              <w:spacing w:after="0"/>
              <w:rPr>
                <w:sz w:val="1"/>
                <w:szCs w:val="1"/>
                <w:color w:val="auto"/>
              </w:rPr>
            </w:pPr>
          </w:p>
        </w:tc>
      </w:tr>
      <w:tr>
        <w:trPr>
          <w:trHeight w:val="301"/>
        </w:trPr>
        <w:tc>
          <w:tcPr>
            <w:tcW w:w="1800" w:type="dxa"/>
            <w:vAlign w:val="bottom"/>
          </w:tcPr>
          <w:p>
            <w:pPr>
              <w:ind w:left="40"/>
              <w:spacing w:after="0"/>
              <w:rPr>
                <w:sz w:val="20"/>
                <w:szCs w:val="20"/>
                <w:color w:val="auto"/>
              </w:rPr>
            </w:pPr>
            <w:r>
              <w:rPr>
                <w:rFonts w:ascii="Arial" w:cs="Arial" w:eastAsia="Arial" w:hAnsi="Arial"/>
                <w:sz w:val="17"/>
                <w:szCs w:val="17"/>
                <w:b w:val="1"/>
                <w:bCs w:val="1"/>
                <w:color w:val="auto"/>
              </w:rPr>
              <w:t>Robert Kotick</w:t>
            </w:r>
          </w:p>
        </w:tc>
        <w:tc>
          <w:tcPr>
            <w:tcW w:w="720" w:type="dxa"/>
            <w:vAlign w:val="bottom"/>
          </w:tcPr>
          <w:p>
            <w:pPr>
              <w:jc w:val="right"/>
              <w:ind w:right="117"/>
              <w:spacing w:after="0"/>
              <w:rPr>
                <w:sz w:val="20"/>
                <w:szCs w:val="20"/>
                <w:color w:val="auto"/>
              </w:rPr>
            </w:pPr>
            <w:r>
              <w:rPr>
                <w:rFonts w:ascii="Arial" w:cs="Arial" w:eastAsia="Arial" w:hAnsi="Arial"/>
                <w:sz w:val="17"/>
                <w:szCs w:val="17"/>
                <w:color w:val="auto"/>
              </w:rPr>
              <w:t>2021</w:t>
            </w:r>
          </w:p>
        </w:tc>
        <w:tc>
          <w:tcPr>
            <w:tcW w:w="1220" w:type="dxa"/>
            <w:vAlign w:val="bottom"/>
          </w:tcPr>
          <w:p>
            <w:pPr>
              <w:jc w:val="right"/>
              <w:ind w:right="58"/>
              <w:spacing w:after="0"/>
              <w:rPr>
                <w:sz w:val="20"/>
                <w:szCs w:val="20"/>
                <w:color w:val="auto"/>
              </w:rPr>
            </w:pPr>
            <w:r>
              <w:rPr>
                <w:rFonts w:ascii="Arial" w:cs="Arial" w:eastAsia="Arial" w:hAnsi="Arial"/>
                <w:sz w:val="17"/>
                <w:szCs w:val="17"/>
                <w:color w:val="auto"/>
              </w:rPr>
              <w:t>718,029</w:t>
            </w:r>
            <w:r>
              <w:rPr>
                <w:rFonts w:ascii="Arial" w:cs="Arial" w:eastAsia="Arial" w:hAnsi="Arial"/>
                <w:sz w:val="19"/>
                <w:szCs w:val="19"/>
                <w:color w:val="auto"/>
                <w:vertAlign w:val="superscript"/>
              </w:rPr>
              <w:t>(4)</w:t>
            </w:r>
          </w:p>
        </w:tc>
        <w:tc>
          <w:tcPr>
            <w:tcW w:w="1080" w:type="dxa"/>
            <w:vAlign w:val="bottom"/>
          </w:tcPr>
          <w:p>
            <w:pPr>
              <w:jc w:val="right"/>
              <w:ind w:right="20"/>
              <w:spacing w:after="0" w:line="301" w:lineRule="exact"/>
              <w:rPr>
                <w:sz w:val="20"/>
                <w:szCs w:val="20"/>
                <w:color w:val="auto"/>
              </w:rPr>
            </w:pPr>
            <w:r>
              <w:rPr>
                <w:rFonts w:ascii="Arial" w:cs="Arial" w:eastAsia="Arial" w:hAnsi="Arial"/>
                <w:sz w:val="33"/>
                <w:szCs w:val="33"/>
                <w:color w:val="auto"/>
                <w:vertAlign w:val="subscript"/>
              </w:rPr>
              <w:t>—</w:t>
            </w:r>
            <w:r>
              <w:rPr>
                <w:rFonts w:ascii="Arial" w:cs="Arial" w:eastAsia="Arial" w:hAnsi="Arial"/>
                <w:sz w:val="10"/>
                <w:szCs w:val="10"/>
                <w:color w:val="auto"/>
              </w:rPr>
              <w:t>(4)</w:t>
            </w:r>
          </w:p>
        </w:tc>
        <w:tc>
          <w:tcPr>
            <w:tcW w:w="1300" w:type="dxa"/>
            <w:vAlign w:val="bottom"/>
          </w:tcPr>
          <w:p>
            <w:pPr>
              <w:jc w:val="right"/>
              <w:ind w:right="81"/>
              <w:spacing w:after="0" w:line="301" w:lineRule="exact"/>
              <w:rPr>
                <w:sz w:val="20"/>
                <w:szCs w:val="20"/>
                <w:color w:val="auto"/>
              </w:rPr>
            </w:pPr>
            <w:r>
              <w:rPr>
                <w:rFonts w:ascii="Arial" w:cs="Arial" w:eastAsia="Arial" w:hAnsi="Arial"/>
                <w:sz w:val="33"/>
                <w:szCs w:val="33"/>
                <w:color w:val="auto"/>
                <w:vertAlign w:val="subscript"/>
              </w:rPr>
              <w:t>—</w:t>
            </w:r>
            <w:r>
              <w:rPr>
                <w:rFonts w:ascii="Arial" w:cs="Arial" w:eastAsia="Arial" w:hAnsi="Arial"/>
                <w:sz w:val="10"/>
                <w:szCs w:val="10"/>
                <w:color w:val="auto"/>
              </w:rPr>
              <w:t>(4)</w:t>
            </w:r>
          </w:p>
        </w:tc>
        <w:tc>
          <w:tcPr>
            <w:tcW w:w="1260" w:type="dxa"/>
            <w:vAlign w:val="bottom"/>
          </w:tcPr>
          <w:p>
            <w:pPr>
              <w:jc w:val="right"/>
              <w:ind w:right="121"/>
              <w:spacing w:after="0" w:line="301" w:lineRule="exact"/>
              <w:rPr>
                <w:sz w:val="20"/>
                <w:szCs w:val="20"/>
                <w:color w:val="auto"/>
              </w:rPr>
            </w:pPr>
            <w:r>
              <w:rPr>
                <w:rFonts w:ascii="Arial" w:cs="Arial" w:eastAsia="Arial" w:hAnsi="Arial"/>
                <w:sz w:val="33"/>
                <w:szCs w:val="33"/>
                <w:color w:val="auto"/>
                <w:vertAlign w:val="subscript"/>
              </w:rPr>
              <w:t>—</w:t>
            </w:r>
            <w:r>
              <w:rPr>
                <w:rFonts w:ascii="Arial" w:cs="Arial" w:eastAsia="Arial" w:hAnsi="Arial"/>
                <w:sz w:val="10"/>
                <w:szCs w:val="10"/>
                <w:color w:val="auto"/>
              </w:rPr>
              <w:t>(4)</w:t>
            </w:r>
          </w:p>
        </w:tc>
        <w:tc>
          <w:tcPr>
            <w:tcW w:w="1580" w:type="dxa"/>
            <w:vAlign w:val="bottom"/>
          </w:tcPr>
          <w:p>
            <w:pPr>
              <w:jc w:val="right"/>
              <w:ind w:right="1"/>
              <w:spacing w:after="0" w:line="301" w:lineRule="exact"/>
              <w:rPr>
                <w:sz w:val="20"/>
                <w:szCs w:val="20"/>
                <w:color w:val="auto"/>
              </w:rPr>
            </w:pPr>
            <w:r>
              <w:rPr>
                <w:rFonts w:ascii="Arial" w:cs="Arial" w:eastAsia="Arial" w:hAnsi="Arial"/>
                <w:sz w:val="33"/>
                <w:szCs w:val="33"/>
                <w:color w:val="auto"/>
                <w:vertAlign w:val="subscript"/>
              </w:rPr>
              <w:t>—</w:t>
            </w:r>
            <w:r>
              <w:rPr>
                <w:rFonts w:ascii="Arial" w:cs="Arial" w:eastAsia="Arial" w:hAnsi="Arial"/>
                <w:sz w:val="10"/>
                <w:szCs w:val="10"/>
                <w:color w:val="auto"/>
              </w:rPr>
              <w:t>(4)</w:t>
            </w:r>
          </w:p>
        </w:tc>
        <w:tc>
          <w:tcPr>
            <w:tcW w:w="1300" w:type="dxa"/>
            <w:vAlign w:val="bottom"/>
          </w:tcPr>
          <w:p>
            <w:pPr>
              <w:jc w:val="right"/>
              <w:spacing w:after="0"/>
              <w:rPr>
                <w:sz w:val="20"/>
                <w:szCs w:val="20"/>
                <w:color w:val="auto"/>
              </w:rPr>
            </w:pPr>
            <w:r>
              <w:rPr>
                <w:rFonts w:ascii="Arial" w:cs="Arial" w:eastAsia="Arial" w:hAnsi="Arial"/>
                <w:sz w:val="17"/>
                <w:szCs w:val="17"/>
                <w:color w:val="auto"/>
              </w:rPr>
              <w:t>108,520</w:t>
            </w:r>
            <w:r>
              <w:rPr>
                <w:rFonts w:ascii="Arial" w:cs="Arial" w:eastAsia="Arial" w:hAnsi="Arial"/>
                <w:sz w:val="19"/>
                <w:szCs w:val="19"/>
                <w:color w:val="auto"/>
                <w:vertAlign w:val="superscript"/>
              </w:rPr>
              <w:t>(5)</w:t>
            </w:r>
          </w:p>
        </w:tc>
        <w:tc>
          <w:tcPr>
            <w:tcW w:w="1000" w:type="dxa"/>
            <w:vAlign w:val="bottom"/>
          </w:tcPr>
          <w:p>
            <w:pPr>
              <w:jc w:val="right"/>
              <w:spacing w:after="0"/>
              <w:rPr>
                <w:sz w:val="20"/>
                <w:szCs w:val="20"/>
                <w:color w:val="auto"/>
              </w:rPr>
            </w:pPr>
            <w:r>
              <w:rPr>
                <w:rFonts w:ascii="Arial" w:cs="Arial" w:eastAsia="Arial" w:hAnsi="Arial"/>
                <w:sz w:val="17"/>
                <w:szCs w:val="17"/>
                <w:color w:val="auto"/>
              </w:rPr>
              <w:t>826,549</w:t>
            </w:r>
          </w:p>
        </w:tc>
        <w:tc>
          <w:tcPr>
            <w:tcW w:w="0" w:type="dxa"/>
            <w:vAlign w:val="bottom"/>
          </w:tcPr>
          <w:p>
            <w:pPr>
              <w:spacing w:after="0"/>
              <w:rPr>
                <w:sz w:val="1"/>
                <w:szCs w:val="1"/>
                <w:color w:val="auto"/>
              </w:rPr>
            </w:pPr>
          </w:p>
        </w:tc>
      </w:tr>
      <w:tr>
        <w:trPr>
          <w:trHeight w:val="59"/>
        </w:trPr>
        <w:tc>
          <w:tcPr>
            <w:tcW w:w="1800" w:type="dxa"/>
            <w:vAlign w:val="bottom"/>
            <w:vMerge w:val="restart"/>
          </w:tcPr>
          <w:p>
            <w:pPr>
              <w:ind w:left="160"/>
              <w:spacing w:after="0" w:line="190" w:lineRule="exact"/>
              <w:rPr>
                <w:sz w:val="20"/>
                <w:szCs w:val="20"/>
                <w:color w:val="auto"/>
              </w:rPr>
            </w:pPr>
            <w:r>
              <w:rPr>
                <w:rFonts w:ascii="Arial" w:cs="Arial" w:eastAsia="Arial" w:hAnsi="Arial"/>
                <w:sz w:val="17"/>
                <w:szCs w:val="17"/>
                <w:color w:val="auto"/>
              </w:rPr>
              <w:t>Chief Executive</w:t>
            </w:r>
          </w:p>
        </w:tc>
        <w:tc>
          <w:tcPr>
            <w:tcW w:w="720" w:type="dxa"/>
            <w:vAlign w:val="bottom"/>
            <w:tcBorders>
              <w:bottom w:val="single" w:sz="8" w:color="125288"/>
            </w:tcBorders>
          </w:tcPr>
          <w:p>
            <w:pPr>
              <w:spacing w:after="0"/>
              <w:rPr>
                <w:sz w:val="5"/>
                <w:szCs w:val="5"/>
                <w:color w:val="auto"/>
              </w:rPr>
            </w:pPr>
          </w:p>
        </w:tc>
        <w:tc>
          <w:tcPr>
            <w:tcW w:w="1220" w:type="dxa"/>
            <w:vAlign w:val="bottom"/>
            <w:tcBorders>
              <w:bottom w:val="single" w:sz="8" w:color="125288"/>
            </w:tcBorders>
          </w:tcPr>
          <w:p>
            <w:pPr>
              <w:spacing w:after="0"/>
              <w:rPr>
                <w:sz w:val="5"/>
                <w:szCs w:val="5"/>
                <w:color w:val="auto"/>
              </w:rPr>
            </w:pPr>
          </w:p>
        </w:tc>
        <w:tc>
          <w:tcPr>
            <w:tcW w:w="1080" w:type="dxa"/>
            <w:vAlign w:val="bottom"/>
            <w:tcBorders>
              <w:bottom w:val="single" w:sz="8" w:color="125288"/>
            </w:tcBorders>
          </w:tcPr>
          <w:p>
            <w:pPr>
              <w:spacing w:after="0"/>
              <w:rPr>
                <w:sz w:val="5"/>
                <w:szCs w:val="5"/>
                <w:color w:val="auto"/>
              </w:rPr>
            </w:pPr>
          </w:p>
        </w:tc>
        <w:tc>
          <w:tcPr>
            <w:tcW w:w="1300" w:type="dxa"/>
            <w:vAlign w:val="bottom"/>
            <w:tcBorders>
              <w:bottom w:val="single" w:sz="8" w:color="125288"/>
            </w:tcBorders>
          </w:tcPr>
          <w:p>
            <w:pPr>
              <w:spacing w:after="0"/>
              <w:rPr>
                <w:sz w:val="5"/>
                <w:szCs w:val="5"/>
                <w:color w:val="auto"/>
              </w:rPr>
            </w:pPr>
          </w:p>
        </w:tc>
        <w:tc>
          <w:tcPr>
            <w:tcW w:w="1260" w:type="dxa"/>
            <w:vAlign w:val="bottom"/>
            <w:tcBorders>
              <w:bottom w:val="single" w:sz="8" w:color="125288"/>
            </w:tcBorders>
          </w:tcPr>
          <w:p>
            <w:pPr>
              <w:spacing w:after="0"/>
              <w:rPr>
                <w:sz w:val="5"/>
                <w:szCs w:val="5"/>
                <w:color w:val="auto"/>
              </w:rPr>
            </w:pPr>
          </w:p>
        </w:tc>
        <w:tc>
          <w:tcPr>
            <w:tcW w:w="1580" w:type="dxa"/>
            <w:vAlign w:val="bottom"/>
            <w:tcBorders>
              <w:bottom w:val="single" w:sz="8" w:color="125288"/>
            </w:tcBorders>
          </w:tcPr>
          <w:p>
            <w:pPr>
              <w:spacing w:after="0"/>
              <w:rPr>
                <w:sz w:val="5"/>
                <w:szCs w:val="5"/>
                <w:color w:val="auto"/>
              </w:rPr>
            </w:pPr>
          </w:p>
        </w:tc>
        <w:tc>
          <w:tcPr>
            <w:tcW w:w="1300" w:type="dxa"/>
            <w:vAlign w:val="bottom"/>
            <w:tcBorders>
              <w:bottom w:val="single" w:sz="8" w:color="125288"/>
            </w:tcBorders>
          </w:tcPr>
          <w:p>
            <w:pPr>
              <w:spacing w:after="0"/>
              <w:rPr>
                <w:sz w:val="5"/>
                <w:szCs w:val="5"/>
                <w:color w:val="auto"/>
              </w:rPr>
            </w:pPr>
          </w:p>
        </w:tc>
        <w:tc>
          <w:tcPr>
            <w:tcW w:w="1000" w:type="dxa"/>
            <w:vAlign w:val="bottom"/>
            <w:tcBorders>
              <w:bottom w:val="single" w:sz="8" w:color="125288"/>
            </w:tcBorders>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1800" w:type="dxa"/>
            <w:vAlign w:val="bottom"/>
            <w:vMerge w:val="continue"/>
          </w:tcPr>
          <w:p>
            <w:pPr>
              <w:spacing w:after="0"/>
              <w:rPr>
                <w:sz w:val="9"/>
                <w:szCs w:val="9"/>
                <w:color w:val="auto"/>
              </w:rPr>
            </w:pPr>
          </w:p>
        </w:tc>
        <w:tc>
          <w:tcPr>
            <w:tcW w:w="720" w:type="dxa"/>
            <w:vAlign w:val="bottom"/>
            <w:vMerge w:val="restart"/>
          </w:tcPr>
          <w:p>
            <w:pPr>
              <w:jc w:val="right"/>
              <w:ind w:right="117"/>
              <w:spacing w:after="0"/>
              <w:rPr>
                <w:sz w:val="20"/>
                <w:szCs w:val="20"/>
                <w:color w:val="auto"/>
              </w:rPr>
            </w:pPr>
            <w:r>
              <w:rPr>
                <w:rFonts w:ascii="Arial" w:cs="Arial" w:eastAsia="Arial" w:hAnsi="Arial"/>
                <w:sz w:val="17"/>
                <w:szCs w:val="17"/>
                <w:color w:val="auto"/>
              </w:rPr>
              <w:t>2020</w:t>
            </w:r>
          </w:p>
        </w:tc>
        <w:tc>
          <w:tcPr>
            <w:tcW w:w="1220" w:type="dxa"/>
            <w:vAlign w:val="bottom"/>
            <w:vMerge w:val="restart"/>
          </w:tcPr>
          <w:p>
            <w:pPr>
              <w:jc w:val="right"/>
              <w:ind w:right="178"/>
              <w:spacing w:after="0"/>
              <w:rPr>
                <w:sz w:val="20"/>
                <w:szCs w:val="20"/>
                <w:color w:val="auto"/>
              </w:rPr>
            </w:pPr>
            <w:r>
              <w:rPr>
                <w:rFonts w:ascii="Arial" w:cs="Arial" w:eastAsia="Arial" w:hAnsi="Arial"/>
                <w:sz w:val="17"/>
                <w:szCs w:val="17"/>
                <w:color w:val="auto"/>
              </w:rPr>
              <w:t>1,494,231</w:t>
            </w:r>
          </w:p>
        </w:tc>
        <w:tc>
          <w:tcPr>
            <w:tcW w:w="1080" w:type="dxa"/>
            <w:vAlign w:val="bottom"/>
            <w:vMerge w:val="restart"/>
          </w:tcPr>
          <w:p>
            <w:pPr>
              <w:jc w:val="right"/>
              <w:ind w:right="140"/>
              <w:spacing w:after="0"/>
              <w:rPr>
                <w:sz w:val="20"/>
                <w:szCs w:val="20"/>
                <w:color w:val="auto"/>
              </w:rPr>
            </w:pPr>
            <w:r>
              <w:rPr>
                <w:rFonts w:ascii="Arial" w:cs="Arial" w:eastAsia="Arial" w:hAnsi="Arial"/>
                <w:sz w:val="17"/>
                <w:szCs w:val="17"/>
                <w:color w:val="auto"/>
              </w:rPr>
              <w:t>—</w:t>
            </w:r>
          </w:p>
        </w:tc>
        <w:tc>
          <w:tcPr>
            <w:tcW w:w="1300" w:type="dxa"/>
            <w:vAlign w:val="bottom"/>
            <w:vMerge w:val="restart"/>
          </w:tcPr>
          <w:p>
            <w:pPr>
              <w:jc w:val="right"/>
              <w:ind w:right="81"/>
              <w:spacing w:after="0"/>
              <w:rPr>
                <w:sz w:val="20"/>
                <w:szCs w:val="20"/>
                <w:color w:val="auto"/>
              </w:rPr>
            </w:pPr>
            <w:r>
              <w:rPr>
                <w:rFonts w:ascii="Arial" w:cs="Arial" w:eastAsia="Arial" w:hAnsi="Arial"/>
                <w:sz w:val="17"/>
                <w:szCs w:val="17"/>
                <w:color w:val="auto"/>
              </w:rPr>
              <w:t>149,856,770</w:t>
            </w:r>
            <w:r>
              <w:rPr>
                <w:rFonts w:ascii="Arial" w:cs="Arial" w:eastAsia="Arial" w:hAnsi="Arial"/>
                <w:sz w:val="19"/>
                <w:szCs w:val="19"/>
                <w:color w:val="auto"/>
                <w:vertAlign w:val="superscript"/>
              </w:rPr>
              <w:t>(6)</w:t>
            </w:r>
          </w:p>
        </w:tc>
        <w:tc>
          <w:tcPr>
            <w:tcW w:w="1260" w:type="dxa"/>
            <w:vAlign w:val="bottom"/>
            <w:vMerge w:val="restart"/>
          </w:tcPr>
          <w:p>
            <w:pPr>
              <w:jc w:val="right"/>
              <w:ind w:right="241"/>
              <w:spacing w:after="0"/>
              <w:rPr>
                <w:sz w:val="20"/>
                <w:szCs w:val="20"/>
                <w:color w:val="auto"/>
              </w:rPr>
            </w:pPr>
            <w:r>
              <w:rPr>
                <w:rFonts w:ascii="Arial" w:cs="Arial" w:eastAsia="Arial" w:hAnsi="Arial"/>
                <w:sz w:val="17"/>
                <w:szCs w:val="17"/>
                <w:color w:val="auto"/>
              </w:rPr>
              <w:t>—</w:t>
            </w:r>
          </w:p>
        </w:tc>
        <w:tc>
          <w:tcPr>
            <w:tcW w:w="1580" w:type="dxa"/>
            <w:vAlign w:val="bottom"/>
            <w:vMerge w:val="restart"/>
          </w:tcPr>
          <w:p>
            <w:pPr>
              <w:jc w:val="right"/>
              <w:ind w:right="121"/>
              <w:spacing w:after="0"/>
              <w:rPr>
                <w:sz w:val="20"/>
                <w:szCs w:val="20"/>
                <w:color w:val="auto"/>
              </w:rPr>
            </w:pPr>
            <w:r>
              <w:rPr>
                <w:rFonts w:ascii="Arial" w:cs="Arial" w:eastAsia="Arial" w:hAnsi="Arial"/>
                <w:sz w:val="17"/>
                <w:szCs w:val="17"/>
                <w:color w:val="auto"/>
              </w:rPr>
              <w:t>3,177,979</w:t>
            </w:r>
          </w:p>
        </w:tc>
        <w:tc>
          <w:tcPr>
            <w:tcW w:w="1300" w:type="dxa"/>
            <w:vAlign w:val="bottom"/>
            <w:vMerge w:val="restart"/>
          </w:tcPr>
          <w:p>
            <w:pPr>
              <w:jc w:val="right"/>
              <w:ind w:right="58"/>
              <w:spacing w:after="0"/>
              <w:rPr>
                <w:sz w:val="20"/>
                <w:szCs w:val="20"/>
                <w:color w:val="auto"/>
              </w:rPr>
            </w:pPr>
            <w:r>
              <w:rPr>
                <w:rFonts w:ascii="Arial" w:cs="Arial" w:eastAsia="Arial" w:hAnsi="Arial"/>
                <w:sz w:val="17"/>
                <w:szCs w:val="17"/>
                <w:color w:val="auto"/>
              </w:rPr>
              <w:t>84,338</w:t>
            </w: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w w:val="97"/>
              </w:rPr>
              <w:t>154,613,318</w:t>
            </w:r>
          </w:p>
        </w:tc>
        <w:tc>
          <w:tcPr>
            <w:tcW w:w="0" w:type="dxa"/>
            <w:vAlign w:val="bottom"/>
          </w:tcPr>
          <w:p>
            <w:pPr>
              <w:spacing w:after="0"/>
              <w:rPr>
                <w:sz w:val="1"/>
                <w:szCs w:val="1"/>
                <w:color w:val="auto"/>
              </w:rPr>
            </w:pPr>
          </w:p>
        </w:tc>
      </w:tr>
      <w:tr>
        <w:trPr>
          <w:trHeight w:val="201"/>
        </w:trPr>
        <w:tc>
          <w:tcPr>
            <w:tcW w:w="1800" w:type="dxa"/>
            <w:vAlign w:val="bottom"/>
          </w:tcPr>
          <w:p>
            <w:pPr>
              <w:ind w:left="160"/>
              <w:spacing w:after="0"/>
              <w:rPr>
                <w:sz w:val="20"/>
                <w:szCs w:val="20"/>
                <w:color w:val="auto"/>
              </w:rPr>
            </w:pPr>
            <w:r>
              <w:rPr>
                <w:rFonts w:ascii="Arial" w:cs="Arial" w:eastAsia="Arial" w:hAnsi="Arial"/>
                <w:sz w:val="17"/>
                <w:szCs w:val="17"/>
                <w:color w:val="auto"/>
              </w:rPr>
              <w:t>Officer</w:t>
            </w:r>
          </w:p>
        </w:tc>
        <w:tc>
          <w:tcPr>
            <w:tcW w:w="72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9"/>
        </w:trPr>
        <w:tc>
          <w:tcPr>
            <w:tcW w:w="1800" w:type="dxa"/>
            <w:vAlign w:val="bottom"/>
          </w:tcPr>
          <w:p>
            <w:pPr>
              <w:spacing w:after="0"/>
              <w:rPr>
                <w:sz w:val="4"/>
                <w:szCs w:val="4"/>
                <w:color w:val="auto"/>
              </w:rPr>
            </w:pPr>
          </w:p>
        </w:tc>
        <w:tc>
          <w:tcPr>
            <w:tcW w:w="720" w:type="dxa"/>
            <w:vAlign w:val="bottom"/>
            <w:tcBorders>
              <w:bottom w:val="single" w:sz="8" w:color="125288"/>
            </w:tcBorders>
          </w:tcPr>
          <w:p>
            <w:pPr>
              <w:spacing w:after="0"/>
              <w:rPr>
                <w:sz w:val="4"/>
                <w:szCs w:val="4"/>
                <w:color w:val="auto"/>
              </w:rPr>
            </w:pPr>
          </w:p>
        </w:tc>
        <w:tc>
          <w:tcPr>
            <w:tcW w:w="1220" w:type="dxa"/>
            <w:vAlign w:val="bottom"/>
            <w:tcBorders>
              <w:bottom w:val="single" w:sz="8" w:color="125288"/>
            </w:tcBorders>
          </w:tcPr>
          <w:p>
            <w:pPr>
              <w:spacing w:after="0"/>
              <w:rPr>
                <w:sz w:val="4"/>
                <w:szCs w:val="4"/>
                <w:color w:val="auto"/>
              </w:rPr>
            </w:pPr>
          </w:p>
        </w:tc>
        <w:tc>
          <w:tcPr>
            <w:tcW w:w="1080" w:type="dxa"/>
            <w:vAlign w:val="bottom"/>
            <w:tcBorders>
              <w:bottom w:val="single" w:sz="8" w:color="125288"/>
            </w:tcBorders>
          </w:tcPr>
          <w:p>
            <w:pPr>
              <w:spacing w:after="0"/>
              <w:rPr>
                <w:sz w:val="4"/>
                <w:szCs w:val="4"/>
                <w:color w:val="auto"/>
              </w:rPr>
            </w:pPr>
          </w:p>
        </w:tc>
        <w:tc>
          <w:tcPr>
            <w:tcW w:w="1300" w:type="dxa"/>
            <w:vAlign w:val="bottom"/>
            <w:tcBorders>
              <w:bottom w:val="single" w:sz="8" w:color="125288"/>
            </w:tcBorders>
          </w:tcPr>
          <w:p>
            <w:pPr>
              <w:spacing w:after="0"/>
              <w:rPr>
                <w:sz w:val="4"/>
                <w:szCs w:val="4"/>
                <w:color w:val="auto"/>
              </w:rPr>
            </w:pPr>
          </w:p>
        </w:tc>
        <w:tc>
          <w:tcPr>
            <w:tcW w:w="1260" w:type="dxa"/>
            <w:vAlign w:val="bottom"/>
            <w:tcBorders>
              <w:bottom w:val="single" w:sz="8" w:color="125288"/>
            </w:tcBorders>
          </w:tcPr>
          <w:p>
            <w:pPr>
              <w:spacing w:after="0"/>
              <w:rPr>
                <w:sz w:val="4"/>
                <w:szCs w:val="4"/>
                <w:color w:val="auto"/>
              </w:rPr>
            </w:pPr>
          </w:p>
        </w:tc>
        <w:tc>
          <w:tcPr>
            <w:tcW w:w="1580" w:type="dxa"/>
            <w:vAlign w:val="bottom"/>
            <w:tcBorders>
              <w:bottom w:val="single" w:sz="8" w:color="125288"/>
            </w:tcBorders>
          </w:tcPr>
          <w:p>
            <w:pPr>
              <w:spacing w:after="0"/>
              <w:rPr>
                <w:sz w:val="4"/>
                <w:szCs w:val="4"/>
                <w:color w:val="auto"/>
              </w:rPr>
            </w:pPr>
          </w:p>
        </w:tc>
        <w:tc>
          <w:tcPr>
            <w:tcW w:w="1300" w:type="dxa"/>
            <w:vAlign w:val="bottom"/>
            <w:tcBorders>
              <w:bottom w:val="single" w:sz="8" w:color="125288"/>
            </w:tcBorders>
          </w:tcPr>
          <w:p>
            <w:pPr>
              <w:spacing w:after="0"/>
              <w:rPr>
                <w:sz w:val="4"/>
                <w:szCs w:val="4"/>
                <w:color w:val="auto"/>
              </w:rPr>
            </w:pPr>
          </w:p>
        </w:tc>
        <w:tc>
          <w:tcPr>
            <w:tcW w:w="1000" w:type="dxa"/>
            <w:vAlign w:val="bottom"/>
            <w:tcBorders>
              <w:bottom w:val="single" w:sz="8" w:color="125288"/>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1800" w:type="dxa"/>
            <w:vAlign w:val="bottom"/>
          </w:tcPr>
          <w:p>
            <w:pPr>
              <w:spacing w:after="0"/>
              <w:rPr>
                <w:sz w:val="23"/>
                <w:szCs w:val="23"/>
                <w:color w:val="auto"/>
              </w:rPr>
            </w:pPr>
          </w:p>
        </w:tc>
        <w:tc>
          <w:tcPr>
            <w:tcW w:w="720" w:type="dxa"/>
            <w:vAlign w:val="bottom"/>
          </w:tcPr>
          <w:p>
            <w:pPr>
              <w:jc w:val="right"/>
              <w:ind w:right="117"/>
              <w:spacing w:after="0"/>
              <w:rPr>
                <w:sz w:val="20"/>
                <w:szCs w:val="20"/>
                <w:color w:val="auto"/>
              </w:rPr>
            </w:pPr>
            <w:r>
              <w:rPr>
                <w:rFonts w:ascii="Arial" w:cs="Arial" w:eastAsia="Arial" w:hAnsi="Arial"/>
                <w:sz w:val="17"/>
                <w:szCs w:val="17"/>
                <w:color w:val="auto"/>
              </w:rPr>
              <w:t>2019</w:t>
            </w:r>
          </w:p>
        </w:tc>
        <w:tc>
          <w:tcPr>
            <w:tcW w:w="1220" w:type="dxa"/>
            <w:vAlign w:val="bottom"/>
          </w:tcPr>
          <w:p>
            <w:pPr>
              <w:jc w:val="right"/>
              <w:ind w:right="178"/>
              <w:spacing w:after="0"/>
              <w:rPr>
                <w:sz w:val="20"/>
                <w:szCs w:val="20"/>
                <w:color w:val="auto"/>
              </w:rPr>
            </w:pPr>
            <w:r>
              <w:rPr>
                <w:rFonts w:ascii="Arial" w:cs="Arial" w:eastAsia="Arial" w:hAnsi="Arial"/>
                <w:sz w:val="17"/>
                <w:szCs w:val="17"/>
                <w:color w:val="auto"/>
              </w:rPr>
              <w:t>1,756,731</w:t>
            </w:r>
          </w:p>
        </w:tc>
        <w:tc>
          <w:tcPr>
            <w:tcW w:w="1080" w:type="dxa"/>
            <w:vAlign w:val="bottom"/>
          </w:tcPr>
          <w:p>
            <w:pPr>
              <w:jc w:val="right"/>
              <w:ind w:right="14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201"/>
              <w:spacing w:after="0"/>
              <w:rPr>
                <w:sz w:val="20"/>
                <w:szCs w:val="20"/>
                <w:color w:val="auto"/>
              </w:rPr>
            </w:pPr>
            <w:r>
              <w:rPr>
                <w:rFonts w:ascii="Arial" w:cs="Arial" w:eastAsia="Arial" w:hAnsi="Arial"/>
                <w:sz w:val="17"/>
                <w:szCs w:val="17"/>
                <w:color w:val="auto"/>
              </w:rPr>
              <w:t>6,269,752</w:t>
            </w:r>
          </w:p>
        </w:tc>
        <w:tc>
          <w:tcPr>
            <w:tcW w:w="1260" w:type="dxa"/>
            <w:vAlign w:val="bottom"/>
          </w:tcPr>
          <w:p>
            <w:pPr>
              <w:jc w:val="right"/>
              <w:ind w:right="241"/>
              <w:spacing w:after="0"/>
              <w:rPr>
                <w:sz w:val="20"/>
                <w:szCs w:val="20"/>
                <w:color w:val="auto"/>
              </w:rPr>
            </w:pPr>
            <w:r>
              <w:rPr>
                <w:rFonts w:ascii="Arial" w:cs="Arial" w:eastAsia="Arial" w:hAnsi="Arial"/>
                <w:sz w:val="17"/>
                <w:szCs w:val="17"/>
                <w:color w:val="auto"/>
              </w:rPr>
              <w:t>19,137,241</w:t>
            </w:r>
          </w:p>
        </w:tc>
        <w:tc>
          <w:tcPr>
            <w:tcW w:w="1580" w:type="dxa"/>
            <w:vAlign w:val="bottom"/>
          </w:tcPr>
          <w:p>
            <w:pPr>
              <w:jc w:val="right"/>
              <w:ind w:right="121"/>
              <w:spacing w:after="0"/>
              <w:rPr>
                <w:sz w:val="20"/>
                <w:szCs w:val="20"/>
                <w:color w:val="auto"/>
              </w:rPr>
            </w:pPr>
            <w:r>
              <w:rPr>
                <w:rFonts w:ascii="Arial" w:cs="Arial" w:eastAsia="Arial" w:hAnsi="Arial"/>
                <w:sz w:val="17"/>
                <w:szCs w:val="17"/>
                <w:color w:val="auto"/>
              </w:rPr>
              <w:t>2,870,966</w:t>
            </w:r>
          </w:p>
        </w:tc>
        <w:tc>
          <w:tcPr>
            <w:tcW w:w="1300" w:type="dxa"/>
            <w:vAlign w:val="bottom"/>
          </w:tcPr>
          <w:p>
            <w:pPr>
              <w:jc w:val="right"/>
              <w:ind w:right="58"/>
              <w:spacing w:after="0"/>
              <w:rPr>
                <w:sz w:val="20"/>
                <w:szCs w:val="20"/>
                <w:color w:val="auto"/>
              </w:rPr>
            </w:pPr>
            <w:r>
              <w:rPr>
                <w:rFonts w:ascii="Arial" w:cs="Arial" w:eastAsia="Arial" w:hAnsi="Arial"/>
                <w:sz w:val="17"/>
                <w:szCs w:val="17"/>
                <w:color w:val="auto"/>
              </w:rPr>
              <w:t>88,206</w:t>
            </w:r>
          </w:p>
        </w:tc>
        <w:tc>
          <w:tcPr>
            <w:tcW w:w="1000" w:type="dxa"/>
            <w:vAlign w:val="bottom"/>
          </w:tcPr>
          <w:p>
            <w:pPr>
              <w:jc w:val="right"/>
              <w:spacing w:after="0"/>
              <w:rPr>
                <w:sz w:val="20"/>
                <w:szCs w:val="20"/>
                <w:color w:val="auto"/>
              </w:rPr>
            </w:pPr>
            <w:r>
              <w:rPr>
                <w:rFonts w:ascii="Arial" w:cs="Arial" w:eastAsia="Arial" w:hAnsi="Arial"/>
                <w:sz w:val="17"/>
                <w:szCs w:val="17"/>
                <w:color w:val="auto"/>
              </w:rPr>
              <w:t>30,122,896</w:t>
            </w:r>
          </w:p>
        </w:tc>
        <w:tc>
          <w:tcPr>
            <w:tcW w:w="0" w:type="dxa"/>
            <w:vAlign w:val="bottom"/>
          </w:tcPr>
          <w:p>
            <w:pPr>
              <w:spacing w:after="0"/>
              <w:rPr>
                <w:sz w:val="1"/>
                <w:szCs w:val="1"/>
                <w:color w:val="auto"/>
              </w:rPr>
            </w:pPr>
          </w:p>
        </w:tc>
      </w:tr>
      <w:tr>
        <w:trPr>
          <w:trHeight w:val="85"/>
        </w:trPr>
        <w:tc>
          <w:tcPr>
            <w:tcW w:w="1800" w:type="dxa"/>
            <w:vAlign w:val="bottom"/>
            <w:tcBorders>
              <w:bottom w:val="single" w:sz="8" w:color="125288"/>
            </w:tcBorders>
          </w:tcPr>
          <w:p>
            <w:pPr>
              <w:spacing w:after="0"/>
              <w:rPr>
                <w:sz w:val="7"/>
                <w:szCs w:val="7"/>
                <w:color w:val="auto"/>
              </w:rPr>
            </w:pPr>
          </w:p>
        </w:tc>
        <w:tc>
          <w:tcPr>
            <w:tcW w:w="720" w:type="dxa"/>
            <w:vAlign w:val="bottom"/>
            <w:tcBorders>
              <w:bottom w:val="single" w:sz="8" w:color="125288"/>
            </w:tcBorders>
          </w:tcPr>
          <w:p>
            <w:pPr>
              <w:spacing w:after="0"/>
              <w:rPr>
                <w:sz w:val="7"/>
                <w:szCs w:val="7"/>
                <w:color w:val="auto"/>
              </w:rPr>
            </w:pPr>
          </w:p>
        </w:tc>
        <w:tc>
          <w:tcPr>
            <w:tcW w:w="1220" w:type="dxa"/>
            <w:vAlign w:val="bottom"/>
            <w:tcBorders>
              <w:bottom w:val="single" w:sz="8" w:color="125288"/>
            </w:tcBorders>
          </w:tcPr>
          <w:p>
            <w:pPr>
              <w:spacing w:after="0"/>
              <w:rPr>
                <w:sz w:val="7"/>
                <w:szCs w:val="7"/>
                <w:color w:val="auto"/>
              </w:rPr>
            </w:pPr>
          </w:p>
        </w:tc>
        <w:tc>
          <w:tcPr>
            <w:tcW w:w="1080" w:type="dxa"/>
            <w:vAlign w:val="bottom"/>
            <w:tcBorders>
              <w:bottom w:val="single" w:sz="8" w:color="125288"/>
            </w:tcBorders>
          </w:tcPr>
          <w:p>
            <w:pPr>
              <w:spacing w:after="0"/>
              <w:rPr>
                <w:sz w:val="7"/>
                <w:szCs w:val="7"/>
                <w:color w:val="auto"/>
              </w:rPr>
            </w:pPr>
          </w:p>
        </w:tc>
        <w:tc>
          <w:tcPr>
            <w:tcW w:w="1300" w:type="dxa"/>
            <w:vAlign w:val="bottom"/>
            <w:tcBorders>
              <w:bottom w:val="single" w:sz="8" w:color="125288"/>
            </w:tcBorders>
          </w:tcPr>
          <w:p>
            <w:pPr>
              <w:spacing w:after="0"/>
              <w:rPr>
                <w:sz w:val="7"/>
                <w:szCs w:val="7"/>
                <w:color w:val="auto"/>
              </w:rPr>
            </w:pPr>
          </w:p>
        </w:tc>
        <w:tc>
          <w:tcPr>
            <w:tcW w:w="1260" w:type="dxa"/>
            <w:vAlign w:val="bottom"/>
            <w:tcBorders>
              <w:bottom w:val="single" w:sz="8" w:color="125288"/>
            </w:tcBorders>
          </w:tcPr>
          <w:p>
            <w:pPr>
              <w:spacing w:after="0"/>
              <w:rPr>
                <w:sz w:val="7"/>
                <w:szCs w:val="7"/>
                <w:color w:val="auto"/>
              </w:rPr>
            </w:pPr>
          </w:p>
        </w:tc>
        <w:tc>
          <w:tcPr>
            <w:tcW w:w="1580" w:type="dxa"/>
            <w:vAlign w:val="bottom"/>
            <w:tcBorders>
              <w:bottom w:val="single" w:sz="8" w:color="125288"/>
            </w:tcBorders>
          </w:tcPr>
          <w:p>
            <w:pPr>
              <w:spacing w:after="0"/>
              <w:rPr>
                <w:sz w:val="7"/>
                <w:szCs w:val="7"/>
                <w:color w:val="auto"/>
              </w:rPr>
            </w:pPr>
          </w:p>
        </w:tc>
        <w:tc>
          <w:tcPr>
            <w:tcW w:w="1300" w:type="dxa"/>
            <w:vAlign w:val="bottom"/>
            <w:tcBorders>
              <w:bottom w:val="single" w:sz="8" w:color="125288"/>
            </w:tcBorders>
          </w:tcPr>
          <w:p>
            <w:pPr>
              <w:spacing w:after="0"/>
              <w:rPr>
                <w:sz w:val="7"/>
                <w:szCs w:val="7"/>
                <w:color w:val="auto"/>
              </w:rPr>
            </w:pPr>
          </w:p>
        </w:tc>
        <w:tc>
          <w:tcPr>
            <w:tcW w:w="1000" w:type="dxa"/>
            <w:vAlign w:val="bottom"/>
            <w:tcBorders>
              <w:bottom w:val="single" w:sz="8" w:color="125288"/>
            </w:tcBorders>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1800" w:type="dxa"/>
            <w:vAlign w:val="bottom"/>
          </w:tcPr>
          <w:p>
            <w:pPr>
              <w:ind w:left="40"/>
              <w:spacing w:after="0"/>
              <w:rPr>
                <w:sz w:val="20"/>
                <w:szCs w:val="20"/>
                <w:color w:val="auto"/>
              </w:rPr>
            </w:pPr>
            <w:r>
              <w:rPr>
                <w:rFonts w:ascii="Arial" w:cs="Arial" w:eastAsia="Arial" w:hAnsi="Arial"/>
                <w:sz w:val="17"/>
                <w:szCs w:val="17"/>
                <w:b w:val="1"/>
                <w:bCs w:val="1"/>
                <w:color w:val="auto"/>
              </w:rPr>
              <w:t>Dennis Durkin</w:t>
            </w:r>
            <w:r>
              <w:rPr>
                <w:rFonts w:ascii="Arial" w:cs="Arial" w:eastAsia="Arial" w:hAnsi="Arial"/>
                <w:sz w:val="9"/>
                <w:szCs w:val="9"/>
                <w:color w:val="auto"/>
              </w:rPr>
              <w:t>(7)</w:t>
            </w:r>
          </w:p>
        </w:tc>
        <w:tc>
          <w:tcPr>
            <w:tcW w:w="720" w:type="dxa"/>
            <w:vAlign w:val="bottom"/>
          </w:tcPr>
          <w:p>
            <w:pPr>
              <w:jc w:val="right"/>
              <w:ind w:right="117"/>
              <w:spacing w:after="0"/>
              <w:rPr>
                <w:sz w:val="20"/>
                <w:szCs w:val="20"/>
                <w:color w:val="auto"/>
              </w:rPr>
            </w:pPr>
            <w:r>
              <w:rPr>
                <w:rFonts w:ascii="Arial" w:cs="Arial" w:eastAsia="Arial" w:hAnsi="Arial"/>
                <w:sz w:val="17"/>
                <w:szCs w:val="17"/>
                <w:color w:val="auto"/>
              </w:rPr>
              <w:t>2021</w:t>
            </w:r>
          </w:p>
        </w:tc>
        <w:tc>
          <w:tcPr>
            <w:tcW w:w="1220" w:type="dxa"/>
            <w:vAlign w:val="bottom"/>
          </w:tcPr>
          <w:p>
            <w:pPr>
              <w:jc w:val="right"/>
              <w:ind w:right="178"/>
              <w:spacing w:after="0"/>
              <w:rPr>
                <w:sz w:val="20"/>
                <w:szCs w:val="20"/>
                <w:color w:val="auto"/>
              </w:rPr>
            </w:pPr>
            <w:r>
              <w:rPr>
                <w:rFonts w:ascii="Arial" w:cs="Arial" w:eastAsia="Arial" w:hAnsi="Arial"/>
                <w:sz w:val="17"/>
                <w:szCs w:val="17"/>
                <w:color w:val="auto"/>
              </w:rPr>
              <w:t>491,538</w:t>
            </w:r>
          </w:p>
        </w:tc>
        <w:tc>
          <w:tcPr>
            <w:tcW w:w="1080" w:type="dxa"/>
            <w:vAlign w:val="bottom"/>
          </w:tcPr>
          <w:p>
            <w:pPr>
              <w:jc w:val="right"/>
              <w:ind w:right="14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201"/>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241"/>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121"/>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29,300</w:t>
            </w:r>
            <w:r>
              <w:rPr>
                <w:rFonts w:ascii="Arial" w:cs="Arial" w:eastAsia="Arial" w:hAnsi="Arial"/>
                <w:sz w:val="19"/>
                <w:szCs w:val="19"/>
                <w:color w:val="auto"/>
                <w:vertAlign w:val="superscript"/>
              </w:rPr>
              <w:t>(5)</w:t>
            </w:r>
          </w:p>
        </w:tc>
        <w:tc>
          <w:tcPr>
            <w:tcW w:w="1000" w:type="dxa"/>
            <w:vAlign w:val="bottom"/>
          </w:tcPr>
          <w:p>
            <w:pPr>
              <w:jc w:val="right"/>
              <w:spacing w:after="0"/>
              <w:rPr>
                <w:sz w:val="20"/>
                <w:szCs w:val="20"/>
                <w:color w:val="auto"/>
              </w:rPr>
            </w:pPr>
            <w:r>
              <w:rPr>
                <w:rFonts w:ascii="Arial" w:cs="Arial" w:eastAsia="Arial" w:hAnsi="Arial"/>
                <w:sz w:val="17"/>
                <w:szCs w:val="17"/>
                <w:color w:val="auto"/>
              </w:rPr>
              <w:t>520,839</w:t>
            </w:r>
          </w:p>
        </w:tc>
        <w:tc>
          <w:tcPr>
            <w:tcW w:w="0" w:type="dxa"/>
            <w:vAlign w:val="bottom"/>
          </w:tcPr>
          <w:p>
            <w:pPr>
              <w:spacing w:after="0"/>
              <w:rPr>
                <w:sz w:val="1"/>
                <w:szCs w:val="1"/>
                <w:color w:val="auto"/>
              </w:rPr>
            </w:pPr>
          </w:p>
        </w:tc>
      </w:tr>
      <w:tr>
        <w:trPr>
          <w:trHeight w:val="73"/>
        </w:trPr>
        <w:tc>
          <w:tcPr>
            <w:tcW w:w="1800" w:type="dxa"/>
            <w:vAlign w:val="bottom"/>
            <w:vMerge w:val="restart"/>
          </w:tcPr>
          <w:p>
            <w:pPr>
              <w:ind w:left="160"/>
              <w:spacing w:after="0"/>
              <w:rPr>
                <w:sz w:val="20"/>
                <w:szCs w:val="20"/>
                <w:color w:val="auto"/>
              </w:rPr>
            </w:pPr>
            <w:r>
              <w:rPr>
                <w:rFonts w:ascii="Arial" w:cs="Arial" w:eastAsia="Arial" w:hAnsi="Arial"/>
                <w:sz w:val="17"/>
                <w:szCs w:val="17"/>
                <w:color w:val="auto"/>
              </w:rPr>
              <w:t>Former Chief</w:t>
            </w:r>
          </w:p>
        </w:tc>
        <w:tc>
          <w:tcPr>
            <w:tcW w:w="720" w:type="dxa"/>
            <w:vAlign w:val="bottom"/>
            <w:tcBorders>
              <w:bottom w:val="single" w:sz="8" w:color="125288"/>
            </w:tcBorders>
          </w:tcPr>
          <w:p>
            <w:pPr>
              <w:spacing w:after="0"/>
              <w:rPr>
                <w:sz w:val="6"/>
                <w:szCs w:val="6"/>
                <w:color w:val="auto"/>
              </w:rPr>
            </w:pPr>
          </w:p>
        </w:tc>
        <w:tc>
          <w:tcPr>
            <w:tcW w:w="1220" w:type="dxa"/>
            <w:vAlign w:val="bottom"/>
            <w:tcBorders>
              <w:bottom w:val="single" w:sz="8" w:color="125288"/>
            </w:tcBorders>
          </w:tcPr>
          <w:p>
            <w:pPr>
              <w:spacing w:after="0"/>
              <w:rPr>
                <w:sz w:val="6"/>
                <w:szCs w:val="6"/>
                <w:color w:val="auto"/>
              </w:rPr>
            </w:pPr>
          </w:p>
        </w:tc>
        <w:tc>
          <w:tcPr>
            <w:tcW w:w="1080" w:type="dxa"/>
            <w:vAlign w:val="bottom"/>
            <w:tcBorders>
              <w:bottom w:val="single" w:sz="8" w:color="125288"/>
            </w:tcBorders>
          </w:tcPr>
          <w:p>
            <w:pPr>
              <w:spacing w:after="0"/>
              <w:rPr>
                <w:sz w:val="6"/>
                <w:szCs w:val="6"/>
                <w:color w:val="auto"/>
              </w:rPr>
            </w:pPr>
          </w:p>
        </w:tc>
        <w:tc>
          <w:tcPr>
            <w:tcW w:w="1300" w:type="dxa"/>
            <w:vAlign w:val="bottom"/>
            <w:tcBorders>
              <w:bottom w:val="single" w:sz="8" w:color="125288"/>
            </w:tcBorders>
          </w:tcPr>
          <w:p>
            <w:pPr>
              <w:spacing w:after="0"/>
              <w:rPr>
                <w:sz w:val="6"/>
                <w:szCs w:val="6"/>
                <w:color w:val="auto"/>
              </w:rPr>
            </w:pPr>
          </w:p>
        </w:tc>
        <w:tc>
          <w:tcPr>
            <w:tcW w:w="1260" w:type="dxa"/>
            <w:vAlign w:val="bottom"/>
            <w:tcBorders>
              <w:bottom w:val="single" w:sz="8" w:color="125288"/>
            </w:tcBorders>
          </w:tcPr>
          <w:p>
            <w:pPr>
              <w:spacing w:after="0"/>
              <w:rPr>
                <w:sz w:val="6"/>
                <w:szCs w:val="6"/>
                <w:color w:val="auto"/>
              </w:rPr>
            </w:pPr>
          </w:p>
        </w:tc>
        <w:tc>
          <w:tcPr>
            <w:tcW w:w="1580" w:type="dxa"/>
            <w:vAlign w:val="bottom"/>
            <w:tcBorders>
              <w:bottom w:val="single" w:sz="8" w:color="125288"/>
            </w:tcBorders>
          </w:tcPr>
          <w:p>
            <w:pPr>
              <w:spacing w:after="0"/>
              <w:rPr>
                <w:sz w:val="6"/>
                <w:szCs w:val="6"/>
                <w:color w:val="auto"/>
              </w:rPr>
            </w:pPr>
          </w:p>
        </w:tc>
        <w:tc>
          <w:tcPr>
            <w:tcW w:w="1300" w:type="dxa"/>
            <w:vAlign w:val="bottom"/>
            <w:tcBorders>
              <w:bottom w:val="single" w:sz="8" w:color="125288"/>
            </w:tcBorders>
          </w:tcPr>
          <w:p>
            <w:pPr>
              <w:spacing w:after="0"/>
              <w:rPr>
                <w:sz w:val="6"/>
                <w:szCs w:val="6"/>
                <w:color w:val="auto"/>
              </w:rPr>
            </w:pPr>
          </w:p>
        </w:tc>
        <w:tc>
          <w:tcPr>
            <w:tcW w:w="1000" w:type="dxa"/>
            <w:vAlign w:val="bottom"/>
            <w:tcBorders>
              <w:bottom w:val="single" w:sz="8" w:color="125288"/>
            </w:tcBorders>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1800" w:type="dxa"/>
            <w:vAlign w:val="bottom"/>
            <w:vMerge w:val="continue"/>
          </w:tcPr>
          <w:p>
            <w:pPr>
              <w:spacing w:after="0"/>
              <w:rPr>
                <w:sz w:val="9"/>
                <w:szCs w:val="9"/>
                <w:color w:val="auto"/>
              </w:rPr>
            </w:pPr>
          </w:p>
        </w:tc>
        <w:tc>
          <w:tcPr>
            <w:tcW w:w="720" w:type="dxa"/>
            <w:vAlign w:val="bottom"/>
            <w:vMerge w:val="restart"/>
          </w:tcPr>
          <w:p>
            <w:pPr>
              <w:jc w:val="right"/>
              <w:ind w:right="117"/>
              <w:spacing w:after="0"/>
              <w:rPr>
                <w:sz w:val="20"/>
                <w:szCs w:val="20"/>
                <w:color w:val="auto"/>
              </w:rPr>
            </w:pPr>
            <w:r>
              <w:rPr>
                <w:rFonts w:ascii="Arial" w:cs="Arial" w:eastAsia="Arial" w:hAnsi="Arial"/>
                <w:sz w:val="17"/>
                <w:szCs w:val="17"/>
                <w:color w:val="auto"/>
              </w:rPr>
              <w:t>2020</w:t>
            </w:r>
          </w:p>
        </w:tc>
        <w:tc>
          <w:tcPr>
            <w:tcW w:w="1220" w:type="dxa"/>
            <w:vAlign w:val="bottom"/>
            <w:vMerge w:val="restart"/>
          </w:tcPr>
          <w:p>
            <w:pPr>
              <w:jc w:val="right"/>
              <w:ind w:right="178"/>
              <w:spacing w:after="0"/>
              <w:rPr>
                <w:sz w:val="20"/>
                <w:szCs w:val="20"/>
                <w:color w:val="auto"/>
              </w:rPr>
            </w:pPr>
            <w:r>
              <w:rPr>
                <w:rFonts w:ascii="Arial" w:cs="Arial" w:eastAsia="Arial" w:hAnsi="Arial"/>
                <w:sz w:val="17"/>
                <w:szCs w:val="17"/>
                <w:color w:val="auto"/>
              </w:rPr>
              <w:t>906,923</w:t>
            </w:r>
          </w:p>
        </w:tc>
        <w:tc>
          <w:tcPr>
            <w:tcW w:w="1080" w:type="dxa"/>
            <w:vAlign w:val="bottom"/>
            <w:vMerge w:val="restart"/>
          </w:tcPr>
          <w:p>
            <w:pPr>
              <w:jc w:val="right"/>
              <w:ind w:right="140"/>
              <w:spacing w:after="0"/>
              <w:rPr>
                <w:sz w:val="20"/>
                <w:szCs w:val="20"/>
                <w:color w:val="auto"/>
              </w:rPr>
            </w:pPr>
            <w:r>
              <w:rPr>
                <w:rFonts w:ascii="Arial" w:cs="Arial" w:eastAsia="Arial" w:hAnsi="Arial"/>
                <w:sz w:val="17"/>
                <w:szCs w:val="17"/>
                <w:color w:val="auto"/>
              </w:rPr>
              <w:t>—</w:t>
            </w:r>
          </w:p>
        </w:tc>
        <w:tc>
          <w:tcPr>
            <w:tcW w:w="1300" w:type="dxa"/>
            <w:vAlign w:val="bottom"/>
            <w:vMerge w:val="restart"/>
          </w:tcPr>
          <w:p>
            <w:pPr>
              <w:jc w:val="right"/>
              <w:ind w:right="201"/>
              <w:spacing w:after="0"/>
              <w:rPr>
                <w:sz w:val="20"/>
                <w:szCs w:val="20"/>
                <w:color w:val="auto"/>
              </w:rPr>
            </w:pPr>
            <w:r>
              <w:rPr>
                <w:rFonts w:ascii="Arial" w:cs="Arial" w:eastAsia="Arial" w:hAnsi="Arial"/>
                <w:sz w:val="17"/>
                <w:szCs w:val="17"/>
                <w:color w:val="auto"/>
              </w:rPr>
              <w:t>10,904,713</w:t>
            </w:r>
          </w:p>
        </w:tc>
        <w:tc>
          <w:tcPr>
            <w:tcW w:w="1260" w:type="dxa"/>
            <w:vAlign w:val="bottom"/>
            <w:vMerge w:val="restart"/>
          </w:tcPr>
          <w:p>
            <w:pPr>
              <w:jc w:val="right"/>
              <w:ind w:right="241"/>
              <w:spacing w:after="0"/>
              <w:rPr>
                <w:sz w:val="20"/>
                <w:szCs w:val="20"/>
                <w:color w:val="auto"/>
              </w:rPr>
            </w:pPr>
            <w:r>
              <w:rPr>
                <w:rFonts w:ascii="Arial" w:cs="Arial" w:eastAsia="Arial" w:hAnsi="Arial"/>
                <w:sz w:val="17"/>
                <w:szCs w:val="17"/>
                <w:color w:val="auto"/>
              </w:rPr>
              <w:t>—</w:t>
            </w:r>
          </w:p>
        </w:tc>
        <w:tc>
          <w:tcPr>
            <w:tcW w:w="1580" w:type="dxa"/>
            <w:vAlign w:val="bottom"/>
            <w:vMerge w:val="restart"/>
          </w:tcPr>
          <w:p>
            <w:pPr>
              <w:jc w:val="right"/>
              <w:ind w:right="121"/>
              <w:spacing w:after="0"/>
              <w:rPr>
                <w:sz w:val="20"/>
                <w:szCs w:val="20"/>
                <w:color w:val="auto"/>
              </w:rPr>
            </w:pPr>
            <w:r>
              <w:rPr>
                <w:rFonts w:ascii="Arial" w:cs="Arial" w:eastAsia="Arial" w:hAnsi="Arial"/>
                <w:sz w:val="17"/>
                <w:szCs w:val="17"/>
                <w:color w:val="auto"/>
              </w:rPr>
              <w:t>1,158,588</w:t>
            </w:r>
          </w:p>
        </w:tc>
        <w:tc>
          <w:tcPr>
            <w:tcW w:w="1300" w:type="dxa"/>
            <w:vAlign w:val="bottom"/>
            <w:vMerge w:val="restart"/>
          </w:tcPr>
          <w:p>
            <w:pPr>
              <w:jc w:val="right"/>
              <w:ind w:right="58"/>
              <w:spacing w:after="0"/>
              <w:rPr>
                <w:sz w:val="20"/>
                <w:szCs w:val="20"/>
                <w:color w:val="auto"/>
              </w:rPr>
            </w:pPr>
            <w:r>
              <w:rPr>
                <w:rFonts w:ascii="Arial" w:cs="Arial" w:eastAsia="Arial" w:hAnsi="Arial"/>
                <w:sz w:val="17"/>
                <w:szCs w:val="17"/>
                <w:color w:val="auto"/>
              </w:rPr>
              <w:t>29,530</w:t>
            </w: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12,999,754</w:t>
            </w:r>
          </w:p>
        </w:tc>
        <w:tc>
          <w:tcPr>
            <w:tcW w:w="0" w:type="dxa"/>
            <w:vAlign w:val="bottom"/>
          </w:tcPr>
          <w:p>
            <w:pPr>
              <w:spacing w:after="0"/>
              <w:rPr>
                <w:sz w:val="1"/>
                <w:szCs w:val="1"/>
                <w:color w:val="auto"/>
              </w:rPr>
            </w:pPr>
          </w:p>
        </w:tc>
      </w:tr>
      <w:tr>
        <w:trPr>
          <w:trHeight w:val="201"/>
        </w:trPr>
        <w:tc>
          <w:tcPr>
            <w:tcW w:w="1800" w:type="dxa"/>
            <w:vAlign w:val="bottom"/>
          </w:tcPr>
          <w:p>
            <w:pPr>
              <w:ind w:left="160"/>
              <w:spacing w:after="0"/>
              <w:rPr>
                <w:sz w:val="20"/>
                <w:szCs w:val="20"/>
                <w:color w:val="auto"/>
              </w:rPr>
            </w:pPr>
            <w:r>
              <w:rPr>
                <w:rFonts w:ascii="Arial" w:cs="Arial" w:eastAsia="Arial" w:hAnsi="Arial"/>
                <w:sz w:val="17"/>
                <w:szCs w:val="17"/>
                <w:color w:val="auto"/>
              </w:rPr>
              <w:t>Financial Officer</w:t>
            </w:r>
          </w:p>
        </w:tc>
        <w:tc>
          <w:tcPr>
            <w:tcW w:w="72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9"/>
        </w:trPr>
        <w:tc>
          <w:tcPr>
            <w:tcW w:w="1800" w:type="dxa"/>
            <w:vAlign w:val="bottom"/>
          </w:tcPr>
          <w:p>
            <w:pPr>
              <w:spacing w:after="0"/>
              <w:rPr>
                <w:sz w:val="4"/>
                <w:szCs w:val="4"/>
                <w:color w:val="auto"/>
              </w:rPr>
            </w:pPr>
          </w:p>
        </w:tc>
        <w:tc>
          <w:tcPr>
            <w:tcW w:w="720" w:type="dxa"/>
            <w:vAlign w:val="bottom"/>
            <w:tcBorders>
              <w:bottom w:val="single" w:sz="8" w:color="125288"/>
            </w:tcBorders>
          </w:tcPr>
          <w:p>
            <w:pPr>
              <w:spacing w:after="0"/>
              <w:rPr>
                <w:sz w:val="4"/>
                <w:szCs w:val="4"/>
                <w:color w:val="auto"/>
              </w:rPr>
            </w:pPr>
          </w:p>
        </w:tc>
        <w:tc>
          <w:tcPr>
            <w:tcW w:w="1220" w:type="dxa"/>
            <w:vAlign w:val="bottom"/>
            <w:tcBorders>
              <w:bottom w:val="single" w:sz="8" w:color="125288"/>
            </w:tcBorders>
          </w:tcPr>
          <w:p>
            <w:pPr>
              <w:spacing w:after="0"/>
              <w:rPr>
                <w:sz w:val="4"/>
                <w:szCs w:val="4"/>
                <w:color w:val="auto"/>
              </w:rPr>
            </w:pPr>
          </w:p>
        </w:tc>
        <w:tc>
          <w:tcPr>
            <w:tcW w:w="1080" w:type="dxa"/>
            <w:vAlign w:val="bottom"/>
            <w:tcBorders>
              <w:bottom w:val="single" w:sz="8" w:color="125288"/>
            </w:tcBorders>
          </w:tcPr>
          <w:p>
            <w:pPr>
              <w:spacing w:after="0"/>
              <w:rPr>
                <w:sz w:val="4"/>
                <w:szCs w:val="4"/>
                <w:color w:val="auto"/>
              </w:rPr>
            </w:pPr>
          </w:p>
        </w:tc>
        <w:tc>
          <w:tcPr>
            <w:tcW w:w="1300" w:type="dxa"/>
            <w:vAlign w:val="bottom"/>
            <w:tcBorders>
              <w:bottom w:val="single" w:sz="8" w:color="125288"/>
            </w:tcBorders>
          </w:tcPr>
          <w:p>
            <w:pPr>
              <w:spacing w:after="0"/>
              <w:rPr>
                <w:sz w:val="4"/>
                <w:szCs w:val="4"/>
                <w:color w:val="auto"/>
              </w:rPr>
            </w:pPr>
          </w:p>
        </w:tc>
        <w:tc>
          <w:tcPr>
            <w:tcW w:w="1260" w:type="dxa"/>
            <w:vAlign w:val="bottom"/>
            <w:tcBorders>
              <w:bottom w:val="single" w:sz="8" w:color="125288"/>
            </w:tcBorders>
          </w:tcPr>
          <w:p>
            <w:pPr>
              <w:spacing w:after="0"/>
              <w:rPr>
                <w:sz w:val="4"/>
                <w:szCs w:val="4"/>
                <w:color w:val="auto"/>
              </w:rPr>
            </w:pPr>
          </w:p>
        </w:tc>
        <w:tc>
          <w:tcPr>
            <w:tcW w:w="1580" w:type="dxa"/>
            <w:vAlign w:val="bottom"/>
            <w:tcBorders>
              <w:bottom w:val="single" w:sz="8" w:color="125288"/>
            </w:tcBorders>
          </w:tcPr>
          <w:p>
            <w:pPr>
              <w:spacing w:after="0"/>
              <w:rPr>
                <w:sz w:val="4"/>
                <w:szCs w:val="4"/>
                <w:color w:val="auto"/>
              </w:rPr>
            </w:pPr>
          </w:p>
        </w:tc>
        <w:tc>
          <w:tcPr>
            <w:tcW w:w="1300" w:type="dxa"/>
            <w:vAlign w:val="bottom"/>
            <w:tcBorders>
              <w:bottom w:val="single" w:sz="8" w:color="125288"/>
            </w:tcBorders>
          </w:tcPr>
          <w:p>
            <w:pPr>
              <w:spacing w:after="0"/>
              <w:rPr>
                <w:sz w:val="4"/>
                <w:szCs w:val="4"/>
                <w:color w:val="auto"/>
              </w:rPr>
            </w:pPr>
          </w:p>
        </w:tc>
        <w:tc>
          <w:tcPr>
            <w:tcW w:w="1000" w:type="dxa"/>
            <w:vAlign w:val="bottom"/>
            <w:tcBorders>
              <w:bottom w:val="single" w:sz="8" w:color="125288"/>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1800" w:type="dxa"/>
            <w:vAlign w:val="bottom"/>
          </w:tcPr>
          <w:p>
            <w:pPr>
              <w:spacing w:after="0"/>
              <w:rPr>
                <w:sz w:val="23"/>
                <w:szCs w:val="23"/>
                <w:color w:val="auto"/>
              </w:rPr>
            </w:pPr>
          </w:p>
        </w:tc>
        <w:tc>
          <w:tcPr>
            <w:tcW w:w="720" w:type="dxa"/>
            <w:vAlign w:val="bottom"/>
          </w:tcPr>
          <w:p>
            <w:pPr>
              <w:jc w:val="right"/>
              <w:ind w:right="117"/>
              <w:spacing w:after="0"/>
              <w:rPr>
                <w:sz w:val="20"/>
                <w:szCs w:val="20"/>
                <w:color w:val="auto"/>
              </w:rPr>
            </w:pPr>
            <w:r>
              <w:rPr>
                <w:rFonts w:ascii="Arial" w:cs="Arial" w:eastAsia="Arial" w:hAnsi="Arial"/>
                <w:sz w:val="17"/>
                <w:szCs w:val="17"/>
                <w:color w:val="auto"/>
              </w:rPr>
              <w:t>2019</w:t>
            </w:r>
          </w:p>
        </w:tc>
        <w:tc>
          <w:tcPr>
            <w:tcW w:w="1220" w:type="dxa"/>
            <w:vAlign w:val="bottom"/>
          </w:tcPr>
          <w:p>
            <w:pPr>
              <w:jc w:val="right"/>
              <w:ind w:right="178"/>
              <w:spacing w:after="0"/>
              <w:rPr>
                <w:sz w:val="20"/>
                <w:szCs w:val="20"/>
                <w:color w:val="auto"/>
              </w:rPr>
            </w:pPr>
            <w:r>
              <w:rPr>
                <w:rFonts w:ascii="Arial" w:cs="Arial" w:eastAsia="Arial" w:hAnsi="Arial"/>
                <w:sz w:val="17"/>
                <w:szCs w:val="17"/>
                <w:color w:val="auto"/>
              </w:rPr>
              <w:t>901,731</w:t>
            </w:r>
          </w:p>
        </w:tc>
        <w:tc>
          <w:tcPr>
            <w:tcW w:w="1080" w:type="dxa"/>
            <w:vAlign w:val="bottom"/>
          </w:tcPr>
          <w:p>
            <w:pPr>
              <w:jc w:val="right"/>
              <w:ind w:right="140"/>
              <w:spacing w:after="0"/>
              <w:rPr>
                <w:sz w:val="20"/>
                <w:szCs w:val="20"/>
                <w:color w:val="auto"/>
              </w:rPr>
            </w:pPr>
            <w:r>
              <w:rPr>
                <w:rFonts w:ascii="Arial" w:cs="Arial" w:eastAsia="Arial" w:hAnsi="Arial"/>
                <w:sz w:val="17"/>
                <w:szCs w:val="17"/>
                <w:color w:val="auto"/>
              </w:rPr>
              <w:t>3,750,000</w:t>
            </w:r>
          </w:p>
        </w:tc>
        <w:tc>
          <w:tcPr>
            <w:tcW w:w="1300" w:type="dxa"/>
            <w:vAlign w:val="bottom"/>
          </w:tcPr>
          <w:p>
            <w:pPr>
              <w:jc w:val="right"/>
              <w:ind w:right="201"/>
              <w:spacing w:after="0"/>
              <w:rPr>
                <w:sz w:val="20"/>
                <w:szCs w:val="20"/>
                <w:color w:val="auto"/>
              </w:rPr>
            </w:pPr>
            <w:r>
              <w:rPr>
                <w:rFonts w:ascii="Arial" w:cs="Arial" w:eastAsia="Arial" w:hAnsi="Arial"/>
                <w:sz w:val="17"/>
                <w:szCs w:val="17"/>
                <w:color w:val="auto"/>
              </w:rPr>
              <w:t>3,716,989</w:t>
            </w:r>
          </w:p>
        </w:tc>
        <w:tc>
          <w:tcPr>
            <w:tcW w:w="1260" w:type="dxa"/>
            <w:vAlign w:val="bottom"/>
          </w:tcPr>
          <w:p>
            <w:pPr>
              <w:jc w:val="right"/>
              <w:ind w:right="241"/>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121"/>
              <w:spacing w:after="0"/>
              <w:rPr>
                <w:sz w:val="20"/>
                <w:szCs w:val="20"/>
                <w:color w:val="auto"/>
              </w:rPr>
            </w:pPr>
            <w:r>
              <w:rPr>
                <w:rFonts w:ascii="Arial" w:cs="Arial" w:eastAsia="Arial" w:hAnsi="Arial"/>
                <w:sz w:val="17"/>
                <w:szCs w:val="17"/>
                <w:color w:val="auto"/>
              </w:rPr>
              <w:t>1,081,818</w:t>
            </w:r>
          </w:p>
        </w:tc>
        <w:tc>
          <w:tcPr>
            <w:tcW w:w="1300" w:type="dxa"/>
            <w:vAlign w:val="bottom"/>
          </w:tcPr>
          <w:p>
            <w:pPr>
              <w:jc w:val="right"/>
              <w:ind w:right="58"/>
              <w:spacing w:after="0"/>
              <w:rPr>
                <w:sz w:val="20"/>
                <w:szCs w:val="20"/>
                <w:color w:val="auto"/>
              </w:rPr>
            </w:pPr>
            <w:r>
              <w:rPr>
                <w:rFonts w:ascii="Arial" w:cs="Arial" w:eastAsia="Arial" w:hAnsi="Arial"/>
                <w:sz w:val="17"/>
                <w:szCs w:val="17"/>
                <w:color w:val="auto"/>
              </w:rPr>
              <w:t>61,215</w:t>
            </w:r>
          </w:p>
        </w:tc>
        <w:tc>
          <w:tcPr>
            <w:tcW w:w="1000" w:type="dxa"/>
            <w:vAlign w:val="bottom"/>
          </w:tcPr>
          <w:p>
            <w:pPr>
              <w:jc w:val="right"/>
              <w:spacing w:after="0"/>
              <w:rPr>
                <w:sz w:val="20"/>
                <w:szCs w:val="20"/>
                <w:color w:val="auto"/>
              </w:rPr>
            </w:pPr>
            <w:r>
              <w:rPr>
                <w:rFonts w:ascii="Arial" w:cs="Arial" w:eastAsia="Arial" w:hAnsi="Arial"/>
                <w:sz w:val="17"/>
                <w:szCs w:val="17"/>
                <w:color w:val="auto"/>
              </w:rPr>
              <w:t>9,511,753</w:t>
            </w:r>
          </w:p>
        </w:tc>
        <w:tc>
          <w:tcPr>
            <w:tcW w:w="0" w:type="dxa"/>
            <w:vAlign w:val="bottom"/>
          </w:tcPr>
          <w:p>
            <w:pPr>
              <w:spacing w:after="0"/>
              <w:rPr>
                <w:sz w:val="1"/>
                <w:szCs w:val="1"/>
                <w:color w:val="auto"/>
              </w:rPr>
            </w:pPr>
          </w:p>
        </w:tc>
      </w:tr>
      <w:tr>
        <w:trPr>
          <w:trHeight w:val="85"/>
        </w:trPr>
        <w:tc>
          <w:tcPr>
            <w:tcW w:w="1800" w:type="dxa"/>
            <w:vAlign w:val="bottom"/>
            <w:tcBorders>
              <w:bottom w:val="single" w:sz="8" w:color="125288"/>
            </w:tcBorders>
          </w:tcPr>
          <w:p>
            <w:pPr>
              <w:spacing w:after="0"/>
              <w:rPr>
                <w:sz w:val="7"/>
                <w:szCs w:val="7"/>
                <w:color w:val="auto"/>
              </w:rPr>
            </w:pPr>
          </w:p>
        </w:tc>
        <w:tc>
          <w:tcPr>
            <w:tcW w:w="720" w:type="dxa"/>
            <w:vAlign w:val="bottom"/>
            <w:tcBorders>
              <w:bottom w:val="single" w:sz="8" w:color="125288"/>
            </w:tcBorders>
          </w:tcPr>
          <w:p>
            <w:pPr>
              <w:spacing w:after="0"/>
              <w:rPr>
                <w:sz w:val="7"/>
                <w:szCs w:val="7"/>
                <w:color w:val="auto"/>
              </w:rPr>
            </w:pPr>
          </w:p>
        </w:tc>
        <w:tc>
          <w:tcPr>
            <w:tcW w:w="1220" w:type="dxa"/>
            <w:vAlign w:val="bottom"/>
            <w:tcBorders>
              <w:bottom w:val="single" w:sz="8" w:color="125288"/>
            </w:tcBorders>
          </w:tcPr>
          <w:p>
            <w:pPr>
              <w:spacing w:after="0"/>
              <w:rPr>
                <w:sz w:val="7"/>
                <w:szCs w:val="7"/>
                <w:color w:val="auto"/>
              </w:rPr>
            </w:pPr>
          </w:p>
        </w:tc>
        <w:tc>
          <w:tcPr>
            <w:tcW w:w="1080" w:type="dxa"/>
            <w:vAlign w:val="bottom"/>
            <w:tcBorders>
              <w:bottom w:val="single" w:sz="8" w:color="125288"/>
            </w:tcBorders>
          </w:tcPr>
          <w:p>
            <w:pPr>
              <w:spacing w:after="0"/>
              <w:rPr>
                <w:sz w:val="7"/>
                <w:szCs w:val="7"/>
                <w:color w:val="auto"/>
              </w:rPr>
            </w:pPr>
          </w:p>
        </w:tc>
        <w:tc>
          <w:tcPr>
            <w:tcW w:w="1300" w:type="dxa"/>
            <w:vAlign w:val="bottom"/>
            <w:tcBorders>
              <w:bottom w:val="single" w:sz="8" w:color="125288"/>
            </w:tcBorders>
          </w:tcPr>
          <w:p>
            <w:pPr>
              <w:spacing w:after="0"/>
              <w:rPr>
                <w:sz w:val="7"/>
                <w:szCs w:val="7"/>
                <w:color w:val="auto"/>
              </w:rPr>
            </w:pPr>
          </w:p>
        </w:tc>
        <w:tc>
          <w:tcPr>
            <w:tcW w:w="1260" w:type="dxa"/>
            <w:vAlign w:val="bottom"/>
            <w:tcBorders>
              <w:bottom w:val="single" w:sz="8" w:color="125288"/>
            </w:tcBorders>
          </w:tcPr>
          <w:p>
            <w:pPr>
              <w:spacing w:after="0"/>
              <w:rPr>
                <w:sz w:val="7"/>
                <w:szCs w:val="7"/>
                <w:color w:val="auto"/>
              </w:rPr>
            </w:pPr>
          </w:p>
        </w:tc>
        <w:tc>
          <w:tcPr>
            <w:tcW w:w="1580" w:type="dxa"/>
            <w:vAlign w:val="bottom"/>
            <w:tcBorders>
              <w:bottom w:val="single" w:sz="8" w:color="125288"/>
            </w:tcBorders>
          </w:tcPr>
          <w:p>
            <w:pPr>
              <w:spacing w:after="0"/>
              <w:rPr>
                <w:sz w:val="7"/>
                <w:szCs w:val="7"/>
                <w:color w:val="auto"/>
              </w:rPr>
            </w:pPr>
          </w:p>
        </w:tc>
        <w:tc>
          <w:tcPr>
            <w:tcW w:w="1300" w:type="dxa"/>
            <w:vAlign w:val="bottom"/>
            <w:tcBorders>
              <w:bottom w:val="single" w:sz="8" w:color="125288"/>
            </w:tcBorders>
          </w:tcPr>
          <w:p>
            <w:pPr>
              <w:spacing w:after="0"/>
              <w:rPr>
                <w:sz w:val="7"/>
                <w:szCs w:val="7"/>
                <w:color w:val="auto"/>
              </w:rPr>
            </w:pPr>
          </w:p>
        </w:tc>
        <w:tc>
          <w:tcPr>
            <w:tcW w:w="1000" w:type="dxa"/>
            <w:vAlign w:val="bottom"/>
            <w:tcBorders>
              <w:bottom w:val="single" w:sz="8" w:color="125288"/>
            </w:tcBorders>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1800" w:type="dxa"/>
            <w:vAlign w:val="bottom"/>
          </w:tcPr>
          <w:p>
            <w:pPr>
              <w:ind w:left="40"/>
              <w:spacing w:after="0"/>
              <w:rPr>
                <w:sz w:val="20"/>
                <w:szCs w:val="20"/>
                <w:color w:val="auto"/>
              </w:rPr>
            </w:pPr>
            <w:r>
              <w:rPr>
                <w:rFonts w:ascii="Arial" w:cs="Arial" w:eastAsia="Arial" w:hAnsi="Arial"/>
                <w:sz w:val="17"/>
                <w:szCs w:val="17"/>
                <w:b w:val="1"/>
                <w:bCs w:val="1"/>
                <w:color w:val="auto"/>
              </w:rPr>
              <w:t>Armin Zerza</w:t>
            </w:r>
            <w:r>
              <w:rPr>
                <w:rFonts w:ascii="Arial" w:cs="Arial" w:eastAsia="Arial" w:hAnsi="Arial"/>
                <w:sz w:val="9"/>
                <w:szCs w:val="9"/>
                <w:color w:val="auto"/>
              </w:rPr>
              <w:t>(8)</w:t>
            </w:r>
          </w:p>
        </w:tc>
        <w:tc>
          <w:tcPr>
            <w:tcW w:w="720" w:type="dxa"/>
            <w:vAlign w:val="bottom"/>
          </w:tcPr>
          <w:p>
            <w:pPr>
              <w:jc w:val="right"/>
              <w:ind w:right="117"/>
              <w:spacing w:after="0"/>
              <w:rPr>
                <w:sz w:val="20"/>
                <w:szCs w:val="20"/>
                <w:color w:val="auto"/>
              </w:rPr>
            </w:pPr>
            <w:r>
              <w:rPr>
                <w:rFonts w:ascii="Arial" w:cs="Arial" w:eastAsia="Arial" w:hAnsi="Arial"/>
                <w:sz w:val="17"/>
                <w:szCs w:val="17"/>
                <w:color w:val="auto"/>
              </w:rPr>
              <w:t>2021</w:t>
            </w:r>
          </w:p>
        </w:tc>
        <w:tc>
          <w:tcPr>
            <w:tcW w:w="1220" w:type="dxa"/>
            <w:vAlign w:val="bottom"/>
          </w:tcPr>
          <w:p>
            <w:pPr>
              <w:jc w:val="right"/>
              <w:ind w:right="178"/>
              <w:spacing w:after="0"/>
              <w:rPr>
                <w:sz w:val="20"/>
                <w:szCs w:val="20"/>
                <w:color w:val="auto"/>
              </w:rPr>
            </w:pPr>
            <w:r>
              <w:rPr>
                <w:rFonts w:ascii="Arial" w:cs="Arial" w:eastAsia="Arial" w:hAnsi="Arial"/>
                <w:sz w:val="17"/>
                <w:szCs w:val="17"/>
                <w:color w:val="auto"/>
              </w:rPr>
              <w:t>762,092</w:t>
            </w:r>
          </w:p>
        </w:tc>
        <w:tc>
          <w:tcPr>
            <w:tcW w:w="1080" w:type="dxa"/>
            <w:vAlign w:val="bottom"/>
          </w:tcPr>
          <w:p>
            <w:pPr>
              <w:jc w:val="right"/>
              <w:ind w:right="14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201"/>
              <w:spacing w:after="0"/>
              <w:rPr>
                <w:sz w:val="20"/>
                <w:szCs w:val="20"/>
                <w:color w:val="auto"/>
              </w:rPr>
            </w:pPr>
            <w:r>
              <w:rPr>
                <w:rFonts w:ascii="Arial" w:cs="Arial" w:eastAsia="Arial" w:hAnsi="Arial"/>
                <w:sz w:val="17"/>
                <w:szCs w:val="17"/>
                <w:color w:val="auto"/>
              </w:rPr>
              <w:t>8,102,380</w:t>
            </w:r>
          </w:p>
        </w:tc>
        <w:tc>
          <w:tcPr>
            <w:tcW w:w="1260" w:type="dxa"/>
            <w:vAlign w:val="bottom"/>
          </w:tcPr>
          <w:p>
            <w:pPr>
              <w:jc w:val="right"/>
              <w:ind w:right="241"/>
              <w:spacing w:after="0"/>
              <w:rPr>
                <w:sz w:val="20"/>
                <w:szCs w:val="20"/>
                <w:color w:val="auto"/>
              </w:rPr>
            </w:pPr>
            <w:r>
              <w:rPr>
                <w:rFonts w:ascii="Arial" w:cs="Arial" w:eastAsia="Arial" w:hAnsi="Arial"/>
                <w:sz w:val="17"/>
                <w:szCs w:val="17"/>
                <w:color w:val="auto"/>
              </w:rPr>
              <w:t>3,982,493</w:t>
            </w:r>
          </w:p>
        </w:tc>
        <w:tc>
          <w:tcPr>
            <w:tcW w:w="1580" w:type="dxa"/>
            <w:vAlign w:val="bottom"/>
          </w:tcPr>
          <w:p>
            <w:pPr>
              <w:jc w:val="right"/>
              <w:ind w:right="121"/>
              <w:spacing w:after="0"/>
              <w:rPr>
                <w:sz w:val="20"/>
                <w:szCs w:val="20"/>
                <w:color w:val="auto"/>
              </w:rPr>
            </w:pPr>
            <w:r>
              <w:rPr>
                <w:rFonts w:ascii="Arial" w:cs="Arial" w:eastAsia="Arial" w:hAnsi="Arial"/>
                <w:sz w:val="17"/>
                <w:szCs w:val="17"/>
                <w:color w:val="auto"/>
              </w:rPr>
              <w:t>362,785</w:t>
            </w:r>
          </w:p>
        </w:tc>
        <w:tc>
          <w:tcPr>
            <w:tcW w:w="1300" w:type="dxa"/>
            <w:vAlign w:val="bottom"/>
          </w:tcPr>
          <w:p>
            <w:pPr>
              <w:jc w:val="right"/>
              <w:spacing w:after="0"/>
              <w:rPr>
                <w:sz w:val="20"/>
                <w:szCs w:val="20"/>
                <w:color w:val="auto"/>
              </w:rPr>
            </w:pPr>
            <w:r>
              <w:rPr>
                <w:rFonts w:ascii="Arial" w:cs="Arial" w:eastAsia="Arial" w:hAnsi="Arial"/>
                <w:sz w:val="17"/>
                <w:szCs w:val="17"/>
                <w:color w:val="auto"/>
              </w:rPr>
              <w:t>39,980</w:t>
            </w:r>
            <w:r>
              <w:rPr>
                <w:rFonts w:ascii="Arial" w:cs="Arial" w:eastAsia="Arial" w:hAnsi="Arial"/>
                <w:sz w:val="19"/>
                <w:szCs w:val="19"/>
                <w:color w:val="auto"/>
                <w:vertAlign w:val="superscript"/>
              </w:rPr>
              <w:t>(5)</w:t>
            </w:r>
          </w:p>
        </w:tc>
        <w:tc>
          <w:tcPr>
            <w:tcW w:w="1000" w:type="dxa"/>
            <w:vAlign w:val="bottom"/>
          </w:tcPr>
          <w:p>
            <w:pPr>
              <w:jc w:val="right"/>
              <w:spacing w:after="0"/>
              <w:rPr>
                <w:sz w:val="20"/>
                <w:szCs w:val="20"/>
                <w:color w:val="auto"/>
              </w:rPr>
            </w:pPr>
            <w:r>
              <w:rPr>
                <w:rFonts w:ascii="Arial" w:cs="Arial" w:eastAsia="Arial" w:hAnsi="Arial"/>
                <w:sz w:val="17"/>
                <w:szCs w:val="17"/>
                <w:color w:val="auto"/>
              </w:rPr>
              <w:t>13,249,730</w:t>
            </w:r>
          </w:p>
        </w:tc>
        <w:tc>
          <w:tcPr>
            <w:tcW w:w="0" w:type="dxa"/>
            <w:vAlign w:val="bottom"/>
          </w:tcPr>
          <w:p>
            <w:pPr>
              <w:spacing w:after="0"/>
              <w:rPr>
                <w:sz w:val="1"/>
                <w:szCs w:val="1"/>
                <w:color w:val="auto"/>
              </w:rPr>
            </w:pPr>
          </w:p>
        </w:tc>
      </w:tr>
      <w:tr>
        <w:trPr>
          <w:trHeight w:val="214"/>
        </w:trPr>
        <w:tc>
          <w:tcPr>
            <w:tcW w:w="1800" w:type="dxa"/>
            <w:vAlign w:val="bottom"/>
          </w:tcPr>
          <w:p>
            <w:pPr>
              <w:ind w:left="160"/>
              <w:spacing w:after="0"/>
              <w:rPr>
                <w:sz w:val="20"/>
                <w:szCs w:val="20"/>
                <w:color w:val="auto"/>
              </w:rPr>
            </w:pPr>
            <w:r>
              <w:rPr>
                <w:rFonts w:ascii="Arial" w:cs="Arial" w:eastAsia="Arial" w:hAnsi="Arial"/>
                <w:sz w:val="17"/>
                <w:szCs w:val="17"/>
                <w:color w:val="auto"/>
                <w:w w:val="96"/>
              </w:rPr>
              <w:t>Chief Financial Officer</w:t>
            </w: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1800" w:type="dxa"/>
            <w:vAlign w:val="bottom"/>
            <w:tcBorders>
              <w:bottom w:val="single" w:sz="8" w:color="125288"/>
            </w:tcBorders>
          </w:tcPr>
          <w:p>
            <w:pPr>
              <w:spacing w:after="0"/>
              <w:rPr>
                <w:sz w:val="7"/>
                <w:szCs w:val="7"/>
                <w:color w:val="auto"/>
              </w:rPr>
            </w:pPr>
          </w:p>
        </w:tc>
        <w:tc>
          <w:tcPr>
            <w:tcW w:w="720" w:type="dxa"/>
            <w:vAlign w:val="bottom"/>
            <w:tcBorders>
              <w:bottom w:val="single" w:sz="8" w:color="125288"/>
            </w:tcBorders>
          </w:tcPr>
          <w:p>
            <w:pPr>
              <w:spacing w:after="0"/>
              <w:rPr>
                <w:sz w:val="7"/>
                <w:szCs w:val="7"/>
                <w:color w:val="auto"/>
              </w:rPr>
            </w:pPr>
          </w:p>
        </w:tc>
        <w:tc>
          <w:tcPr>
            <w:tcW w:w="1220" w:type="dxa"/>
            <w:vAlign w:val="bottom"/>
            <w:tcBorders>
              <w:bottom w:val="single" w:sz="8" w:color="125288"/>
            </w:tcBorders>
          </w:tcPr>
          <w:p>
            <w:pPr>
              <w:spacing w:after="0"/>
              <w:rPr>
                <w:sz w:val="7"/>
                <w:szCs w:val="7"/>
                <w:color w:val="auto"/>
              </w:rPr>
            </w:pPr>
          </w:p>
        </w:tc>
        <w:tc>
          <w:tcPr>
            <w:tcW w:w="1080" w:type="dxa"/>
            <w:vAlign w:val="bottom"/>
            <w:tcBorders>
              <w:bottom w:val="single" w:sz="8" w:color="125288"/>
            </w:tcBorders>
          </w:tcPr>
          <w:p>
            <w:pPr>
              <w:spacing w:after="0"/>
              <w:rPr>
                <w:sz w:val="7"/>
                <w:szCs w:val="7"/>
                <w:color w:val="auto"/>
              </w:rPr>
            </w:pPr>
          </w:p>
        </w:tc>
        <w:tc>
          <w:tcPr>
            <w:tcW w:w="1300" w:type="dxa"/>
            <w:vAlign w:val="bottom"/>
            <w:tcBorders>
              <w:bottom w:val="single" w:sz="8" w:color="125288"/>
            </w:tcBorders>
          </w:tcPr>
          <w:p>
            <w:pPr>
              <w:spacing w:after="0"/>
              <w:rPr>
                <w:sz w:val="7"/>
                <w:szCs w:val="7"/>
                <w:color w:val="auto"/>
              </w:rPr>
            </w:pPr>
          </w:p>
        </w:tc>
        <w:tc>
          <w:tcPr>
            <w:tcW w:w="1260" w:type="dxa"/>
            <w:vAlign w:val="bottom"/>
            <w:tcBorders>
              <w:bottom w:val="single" w:sz="8" w:color="125288"/>
            </w:tcBorders>
          </w:tcPr>
          <w:p>
            <w:pPr>
              <w:spacing w:after="0"/>
              <w:rPr>
                <w:sz w:val="7"/>
                <w:szCs w:val="7"/>
                <w:color w:val="auto"/>
              </w:rPr>
            </w:pPr>
          </w:p>
        </w:tc>
        <w:tc>
          <w:tcPr>
            <w:tcW w:w="1580" w:type="dxa"/>
            <w:vAlign w:val="bottom"/>
            <w:tcBorders>
              <w:bottom w:val="single" w:sz="8" w:color="125288"/>
            </w:tcBorders>
          </w:tcPr>
          <w:p>
            <w:pPr>
              <w:spacing w:after="0"/>
              <w:rPr>
                <w:sz w:val="7"/>
                <w:szCs w:val="7"/>
                <w:color w:val="auto"/>
              </w:rPr>
            </w:pPr>
          </w:p>
        </w:tc>
        <w:tc>
          <w:tcPr>
            <w:tcW w:w="1300" w:type="dxa"/>
            <w:vAlign w:val="bottom"/>
            <w:tcBorders>
              <w:bottom w:val="single" w:sz="8" w:color="125288"/>
            </w:tcBorders>
          </w:tcPr>
          <w:p>
            <w:pPr>
              <w:spacing w:after="0"/>
              <w:rPr>
                <w:sz w:val="7"/>
                <w:szCs w:val="7"/>
                <w:color w:val="auto"/>
              </w:rPr>
            </w:pPr>
          </w:p>
        </w:tc>
        <w:tc>
          <w:tcPr>
            <w:tcW w:w="1000" w:type="dxa"/>
            <w:vAlign w:val="bottom"/>
            <w:tcBorders>
              <w:bottom w:val="single" w:sz="8" w:color="125288"/>
            </w:tcBorders>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1800" w:type="dxa"/>
            <w:vAlign w:val="bottom"/>
          </w:tcPr>
          <w:p>
            <w:pPr>
              <w:ind w:left="40"/>
              <w:spacing w:after="0"/>
              <w:rPr>
                <w:sz w:val="20"/>
                <w:szCs w:val="20"/>
                <w:color w:val="auto"/>
              </w:rPr>
            </w:pPr>
            <w:r>
              <w:rPr>
                <w:rFonts w:ascii="Arial" w:cs="Arial" w:eastAsia="Arial" w:hAnsi="Arial"/>
                <w:sz w:val="17"/>
                <w:szCs w:val="17"/>
                <w:b w:val="1"/>
                <w:bCs w:val="1"/>
                <w:color w:val="auto"/>
              </w:rPr>
              <w:t>Daniel Alegre</w:t>
            </w:r>
            <w:r>
              <w:rPr>
                <w:rFonts w:ascii="Arial" w:cs="Arial" w:eastAsia="Arial" w:hAnsi="Arial"/>
                <w:sz w:val="9"/>
                <w:szCs w:val="9"/>
                <w:color w:val="auto"/>
              </w:rPr>
              <w:t>(9)</w:t>
            </w:r>
          </w:p>
        </w:tc>
        <w:tc>
          <w:tcPr>
            <w:tcW w:w="720" w:type="dxa"/>
            <w:vAlign w:val="bottom"/>
          </w:tcPr>
          <w:p>
            <w:pPr>
              <w:jc w:val="right"/>
              <w:ind w:right="117"/>
              <w:spacing w:after="0"/>
              <w:rPr>
                <w:sz w:val="20"/>
                <w:szCs w:val="20"/>
                <w:color w:val="auto"/>
              </w:rPr>
            </w:pPr>
            <w:r>
              <w:rPr>
                <w:rFonts w:ascii="Arial" w:cs="Arial" w:eastAsia="Arial" w:hAnsi="Arial"/>
                <w:sz w:val="17"/>
                <w:szCs w:val="17"/>
                <w:color w:val="auto"/>
              </w:rPr>
              <w:t>2021</w:t>
            </w:r>
          </w:p>
        </w:tc>
        <w:tc>
          <w:tcPr>
            <w:tcW w:w="1220" w:type="dxa"/>
            <w:vAlign w:val="bottom"/>
          </w:tcPr>
          <w:p>
            <w:pPr>
              <w:jc w:val="right"/>
              <w:ind w:right="178"/>
              <w:spacing w:after="0"/>
              <w:rPr>
                <w:sz w:val="20"/>
                <w:szCs w:val="20"/>
                <w:color w:val="auto"/>
              </w:rPr>
            </w:pPr>
            <w:r>
              <w:rPr>
                <w:rFonts w:ascii="Arial" w:cs="Arial" w:eastAsia="Arial" w:hAnsi="Arial"/>
                <w:sz w:val="17"/>
                <w:szCs w:val="17"/>
                <w:color w:val="auto"/>
              </w:rPr>
              <w:t>1,355,192</w:t>
            </w:r>
          </w:p>
        </w:tc>
        <w:tc>
          <w:tcPr>
            <w:tcW w:w="1080" w:type="dxa"/>
            <w:vAlign w:val="bottom"/>
          </w:tcPr>
          <w:p>
            <w:pPr>
              <w:jc w:val="right"/>
              <w:ind w:right="14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21"/>
              <w:spacing w:after="0"/>
              <w:rPr>
                <w:sz w:val="20"/>
                <w:szCs w:val="20"/>
                <w:color w:val="auto"/>
              </w:rPr>
            </w:pPr>
            <w:r>
              <w:rPr>
                <w:rFonts w:ascii="Arial" w:cs="Arial" w:eastAsia="Arial" w:hAnsi="Arial"/>
                <w:sz w:val="17"/>
                <w:szCs w:val="17"/>
                <w:color w:val="auto"/>
              </w:rPr>
              <w:t>14,847,676</w:t>
            </w:r>
            <w:r>
              <w:rPr>
                <w:rFonts w:ascii="Arial" w:cs="Arial" w:eastAsia="Arial" w:hAnsi="Arial"/>
                <w:sz w:val="19"/>
                <w:szCs w:val="19"/>
                <w:color w:val="auto"/>
                <w:vertAlign w:val="superscript"/>
              </w:rPr>
              <w:t>(10)</w:t>
            </w:r>
          </w:p>
        </w:tc>
        <w:tc>
          <w:tcPr>
            <w:tcW w:w="1260" w:type="dxa"/>
            <w:vAlign w:val="bottom"/>
          </w:tcPr>
          <w:p>
            <w:pPr>
              <w:jc w:val="right"/>
              <w:ind w:right="241"/>
              <w:spacing w:after="0"/>
              <w:rPr>
                <w:sz w:val="20"/>
                <w:szCs w:val="20"/>
                <w:color w:val="auto"/>
              </w:rPr>
            </w:pPr>
            <w:r>
              <w:rPr>
                <w:rFonts w:ascii="Arial" w:cs="Arial" w:eastAsia="Arial" w:hAnsi="Arial"/>
                <w:sz w:val="17"/>
                <w:szCs w:val="17"/>
                <w:color w:val="auto"/>
              </w:rPr>
              <w:t>2,444,577</w:t>
            </w:r>
          </w:p>
        </w:tc>
        <w:tc>
          <w:tcPr>
            <w:tcW w:w="1580" w:type="dxa"/>
            <w:vAlign w:val="bottom"/>
          </w:tcPr>
          <w:p>
            <w:pPr>
              <w:jc w:val="right"/>
              <w:ind w:right="121"/>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46,525</w:t>
            </w:r>
            <w:r>
              <w:rPr>
                <w:rFonts w:ascii="Arial" w:cs="Arial" w:eastAsia="Arial" w:hAnsi="Arial"/>
                <w:sz w:val="19"/>
                <w:szCs w:val="19"/>
                <w:color w:val="auto"/>
                <w:vertAlign w:val="superscript"/>
              </w:rPr>
              <w:t>(5)</w:t>
            </w:r>
          </w:p>
        </w:tc>
        <w:tc>
          <w:tcPr>
            <w:tcW w:w="1000" w:type="dxa"/>
            <w:vAlign w:val="bottom"/>
          </w:tcPr>
          <w:p>
            <w:pPr>
              <w:jc w:val="right"/>
              <w:spacing w:after="0"/>
              <w:rPr>
                <w:sz w:val="20"/>
                <w:szCs w:val="20"/>
                <w:color w:val="auto"/>
              </w:rPr>
            </w:pPr>
            <w:r>
              <w:rPr>
                <w:rFonts w:ascii="Arial" w:cs="Arial" w:eastAsia="Arial" w:hAnsi="Arial"/>
                <w:sz w:val="17"/>
                <w:szCs w:val="17"/>
                <w:color w:val="auto"/>
              </w:rPr>
              <w:t>18,693,971</w:t>
            </w:r>
          </w:p>
        </w:tc>
        <w:tc>
          <w:tcPr>
            <w:tcW w:w="0" w:type="dxa"/>
            <w:vAlign w:val="bottom"/>
          </w:tcPr>
          <w:p>
            <w:pPr>
              <w:spacing w:after="0"/>
              <w:rPr>
                <w:sz w:val="1"/>
                <w:szCs w:val="1"/>
                <w:color w:val="auto"/>
              </w:rPr>
            </w:pPr>
          </w:p>
        </w:tc>
      </w:tr>
      <w:tr>
        <w:trPr>
          <w:trHeight w:val="108"/>
        </w:trPr>
        <w:tc>
          <w:tcPr>
            <w:tcW w:w="1800" w:type="dxa"/>
            <w:vAlign w:val="bottom"/>
            <w:vMerge w:val="restart"/>
          </w:tcPr>
          <w:p>
            <w:pPr>
              <w:ind w:left="160"/>
              <w:spacing w:after="0"/>
              <w:rPr>
                <w:sz w:val="20"/>
                <w:szCs w:val="20"/>
                <w:color w:val="auto"/>
              </w:rPr>
            </w:pPr>
            <w:r>
              <w:rPr>
                <w:rFonts w:ascii="Arial" w:cs="Arial" w:eastAsia="Arial" w:hAnsi="Arial"/>
                <w:sz w:val="17"/>
                <w:szCs w:val="17"/>
                <w:color w:val="auto"/>
              </w:rPr>
              <w:t>President and</w:t>
            </w:r>
          </w:p>
        </w:tc>
        <w:tc>
          <w:tcPr>
            <w:tcW w:w="720" w:type="dxa"/>
            <w:vAlign w:val="bottom"/>
            <w:tcBorders>
              <w:bottom w:val="single" w:sz="8" w:color="125288"/>
            </w:tcBorders>
          </w:tcPr>
          <w:p>
            <w:pPr>
              <w:spacing w:after="0"/>
              <w:rPr>
                <w:sz w:val="9"/>
                <w:szCs w:val="9"/>
                <w:color w:val="auto"/>
              </w:rPr>
            </w:pPr>
          </w:p>
        </w:tc>
        <w:tc>
          <w:tcPr>
            <w:tcW w:w="1220" w:type="dxa"/>
            <w:vAlign w:val="bottom"/>
            <w:tcBorders>
              <w:bottom w:val="single" w:sz="8" w:color="125288"/>
            </w:tcBorders>
          </w:tcPr>
          <w:p>
            <w:pPr>
              <w:spacing w:after="0"/>
              <w:rPr>
                <w:sz w:val="9"/>
                <w:szCs w:val="9"/>
                <w:color w:val="auto"/>
              </w:rPr>
            </w:pPr>
          </w:p>
        </w:tc>
        <w:tc>
          <w:tcPr>
            <w:tcW w:w="1080" w:type="dxa"/>
            <w:vAlign w:val="bottom"/>
            <w:tcBorders>
              <w:bottom w:val="single" w:sz="8" w:color="125288"/>
            </w:tcBorders>
          </w:tcPr>
          <w:p>
            <w:pPr>
              <w:spacing w:after="0"/>
              <w:rPr>
                <w:sz w:val="9"/>
                <w:szCs w:val="9"/>
                <w:color w:val="auto"/>
              </w:rPr>
            </w:pPr>
          </w:p>
        </w:tc>
        <w:tc>
          <w:tcPr>
            <w:tcW w:w="1300" w:type="dxa"/>
            <w:vAlign w:val="bottom"/>
            <w:tcBorders>
              <w:bottom w:val="single" w:sz="8" w:color="125288"/>
            </w:tcBorders>
          </w:tcPr>
          <w:p>
            <w:pPr>
              <w:spacing w:after="0"/>
              <w:rPr>
                <w:sz w:val="9"/>
                <w:szCs w:val="9"/>
                <w:color w:val="auto"/>
              </w:rPr>
            </w:pPr>
          </w:p>
        </w:tc>
        <w:tc>
          <w:tcPr>
            <w:tcW w:w="1260" w:type="dxa"/>
            <w:vAlign w:val="bottom"/>
            <w:tcBorders>
              <w:bottom w:val="single" w:sz="8" w:color="125288"/>
            </w:tcBorders>
          </w:tcPr>
          <w:p>
            <w:pPr>
              <w:spacing w:after="0"/>
              <w:rPr>
                <w:sz w:val="9"/>
                <w:szCs w:val="9"/>
                <w:color w:val="auto"/>
              </w:rPr>
            </w:pPr>
          </w:p>
        </w:tc>
        <w:tc>
          <w:tcPr>
            <w:tcW w:w="1580" w:type="dxa"/>
            <w:vAlign w:val="bottom"/>
            <w:tcBorders>
              <w:bottom w:val="single" w:sz="8" w:color="125288"/>
            </w:tcBorders>
          </w:tcPr>
          <w:p>
            <w:pPr>
              <w:spacing w:after="0"/>
              <w:rPr>
                <w:sz w:val="9"/>
                <w:szCs w:val="9"/>
                <w:color w:val="auto"/>
              </w:rPr>
            </w:pPr>
          </w:p>
        </w:tc>
        <w:tc>
          <w:tcPr>
            <w:tcW w:w="1300" w:type="dxa"/>
            <w:vAlign w:val="bottom"/>
            <w:tcBorders>
              <w:bottom w:val="single" w:sz="8" w:color="125288"/>
            </w:tcBorders>
          </w:tcPr>
          <w:p>
            <w:pPr>
              <w:spacing w:after="0"/>
              <w:rPr>
                <w:sz w:val="9"/>
                <w:szCs w:val="9"/>
                <w:color w:val="auto"/>
              </w:rPr>
            </w:pPr>
          </w:p>
        </w:tc>
        <w:tc>
          <w:tcPr>
            <w:tcW w:w="1000" w:type="dxa"/>
            <w:vAlign w:val="bottom"/>
            <w:tcBorders>
              <w:bottom w:val="single" w:sz="8" w:color="125288"/>
            </w:tcBorders>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8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800" w:type="dxa"/>
            <w:vAlign w:val="bottom"/>
          </w:tcPr>
          <w:p>
            <w:pPr>
              <w:ind w:left="160"/>
              <w:spacing w:after="0" w:line="190" w:lineRule="exact"/>
              <w:rPr>
                <w:sz w:val="20"/>
                <w:szCs w:val="20"/>
                <w:color w:val="auto"/>
              </w:rPr>
            </w:pPr>
            <w:r>
              <w:rPr>
                <w:rFonts w:ascii="Arial" w:cs="Arial" w:eastAsia="Arial" w:hAnsi="Arial"/>
                <w:sz w:val="17"/>
                <w:szCs w:val="17"/>
                <w:color w:val="auto"/>
              </w:rPr>
              <w:t>Chief Operating</w:t>
            </w:r>
          </w:p>
        </w:tc>
        <w:tc>
          <w:tcPr>
            <w:tcW w:w="720" w:type="dxa"/>
            <w:vAlign w:val="bottom"/>
          </w:tcPr>
          <w:p>
            <w:pPr>
              <w:jc w:val="right"/>
              <w:ind w:right="117"/>
              <w:spacing w:after="0" w:line="190" w:lineRule="exact"/>
              <w:rPr>
                <w:sz w:val="20"/>
                <w:szCs w:val="20"/>
                <w:color w:val="auto"/>
              </w:rPr>
            </w:pPr>
            <w:r>
              <w:rPr>
                <w:rFonts w:ascii="Arial" w:cs="Arial" w:eastAsia="Arial" w:hAnsi="Arial"/>
                <w:sz w:val="17"/>
                <w:szCs w:val="17"/>
                <w:color w:val="auto"/>
              </w:rPr>
              <w:t>2020</w:t>
            </w:r>
          </w:p>
        </w:tc>
        <w:tc>
          <w:tcPr>
            <w:tcW w:w="1220" w:type="dxa"/>
            <w:vAlign w:val="bottom"/>
          </w:tcPr>
          <w:p>
            <w:pPr>
              <w:jc w:val="right"/>
              <w:ind w:right="178"/>
              <w:spacing w:after="0" w:line="190" w:lineRule="exact"/>
              <w:rPr>
                <w:sz w:val="20"/>
                <w:szCs w:val="20"/>
                <w:color w:val="auto"/>
              </w:rPr>
            </w:pPr>
            <w:r>
              <w:rPr>
                <w:rFonts w:ascii="Arial" w:cs="Arial" w:eastAsia="Arial" w:hAnsi="Arial"/>
                <w:sz w:val="17"/>
                <w:szCs w:val="17"/>
                <w:color w:val="auto"/>
              </w:rPr>
              <w:t>1,002,115</w:t>
            </w:r>
          </w:p>
        </w:tc>
        <w:tc>
          <w:tcPr>
            <w:tcW w:w="1080" w:type="dxa"/>
            <w:vAlign w:val="bottom"/>
          </w:tcPr>
          <w:p>
            <w:pPr>
              <w:jc w:val="right"/>
              <w:ind w:right="140"/>
              <w:spacing w:after="0" w:line="190" w:lineRule="exact"/>
              <w:rPr>
                <w:sz w:val="20"/>
                <w:szCs w:val="20"/>
                <w:color w:val="auto"/>
              </w:rPr>
            </w:pPr>
            <w:r>
              <w:rPr>
                <w:rFonts w:ascii="Arial" w:cs="Arial" w:eastAsia="Arial" w:hAnsi="Arial"/>
                <w:sz w:val="17"/>
                <w:szCs w:val="17"/>
                <w:color w:val="auto"/>
              </w:rPr>
              <w:t>2,500,000</w:t>
            </w:r>
          </w:p>
        </w:tc>
        <w:tc>
          <w:tcPr>
            <w:tcW w:w="1300" w:type="dxa"/>
            <w:vAlign w:val="bottom"/>
          </w:tcPr>
          <w:p>
            <w:pPr>
              <w:jc w:val="right"/>
              <w:ind w:right="201"/>
              <w:spacing w:after="0" w:line="190" w:lineRule="exact"/>
              <w:rPr>
                <w:sz w:val="20"/>
                <w:szCs w:val="20"/>
                <w:color w:val="auto"/>
              </w:rPr>
            </w:pPr>
            <w:r>
              <w:rPr>
                <w:rFonts w:ascii="Arial" w:cs="Arial" w:eastAsia="Arial" w:hAnsi="Arial"/>
                <w:sz w:val="17"/>
                <w:szCs w:val="17"/>
                <w:color w:val="auto"/>
              </w:rPr>
              <w:t>5,780,803</w:t>
            </w:r>
          </w:p>
        </w:tc>
        <w:tc>
          <w:tcPr>
            <w:tcW w:w="1260" w:type="dxa"/>
            <w:vAlign w:val="bottom"/>
          </w:tcPr>
          <w:p>
            <w:pPr>
              <w:jc w:val="right"/>
              <w:ind w:right="241"/>
              <w:spacing w:after="0" w:line="190" w:lineRule="exact"/>
              <w:rPr>
                <w:sz w:val="20"/>
                <w:szCs w:val="20"/>
                <w:color w:val="auto"/>
              </w:rPr>
            </w:pPr>
            <w:r>
              <w:rPr>
                <w:rFonts w:ascii="Arial" w:cs="Arial" w:eastAsia="Arial" w:hAnsi="Arial"/>
                <w:sz w:val="17"/>
                <w:szCs w:val="17"/>
                <w:color w:val="auto"/>
              </w:rPr>
              <w:t>1,654,560</w:t>
            </w:r>
          </w:p>
        </w:tc>
        <w:tc>
          <w:tcPr>
            <w:tcW w:w="1580" w:type="dxa"/>
            <w:vAlign w:val="bottom"/>
          </w:tcPr>
          <w:p>
            <w:pPr>
              <w:jc w:val="right"/>
              <w:ind w:right="121"/>
              <w:spacing w:after="0" w:line="190" w:lineRule="exact"/>
              <w:rPr>
                <w:sz w:val="20"/>
                <w:szCs w:val="20"/>
                <w:color w:val="auto"/>
              </w:rPr>
            </w:pPr>
            <w:r>
              <w:rPr>
                <w:rFonts w:ascii="Arial" w:cs="Arial" w:eastAsia="Arial" w:hAnsi="Arial"/>
                <w:sz w:val="17"/>
                <w:szCs w:val="17"/>
                <w:color w:val="auto"/>
              </w:rPr>
              <w:t>1,622,024</w:t>
            </w:r>
          </w:p>
        </w:tc>
        <w:tc>
          <w:tcPr>
            <w:tcW w:w="1300" w:type="dxa"/>
            <w:vAlign w:val="bottom"/>
          </w:tcPr>
          <w:p>
            <w:pPr>
              <w:jc w:val="right"/>
              <w:ind w:right="58"/>
              <w:spacing w:after="0" w:line="190" w:lineRule="exact"/>
              <w:rPr>
                <w:sz w:val="20"/>
                <w:szCs w:val="20"/>
                <w:color w:val="auto"/>
              </w:rPr>
            </w:pPr>
            <w:r>
              <w:rPr>
                <w:rFonts w:ascii="Arial" w:cs="Arial" w:eastAsia="Arial" w:hAnsi="Arial"/>
                <w:sz w:val="17"/>
                <w:szCs w:val="17"/>
                <w:color w:val="auto"/>
              </w:rPr>
              <w:t>40,335</w:t>
            </w:r>
          </w:p>
        </w:tc>
        <w:tc>
          <w:tcPr>
            <w:tcW w:w="1000" w:type="dxa"/>
            <w:vAlign w:val="bottom"/>
          </w:tcPr>
          <w:p>
            <w:pPr>
              <w:jc w:val="right"/>
              <w:spacing w:after="0" w:line="190" w:lineRule="exact"/>
              <w:rPr>
                <w:sz w:val="20"/>
                <w:szCs w:val="20"/>
                <w:color w:val="auto"/>
              </w:rPr>
            </w:pPr>
            <w:r>
              <w:rPr>
                <w:rFonts w:ascii="Arial" w:cs="Arial" w:eastAsia="Arial" w:hAnsi="Arial"/>
                <w:sz w:val="17"/>
                <w:szCs w:val="17"/>
                <w:color w:val="auto"/>
              </w:rPr>
              <w:t>12,599,837</w:t>
            </w:r>
          </w:p>
        </w:tc>
        <w:tc>
          <w:tcPr>
            <w:tcW w:w="0" w:type="dxa"/>
            <w:vAlign w:val="bottom"/>
          </w:tcPr>
          <w:p>
            <w:pPr>
              <w:spacing w:after="0"/>
              <w:rPr>
                <w:sz w:val="1"/>
                <w:szCs w:val="1"/>
                <w:color w:val="auto"/>
              </w:rPr>
            </w:pPr>
          </w:p>
        </w:tc>
      </w:tr>
      <w:tr>
        <w:trPr>
          <w:trHeight w:val="201"/>
        </w:trPr>
        <w:tc>
          <w:tcPr>
            <w:tcW w:w="1800" w:type="dxa"/>
            <w:vAlign w:val="bottom"/>
          </w:tcPr>
          <w:p>
            <w:pPr>
              <w:ind w:left="160"/>
              <w:spacing w:after="0"/>
              <w:rPr>
                <w:sz w:val="20"/>
                <w:szCs w:val="20"/>
                <w:color w:val="auto"/>
              </w:rPr>
            </w:pPr>
            <w:r>
              <w:rPr>
                <w:rFonts w:ascii="Arial" w:cs="Arial" w:eastAsia="Arial" w:hAnsi="Arial"/>
                <w:sz w:val="17"/>
                <w:szCs w:val="17"/>
                <w:color w:val="auto"/>
              </w:rPr>
              <w:t>Officer</w:t>
            </w:r>
          </w:p>
        </w:tc>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
        </w:trPr>
        <w:tc>
          <w:tcPr>
            <w:tcW w:w="1800" w:type="dxa"/>
            <w:vAlign w:val="bottom"/>
            <w:tcBorders>
              <w:bottom w:val="single" w:sz="8" w:color="125288"/>
            </w:tcBorders>
          </w:tcPr>
          <w:p>
            <w:pPr>
              <w:spacing w:after="0"/>
              <w:rPr>
                <w:sz w:val="7"/>
                <w:szCs w:val="7"/>
                <w:color w:val="auto"/>
              </w:rPr>
            </w:pPr>
          </w:p>
        </w:tc>
        <w:tc>
          <w:tcPr>
            <w:tcW w:w="720" w:type="dxa"/>
            <w:vAlign w:val="bottom"/>
            <w:tcBorders>
              <w:bottom w:val="single" w:sz="8" w:color="125288"/>
            </w:tcBorders>
          </w:tcPr>
          <w:p>
            <w:pPr>
              <w:spacing w:after="0"/>
              <w:rPr>
                <w:sz w:val="7"/>
                <w:szCs w:val="7"/>
                <w:color w:val="auto"/>
              </w:rPr>
            </w:pPr>
          </w:p>
        </w:tc>
        <w:tc>
          <w:tcPr>
            <w:tcW w:w="1220" w:type="dxa"/>
            <w:vAlign w:val="bottom"/>
            <w:tcBorders>
              <w:bottom w:val="single" w:sz="8" w:color="125288"/>
            </w:tcBorders>
          </w:tcPr>
          <w:p>
            <w:pPr>
              <w:spacing w:after="0"/>
              <w:rPr>
                <w:sz w:val="7"/>
                <w:szCs w:val="7"/>
                <w:color w:val="auto"/>
              </w:rPr>
            </w:pPr>
          </w:p>
        </w:tc>
        <w:tc>
          <w:tcPr>
            <w:tcW w:w="1080" w:type="dxa"/>
            <w:vAlign w:val="bottom"/>
            <w:tcBorders>
              <w:bottom w:val="single" w:sz="8" w:color="125288"/>
            </w:tcBorders>
          </w:tcPr>
          <w:p>
            <w:pPr>
              <w:spacing w:after="0"/>
              <w:rPr>
                <w:sz w:val="7"/>
                <w:szCs w:val="7"/>
                <w:color w:val="auto"/>
              </w:rPr>
            </w:pPr>
          </w:p>
        </w:tc>
        <w:tc>
          <w:tcPr>
            <w:tcW w:w="1300" w:type="dxa"/>
            <w:vAlign w:val="bottom"/>
            <w:tcBorders>
              <w:bottom w:val="single" w:sz="8" w:color="125288"/>
            </w:tcBorders>
          </w:tcPr>
          <w:p>
            <w:pPr>
              <w:spacing w:after="0"/>
              <w:rPr>
                <w:sz w:val="7"/>
                <w:szCs w:val="7"/>
                <w:color w:val="auto"/>
              </w:rPr>
            </w:pPr>
          </w:p>
        </w:tc>
        <w:tc>
          <w:tcPr>
            <w:tcW w:w="1260" w:type="dxa"/>
            <w:vAlign w:val="bottom"/>
            <w:tcBorders>
              <w:bottom w:val="single" w:sz="8" w:color="125288"/>
            </w:tcBorders>
          </w:tcPr>
          <w:p>
            <w:pPr>
              <w:spacing w:after="0"/>
              <w:rPr>
                <w:sz w:val="7"/>
                <w:szCs w:val="7"/>
                <w:color w:val="auto"/>
              </w:rPr>
            </w:pPr>
          </w:p>
        </w:tc>
        <w:tc>
          <w:tcPr>
            <w:tcW w:w="1580" w:type="dxa"/>
            <w:vAlign w:val="bottom"/>
            <w:tcBorders>
              <w:bottom w:val="single" w:sz="8" w:color="125288"/>
            </w:tcBorders>
          </w:tcPr>
          <w:p>
            <w:pPr>
              <w:spacing w:after="0"/>
              <w:rPr>
                <w:sz w:val="7"/>
                <w:szCs w:val="7"/>
                <w:color w:val="auto"/>
              </w:rPr>
            </w:pPr>
          </w:p>
        </w:tc>
        <w:tc>
          <w:tcPr>
            <w:tcW w:w="1300" w:type="dxa"/>
            <w:vAlign w:val="bottom"/>
            <w:tcBorders>
              <w:bottom w:val="single" w:sz="8" w:color="125288"/>
            </w:tcBorders>
          </w:tcPr>
          <w:p>
            <w:pPr>
              <w:spacing w:after="0"/>
              <w:rPr>
                <w:sz w:val="7"/>
                <w:szCs w:val="7"/>
                <w:color w:val="auto"/>
              </w:rPr>
            </w:pPr>
          </w:p>
        </w:tc>
        <w:tc>
          <w:tcPr>
            <w:tcW w:w="1000" w:type="dxa"/>
            <w:vAlign w:val="bottom"/>
            <w:tcBorders>
              <w:bottom w:val="single" w:sz="8" w:color="125288"/>
            </w:tcBorders>
          </w:tcPr>
          <w:p>
            <w:pPr>
              <w:spacing w:after="0"/>
              <w:rPr>
                <w:sz w:val="7"/>
                <w:szCs w:val="7"/>
                <w:color w:val="auto"/>
              </w:rPr>
            </w:pPr>
          </w:p>
        </w:tc>
        <w:tc>
          <w:tcPr>
            <w:tcW w:w="0" w:type="dxa"/>
            <w:vAlign w:val="bottom"/>
          </w:tcPr>
          <w:p>
            <w:pPr>
              <w:spacing w:after="0"/>
              <w:rPr>
                <w:sz w:val="1"/>
                <w:szCs w:val="1"/>
                <w:color w:val="auto"/>
              </w:rPr>
            </w:pPr>
          </w:p>
        </w:tc>
      </w:tr>
      <w:tr>
        <w:trPr>
          <w:trHeight w:val="301"/>
        </w:trPr>
        <w:tc>
          <w:tcPr>
            <w:tcW w:w="1800" w:type="dxa"/>
            <w:vAlign w:val="bottom"/>
          </w:tcPr>
          <w:p>
            <w:pPr>
              <w:ind w:left="40"/>
              <w:spacing w:after="0"/>
              <w:rPr>
                <w:sz w:val="20"/>
                <w:szCs w:val="20"/>
                <w:color w:val="auto"/>
              </w:rPr>
            </w:pPr>
            <w:r>
              <w:rPr>
                <w:rFonts w:ascii="Arial" w:cs="Arial" w:eastAsia="Arial" w:hAnsi="Arial"/>
                <w:sz w:val="17"/>
                <w:szCs w:val="17"/>
                <w:b w:val="1"/>
                <w:bCs w:val="1"/>
                <w:color w:val="auto"/>
              </w:rPr>
              <w:t>Brian Bulatao</w:t>
            </w:r>
            <w:r>
              <w:rPr>
                <w:rFonts w:ascii="Arial" w:cs="Arial" w:eastAsia="Arial" w:hAnsi="Arial"/>
                <w:sz w:val="9"/>
                <w:szCs w:val="9"/>
                <w:color w:val="auto"/>
              </w:rPr>
              <w:t>(11)</w:t>
            </w:r>
          </w:p>
        </w:tc>
        <w:tc>
          <w:tcPr>
            <w:tcW w:w="720" w:type="dxa"/>
            <w:vAlign w:val="bottom"/>
          </w:tcPr>
          <w:p>
            <w:pPr>
              <w:jc w:val="right"/>
              <w:ind w:right="117"/>
              <w:spacing w:after="0"/>
              <w:rPr>
                <w:sz w:val="20"/>
                <w:szCs w:val="20"/>
                <w:color w:val="auto"/>
              </w:rPr>
            </w:pPr>
            <w:r>
              <w:rPr>
                <w:rFonts w:ascii="Arial" w:cs="Arial" w:eastAsia="Arial" w:hAnsi="Arial"/>
                <w:sz w:val="17"/>
                <w:szCs w:val="17"/>
                <w:color w:val="auto"/>
              </w:rPr>
              <w:t>2021</w:t>
            </w:r>
          </w:p>
        </w:tc>
        <w:tc>
          <w:tcPr>
            <w:tcW w:w="1220" w:type="dxa"/>
            <w:vAlign w:val="bottom"/>
          </w:tcPr>
          <w:p>
            <w:pPr>
              <w:jc w:val="right"/>
              <w:ind w:right="178"/>
              <w:spacing w:after="0"/>
              <w:rPr>
                <w:sz w:val="20"/>
                <w:szCs w:val="20"/>
                <w:color w:val="auto"/>
              </w:rPr>
            </w:pPr>
            <w:r>
              <w:rPr>
                <w:rFonts w:ascii="Arial" w:cs="Arial" w:eastAsia="Arial" w:hAnsi="Arial"/>
                <w:sz w:val="17"/>
                <w:szCs w:val="17"/>
                <w:color w:val="auto"/>
              </w:rPr>
              <w:t>923,077</w:t>
            </w:r>
          </w:p>
        </w:tc>
        <w:tc>
          <w:tcPr>
            <w:tcW w:w="1080" w:type="dxa"/>
            <w:vAlign w:val="bottom"/>
          </w:tcPr>
          <w:p>
            <w:pPr>
              <w:jc w:val="right"/>
              <w:ind w:right="140"/>
              <w:spacing w:after="0"/>
              <w:rPr>
                <w:sz w:val="20"/>
                <w:szCs w:val="20"/>
                <w:color w:val="auto"/>
              </w:rPr>
            </w:pPr>
            <w:r>
              <w:rPr>
                <w:rFonts w:ascii="Arial" w:cs="Arial" w:eastAsia="Arial" w:hAnsi="Arial"/>
                <w:sz w:val="17"/>
                <w:szCs w:val="17"/>
                <w:color w:val="auto"/>
              </w:rPr>
              <w:t>500,000</w:t>
            </w:r>
          </w:p>
        </w:tc>
        <w:tc>
          <w:tcPr>
            <w:tcW w:w="1300" w:type="dxa"/>
            <w:vAlign w:val="bottom"/>
          </w:tcPr>
          <w:p>
            <w:pPr>
              <w:jc w:val="right"/>
              <w:ind w:right="201"/>
              <w:spacing w:after="0"/>
              <w:rPr>
                <w:sz w:val="20"/>
                <w:szCs w:val="20"/>
                <w:color w:val="auto"/>
              </w:rPr>
            </w:pPr>
            <w:r>
              <w:rPr>
                <w:rFonts w:ascii="Arial" w:cs="Arial" w:eastAsia="Arial" w:hAnsi="Arial"/>
                <w:sz w:val="17"/>
                <w:szCs w:val="17"/>
                <w:color w:val="auto"/>
              </w:rPr>
              <w:t>3,415,122</w:t>
            </w:r>
          </w:p>
        </w:tc>
        <w:tc>
          <w:tcPr>
            <w:tcW w:w="1260" w:type="dxa"/>
            <w:vAlign w:val="bottom"/>
          </w:tcPr>
          <w:p>
            <w:pPr>
              <w:jc w:val="right"/>
              <w:ind w:right="241"/>
              <w:spacing w:after="0"/>
              <w:rPr>
                <w:sz w:val="20"/>
                <w:szCs w:val="20"/>
                <w:color w:val="auto"/>
              </w:rPr>
            </w:pPr>
            <w:r>
              <w:rPr>
                <w:rFonts w:ascii="Arial" w:cs="Arial" w:eastAsia="Arial" w:hAnsi="Arial"/>
                <w:sz w:val="17"/>
                <w:szCs w:val="17"/>
                <w:color w:val="auto"/>
              </w:rPr>
              <w:t>463,277</w:t>
            </w:r>
          </w:p>
        </w:tc>
        <w:tc>
          <w:tcPr>
            <w:tcW w:w="1580" w:type="dxa"/>
            <w:vAlign w:val="bottom"/>
          </w:tcPr>
          <w:p>
            <w:pPr>
              <w:jc w:val="right"/>
              <w:ind w:right="121"/>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45,862</w:t>
            </w:r>
            <w:r>
              <w:rPr>
                <w:rFonts w:ascii="Arial" w:cs="Arial" w:eastAsia="Arial" w:hAnsi="Arial"/>
                <w:sz w:val="19"/>
                <w:szCs w:val="19"/>
                <w:color w:val="auto"/>
                <w:vertAlign w:val="superscript"/>
              </w:rPr>
              <w:t>(5)</w:t>
            </w:r>
          </w:p>
        </w:tc>
        <w:tc>
          <w:tcPr>
            <w:tcW w:w="1000" w:type="dxa"/>
            <w:vAlign w:val="bottom"/>
          </w:tcPr>
          <w:p>
            <w:pPr>
              <w:jc w:val="right"/>
              <w:spacing w:after="0"/>
              <w:rPr>
                <w:sz w:val="20"/>
                <w:szCs w:val="20"/>
                <w:color w:val="auto"/>
              </w:rPr>
            </w:pPr>
            <w:r>
              <w:rPr>
                <w:rFonts w:ascii="Arial" w:cs="Arial" w:eastAsia="Arial" w:hAnsi="Arial"/>
                <w:sz w:val="17"/>
                <w:szCs w:val="17"/>
                <w:color w:val="auto"/>
              </w:rPr>
              <w:t>5,347,338</w:t>
            </w:r>
          </w:p>
        </w:tc>
        <w:tc>
          <w:tcPr>
            <w:tcW w:w="0" w:type="dxa"/>
            <w:vAlign w:val="bottom"/>
          </w:tcPr>
          <w:p>
            <w:pPr>
              <w:spacing w:after="0"/>
              <w:rPr>
                <w:sz w:val="1"/>
                <w:szCs w:val="1"/>
                <w:color w:val="auto"/>
              </w:rPr>
            </w:pPr>
          </w:p>
        </w:tc>
      </w:tr>
      <w:tr>
        <w:trPr>
          <w:trHeight w:val="190"/>
        </w:trPr>
        <w:tc>
          <w:tcPr>
            <w:tcW w:w="1800" w:type="dxa"/>
            <w:vAlign w:val="bottom"/>
          </w:tcPr>
          <w:p>
            <w:pPr>
              <w:ind w:left="160"/>
              <w:spacing w:after="0" w:line="190" w:lineRule="exact"/>
              <w:rPr>
                <w:sz w:val="20"/>
                <w:szCs w:val="20"/>
                <w:color w:val="auto"/>
              </w:rPr>
            </w:pPr>
            <w:r>
              <w:rPr>
                <w:rFonts w:ascii="Arial" w:cs="Arial" w:eastAsia="Arial" w:hAnsi="Arial"/>
                <w:sz w:val="17"/>
                <w:szCs w:val="17"/>
                <w:color w:val="auto"/>
              </w:rPr>
              <w:t>Chief Administrative</w:t>
            </w: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800" w:type="dxa"/>
            <w:vAlign w:val="bottom"/>
          </w:tcPr>
          <w:p>
            <w:pPr>
              <w:ind w:left="160"/>
              <w:spacing w:after="0"/>
              <w:rPr>
                <w:sz w:val="20"/>
                <w:szCs w:val="20"/>
                <w:color w:val="auto"/>
              </w:rPr>
            </w:pPr>
            <w:r>
              <w:rPr>
                <w:rFonts w:ascii="Arial" w:cs="Arial" w:eastAsia="Arial" w:hAnsi="Arial"/>
                <w:sz w:val="17"/>
                <w:szCs w:val="17"/>
                <w:color w:val="auto"/>
              </w:rPr>
              <w:t>Officer</w:t>
            </w:r>
          </w:p>
        </w:tc>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
        </w:trPr>
        <w:tc>
          <w:tcPr>
            <w:tcW w:w="1800" w:type="dxa"/>
            <w:vAlign w:val="bottom"/>
            <w:tcBorders>
              <w:bottom w:val="single" w:sz="8" w:color="125288"/>
            </w:tcBorders>
          </w:tcPr>
          <w:p>
            <w:pPr>
              <w:spacing w:after="0"/>
              <w:rPr>
                <w:sz w:val="7"/>
                <w:szCs w:val="7"/>
                <w:color w:val="auto"/>
              </w:rPr>
            </w:pPr>
          </w:p>
        </w:tc>
        <w:tc>
          <w:tcPr>
            <w:tcW w:w="720" w:type="dxa"/>
            <w:vAlign w:val="bottom"/>
            <w:tcBorders>
              <w:bottom w:val="single" w:sz="8" w:color="125288"/>
            </w:tcBorders>
          </w:tcPr>
          <w:p>
            <w:pPr>
              <w:spacing w:after="0"/>
              <w:rPr>
                <w:sz w:val="7"/>
                <w:szCs w:val="7"/>
                <w:color w:val="auto"/>
              </w:rPr>
            </w:pPr>
          </w:p>
        </w:tc>
        <w:tc>
          <w:tcPr>
            <w:tcW w:w="1220" w:type="dxa"/>
            <w:vAlign w:val="bottom"/>
            <w:tcBorders>
              <w:bottom w:val="single" w:sz="8" w:color="125288"/>
            </w:tcBorders>
          </w:tcPr>
          <w:p>
            <w:pPr>
              <w:spacing w:after="0"/>
              <w:rPr>
                <w:sz w:val="7"/>
                <w:szCs w:val="7"/>
                <w:color w:val="auto"/>
              </w:rPr>
            </w:pPr>
          </w:p>
        </w:tc>
        <w:tc>
          <w:tcPr>
            <w:tcW w:w="1080" w:type="dxa"/>
            <w:vAlign w:val="bottom"/>
            <w:tcBorders>
              <w:bottom w:val="single" w:sz="8" w:color="125288"/>
            </w:tcBorders>
          </w:tcPr>
          <w:p>
            <w:pPr>
              <w:spacing w:after="0"/>
              <w:rPr>
                <w:sz w:val="7"/>
                <w:szCs w:val="7"/>
                <w:color w:val="auto"/>
              </w:rPr>
            </w:pPr>
          </w:p>
        </w:tc>
        <w:tc>
          <w:tcPr>
            <w:tcW w:w="1300" w:type="dxa"/>
            <w:vAlign w:val="bottom"/>
            <w:tcBorders>
              <w:bottom w:val="single" w:sz="8" w:color="125288"/>
            </w:tcBorders>
          </w:tcPr>
          <w:p>
            <w:pPr>
              <w:spacing w:after="0"/>
              <w:rPr>
                <w:sz w:val="7"/>
                <w:szCs w:val="7"/>
                <w:color w:val="auto"/>
              </w:rPr>
            </w:pPr>
          </w:p>
        </w:tc>
        <w:tc>
          <w:tcPr>
            <w:tcW w:w="1260" w:type="dxa"/>
            <w:vAlign w:val="bottom"/>
            <w:tcBorders>
              <w:bottom w:val="single" w:sz="8" w:color="125288"/>
            </w:tcBorders>
          </w:tcPr>
          <w:p>
            <w:pPr>
              <w:spacing w:after="0"/>
              <w:rPr>
                <w:sz w:val="7"/>
                <w:szCs w:val="7"/>
                <w:color w:val="auto"/>
              </w:rPr>
            </w:pPr>
          </w:p>
        </w:tc>
        <w:tc>
          <w:tcPr>
            <w:tcW w:w="1580" w:type="dxa"/>
            <w:vAlign w:val="bottom"/>
            <w:tcBorders>
              <w:bottom w:val="single" w:sz="8" w:color="125288"/>
            </w:tcBorders>
          </w:tcPr>
          <w:p>
            <w:pPr>
              <w:spacing w:after="0"/>
              <w:rPr>
                <w:sz w:val="7"/>
                <w:szCs w:val="7"/>
                <w:color w:val="auto"/>
              </w:rPr>
            </w:pPr>
          </w:p>
        </w:tc>
        <w:tc>
          <w:tcPr>
            <w:tcW w:w="1300" w:type="dxa"/>
            <w:vAlign w:val="bottom"/>
            <w:tcBorders>
              <w:bottom w:val="single" w:sz="8" w:color="125288"/>
            </w:tcBorders>
          </w:tcPr>
          <w:p>
            <w:pPr>
              <w:spacing w:after="0"/>
              <w:rPr>
                <w:sz w:val="7"/>
                <w:szCs w:val="7"/>
                <w:color w:val="auto"/>
              </w:rPr>
            </w:pPr>
          </w:p>
        </w:tc>
        <w:tc>
          <w:tcPr>
            <w:tcW w:w="1000" w:type="dxa"/>
            <w:vAlign w:val="bottom"/>
            <w:tcBorders>
              <w:bottom w:val="single" w:sz="8" w:color="125288"/>
            </w:tcBorders>
          </w:tcPr>
          <w:p>
            <w:pPr>
              <w:spacing w:after="0"/>
              <w:rPr>
                <w:sz w:val="7"/>
                <w:szCs w:val="7"/>
                <w:color w:val="auto"/>
              </w:rPr>
            </w:pPr>
          </w:p>
        </w:tc>
        <w:tc>
          <w:tcPr>
            <w:tcW w:w="0" w:type="dxa"/>
            <w:vAlign w:val="bottom"/>
          </w:tcPr>
          <w:p>
            <w:pPr>
              <w:spacing w:after="0"/>
              <w:rPr>
                <w:sz w:val="1"/>
                <w:szCs w:val="1"/>
                <w:color w:val="auto"/>
              </w:rPr>
            </w:pPr>
          </w:p>
        </w:tc>
      </w:tr>
      <w:tr>
        <w:trPr>
          <w:trHeight w:val="301"/>
        </w:trPr>
        <w:tc>
          <w:tcPr>
            <w:tcW w:w="1800" w:type="dxa"/>
            <w:vAlign w:val="bottom"/>
          </w:tcPr>
          <w:p>
            <w:pPr>
              <w:ind w:left="40"/>
              <w:spacing w:after="0"/>
              <w:rPr>
                <w:sz w:val="20"/>
                <w:szCs w:val="20"/>
                <w:color w:val="auto"/>
              </w:rPr>
            </w:pPr>
            <w:r>
              <w:rPr>
                <w:rFonts w:ascii="Arial" w:cs="Arial" w:eastAsia="Arial" w:hAnsi="Arial"/>
                <w:sz w:val="17"/>
                <w:szCs w:val="17"/>
                <w:b w:val="1"/>
                <w:bCs w:val="1"/>
                <w:color w:val="auto"/>
              </w:rPr>
              <w:t>Grant Dixton</w:t>
            </w:r>
            <w:r>
              <w:rPr>
                <w:rFonts w:ascii="Arial" w:cs="Arial" w:eastAsia="Arial" w:hAnsi="Arial"/>
                <w:sz w:val="9"/>
                <w:szCs w:val="9"/>
                <w:color w:val="auto"/>
              </w:rPr>
              <w:t>(12)</w:t>
            </w:r>
          </w:p>
        </w:tc>
        <w:tc>
          <w:tcPr>
            <w:tcW w:w="720" w:type="dxa"/>
            <w:vAlign w:val="bottom"/>
          </w:tcPr>
          <w:p>
            <w:pPr>
              <w:jc w:val="right"/>
              <w:ind w:right="117"/>
              <w:spacing w:after="0"/>
              <w:rPr>
                <w:sz w:val="20"/>
                <w:szCs w:val="20"/>
                <w:color w:val="auto"/>
              </w:rPr>
            </w:pPr>
            <w:r>
              <w:rPr>
                <w:rFonts w:ascii="Arial" w:cs="Arial" w:eastAsia="Arial" w:hAnsi="Arial"/>
                <w:sz w:val="17"/>
                <w:szCs w:val="17"/>
                <w:color w:val="auto"/>
              </w:rPr>
              <w:t>2021</w:t>
            </w:r>
          </w:p>
        </w:tc>
        <w:tc>
          <w:tcPr>
            <w:tcW w:w="1220" w:type="dxa"/>
            <w:vAlign w:val="bottom"/>
          </w:tcPr>
          <w:p>
            <w:pPr>
              <w:jc w:val="right"/>
              <w:ind w:right="178"/>
              <w:spacing w:after="0"/>
              <w:rPr>
                <w:sz w:val="20"/>
                <w:szCs w:val="20"/>
                <w:color w:val="auto"/>
              </w:rPr>
            </w:pPr>
            <w:r>
              <w:rPr>
                <w:rFonts w:ascii="Arial" w:cs="Arial" w:eastAsia="Arial" w:hAnsi="Arial"/>
                <w:sz w:val="17"/>
                <w:szCs w:val="17"/>
                <w:color w:val="auto"/>
              </w:rPr>
              <w:t>418,269</w:t>
            </w:r>
          </w:p>
        </w:tc>
        <w:tc>
          <w:tcPr>
            <w:tcW w:w="1080" w:type="dxa"/>
            <w:vAlign w:val="bottom"/>
          </w:tcPr>
          <w:p>
            <w:pPr>
              <w:jc w:val="right"/>
              <w:ind w:right="140"/>
              <w:spacing w:after="0"/>
              <w:rPr>
                <w:sz w:val="20"/>
                <w:szCs w:val="20"/>
                <w:color w:val="auto"/>
              </w:rPr>
            </w:pPr>
            <w:r>
              <w:rPr>
                <w:rFonts w:ascii="Arial" w:cs="Arial" w:eastAsia="Arial" w:hAnsi="Arial"/>
                <w:sz w:val="17"/>
                <w:szCs w:val="17"/>
                <w:color w:val="auto"/>
              </w:rPr>
              <w:t>1,750,000</w:t>
            </w:r>
          </w:p>
        </w:tc>
        <w:tc>
          <w:tcPr>
            <w:tcW w:w="1300" w:type="dxa"/>
            <w:vAlign w:val="bottom"/>
          </w:tcPr>
          <w:p>
            <w:pPr>
              <w:jc w:val="right"/>
              <w:ind w:right="201"/>
              <w:spacing w:after="0"/>
              <w:rPr>
                <w:sz w:val="20"/>
                <w:szCs w:val="20"/>
                <w:color w:val="auto"/>
              </w:rPr>
            </w:pPr>
            <w:r>
              <w:rPr>
                <w:rFonts w:ascii="Arial" w:cs="Arial" w:eastAsia="Arial" w:hAnsi="Arial"/>
                <w:sz w:val="17"/>
                <w:szCs w:val="17"/>
                <w:color w:val="auto"/>
              </w:rPr>
              <w:t>5,894,664</w:t>
            </w:r>
          </w:p>
        </w:tc>
        <w:tc>
          <w:tcPr>
            <w:tcW w:w="1260" w:type="dxa"/>
            <w:vAlign w:val="bottom"/>
          </w:tcPr>
          <w:p>
            <w:pPr>
              <w:jc w:val="right"/>
              <w:ind w:right="241"/>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121"/>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169,778</w:t>
            </w:r>
            <w:r>
              <w:rPr>
                <w:rFonts w:ascii="Arial" w:cs="Arial" w:eastAsia="Arial" w:hAnsi="Arial"/>
                <w:sz w:val="19"/>
                <w:szCs w:val="19"/>
                <w:color w:val="auto"/>
                <w:vertAlign w:val="superscript"/>
              </w:rPr>
              <w:t>(5)</w:t>
            </w:r>
          </w:p>
        </w:tc>
        <w:tc>
          <w:tcPr>
            <w:tcW w:w="1000" w:type="dxa"/>
            <w:vAlign w:val="bottom"/>
          </w:tcPr>
          <w:p>
            <w:pPr>
              <w:jc w:val="right"/>
              <w:spacing w:after="0"/>
              <w:rPr>
                <w:sz w:val="20"/>
                <w:szCs w:val="20"/>
                <w:color w:val="auto"/>
              </w:rPr>
            </w:pPr>
            <w:r>
              <w:rPr>
                <w:rFonts w:ascii="Arial" w:cs="Arial" w:eastAsia="Arial" w:hAnsi="Arial"/>
                <w:sz w:val="17"/>
                <w:szCs w:val="17"/>
                <w:color w:val="auto"/>
              </w:rPr>
              <w:t>8,232,711</w:t>
            </w:r>
          </w:p>
        </w:tc>
        <w:tc>
          <w:tcPr>
            <w:tcW w:w="0" w:type="dxa"/>
            <w:vAlign w:val="bottom"/>
          </w:tcPr>
          <w:p>
            <w:pPr>
              <w:spacing w:after="0"/>
              <w:rPr>
                <w:sz w:val="1"/>
                <w:szCs w:val="1"/>
                <w:color w:val="auto"/>
              </w:rPr>
            </w:pPr>
          </w:p>
        </w:tc>
      </w:tr>
      <w:tr>
        <w:trPr>
          <w:trHeight w:val="201"/>
        </w:trPr>
        <w:tc>
          <w:tcPr>
            <w:tcW w:w="1800" w:type="dxa"/>
            <w:vAlign w:val="bottom"/>
          </w:tcPr>
          <w:p>
            <w:pPr>
              <w:ind w:left="160"/>
              <w:spacing w:after="0"/>
              <w:rPr>
                <w:sz w:val="20"/>
                <w:szCs w:val="20"/>
                <w:color w:val="auto"/>
              </w:rPr>
            </w:pPr>
            <w:r>
              <w:rPr>
                <w:rFonts w:ascii="Arial" w:cs="Arial" w:eastAsia="Arial" w:hAnsi="Arial"/>
                <w:sz w:val="17"/>
                <w:szCs w:val="17"/>
                <w:color w:val="auto"/>
              </w:rPr>
              <w:t>Chief Legal Officer</w:t>
            </w:r>
          </w:p>
        </w:tc>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148830" cy="152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135" w:lineRule="exact"/>
        <w:rPr>
          <w:sz w:val="20"/>
          <w:szCs w:val="20"/>
          <w:color w:val="auto"/>
        </w:rPr>
      </w:pPr>
    </w:p>
    <w:p>
      <w:pPr>
        <w:jc w:val="both"/>
        <w:ind w:left="320" w:right="80" w:hanging="277"/>
        <w:spacing w:after="0" w:line="250" w:lineRule="auto"/>
        <w:tabs>
          <w:tab w:leader="none" w:pos="32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The amount paid to Mr. Durkin in 2019 consisted of an inducement to enter into his employment agreement with us, dated as of January 2, 2019 (the “Durkin Employment Agreement”). This amount was paid in cash in January 2019 (see “—Employment Agreements—Dennis Durkin—Contract Inducement” below) and was necessary to induce Mr. Durkin to resume his previous role of Chief Financial Officer after the unanticipated departure of the person serving as CFO at the time. The amount paid to Mr. Alegre in 2020 consisted of an inducement to enter into his employment agreement with us, dated as of April 7, 2020 (the “Alegre Employment Agreement”), which was paid in cash in April 2020 (see “—Employment Agreements—Daniel Alegre—Contract Inducement” below). The amount paid to Mr. Bulatao in 2021 consisted of one-half of an inducement to enter into his employment agreement with us, dated as of February 1, 2021 (the “Bulatao Employment Agreement”), which was paid in cash in February 2021 The second half of this inducement was paid in February 2022 (see “— Employment Agreements—Brian Bulatao—Contract Inducement” below). The amount paid to Mr. Dixton in 2021 consisted of an inducement to enter into his employment agreement with us, dated as of May 17, 2021 (the “Dixton Employment Agreement”), which was paid in cash in June 2021 (see “—Employment Agreements—Grant Dixton—Contract Inducement” below).</w:t>
      </w:r>
    </w:p>
    <w:p>
      <w:pPr>
        <w:spacing w:after="0" w:line="69" w:lineRule="exact"/>
        <w:rPr>
          <w:rFonts w:ascii="Arial" w:cs="Arial" w:eastAsia="Arial" w:hAnsi="Arial"/>
          <w:sz w:val="15"/>
          <w:szCs w:val="15"/>
          <w:color w:val="auto"/>
        </w:rPr>
      </w:pPr>
    </w:p>
    <w:p>
      <w:pPr>
        <w:jc w:val="both"/>
        <w:ind w:left="320" w:right="80" w:hanging="277"/>
        <w:spacing w:after="0" w:line="252" w:lineRule="auto"/>
        <w:tabs>
          <w:tab w:leader="none" w:pos="32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The amounts in the Stock Awards column represent the aggregate grant date fair value of restricted share units (which have time-and/or performance-based vesting conditions) awarded in the period, computed in accordance with ASC Topic 718. The amounts in the Option Awards column represent the aggregate grant date fair value of stock options (which have time- and/or performance-based vesting conditions) awarded in the period, computed in accordance with ASC Topic 718. As such, in the year when the grant fair value is determined, the full aggregate grant date fair value appears, rather than the portion expensed for financial statement reporting purposes in that year.</w:t>
      </w:r>
    </w:p>
    <w:p>
      <w:pPr>
        <w:spacing w:after="0" w:line="69" w:lineRule="exact"/>
        <w:rPr>
          <w:rFonts w:ascii="Arial" w:cs="Arial" w:eastAsia="Arial" w:hAnsi="Arial"/>
          <w:sz w:val="15"/>
          <w:szCs w:val="15"/>
          <w:color w:val="auto"/>
        </w:rPr>
      </w:pPr>
    </w:p>
    <w:p>
      <w:pPr>
        <w:ind w:left="320" w:right="80"/>
        <w:spacing w:after="0" w:line="266" w:lineRule="auto"/>
        <w:rPr>
          <w:rFonts w:ascii="Arial" w:cs="Arial" w:eastAsia="Arial" w:hAnsi="Arial"/>
          <w:sz w:val="15"/>
          <w:szCs w:val="15"/>
          <w:color w:val="auto"/>
        </w:rPr>
      </w:pPr>
      <w:r>
        <w:rPr>
          <w:rFonts w:ascii="Arial" w:cs="Arial" w:eastAsia="Arial" w:hAnsi="Arial"/>
          <w:sz w:val="15"/>
          <w:szCs w:val="15"/>
          <w:color w:val="auto"/>
        </w:rPr>
        <w:t>Assumptions and key variables used in the calculation of the grant date fair values for 2021, 2020, and 2019 are discussed in Note 16 of the notes to our audited consolidated financial statements included in Part II, Item 8 of our Form 10-K filings for each of those years.</w:t>
      </w:r>
    </w:p>
    <w:p>
      <w:pPr>
        <w:spacing w:after="0" w:line="57" w:lineRule="exact"/>
        <w:rPr>
          <w:rFonts w:ascii="Arial" w:cs="Arial" w:eastAsia="Arial" w:hAnsi="Arial"/>
          <w:sz w:val="15"/>
          <w:szCs w:val="15"/>
          <w:color w:val="auto"/>
        </w:rPr>
      </w:pPr>
    </w:p>
    <w:p>
      <w:pPr>
        <w:jc w:val="both"/>
        <w:ind w:left="320" w:right="80"/>
        <w:spacing w:after="0" w:line="257" w:lineRule="auto"/>
        <w:rPr>
          <w:rFonts w:ascii="Arial" w:cs="Arial" w:eastAsia="Arial" w:hAnsi="Arial"/>
          <w:sz w:val="15"/>
          <w:szCs w:val="15"/>
          <w:color w:val="auto"/>
        </w:rPr>
      </w:pPr>
      <w:r>
        <w:rPr>
          <w:rFonts w:ascii="Arial" w:cs="Arial" w:eastAsia="Arial" w:hAnsi="Arial"/>
          <w:sz w:val="15"/>
          <w:szCs w:val="15"/>
          <w:color w:val="auto"/>
        </w:rPr>
        <w:t>In 2019, Mr. Kotick received PSUs that were subject to performance conditions that included three-year EPS targets which had yet to be established. In 2020, the Compensation Committee set the three-year EPS targets for these PSUs, resulting in an incremental accounting value of $303,782 for the 2019 award, which is included in the value for Mr. Kotick’s 2020 awards.</w:t>
      </w:r>
    </w:p>
    <w:p>
      <w:pPr>
        <w:spacing w:after="0" w:line="354"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90" w:name="page91"/>
    <w:bookmarkEnd w:id="90"/>
    <w:p>
      <w:pPr>
        <w:ind w:left="5"/>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43" w:lineRule="exact"/>
        <w:rPr>
          <w:sz w:val="20"/>
          <w:szCs w:val="20"/>
          <w:color w:val="auto"/>
        </w:rPr>
      </w:pPr>
    </w:p>
    <w:p>
      <w:pPr>
        <w:jc w:val="both"/>
        <w:ind w:left="285" w:right="40"/>
        <w:spacing w:after="0" w:line="254" w:lineRule="auto"/>
        <w:rPr>
          <w:sz w:val="20"/>
          <w:szCs w:val="20"/>
          <w:color w:val="auto"/>
        </w:rPr>
      </w:pPr>
      <w:r>
        <w:rPr>
          <w:rFonts w:ascii="Arial" w:cs="Arial" w:eastAsia="Arial" w:hAnsi="Arial"/>
          <w:sz w:val="15"/>
          <w:szCs w:val="15"/>
          <w:color w:val="auto"/>
        </w:rPr>
        <w:t>Stock awards and option awards for each fiscal year include awards subject to non-market performance conditions (which were valued based on the probability at grant that performance targets will be achieved) and awards subject to market performance conditions (which were valued using a Monte-Carlo simulation, which assumes the highest level of performance). Assuming the highest level of non-market performance conditions were achieved, the grant date stock award and option award values of our performance-vesting equity awards would have been as follows:</w:t>
      </w:r>
    </w:p>
    <w:p>
      <w:pPr>
        <w:spacing w:after="0" w:line="72" w:lineRule="exact"/>
        <w:rPr>
          <w:sz w:val="20"/>
          <w:szCs w:val="20"/>
          <w:color w:val="auto"/>
        </w:rPr>
      </w:pPr>
    </w:p>
    <w:tbl>
      <w:tblPr>
        <w:tblLayout w:type="fixed"/>
        <w:tblInd w:w="385" w:type="dxa"/>
        <w:tblCellMar>
          <w:top w:w="0" w:type="dxa"/>
          <w:left w:w="0" w:type="dxa"/>
          <w:bottom w:w="0" w:type="dxa"/>
          <w:right w:w="0" w:type="dxa"/>
        </w:tblCellMar>
      </w:tblPr>
      <w:tr>
        <w:trPr>
          <w:trHeight w:val="204"/>
        </w:trPr>
        <w:tc>
          <w:tcPr>
            <w:tcW w:w="820" w:type="dxa"/>
            <w:vAlign w:val="bottom"/>
          </w:tcPr>
          <w:p>
            <w:pPr>
              <w:spacing w:after="0"/>
              <w:rPr>
                <w:sz w:val="17"/>
                <w:szCs w:val="17"/>
                <w:color w:val="auto"/>
              </w:rPr>
            </w:pPr>
          </w:p>
        </w:tc>
        <w:tc>
          <w:tcPr>
            <w:tcW w:w="1980" w:type="dxa"/>
            <w:vAlign w:val="bottom"/>
          </w:tcPr>
          <w:p>
            <w:pPr>
              <w:jc w:val="right"/>
              <w:ind w:right="463"/>
              <w:spacing w:after="0"/>
              <w:rPr>
                <w:sz w:val="20"/>
                <w:szCs w:val="20"/>
                <w:color w:val="auto"/>
              </w:rPr>
            </w:pPr>
            <w:r>
              <w:rPr>
                <w:rFonts w:ascii="Arial" w:cs="Arial" w:eastAsia="Arial" w:hAnsi="Arial"/>
                <w:sz w:val="15"/>
                <w:szCs w:val="15"/>
                <w:b w:val="1"/>
                <w:bCs w:val="1"/>
                <w:color w:val="125288"/>
              </w:rPr>
              <w:t>Robert Kotick</w:t>
            </w:r>
          </w:p>
        </w:tc>
        <w:tc>
          <w:tcPr>
            <w:tcW w:w="1520" w:type="dxa"/>
            <w:vAlign w:val="bottom"/>
          </w:tcPr>
          <w:p>
            <w:pPr>
              <w:jc w:val="right"/>
              <w:ind w:right="203"/>
              <w:spacing w:after="0"/>
              <w:rPr>
                <w:sz w:val="20"/>
                <w:szCs w:val="20"/>
                <w:color w:val="auto"/>
              </w:rPr>
            </w:pPr>
            <w:r>
              <w:rPr>
                <w:rFonts w:ascii="Arial" w:cs="Arial" w:eastAsia="Arial" w:hAnsi="Arial"/>
                <w:sz w:val="15"/>
                <w:szCs w:val="15"/>
                <w:b w:val="1"/>
                <w:bCs w:val="1"/>
                <w:color w:val="125288"/>
              </w:rPr>
              <w:t>Dennis Durkin</w:t>
            </w:r>
          </w:p>
        </w:tc>
        <w:tc>
          <w:tcPr>
            <w:tcW w:w="1600" w:type="dxa"/>
            <w:vAlign w:val="bottom"/>
          </w:tcPr>
          <w:p>
            <w:pPr>
              <w:jc w:val="right"/>
              <w:ind w:right="323"/>
              <w:spacing w:after="0"/>
              <w:rPr>
                <w:sz w:val="20"/>
                <w:szCs w:val="20"/>
                <w:color w:val="auto"/>
              </w:rPr>
            </w:pPr>
            <w:r>
              <w:rPr>
                <w:rFonts w:ascii="Arial" w:cs="Arial" w:eastAsia="Arial" w:hAnsi="Arial"/>
                <w:sz w:val="15"/>
                <w:szCs w:val="15"/>
                <w:b w:val="1"/>
                <w:bCs w:val="1"/>
                <w:color w:val="125288"/>
              </w:rPr>
              <w:t>Armin Zerza</w:t>
            </w:r>
          </w:p>
        </w:tc>
        <w:tc>
          <w:tcPr>
            <w:tcW w:w="1800" w:type="dxa"/>
            <w:vAlign w:val="bottom"/>
          </w:tcPr>
          <w:p>
            <w:pPr>
              <w:ind w:left="240"/>
              <w:spacing w:after="0"/>
              <w:rPr>
                <w:sz w:val="20"/>
                <w:szCs w:val="20"/>
                <w:color w:val="auto"/>
              </w:rPr>
            </w:pPr>
            <w:r>
              <w:rPr>
                <w:rFonts w:ascii="Arial" w:cs="Arial" w:eastAsia="Arial" w:hAnsi="Arial"/>
                <w:sz w:val="15"/>
                <w:szCs w:val="15"/>
                <w:b w:val="1"/>
                <w:bCs w:val="1"/>
                <w:color w:val="125288"/>
              </w:rPr>
              <w:t>Daniel Alegre</w:t>
            </w:r>
          </w:p>
        </w:tc>
        <w:tc>
          <w:tcPr>
            <w:tcW w:w="1800" w:type="dxa"/>
            <w:vAlign w:val="bottom"/>
          </w:tcPr>
          <w:p>
            <w:pPr>
              <w:jc w:val="right"/>
              <w:ind w:right="483"/>
              <w:spacing w:after="0"/>
              <w:rPr>
                <w:sz w:val="20"/>
                <w:szCs w:val="20"/>
                <w:color w:val="auto"/>
              </w:rPr>
            </w:pPr>
            <w:r>
              <w:rPr>
                <w:rFonts w:ascii="Arial" w:cs="Arial" w:eastAsia="Arial" w:hAnsi="Arial"/>
                <w:sz w:val="15"/>
                <w:szCs w:val="15"/>
                <w:b w:val="1"/>
                <w:bCs w:val="1"/>
                <w:color w:val="125288"/>
              </w:rPr>
              <w:t>Brian Bulatao</w:t>
            </w:r>
          </w:p>
        </w:tc>
        <w:tc>
          <w:tcPr>
            <w:tcW w:w="1360" w:type="dxa"/>
            <w:vAlign w:val="bottom"/>
          </w:tcPr>
          <w:p>
            <w:pPr>
              <w:jc w:val="right"/>
              <w:ind w:right="123"/>
              <w:spacing w:after="0"/>
              <w:rPr>
                <w:sz w:val="20"/>
                <w:szCs w:val="20"/>
                <w:color w:val="auto"/>
              </w:rPr>
            </w:pPr>
            <w:r>
              <w:rPr>
                <w:rFonts w:ascii="Arial" w:cs="Arial" w:eastAsia="Arial" w:hAnsi="Arial"/>
                <w:sz w:val="15"/>
                <w:szCs w:val="15"/>
                <w:b w:val="1"/>
                <w:bCs w:val="1"/>
                <w:color w:val="125288"/>
              </w:rPr>
              <w:t>Grant Dixton</w:t>
            </w:r>
          </w:p>
        </w:tc>
      </w:tr>
      <w:tr>
        <w:trPr>
          <w:trHeight w:val="214"/>
        </w:trPr>
        <w:tc>
          <w:tcPr>
            <w:tcW w:w="820" w:type="dxa"/>
            <w:vAlign w:val="bottom"/>
          </w:tcPr>
          <w:p>
            <w:pPr>
              <w:spacing w:after="0"/>
              <w:rPr>
                <w:sz w:val="18"/>
                <w:szCs w:val="18"/>
                <w:color w:val="auto"/>
              </w:rPr>
            </w:pPr>
          </w:p>
        </w:tc>
        <w:tc>
          <w:tcPr>
            <w:tcW w:w="1980" w:type="dxa"/>
            <w:vAlign w:val="bottom"/>
          </w:tcPr>
          <w:p>
            <w:pPr>
              <w:jc w:val="right"/>
              <w:ind w:right="463"/>
              <w:spacing w:after="0"/>
              <w:rPr>
                <w:sz w:val="20"/>
                <w:szCs w:val="20"/>
                <w:color w:val="auto"/>
              </w:rPr>
            </w:pPr>
            <w:r>
              <w:rPr>
                <w:rFonts w:ascii="Arial" w:cs="Arial" w:eastAsia="Arial" w:hAnsi="Arial"/>
                <w:sz w:val="15"/>
                <w:szCs w:val="15"/>
                <w:b w:val="1"/>
                <w:bCs w:val="1"/>
                <w:color w:val="125288"/>
              </w:rPr>
              <w:t>($)</w:t>
            </w:r>
          </w:p>
        </w:tc>
        <w:tc>
          <w:tcPr>
            <w:tcW w:w="1520" w:type="dxa"/>
            <w:vAlign w:val="bottom"/>
          </w:tcPr>
          <w:p>
            <w:pPr>
              <w:jc w:val="right"/>
              <w:ind w:right="203"/>
              <w:spacing w:after="0"/>
              <w:rPr>
                <w:sz w:val="20"/>
                <w:szCs w:val="20"/>
                <w:color w:val="auto"/>
              </w:rPr>
            </w:pPr>
            <w:r>
              <w:rPr>
                <w:rFonts w:ascii="Arial" w:cs="Arial" w:eastAsia="Arial" w:hAnsi="Arial"/>
                <w:sz w:val="15"/>
                <w:szCs w:val="15"/>
                <w:b w:val="1"/>
                <w:bCs w:val="1"/>
                <w:color w:val="125288"/>
              </w:rPr>
              <w:t>($)</w:t>
            </w:r>
          </w:p>
        </w:tc>
        <w:tc>
          <w:tcPr>
            <w:tcW w:w="1600" w:type="dxa"/>
            <w:vAlign w:val="bottom"/>
          </w:tcPr>
          <w:p>
            <w:pPr>
              <w:jc w:val="right"/>
              <w:ind w:right="323"/>
              <w:spacing w:after="0"/>
              <w:rPr>
                <w:sz w:val="20"/>
                <w:szCs w:val="20"/>
                <w:color w:val="auto"/>
              </w:rPr>
            </w:pPr>
            <w:r>
              <w:rPr>
                <w:rFonts w:ascii="Arial" w:cs="Arial" w:eastAsia="Arial" w:hAnsi="Arial"/>
                <w:sz w:val="15"/>
                <w:szCs w:val="15"/>
                <w:b w:val="1"/>
                <w:bCs w:val="1"/>
                <w:color w:val="125288"/>
              </w:rPr>
              <w:t>($)</w:t>
            </w:r>
          </w:p>
        </w:tc>
        <w:tc>
          <w:tcPr>
            <w:tcW w:w="1800" w:type="dxa"/>
            <w:vAlign w:val="bottom"/>
          </w:tcPr>
          <w:p>
            <w:pPr>
              <w:jc w:val="right"/>
              <w:ind w:right="483"/>
              <w:spacing w:after="0"/>
              <w:rPr>
                <w:sz w:val="20"/>
                <w:szCs w:val="20"/>
                <w:color w:val="auto"/>
              </w:rPr>
            </w:pPr>
            <w:r>
              <w:rPr>
                <w:rFonts w:ascii="Arial" w:cs="Arial" w:eastAsia="Arial" w:hAnsi="Arial"/>
                <w:sz w:val="15"/>
                <w:szCs w:val="15"/>
                <w:b w:val="1"/>
                <w:bCs w:val="1"/>
                <w:color w:val="125288"/>
              </w:rPr>
              <w:t>($)</w:t>
            </w:r>
          </w:p>
        </w:tc>
        <w:tc>
          <w:tcPr>
            <w:tcW w:w="1800" w:type="dxa"/>
            <w:vAlign w:val="bottom"/>
          </w:tcPr>
          <w:p>
            <w:pPr>
              <w:jc w:val="right"/>
              <w:ind w:right="483"/>
              <w:spacing w:after="0"/>
              <w:rPr>
                <w:sz w:val="20"/>
                <w:szCs w:val="20"/>
                <w:color w:val="auto"/>
              </w:rPr>
            </w:pPr>
            <w:r>
              <w:rPr>
                <w:rFonts w:ascii="Arial" w:cs="Arial" w:eastAsia="Arial" w:hAnsi="Arial"/>
                <w:sz w:val="15"/>
                <w:szCs w:val="15"/>
                <w:b w:val="1"/>
                <w:bCs w:val="1"/>
                <w:color w:val="125288"/>
              </w:rPr>
              <w:t>($)</w:t>
            </w:r>
          </w:p>
        </w:tc>
        <w:tc>
          <w:tcPr>
            <w:tcW w:w="1360" w:type="dxa"/>
            <w:vAlign w:val="bottom"/>
          </w:tcPr>
          <w:p>
            <w:pPr>
              <w:jc w:val="right"/>
              <w:ind w:right="123"/>
              <w:spacing w:after="0"/>
              <w:rPr>
                <w:sz w:val="20"/>
                <w:szCs w:val="20"/>
                <w:color w:val="auto"/>
              </w:rPr>
            </w:pPr>
            <w:r>
              <w:rPr>
                <w:rFonts w:ascii="Arial" w:cs="Arial" w:eastAsia="Arial" w:hAnsi="Arial"/>
                <w:sz w:val="15"/>
                <w:szCs w:val="15"/>
                <w:b w:val="1"/>
                <w:bCs w:val="1"/>
                <w:color w:val="125288"/>
              </w:rPr>
              <w:t>($)</w:t>
            </w:r>
          </w:p>
        </w:tc>
      </w:tr>
      <w:tr>
        <w:trPr>
          <w:trHeight w:val="41"/>
        </w:trPr>
        <w:tc>
          <w:tcPr>
            <w:tcW w:w="820" w:type="dxa"/>
            <w:vAlign w:val="bottom"/>
            <w:tcBorders>
              <w:bottom w:val="single" w:sz="8" w:color="125288"/>
            </w:tcBorders>
          </w:tcPr>
          <w:p>
            <w:pPr>
              <w:spacing w:after="0"/>
              <w:rPr>
                <w:sz w:val="3"/>
                <w:szCs w:val="3"/>
                <w:color w:val="auto"/>
              </w:rPr>
            </w:pPr>
          </w:p>
        </w:tc>
        <w:tc>
          <w:tcPr>
            <w:tcW w:w="1980" w:type="dxa"/>
            <w:vAlign w:val="bottom"/>
            <w:tcBorders>
              <w:bottom w:val="single" w:sz="8" w:color="125288"/>
            </w:tcBorders>
          </w:tcPr>
          <w:p>
            <w:pPr>
              <w:spacing w:after="0"/>
              <w:rPr>
                <w:sz w:val="3"/>
                <w:szCs w:val="3"/>
                <w:color w:val="auto"/>
              </w:rPr>
            </w:pPr>
          </w:p>
        </w:tc>
        <w:tc>
          <w:tcPr>
            <w:tcW w:w="1520" w:type="dxa"/>
            <w:vAlign w:val="bottom"/>
            <w:tcBorders>
              <w:bottom w:val="single" w:sz="8" w:color="125288"/>
            </w:tcBorders>
          </w:tcPr>
          <w:p>
            <w:pPr>
              <w:spacing w:after="0"/>
              <w:rPr>
                <w:sz w:val="3"/>
                <w:szCs w:val="3"/>
                <w:color w:val="auto"/>
              </w:rPr>
            </w:pPr>
          </w:p>
        </w:tc>
        <w:tc>
          <w:tcPr>
            <w:tcW w:w="1600" w:type="dxa"/>
            <w:vAlign w:val="bottom"/>
            <w:tcBorders>
              <w:bottom w:val="single" w:sz="8" w:color="125288"/>
            </w:tcBorders>
          </w:tcPr>
          <w:p>
            <w:pPr>
              <w:spacing w:after="0"/>
              <w:rPr>
                <w:sz w:val="3"/>
                <w:szCs w:val="3"/>
                <w:color w:val="auto"/>
              </w:rPr>
            </w:pPr>
          </w:p>
        </w:tc>
        <w:tc>
          <w:tcPr>
            <w:tcW w:w="1800" w:type="dxa"/>
            <w:vAlign w:val="bottom"/>
            <w:tcBorders>
              <w:bottom w:val="single" w:sz="8" w:color="125288"/>
            </w:tcBorders>
          </w:tcPr>
          <w:p>
            <w:pPr>
              <w:spacing w:after="0"/>
              <w:rPr>
                <w:sz w:val="3"/>
                <w:szCs w:val="3"/>
                <w:color w:val="auto"/>
              </w:rPr>
            </w:pPr>
          </w:p>
        </w:tc>
        <w:tc>
          <w:tcPr>
            <w:tcW w:w="1800" w:type="dxa"/>
            <w:vAlign w:val="bottom"/>
            <w:tcBorders>
              <w:bottom w:val="single" w:sz="8" w:color="125288"/>
            </w:tcBorders>
          </w:tcPr>
          <w:p>
            <w:pPr>
              <w:spacing w:after="0"/>
              <w:rPr>
                <w:sz w:val="3"/>
                <w:szCs w:val="3"/>
                <w:color w:val="auto"/>
              </w:rPr>
            </w:pPr>
          </w:p>
        </w:tc>
        <w:tc>
          <w:tcPr>
            <w:tcW w:w="1360" w:type="dxa"/>
            <w:vAlign w:val="bottom"/>
            <w:tcBorders>
              <w:bottom w:val="single" w:sz="8" w:color="125288"/>
            </w:tcBorders>
          </w:tcPr>
          <w:p>
            <w:pPr>
              <w:spacing w:after="0"/>
              <w:rPr>
                <w:sz w:val="3"/>
                <w:szCs w:val="3"/>
                <w:color w:val="auto"/>
              </w:rPr>
            </w:pPr>
          </w:p>
        </w:tc>
      </w:tr>
      <w:tr>
        <w:trPr>
          <w:trHeight w:val="349"/>
        </w:trPr>
        <w:tc>
          <w:tcPr>
            <w:tcW w:w="820" w:type="dxa"/>
            <w:vAlign w:val="bottom"/>
            <w:tcBorders>
              <w:bottom w:val="single" w:sz="8" w:color="125288"/>
            </w:tcBorders>
          </w:tcPr>
          <w:p>
            <w:pPr>
              <w:jc w:val="right"/>
              <w:ind w:right="363"/>
              <w:spacing w:after="0"/>
              <w:rPr>
                <w:sz w:val="20"/>
                <w:szCs w:val="20"/>
                <w:color w:val="auto"/>
              </w:rPr>
            </w:pPr>
            <w:r>
              <w:rPr>
                <w:rFonts w:ascii="Arial" w:cs="Arial" w:eastAsia="Arial" w:hAnsi="Arial"/>
                <w:sz w:val="15"/>
                <w:szCs w:val="15"/>
                <w:color w:val="auto"/>
              </w:rPr>
              <w:t>2021</w:t>
            </w:r>
          </w:p>
        </w:tc>
        <w:tc>
          <w:tcPr>
            <w:tcW w:w="1980" w:type="dxa"/>
            <w:vAlign w:val="bottom"/>
            <w:tcBorders>
              <w:bottom w:val="single" w:sz="8" w:color="125288"/>
            </w:tcBorders>
          </w:tcPr>
          <w:p>
            <w:pPr>
              <w:jc w:val="right"/>
              <w:ind w:right="463"/>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125288"/>
            </w:tcBorders>
          </w:tcPr>
          <w:p>
            <w:pPr>
              <w:jc w:val="right"/>
              <w:ind w:right="203"/>
              <w:spacing w:after="0"/>
              <w:rPr>
                <w:sz w:val="20"/>
                <w:szCs w:val="20"/>
                <w:color w:val="auto"/>
              </w:rPr>
            </w:pPr>
            <w:r>
              <w:rPr>
                <w:rFonts w:ascii="Arial" w:cs="Arial" w:eastAsia="Arial" w:hAnsi="Arial"/>
                <w:sz w:val="15"/>
                <w:szCs w:val="15"/>
                <w:color w:val="auto"/>
              </w:rPr>
              <w:t>—</w:t>
            </w:r>
          </w:p>
        </w:tc>
        <w:tc>
          <w:tcPr>
            <w:tcW w:w="1600" w:type="dxa"/>
            <w:vAlign w:val="bottom"/>
            <w:tcBorders>
              <w:bottom w:val="single" w:sz="8" w:color="125288"/>
            </w:tcBorders>
          </w:tcPr>
          <w:p>
            <w:pPr>
              <w:jc w:val="right"/>
              <w:ind w:right="183"/>
              <w:spacing w:after="0"/>
              <w:rPr>
                <w:sz w:val="20"/>
                <w:szCs w:val="20"/>
                <w:color w:val="auto"/>
              </w:rPr>
            </w:pPr>
            <w:r>
              <w:rPr>
                <w:rFonts w:ascii="Arial" w:cs="Arial" w:eastAsia="Arial" w:hAnsi="Arial"/>
                <w:sz w:val="15"/>
                <w:szCs w:val="15"/>
                <w:color w:val="auto"/>
              </w:rPr>
              <w:t>13,724,701</w:t>
            </w:r>
            <w:r>
              <w:rPr>
                <w:rFonts w:ascii="Arial" w:cs="Arial" w:eastAsia="Arial" w:hAnsi="Arial"/>
                <w:sz w:val="25"/>
                <w:szCs w:val="25"/>
                <w:color w:val="auto"/>
                <w:vertAlign w:val="superscript"/>
              </w:rPr>
              <w:t>(a)</w:t>
            </w:r>
          </w:p>
        </w:tc>
        <w:tc>
          <w:tcPr>
            <w:tcW w:w="1800" w:type="dxa"/>
            <w:vAlign w:val="bottom"/>
            <w:tcBorders>
              <w:bottom w:val="single" w:sz="8" w:color="125288"/>
            </w:tcBorders>
          </w:tcPr>
          <w:p>
            <w:pPr>
              <w:ind w:left="460"/>
              <w:spacing w:after="0"/>
              <w:rPr>
                <w:sz w:val="20"/>
                <w:szCs w:val="20"/>
                <w:color w:val="auto"/>
              </w:rPr>
            </w:pPr>
            <w:r>
              <w:rPr>
                <w:rFonts w:ascii="Arial" w:cs="Arial" w:eastAsia="Arial" w:hAnsi="Arial"/>
                <w:sz w:val="15"/>
                <w:szCs w:val="15"/>
                <w:color w:val="auto"/>
              </w:rPr>
              <w:t>24,274,394</w:t>
            </w:r>
            <w:r>
              <w:rPr>
                <w:rFonts w:ascii="Arial" w:cs="Arial" w:eastAsia="Arial" w:hAnsi="Arial"/>
                <w:sz w:val="25"/>
                <w:szCs w:val="25"/>
                <w:color w:val="auto"/>
                <w:vertAlign w:val="superscript"/>
              </w:rPr>
              <w:t>(b)</w:t>
            </w:r>
          </w:p>
        </w:tc>
        <w:tc>
          <w:tcPr>
            <w:tcW w:w="1800" w:type="dxa"/>
            <w:vAlign w:val="bottom"/>
            <w:tcBorders>
              <w:bottom w:val="single" w:sz="8" w:color="125288"/>
            </w:tcBorders>
          </w:tcPr>
          <w:p>
            <w:pPr>
              <w:jc w:val="right"/>
              <w:ind w:right="143"/>
              <w:spacing w:after="0"/>
              <w:rPr>
                <w:sz w:val="20"/>
                <w:szCs w:val="20"/>
                <w:color w:val="auto"/>
              </w:rPr>
            </w:pPr>
            <w:r>
              <w:rPr>
                <w:rFonts w:ascii="Arial" w:cs="Arial" w:eastAsia="Arial" w:hAnsi="Arial"/>
                <w:sz w:val="15"/>
                <w:szCs w:val="15"/>
                <w:color w:val="auto"/>
              </w:rPr>
              <w:t>5,529,322</w:t>
            </w:r>
            <w:r>
              <w:rPr>
                <w:rFonts w:ascii="Arial" w:cs="Arial" w:eastAsia="Arial" w:hAnsi="Arial"/>
                <w:sz w:val="25"/>
                <w:szCs w:val="25"/>
                <w:color w:val="auto"/>
                <w:vertAlign w:val="superscript"/>
              </w:rPr>
              <w:t>(a),(b)</w:t>
            </w:r>
          </w:p>
        </w:tc>
        <w:tc>
          <w:tcPr>
            <w:tcW w:w="1360" w:type="dxa"/>
            <w:vAlign w:val="bottom"/>
            <w:tcBorders>
              <w:bottom w:val="single" w:sz="8" w:color="125288"/>
            </w:tcBorders>
          </w:tcPr>
          <w:p>
            <w:pPr>
              <w:jc w:val="right"/>
              <w:ind w:right="123"/>
              <w:spacing w:after="0"/>
              <w:rPr>
                <w:sz w:val="20"/>
                <w:szCs w:val="20"/>
                <w:color w:val="auto"/>
              </w:rPr>
            </w:pPr>
            <w:r>
              <w:rPr>
                <w:rFonts w:ascii="Arial" w:cs="Arial" w:eastAsia="Arial" w:hAnsi="Arial"/>
                <w:sz w:val="15"/>
                <w:szCs w:val="15"/>
                <w:color w:val="auto"/>
              </w:rPr>
              <w:t>6,879,436</w:t>
            </w:r>
          </w:p>
        </w:tc>
      </w:tr>
      <w:tr>
        <w:trPr>
          <w:trHeight w:val="379"/>
        </w:trPr>
        <w:tc>
          <w:tcPr>
            <w:tcW w:w="820" w:type="dxa"/>
            <w:vAlign w:val="bottom"/>
          </w:tcPr>
          <w:p>
            <w:pPr>
              <w:jc w:val="right"/>
              <w:ind w:right="363"/>
              <w:spacing w:after="0"/>
              <w:rPr>
                <w:sz w:val="20"/>
                <w:szCs w:val="20"/>
                <w:color w:val="auto"/>
              </w:rPr>
            </w:pPr>
            <w:r>
              <w:rPr>
                <w:rFonts w:ascii="Arial" w:cs="Arial" w:eastAsia="Arial" w:hAnsi="Arial"/>
                <w:sz w:val="15"/>
                <w:szCs w:val="15"/>
                <w:color w:val="auto"/>
              </w:rPr>
              <w:t>2020</w:t>
            </w:r>
          </w:p>
        </w:tc>
        <w:tc>
          <w:tcPr>
            <w:tcW w:w="1980" w:type="dxa"/>
            <w:vAlign w:val="bottom"/>
          </w:tcPr>
          <w:p>
            <w:pPr>
              <w:jc w:val="right"/>
              <w:ind w:right="123"/>
              <w:spacing w:after="0"/>
              <w:rPr>
                <w:sz w:val="20"/>
                <w:szCs w:val="20"/>
                <w:color w:val="auto"/>
              </w:rPr>
            </w:pPr>
            <w:r>
              <w:rPr>
                <w:rFonts w:ascii="Arial" w:cs="Arial" w:eastAsia="Arial" w:hAnsi="Arial"/>
                <w:sz w:val="15"/>
                <w:szCs w:val="15"/>
                <w:color w:val="auto"/>
              </w:rPr>
              <w:t>173,127,976</w:t>
            </w:r>
            <w:r>
              <w:rPr>
                <w:rFonts w:ascii="Arial" w:cs="Arial" w:eastAsia="Arial" w:hAnsi="Arial"/>
                <w:sz w:val="25"/>
                <w:szCs w:val="25"/>
                <w:color w:val="auto"/>
                <w:vertAlign w:val="superscript"/>
              </w:rPr>
              <w:t>(c),(d)</w:t>
            </w:r>
          </w:p>
        </w:tc>
        <w:tc>
          <w:tcPr>
            <w:tcW w:w="1520" w:type="dxa"/>
            <w:vAlign w:val="bottom"/>
          </w:tcPr>
          <w:p>
            <w:pPr>
              <w:jc w:val="right"/>
              <w:ind w:right="203"/>
              <w:spacing w:after="0"/>
              <w:rPr>
                <w:sz w:val="20"/>
                <w:szCs w:val="20"/>
                <w:color w:val="auto"/>
              </w:rPr>
            </w:pPr>
            <w:r>
              <w:rPr>
                <w:rFonts w:ascii="Arial" w:cs="Arial" w:eastAsia="Arial" w:hAnsi="Arial"/>
                <w:sz w:val="15"/>
                <w:szCs w:val="15"/>
                <w:color w:val="auto"/>
              </w:rPr>
              <w:t>13,630,952</w:t>
            </w:r>
          </w:p>
        </w:tc>
        <w:tc>
          <w:tcPr>
            <w:tcW w:w="1600" w:type="dxa"/>
            <w:vAlign w:val="bottom"/>
          </w:tcPr>
          <w:p>
            <w:pPr>
              <w:jc w:val="right"/>
              <w:ind w:right="323"/>
              <w:spacing w:after="0"/>
              <w:rPr>
                <w:sz w:val="20"/>
                <w:szCs w:val="20"/>
                <w:color w:val="auto"/>
              </w:rPr>
            </w:pPr>
            <w:r>
              <w:rPr>
                <w:rFonts w:ascii="Arial" w:cs="Arial" w:eastAsia="Arial" w:hAnsi="Arial"/>
                <w:sz w:val="15"/>
                <w:szCs w:val="15"/>
                <w:color w:val="auto"/>
              </w:rPr>
              <w:t>—</w:t>
            </w:r>
          </w:p>
        </w:tc>
        <w:tc>
          <w:tcPr>
            <w:tcW w:w="1800" w:type="dxa"/>
            <w:vAlign w:val="bottom"/>
          </w:tcPr>
          <w:p>
            <w:pPr>
              <w:ind w:left="460"/>
              <w:spacing w:after="0"/>
              <w:rPr>
                <w:sz w:val="20"/>
                <w:szCs w:val="20"/>
                <w:color w:val="auto"/>
              </w:rPr>
            </w:pPr>
            <w:r>
              <w:rPr>
                <w:rFonts w:ascii="Arial" w:cs="Arial" w:eastAsia="Arial" w:hAnsi="Arial"/>
                <w:sz w:val="15"/>
                <w:szCs w:val="15"/>
                <w:color w:val="auto"/>
              </w:rPr>
              <w:t>12,268,735</w:t>
            </w:r>
            <w:r>
              <w:rPr>
                <w:rFonts w:ascii="Arial" w:cs="Arial" w:eastAsia="Arial" w:hAnsi="Arial"/>
                <w:sz w:val="25"/>
                <w:szCs w:val="25"/>
                <w:color w:val="auto"/>
                <w:vertAlign w:val="superscript"/>
              </w:rPr>
              <w:t>(b),(c)</w:t>
            </w:r>
          </w:p>
        </w:tc>
        <w:tc>
          <w:tcPr>
            <w:tcW w:w="1800" w:type="dxa"/>
            <w:vAlign w:val="bottom"/>
          </w:tcPr>
          <w:p>
            <w:pPr>
              <w:jc w:val="right"/>
              <w:ind w:right="483"/>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w:t>
            </w:r>
          </w:p>
        </w:tc>
      </w:tr>
      <w:tr>
        <w:trPr>
          <w:trHeight w:val="183"/>
        </w:trPr>
        <w:tc>
          <w:tcPr>
            <w:tcW w:w="820" w:type="dxa"/>
            <w:vAlign w:val="bottom"/>
            <w:tcBorders>
              <w:bottom w:val="single" w:sz="8" w:color="125288"/>
            </w:tcBorders>
          </w:tcPr>
          <w:p>
            <w:pPr>
              <w:spacing w:after="0"/>
              <w:rPr>
                <w:sz w:val="15"/>
                <w:szCs w:val="15"/>
                <w:color w:val="auto"/>
              </w:rPr>
            </w:pPr>
          </w:p>
        </w:tc>
        <w:tc>
          <w:tcPr>
            <w:tcW w:w="1980" w:type="dxa"/>
            <w:vAlign w:val="bottom"/>
            <w:tcBorders>
              <w:bottom w:val="single" w:sz="8" w:color="125288"/>
            </w:tcBorders>
          </w:tcPr>
          <w:p>
            <w:pPr>
              <w:spacing w:after="0"/>
              <w:rPr>
                <w:sz w:val="15"/>
                <w:szCs w:val="15"/>
                <w:color w:val="auto"/>
              </w:rPr>
            </w:pPr>
          </w:p>
        </w:tc>
        <w:tc>
          <w:tcPr>
            <w:tcW w:w="1520" w:type="dxa"/>
            <w:vAlign w:val="bottom"/>
            <w:tcBorders>
              <w:bottom w:val="single" w:sz="8" w:color="125288"/>
            </w:tcBorders>
          </w:tcPr>
          <w:p>
            <w:pPr>
              <w:spacing w:after="0"/>
              <w:rPr>
                <w:sz w:val="15"/>
                <w:szCs w:val="15"/>
                <w:color w:val="auto"/>
              </w:rPr>
            </w:pPr>
          </w:p>
        </w:tc>
        <w:tc>
          <w:tcPr>
            <w:tcW w:w="1600" w:type="dxa"/>
            <w:vAlign w:val="bottom"/>
            <w:tcBorders>
              <w:bottom w:val="single" w:sz="8" w:color="125288"/>
            </w:tcBorders>
          </w:tcPr>
          <w:p>
            <w:pPr>
              <w:spacing w:after="0"/>
              <w:rPr>
                <w:sz w:val="15"/>
                <w:szCs w:val="15"/>
                <w:color w:val="auto"/>
              </w:rPr>
            </w:pPr>
          </w:p>
        </w:tc>
        <w:tc>
          <w:tcPr>
            <w:tcW w:w="1800" w:type="dxa"/>
            <w:vAlign w:val="bottom"/>
            <w:tcBorders>
              <w:bottom w:val="single" w:sz="8" w:color="125288"/>
            </w:tcBorders>
          </w:tcPr>
          <w:p>
            <w:pPr>
              <w:spacing w:after="0"/>
              <w:rPr>
                <w:sz w:val="15"/>
                <w:szCs w:val="15"/>
                <w:color w:val="auto"/>
              </w:rPr>
            </w:pPr>
          </w:p>
        </w:tc>
        <w:tc>
          <w:tcPr>
            <w:tcW w:w="1800" w:type="dxa"/>
            <w:vAlign w:val="bottom"/>
            <w:tcBorders>
              <w:bottom w:val="single" w:sz="8" w:color="125288"/>
            </w:tcBorders>
          </w:tcPr>
          <w:p>
            <w:pPr>
              <w:spacing w:after="0"/>
              <w:rPr>
                <w:sz w:val="15"/>
                <w:szCs w:val="15"/>
                <w:color w:val="auto"/>
              </w:rPr>
            </w:pPr>
          </w:p>
        </w:tc>
        <w:tc>
          <w:tcPr>
            <w:tcW w:w="1360" w:type="dxa"/>
            <w:vAlign w:val="bottom"/>
            <w:tcBorders>
              <w:bottom w:val="single" w:sz="8" w:color="125288"/>
            </w:tcBorders>
          </w:tcPr>
          <w:p>
            <w:pPr>
              <w:spacing w:after="0"/>
              <w:rPr>
                <w:sz w:val="15"/>
                <w:szCs w:val="15"/>
                <w:color w:val="auto"/>
              </w:rPr>
            </w:pPr>
          </w:p>
        </w:tc>
      </w:tr>
      <w:tr>
        <w:trPr>
          <w:trHeight w:val="260"/>
        </w:trPr>
        <w:tc>
          <w:tcPr>
            <w:tcW w:w="820" w:type="dxa"/>
            <w:vAlign w:val="bottom"/>
          </w:tcPr>
          <w:p>
            <w:pPr>
              <w:jc w:val="right"/>
              <w:ind w:right="363"/>
              <w:spacing w:after="0"/>
              <w:rPr>
                <w:sz w:val="20"/>
                <w:szCs w:val="20"/>
                <w:color w:val="auto"/>
              </w:rPr>
            </w:pPr>
            <w:r>
              <w:rPr>
                <w:rFonts w:ascii="Arial" w:cs="Arial" w:eastAsia="Arial" w:hAnsi="Arial"/>
                <w:sz w:val="15"/>
                <w:szCs w:val="15"/>
                <w:color w:val="auto"/>
              </w:rPr>
              <w:t>2019</w:t>
            </w:r>
          </w:p>
        </w:tc>
        <w:tc>
          <w:tcPr>
            <w:tcW w:w="1980" w:type="dxa"/>
            <w:vAlign w:val="bottom"/>
          </w:tcPr>
          <w:p>
            <w:pPr>
              <w:jc w:val="right"/>
              <w:ind w:right="463"/>
              <w:spacing w:after="0"/>
              <w:rPr>
                <w:sz w:val="20"/>
                <w:szCs w:val="20"/>
                <w:color w:val="auto"/>
              </w:rPr>
            </w:pPr>
            <w:r>
              <w:rPr>
                <w:rFonts w:ascii="Arial" w:cs="Arial" w:eastAsia="Arial" w:hAnsi="Arial"/>
                <w:sz w:val="15"/>
                <w:szCs w:val="15"/>
                <w:color w:val="auto"/>
              </w:rPr>
              <w:t>15,674,380</w:t>
            </w:r>
          </w:p>
        </w:tc>
        <w:tc>
          <w:tcPr>
            <w:tcW w:w="1520" w:type="dxa"/>
            <w:vAlign w:val="bottom"/>
          </w:tcPr>
          <w:p>
            <w:pPr>
              <w:jc w:val="right"/>
              <w:ind w:right="203"/>
              <w:spacing w:after="0"/>
              <w:rPr>
                <w:sz w:val="20"/>
                <w:szCs w:val="20"/>
                <w:color w:val="auto"/>
              </w:rPr>
            </w:pPr>
            <w:r>
              <w:rPr>
                <w:rFonts w:ascii="Arial" w:cs="Arial" w:eastAsia="Arial" w:hAnsi="Arial"/>
                <w:sz w:val="15"/>
                <w:szCs w:val="15"/>
                <w:color w:val="auto"/>
              </w:rPr>
              <w:t>4,646,256</w:t>
            </w:r>
          </w:p>
        </w:tc>
        <w:tc>
          <w:tcPr>
            <w:tcW w:w="1600" w:type="dxa"/>
            <w:vAlign w:val="bottom"/>
          </w:tcPr>
          <w:p>
            <w:pPr>
              <w:jc w:val="right"/>
              <w:ind w:right="323"/>
              <w:spacing w:after="0"/>
              <w:rPr>
                <w:sz w:val="20"/>
                <w:szCs w:val="20"/>
                <w:color w:val="auto"/>
              </w:rPr>
            </w:pPr>
            <w:r>
              <w:rPr>
                <w:rFonts w:ascii="Arial" w:cs="Arial" w:eastAsia="Arial" w:hAnsi="Arial"/>
                <w:sz w:val="15"/>
                <w:szCs w:val="15"/>
                <w:color w:val="auto"/>
              </w:rPr>
              <w:t>—</w:t>
            </w:r>
          </w:p>
        </w:tc>
        <w:tc>
          <w:tcPr>
            <w:tcW w:w="1800" w:type="dxa"/>
            <w:vAlign w:val="bottom"/>
          </w:tcPr>
          <w:p>
            <w:pPr>
              <w:jc w:val="right"/>
              <w:ind w:right="483"/>
              <w:spacing w:after="0"/>
              <w:rPr>
                <w:sz w:val="20"/>
                <w:szCs w:val="20"/>
                <w:color w:val="auto"/>
              </w:rPr>
            </w:pPr>
            <w:r>
              <w:rPr>
                <w:rFonts w:ascii="Arial" w:cs="Arial" w:eastAsia="Arial" w:hAnsi="Arial"/>
                <w:sz w:val="15"/>
                <w:szCs w:val="15"/>
                <w:color w:val="auto"/>
              </w:rPr>
              <w:t>—</w:t>
            </w:r>
          </w:p>
        </w:tc>
        <w:tc>
          <w:tcPr>
            <w:tcW w:w="1800" w:type="dxa"/>
            <w:vAlign w:val="bottom"/>
          </w:tcPr>
          <w:p>
            <w:pPr>
              <w:jc w:val="right"/>
              <w:ind w:right="483"/>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53975</wp:posOffset>
            </wp:positionV>
            <wp:extent cx="6906895" cy="152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06895" cy="15240"/>
                    </a:xfrm>
                    <a:prstGeom prst="rect">
                      <a:avLst/>
                    </a:prstGeom>
                    <a:noFill/>
                  </pic:spPr>
                </pic:pic>
              </a:graphicData>
            </a:graphic>
          </wp:anchor>
        </w:drawing>
      </w:r>
    </w:p>
    <w:p>
      <w:pPr>
        <w:spacing w:after="0" w:line="139" w:lineRule="exact"/>
        <w:rPr>
          <w:sz w:val="20"/>
          <w:szCs w:val="20"/>
          <w:color w:val="auto"/>
        </w:rPr>
      </w:pPr>
    </w:p>
    <w:p>
      <w:pPr>
        <w:jc w:val="both"/>
        <w:ind w:left="705" w:right="80" w:hanging="277"/>
        <w:spacing w:after="0" w:line="263" w:lineRule="auto"/>
        <w:tabs>
          <w:tab w:leader="none" w:pos="705" w:val="left"/>
        </w:tabs>
        <w:numPr>
          <w:ilvl w:val="1"/>
          <w:numId w:val="104"/>
        </w:numPr>
        <w:rPr>
          <w:rFonts w:ascii="Arial" w:cs="Arial" w:eastAsia="Arial" w:hAnsi="Arial"/>
          <w:sz w:val="15"/>
          <w:szCs w:val="15"/>
          <w:color w:val="auto"/>
        </w:rPr>
      </w:pPr>
      <w:r>
        <w:rPr>
          <w:rFonts w:ascii="Arial" w:cs="Arial" w:eastAsia="Arial" w:hAnsi="Arial"/>
          <w:sz w:val="15"/>
          <w:szCs w:val="15"/>
          <w:color w:val="auto"/>
        </w:rPr>
        <w:t>Stock awards for Mr. Zerza and Mr. Bulatao in 2021 include awards subject to market performance conditions. The above table uses the same grant date values shown in the Stock Awards column for Mr. Zerza’s 2021 market-based award ($549,239) and for Mr. Bulatao’s 2021 market-based award ($296,115).</w:t>
      </w:r>
    </w:p>
    <w:p>
      <w:pPr>
        <w:spacing w:after="0" w:line="240" w:lineRule="exact"/>
        <w:rPr>
          <w:rFonts w:ascii="Arial" w:cs="Arial" w:eastAsia="Arial" w:hAnsi="Arial"/>
          <w:sz w:val="15"/>
          <w:szCs w:val="15"/>
          <w:color w:val="auto"/>
        </w:rPr>
      </w:pPr>
    </w:p>
    <w:p>
      <w:pPr>
        <w:jc w:val="both"/>
        <w:ind w:left="705" w:right="80" w:hanging="277"/>
        <w:spacing w:after="0" w:line="254" w:lineRule="auto"/>
        <w:tabs>
          <w:tab w:leader="none" w:pos="705" w:val="left"/>
        </w:tabs>
        <w:numPr>
          <w:ilvl w:val="1"/>
          <w:numId w:val="104"/>
        </w:numPr>
        <w:rPr>
          <w:rFonts w:ascii="Arial" w:cs="Arial" w:eastAsia="Arial" w:hAnsi="Arial"/>
          <w:sz w:val="15"/>
          <w:szCs w:val="15"/>
          <w:color w:val="auto"/>
        </w:rPr>
      </w:pPr>
      <w:r>
        <w:rPr>
          <w:rFonts w:ascii="Arial" w:cs="Arial" w:eastAsia="Arial" w:hAnsi="Arial"/>
          <w:sz w:val="15"/>
          <w:szCs w:val="15"/>
          <w:color w:val="auto"/>
        </w:rPr>
        <w:t>Stock awards for Mr. Alegre include stock options granted in 2020 and 2021 with performance-based vesting. The above table uses the same grant date fair value shown in the Option Awards column for these options ($1,654,560 in 2020 and $2,444,577 in 2021). Similarly, stock awards for Mr. Bulatao include stock options granted in 2021 with performance-based vesting. The above table uses the same grant date fair value of shown in the Option Awards column for these options ($463,277).</w:t>
      </w:r>
    </w:p>
    <w:p>
      <w:pPr>
        <w:spacing w:after="0" w:line="66" w:lineRule="exact"/>
        <w:rPr>
          <w:rFonts w:ascii="Arial" w:cs="Arial" w:eastAsia="Arial" w:hAnsi="Arial"/>
          <w:sz w:val="15"/>
          <w:szCs w:val="15"/>
          <w:color w:val="auto"/>
        </w:rPr>
      </w:pPr>
    </w:p>
    <w:p>
      <w:pPr>
        <w:jc w:val="both"/>
        <w:ind w:left="705" w:right="80" w:hanging="277"/>
        <w:spacing w:after="0" w:line="254" w:lineRule="auto"/>
        <w:tabs>
          <w:tab w:leader="none" w:pos="705" w:val="left"/>
        </w:tabs>
        <w:numPr>
          <w:ilvl w:val="1"/>
          <w:numId w:val="104"/>
        </w:numPr>
        <w:rPr>
          <w:rFonts w:ascii="Arial" w:cs="Arial" w:eastAsia="Arial" w:hAnsi="Arial"/>
          <w:sz w:val="15"/>
          <w:szCs w:val="15"/>
          <w:color w:val="auto"/>
        </w:rPr>
      </w:pPr>
      <w:r>
        <w:rPr>
          <w:rFonts w:ascii="Arial" w:cs="Arial" w:eastAsia="Arial" w:hAnsi="Arial"/>
          <w:sz w:val="15"/>
          <w:szCs w:val="15"/>
          <w:color w:val="auto"/>
        </w:rPr>
        <w:t>Stock awards for Mr. Kotick and Mr. Alegre in 2020 include awards subject to market performance conditions. The above table uses the same grant date values shown in the Stock Awards column for Mr. Kotick’s 2020 market-based awards ($73,958,516 and $50,000,189), as well as the maximum estimated amount for the 2021 award granted in 2020 under the 2016 Kotick Employment Agreement for Mr. Kotick ($32,239,444). Similarly, the table uses the same grant date values shown in the Stock Awards column for Mr. Alegre’s 2020 market-based awards ($993,852 and $1,120,255).</w:t>
      </w:r>
    </w:p>
    <w:p>
      <w:pPr>
        <w:spacing w:after="0" w:line="66" w:lineRule="exact"/>
        <w:rPr>
          <w:rFonts w:ascii="Arial" w:cs="Arial" w:eastAsia="Arial" w:hAnsi="Arial"/>
          <w:sz w:val="15"/>
          <w:szCs w:val="15"/>
          <w:color w:val="auto"/>
        </w:rPr>
      </w:pPr>
    </w:p>
    <w:p>
      <w:pPr>
        <w:ind w:left="705" w:hanging="277"/>
        <w:spacing w:after="0"/>
        <w:tabs>
          <w:tab w:leader="none" w:pos="705" w:val="left"/>
        </w:tabs>
        <w:numPr>
          <w:ilvl w:val="1"/>
          <w:numId w:val="104"/>
        </w:numPr>
        <w:rPr>
          <w:rFonts w:ascii="Arial" w:cs="Arial" w:eastAsia="Arial" w:hAnsi="Arial"/>
          <w:sz w:val="15"/>
          <w:szCs w:val="15"/>
          <w:color w:val="auto"/>
        </w:rPr>
      </w:pPr>
      <w:r>
        <w:rPr>
          <w:rFonts w:ascii="Arial" w:cs="Arial" w:eastAsia="Arial" w:hAnsi="Arial"/>
          <w:sz w:val="15"/>
          <w:szCs w:val="15"/>
          <w:color w:val="auto"/>
        </w:rPr>
        <w:t>Stock awards for Mr. Kotick include the incremental maximum accounting value of $8,516,869 for the PSUs discussed earlier in this footnote (2).</w:t>
      </w:r>
    </w:p>
    <w:p>
      <w:pPr>
        <w:spacing w:after="0" w:line="172" w:lineRule="exact"/>
        <w:rPr>
          <w:rFonts w:ascii="Arial" w:cs="Arial" w:eastAsia="Arial" w:hAnsi="Arial"/>
          <w:sz w:val="15"/>
          <w:szCs w:val="15"/>
          <w:color w:val="auto"/>
        </w:rPr>
      </w:pPr>
    </w:p>
    <w:p>
      <w:pPr>
        <w:jc w:val="both"/>
        <w:ind w:left="285" w:right="40" w:hanging="285"/>
        <w:spacing w:after="0" w:line="252" w:lineRule="auto"/>
        <w:tabs>
          <w:tab w:leader="none" w:pos="285" w:val="left"/>
        </w:tabs>
        <w:numPr>
          <w:ilvl w:val="0"/>
          <w:numId w:val="105"/>
        </w:numPr>
        <w:rPr>
          <w:rFonts w:ascii="Arial" w:cs="Arial" w:eastAsia="Arial" w:hAnsi="Arial"/>
          <w:sz w:val="15"/>
          <w:szCs w:val="15"/>
          <w:color w:val="auto"/>
        </w:rPr>
      </w:pPr>
      <w:r>
        <w:rPr>
          <w:rFonts w:ascii="Arial" w:cs="Arial" w:eastAsia="Arial" w:hAnsi="Arial"/>
          <w:sz w:val="15"/>
          <w:szCs w:val="15"/>
          <w:color w:val="auto"/>
        </w:rPr>
        <w:t>The amount in this column for each year for each NEO represents cash incentives paid under the CAIP and, for Mr. Zerza, amounts paid to him under the Blizzard Profit Sharing Plan, a program that predates our 2008 combination with Vivendi Games and provides employees of Blizzard the opportunity to share in the earnings generated by Blizzard (the “BPSA”). For a discussion of the CAIP, see “—Compensation Discussion and Analysis—Elements of Our Executive Compensation Program for 2021—Corporate Annual Incentive Plan (CAIP) Bonuses” above. For a discussion of Mr. Zerza’s participation in the BPSA, see “— Employment Agreements—Armin Zerza—Prior Zerza Employment Agreement” below.</w:t>
      </w:r>
    </w:p>
    <w:p>
      <w:pPr>
        <w:spacing w:after="0" w:line="69" w:lineRule="exact"/>
        <w:rPr>
          <w:rFonts w:ascii="Arial" w:cs="Arial" w:eastAsia="Arial" w:hAnsi="Arial"/>
          <w:sz w:val="15"/>
          <w:szCs w:val="15"/>
          <w:color w:val="auto"/>
        </w:rPr>
      </w:pPr>
    </w:p>
    <w:p>
      <w:pPr>
        <w:jc w:val="both"/>
        <w:ind w:left="285" w:right="40" w:hanging="285"/>
        <w:spacing w:after="0" w:line="254" w:lineRule="auto"/>
        <w:tabs>
          <w:tab w:leader="none" w:pos="285" w:val="left"/>
        </w:tabs>
        <w:numPr>
          <w:ilvl w:val="0"/>
          <w:numId w:val="105"/>
        </w:numPr>
        <w:rPr>
          <w:rFonts w:ascii="Arial" w:cs="Arial" w:eastAsia="Arial" w:hAnsi="Arial"/>
          <w:sz w:val="15"/>
          <w:szCs w:val="15"/>
          <w:color w:val="auto"/>
        </w:rPr>
      </w:pPr>
      <w:r>
        <w:rPr>
          <w:rFonts w:ascii="Arial" w:cs="Arial" w:eastAsia="Arial" w:hAnsi="Arial"/>
          <w:sz w:val="15"/>
          <w:szCs w:val="15"/>
          <w:color w:val="auto"/>
        </w:rPr>
        <w:t>In October 2021, Mr. Kotick requested that his total compensation be reduced to the lowest amount permitted to be paid to exempt employees under California law until the Company has made appropriate progress toward the achievement of the Transformational Goals (see “Corporate Governance Matters—Workplace and Culture—Transformational Gender-Related Goals and Other Commitments”). Mr. Kotick’s annual base salary was reduced to $62,500, effective as of October 28, 2021, and he did not receive a bonus, stock award, option award or any non-equity incentive plan compensation for 2021.</w:t>
      </w:r>
    </w:p>
    <w:p>
      <w:pPr>
        <w:spacing w:after="0" w:line="66" w:lineRule="exact"/>
        <w:rPr>
          <w:rFonts w:ascii="Arial" w:cs="Arial" w:eastAsia="Arial" w:hAnsi="Arial"/>
          <w:sz w:val="15"/>
          <w:szCs w:val="15"/>
          <w:color w:val="auto"/>
        </w:rPr>
      </w:pPr>
    </w:p>
    <w:p>
      <w:pPr>
        <w:ind w:left="285" w:hanging="285"/>
        <w:spacing w:after="0"/>
        <w:tabs>
          <w:tab w:leader="none" w:pos="285" w:val="left"/>
        </w:tabs>
        <w:numPr>
          <w:ilvl w:val="0"/>
          <w:numId w:val="105"/>
        </w:numPr>
        <w:rPr>
          <w:rFonts w:ascii="Arial" w:cs="Arial" w:eastAsia="Arial" w:hAnsi="Arial"/>
          <w:sz w:val="15"/>
          <w:szCs w:val="15"/>
          <w:color w:val="auto"/>
        </w:rPr>
      </w:pPr>
      <w:r>
        <w:rPr>
          <w:rFonts w:ascii="Arial" w:cs="Arial" w:eastAsia="Arial" w:hAnsi="Arial"/>
          <w:sz w:val="15"/>
          <w:szCs w:val="15"/>
          <w:color w:val="auto"/>
        </w:rPr>
        <w:t>“All other compensation” for 2021 consists of the following:</w:t>
      </w:r>
    </w:p>
    <w:p>
      <w:pPr>
        <w:spacing w:after="0" w:line="95" w:lineRule="exact"/>
        <w:rPr>
          <w:sz w:val="20"/>
          <w:szCs w:val="20"/>
          <w:color w:val="auto"/>
        </w:rPr>
      </w:pPr>
    </w:p>
    <w:tbl>
      <w:tblPr>
        <w:tblLayout w:type="fixed"/>
        <w:tblInd w:w="205" w:type="dxa"/>
        <w:tblCellMar>
          <w:top w:w="0" w:type="dxa"/>
          <w:left w:w="0" w:type="dxa"/>
          <w:bottom w:w="0" w:type="dxa"/>
          <w:right w:w="0" w:type="dxa"/>
        </w:tblCellMar>
      </w:tblPr>
      <w:tr>
        <w:trPr>
          <w:trHeight w:val="172"/>
        </w:trPr>
        <w:tc>
          <w:tcPr>
            <w:tcW w:w="1120" w:type="dxa"/>
            <w:vAlign w:val="bottom"/>
          </w:tcPr>
          <w:p>
            <w:pPr>
              <w:spacing w:after="0"/>
              <w:rPr>
                <w:sz w:val="14"/>
                <w:szCs w:val="14"/>
                <w:color w:val="auto"/>
              </w:rPr>
            </w:pPr>
          </w:p>
        </w:tc>
        <w:tc>
          <w:tcPr>
            <w:tcW w:w="1200" w:type="dxa"/>
            <w:vAlign w:val="bottom"/>
          </w:tcPr>
          <w:p>
            <w:pPr>
              <w:jc w:val="right"/>
              <w:ind w:right="215"/>
              <w:spacing w:after="0"/>
              <w:rPr>
                <w:sz w:val="20"/>
                <w:szCs w:val="20"/>
                <w:color w:val="auto"/>
              </w:rPr>
            </w:pPr>
            <w:r>
              <w:rPr>
                <w:rFonts w:ascii="Arial" w:cs="Arial" w:eastAsia="Arial" w:hAnsi="Arial"/>
                <w:sz w:val="13"/>
                <w:szCs w:val="13"/>
                <w:b w:val="1"/>
                <w:bCs w:val="1"/>
                <w:color w:val="125288"/>
              </w:rPr>
              <w:t>Other</w:t>
            </w:r>
          </w:p>
        </w:tc>
        <w:tc>
          <w:tcPr>
            <w:tcW w:w="940" w:type="dxa"/>
            <w:vAlign w:val="bottom"/>
          </w:tcPr>
          <w:p>
            <w:pPr>
              <w:jc w:val="right"/>
              <w:ind w:right="95"/>
              <w:spacing w:after="0"/>
              <w:rPr>
                <w:sz w:val="20"/>
                <w:szCs w:val="20"/>
                <w:color w:val="auto"/>
              </w:rPr>
            </w:pPr>
            <w:r>
              <w:rPr>
                <w:rFonts w:ascii="Arial" w:cs="Arial" w:eastAsia="Arial" w:hAnsi="Arial"/>
                <w:sz w:val="13"/>
                <w:szCs w:val="13"/>
                <w:b w:val="1"/>
                <w:bCs w:val="1"/>
                <w:color w:val="125288"/>
              </w:rPr>
              <w:t>Life and</w:t>
            </w:r>
          </w:p>
        </w:tc>
        <w:tc>
          <w:tcPr>
            <w:tcW w:w="1320" w:type="dxa"/>
            <w:vAlign w:val="bottom"/>
            <w:vMerge w:val="restart"/>
          </w:tcPr>
          <w:p>
            <w:pPr>
              <w:jc w:val="right"/>
              <w:ind w:right="75"/>
              <w:spacing w:after="0"/>
              <w:rPr>
                <w:sz w:val="20"/>
                <w:szCs w:val="20"/>
                <w:color w:val="auto"/>
              </w:rPr>
            </w:pPr>
            <w:r>
              <w:rPr>
                <w:rFonts w:ascii="Arial" w:cs="Arial" w:eastAsia="Arial" w:hAnsi="Arial"/>
                <w:sz w:val="13"/>
                <w:szCs w:val="13"/>
                <w:b w:val="1"/>
                <w:bCs w:val="1"/>
                <w:color w:val="125288"/>
              </w:rPr>
              <w:t>Retirement</w:t>
            </w:r>
          </w:p>
        </w:tc>
        <w:tc>
          <w:tcPr>
            <w:tcW w:w="1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80" w:type="dxa"/>
            <w:vAlign w:val="bottom"/>
            <w:vMerge w:val="restart"/>
          </w:tcPr>
          <w:p>
            <w:pPr>
              <w:jc w:val="right"/>
              <w:ind w:right="75"/>
              <w:spacing w:after="0"/>
              <w:rPr>
                <w:sz w:val="20"/>
                <w:szCs w:val="20"/>
                <w:color w:val="auto"/>
              </w:rPr>
            </w:pPr>
            <w:r>
              <w:rPr>
                <w:rFonts w:ascii="Arial" w:cs="Arial" w:eastAsia="Arial" w:hAnsi="Arial"/>
                <w:sz w:val="13"/>
                <w:szCs w:val="13"/>
                <w:b w:val="1"/>
                <w:bCs w:val="1"/>
                <w:color w:val="125288"/>
              </w:rPr>
              <w:t>Wage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20" w:type="dxa"/>
            <w:vAlign w:val="bottom"/>
          </w:tcPr>
          <w:p>
            <w:pPr>
              <w:spacing w:after="0"/>
              <w:rPr>
                <w:sz w:val="13"/>
                <w:szCs w:val="13"/>
                <w:color w:val="auto"/>
              </w:rPr>
            </w:pPr>
          </w:p>
        </w:tc>
        <w:tc>
          <w:tcPr>
            <w:tcW w:w="1200" w:type="dxa"/>
            <w:vAlign w:val="bottom"/>
          </w:tcPr>
          <w:p>
            <w:pPr>
              <w:jc w:val="right"/>
              <w:ind w:right="215"/>
              <w:spacing w:after="0"/>
              <w:rPr>
                <w:sz w:val="20"/>
                <w:szCs w:val="20"/>
                <w:color w:val="auto"/>
              </w:rPr>
            </w:pPr>
            <w:r>
              <w:rPr>
                <w:rFonts w:ascii="Arial" w:cs="Arial" w:eastAsia="Arial" w:hAnsi="Arial"/>
                <w:sz w:val="13"/>
                <w:szCs w:val="13"/>
                <w:b w:val="1"/>
                <w:bCs w:val="1"/>
                <w:color w:val="125288"/>
              </w:rPr>
              <w:t>Perquisites,</w:t>
            </w:r>
          </w:p>
        </w:tc>
        <w:tc>
          <w:tcPr>
            <w:tcW w:w="940" w:type="dxa"/>
            <w:vAlign w:val="bottom"/>
          </w:tcPr>
          <w:p>
            <w:pPr>
              <w:jc w:val="right"/>
              <w:ind w:right="95"/>
              <w:spacing w:after="0"/>
              <w:rPr>
                <w:sz w:val="20"/>
                <w:szCs w:val="20"/>
                <w:color w:val="auto"/>
              </w:rPr>
            </w:pPr>
            <w:r>
              <w:rPr>
                <w:rFonts w:ascii="Arial" w:cs="Arial" w:eastAsia="Arial" w:hAnsi="Arial"/>
                <w:sz w:val="13"/>
                <w:szCs w:val="13"/>
                <w:b w:val="1"/>
                <w:bCs w:val="1"/>
                <w:color w:val="125288"/>
              </w:rPr>
              <w:t>disability</w:t>
            </w:r>
          </w:p>
        </w:tc>
        <w:tc>
          <w:tcPr>
            <w:tcW w:w="132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120" w:type="dxa"/>
            <w:vAlign w:val="bottom"/>
          </w:tcPr>
          <w:p>
            <w:pPr>
              <w:spacing w:after="0"/>
              <w:rPr>
                <w:sz w:val="15"/>
                <w:szCs w:val="15"/>
                <w:color w:val="auto"/>
              </w:rPr>
            </w:pPr>
          </w:p>
        </w:tc>
        <w:tc>
          <w:tcPr>
            <w:tcW w:w="1200" w:type="dxa"/>
            <w:vAlign w:val="bottom"/>
          </w:tcPr>
          <w:p>
            <w:pPr>
              <w:jc w:val="right"/>
              <w:ind w:right="215"/>
              <w:spacing w:after="0"/>
              <w:rPr>
                <w:sz w:val="20"/>
                <w:szCs w:val="20"/>
                <w:color w:val="auto"/>
              </w:rPr>
            </w:pPr>
            <w:r>
              <w:rPr>
                <w:rFonts w:ascii="Arial" w:cs="Arial" w:eastAsia="Arial" w:hAnsi="Arial"/>
                <w:sz w:val="13"/>
                <w:szCs w:val="13"/>
                <w:b w:val="1"/>
                <w:bCs w:val="1"/>
                <w:color w:val="125288"/>
              </w:rPr>
              <w:t>gifts, and</w:t>
            </w:r>
          </w:p>
        </w:tc>
        <w:tc>
          <w:tcPr>
            <w:tcW w:w="940" w:type="dxa"/>
            <w:vAlign w:val="bottom"/>
          </w:tcPr>
          <w:p>
            <w:pPr>
              <w:jc w:val="right"/>
              <w:ind w:right="95"/>
              <w:spacing w:after="0"/>
              <w:rPr>
                <w:sz w:val="20"/>
                <w:szCs w:val="20"/>
                <w:color w:val="auto"/>
              </w:rPr>
            </w:pPr>
            <w:r>
              <w:rPr>
                <w:rFonts w:ascii="Arial" w:cs="Arial" w:eastAsia="Arial" w:hAnsi="Arial"/>
                <w:sz w:val="13"/>
                <w:szCs w:val="13"/>
                <w:b w:val="1"/>
                <w:bCs w:val="1"/>
                <w:color w:val="125288"/>
              </w:rPr>
              <w:t>insurance</w:t>
            </w:r>
          </w:p>
        </w:tc>
        <w:tc>
          <w:tcPr>
            <w:tcW w:w="1320" w:type="dxa"/>
            <w:vAlign w:val="bottom"/>
          </w:tcPr>
          <w:p>
            <w:pPr>
              <w:jc w:val="right"/>
              <w:ind w:right="75"/>
              <w:spacing w:after="0"/>
              <w:rPr>
                <w:sz w:val="20"/>
                <w:szCs w:val="20"/>
                <w:color w:val="auto"/>
              </w:rPr>
            </w:pPr>
            <w:r>
              <w:rPr>
                <w:rFonts w:ascii="Arial" w:cs="Arial" w:eastAsia="Arial" w:hAnsi="Arial"/>
                <w:sz w:val="13"/>
                <w:szCs w:val="13"/>
                <w:b w:val="1"/>
                <w:bCs w:val="1"/>
                <w:color w:val="125288"/>
              </w:rPr>
              <w:t>plan “matching”</w:t>
            </w:r>
          </w:p>
        </w:tc>
        <w:tc>
          <w:tcPr>
            <w:tcW w:w="10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80" w:type="dxa"/>
            <w:vAlign w:val="bottom"/>
          </w:tcPr>
          <w:p>
            <w:pPr>
              <w:jc w:val="right"/>
              <w:ind w:right="255"/>
              <w:spacing w:after="0"/>
              <w:rPr>
                <w:sz w:val="20"/>
                <w:szCs w:val="20"/>
                <w:color w:val="auto"/>
              </w:rPr>
            </w:pPr>
            <w:r>
              <w:rPr>
                <w:rFonts w:ascii="Arial" w:cs="Arial" w:eastAsia="Arial" w:hAnsi="Arial"/>
                <w:sz w:val="13"/>
                <w:szCs w:val="13"/>
                <w:b w:val="1"/>
                <w:bCs w:val="1"/>
                <w:color w:val="125288"/>
              </w:rPr>
              <w:t>Taxable income</w:t>
            </w:r>
          </w:p>
        </w:tc>
        <w:tc>
          <w:tcPr>
            <w:tcW w:w="1080" w:type="dxa"/>
            <w:vAlign w:val="bottom"/>
          </w:tcPr>
          <w:p>
            <w:pPr>
              <w:jc w:val="right"/>
              <w:ind w:right="75"/>
              <w:spacing w:after="0"/>
              <w:rPr>
                <w:sz w:val="20"/>
                <w:szCs w:val="20"/>
                <w:color w:val="auto"/>
              </w:rPr>
            </w:pPr>
            <w:r>
              <w:rPr>
                <w:rFonts w:ascii="Arial" w:cs="Arial" w:eastAsia="Arial" w:hAnsi="Arial"/>
                <w:sz w:val="13"/>
                <w:szCs w:val="13"/>
                <w:b w:val="1"/>
                <w:bCs w:val="1"/>
                <w:color w:val="125288"/>
              </w:rPr>
              <w:t>waiting time</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125288"/>
              </w:rPr>
              <w:t>Total “Other</w:t>
            </w:r>
          </w:p>
        </w:tc>
        <w:tc>
          <w:tcPr>
            <w:tcW w:w="0" w:type="dxa"/>
            <w:vAlign w:val="bottom"/>
          </w:tcPr>
          <w:p>
            <w:pPr>
              <w:spacing w:after="0"/>
              <w:rPr>
                <w:sz w:val="1"/>
                <w:szCs w:val="1"/>
                <w:color w:val="auto"/>
              </w:rPr>
            </w:pPr>
          </w:p>
        </w:tc>
      </w:tr>
      <w:tr>
        <w:trPr>
          <w:trHeight w:val="178"/>
        </w:trPr>
        <w:tc>
          <w:tcPr>
            <w:tcW w:w="1120" w:type="dxa"/>
            <w:vAlign w:val="bottom"/>
          </w:tcPr>
          <w:p>
            <w:pPr>
              <w:spacing w:after="0"/>
              <w:rPr>
                <w:sz w:val="15"/>
                <w:szCs w:val="15"/>
                <w:color w:val="auto"/>
              </w:rPr>
            </w:pPr>
          </w:p>
        </w:tc>
        <w:tc>
          <w:tcPr>
            <w:tcW w:w="1200" w:type="dxa"/>
            <w:vAlign w:val="bottom"/>
          </w:tcPr>
          <w:p>
            <w:pPr>
              <w:jc w:val="right"/>
              <w:ind w:right="215"/>
              <w:spacing w:after="0"/>
              <w:rPr>
                <w:sz w:val="20"/>
                <w:szCs w:val="20"/>
                <w:color w:val="auto"/>
              </w:rPr>
            </w:pPr>
            <w:r>
              <w:rPr>
                <w:rFonts w:ascii="Arial" w:cs="Arial" w:eastAsia="Arial" w:hAnsi="Arial"/>
                <w:sz w:val="13"/>
                <w:szCs w:val="13"/>
                <w:b w:val="1"/>
                <w:bCs w:val="1"/>
                <w:color w:val="125288"/>
              </w:rPr>
              <w:t>awards</w:t>
            </w:r>
          </w:p>
        </w:tc>
        <w:tc>
          <w:tcPr>
            <w:tcW w:w="940" w:type="dxa"/>
            <w:vAlign w:val="bottom"/>
          </w:tcPr>
          <w:p>
            <w:pPr>
              <w:jc w:val="right"/>
              <w:ind w:right="95"/>
              <w:spacing w:after="0"/>
              <w:rPr>
                <w:sz w:val="20"/>
                <w:szCs w:val="20"/>
                <w:color w:val="auto"/>
              </w:rPr>
            </w:pPr>
            <w:r>
              <w:rPr>
                <w:rFonts w:ascii="Arial" w:cs="Arial" w:eastAsia="Arial" w:hAnsi="Arial"/>
                <w:sz w:val="13"/>
                <w:szCs w:val="13"/>
                <w:b w:val="1"/>
                <w:bCs w:val="1"/>
                <w:color w:val="125288"/>
              </w:rPr>
              <w:t>premiums</w:t>
            </w:r>
          </w:p>
        </w:tc>
        <w:tc>
          <w:tcPr>
            <w:tcW w:w="1320" w:type="dxa"/>
            <w:vAlign w:val="bottom"/>
          </w:tcPr>
          <w:p>
            <w:pPr>
              <w:jc w:val="right"/>
              <w:ind w:right="75"/>
              <w:spacing w:after="0"/>
              <w:rPr>
                <w:sz w:val="20"/>
                <w:szCs w:val="20"/>
                <w:color w:val="auto"/>
              </w:rPr>
            </w:pPr>
            <w:r>
              <w:rPr>
                <w:rFonts w:ascii="Arial" w:cs="Arial" w:eastAsia="Arial" w:hAnsi="Arial"/>
                <w:sz w:val="13"/>
                <w:szCs w:val="13"/>
                <w:b w:val="1"/>
                <w:bCs w:val="1"/>
                <w:color w:val="125288"/>
              </w:rPr>
              <w:t>contributions</w:t>
            </w:r>
          </w:p>
        </w:tc>
        <w:tc>
          <w:tcPr>
            <w:tcW w:w="1060" w:type="dxa"/>
            <w:vAlign w:val="bottom"/>
          </w:tcPr>
          <w:p>
            <w:pPr>
              <w:jc w:val="right"/>
              <w:ind w:right="195"/>
              <w:spacing w:after="0"/>
              <w:rPr>
                <w:sz w:val="20"/>
                <w:szCs w:val="20"/>
                <w:color w:val="auto"/>
              </w:rPr>
            </w:pPr>
            <w:r>
              <w:rPr>
                <w:rFonts w:ascii="Arial" w:cs="Arial" w:eastAsia="Arial" w:hAnsi="Arial"/>
                <w:sz w:val="13"/>
                <w:szCs w:val="13"/>
                <w:b w:val="1"/>
                <w:bCs w:val="1"/>
                <w:color w:val="125288"/>
              </w:rPr>
              <w:t>Relocation</w:t>
            </w:r>
          </w:p>
        </w:tc>
        <w:tc>
          <w:tcPr>
            <w:tcW w:w="1500" w:type="dxa"/>
            <w:vAlign w:val="bottom"/>
          </w:tcPr>
          <w:p>
            <w:pPr>
              <w:jc w:val="right"/>
              <w:ind w:right="535"/>
              <w:spacing w:after="0"/>
              <w:rPr>
                <w:sz w:val="20"/>
                <w:szCs w:val="20"/>
                <w:color w:val="auto"/>
              </w:rPr>
            </w:pPr>
            <w:r>
              <w:rPr>
                <w:rFonts w:ascii="Arial" w:cs="Arial" w:eastAsia="Arial" w:hAnsi="Arial"/>
                <w:sz w:val="13"/>
                <w:szCs w:val="13"/>
                <w:b w:val="1"/>
                <w:bCs w:val="1"/>
                <w:color w:val="125288"/>
              </w:rPr>
              <w:t>Office rental</w:t>
            </w:r>
          </w:p>
        </w:tc>
        <w:tc>
          <w:tcPr>
            <w:tcW w:w="1680" w:type="dxa"/>
            <w:vAlign w:val="bottom"/>
          </w:tcPr>
          <w:p>
            <w:pPr>
              <w:jc w:val="right"/>
              <w:ind w:right="255"/>
              <w:spacing w:after="0"/>
              <w:rPr>
                <w:sz w:val="20"/>
                <w:szCs w:val="20"/>
                <w:color w:val="auto"/>
              </w:rPr>
            </w:pPr>
            <w:r>
              <w:rPr>
                <w:rFonts w:ascii="Arial" w:cs="Arial" w:eastAsia="Arial" w:hAnsi="Arial"/>
                <w:sz w:val="13"/>
                <w:szCs w:val="13"/>
                <w:b w:val="1"/>
                <w:bCs w:val="1"/>
                <w:color w:val="125288"/>
              </w:rPr>
              <w:t>reimbursement</w:t>
            </w:r>
          </w:p>
        </w:tc>
        <w:tc>
          <w:tcPr>
            <w:tcW w:w="1080" w:type="dxa"/>
            <w:vAlign w:val="bottom"/>
          </w:tcPr>
          <w:p>
            <w:pPr>
              <w:jc w:val="right"/>
              <w:ind w:right="75"/>
              <w:spacing w:after="0"/>
              <w:rPr>
                <w:sz w:val="20"/>
                <w:szCs w:val="20"/>
                <w:color w:val="auto"/>
              </w:rPr>
            </w:pPr>
            <w:r>
              <w:rPr>
                <w:rFonts w:ascii="Arial" w:cs="Arial" w:eastAsia="Arial" w:hAnsi="Arial"/>
                <w:sz w:val="13"/>
                <w:szCs w:val="13"/>
                <w:b w:val="1"/>
                <w:bCs w:val="1"/>
                <w:color w:val="125288"/>
              </w:rPr>
              <w:t>penalty</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125288"/>
              </w:rPr>
              <w:t>Compensation”</w:t>
            </w:r>
          </w:p>
        </w:tc>
        <w:tc>
          <w:tcPr>
            <w:tcW w:w="0" w:type="dxa"/>
            <w:vAlign w:val="bottom"/>
          </w:tcPr>
          <w:p>
            <w:pPr>
              <w:spacing w:after="0"/>
              <w:rPr>
                <w:sz w:val="1"/>
                <w:szCs w:val="1"/>
                <w:color w:val="auto"/>
              </w:rPr>
            </w:pPr>
          </w:p>
        </w:tc>
      </w:tr>
      <w:tr>
        <w:trPr>
          <w:trHeight w:val="233"/>
        </w:trPr>
        <w:tc>
          <w:tcPr>
            <w:tcW w:w="1120" w:type="dxa"/>
            <w:vAlign w:val="bottom"/>
            <w:tcBorders>
              <w:bottom w:val="single" w:sz="8" w:color="125288"/>
            </w:tcBorders>
          </w:tcPr>
          <w:p>
            <w:pPr>
              <w:ind w:left="60"/>
              <w:spacing w:after="0"/>
              <w:rPr>
                <w:sz w:val="20"/>
                <w:szCs w:val="20"/>
                <w:color w:val="auto"/>
              </w:rPr>
            </w:pPr>
            <w:r>
              <w:rPr>
                <w:rFonts w:ascii="Arial" w:cs="Arial" w:eastAsia="Arial" w:hAnsi="Arial"/>
                <w:sz w:val="13"/>
                <w:szCs w:val="13"/>
                <w:b w:val="1"/>
                <w:bCs w:val="1"/>
                <w:color w:val="125288"/>
              </w:rPr>
              <w:t>Name</w:t>
            </w:r>
          </w:p>
        </w:tc>
        <w:tc>
          <w:tcPr>
            <w:tcW w:w="1200" w:type="dxa"/>
            <w:vAlign w:val="bottom"/>
            <w:tcBorders>
              <w:bottom w:val="single" w:sz="8" w:color="125288"/>
            </w:tcBorders>
          </w:tcPr>
          <w:p>
            <w:pPr>
              <w:jc w:val="right"/>
              <w:ind w:right="215"/>
              <w:spacing w:after="0"/>
              <w:rPr>
                <w:sz w:val="20"/>
                <w:szCs w:val="20"/>
                <w:color w:val="auto"/>
              </w:rPr>
            </w:pPr>
            <w:r>
              <w:rPr>
                <w:rFonts w:ascii="Arial" w:cs="Arial" w:eastAsia="Arial" w:hAnsi="Arial"/>
                <w:sz w:val="13"/>
                <w:szCs w:val="13"/>
                <w:b w:val="1"/>
                <w:bCs w:val="1"/>
                <w:color w:val="125288"/>
              </w:rPr>
              <w:t>($)</w:t>
            </w:r>
          </w:p>
        </w:tc>
        <w:tc>
          <w:tcPr>
            <w:tcW w:w="940" w:type="dxa"/>
            <w:vAlign w:val="bottom"/>
            <w:tcBorders>
              <w:bottom w:val="single" w:sz="8" w:color="125288"/>
            </w:tcBorders>
          </w:tcPr>
          <w:p>
            <w:pPr>
              <w:jc w:val="right"/>
              <w:ind w:right="95"/>
              <w:spacing w:after="0"/>
              <w:rPr>
                <w:sz w:val="20"/>
                <w:szCs w:val="20"/>
                <w:color w:val="auto"/>
              </w:rPr>
            </w:pPr>
            <w:r>
              <w:rPr>
                <w:rFonts w:ascii="Arial" w:cs="Arial" w:eastAsia="Arial" w:hAnsi="Arial"/>
                <w:sz w:val="13"/>
                <w:szCs w:val="13"/>
                <w:b w:val="1"/>
                <w:bCs w:val="1"/>
                <w:color w:val="125288"/>
              </w:rPr>
              <w:t>($)</w:t>
            </w:r>
          </w:p>
        </w:tc>
        <w:tc>
          <w:tcPr>
            <w:tcW w:w="1320" w:type="dxa"/>
            <w:vAlign w:val="bottom"/>
            <w:tcBorders>
              <w:bottom w:val="single" w:sz="8" w:color="125288"/>
            </w:tcBorders>
          </w:tcPr>
          <w:p>
            <w:pPr>
              <w:jc w:val="right"/>
              <w:ind w:right="75"/>
              <w:spacing w:after="0" w:line="230" w:lineRule="exact"/>
              <w:rPr>
                <w:sz w:val="20"/>
                <w:szCs w:val="20"/>
                <w:color w:val="auto"/>
              </w:rPr>
            </w:pPr>
            <w:r>
              <w:rPr>
                <w:rFonts w:ascii="Arial" w:cs="Arial" w:eastAsia="Arial" w:hAnsi="Arial"/>
                <w:sz w:val="13"/>
                <w:szCs w:val="13"/>
                <w:b w:val="1"/>
                <w:bCs w:val="1"/>
                <w:color w:val="125288"/>
              </w:rPr>
              <w:t>($)</w:t>
            </w:r>
            <w:r>
              <w:rPr>
                <w:rFonts w:ascii="Arial" w:cs="Arial" w:eastAsia="Arial" w:hAnsi="Arial"/>
                <w:sz w:val="21"/>
                <w:szCs w:val="21"/>
                <w:b w:val="1"/>
                <w:bCs w:val="1"/>
                <w:color w:val="125288"/>
                <w:vertAlign w:val="superscript"/>
              </w:rPr>
              <w:t>(a)</w:t>
            </w:r>
          </w:p>
        </w:tc>
        <w:tc>
          <w:tcPr>
            <w:tcW w:w="1060" w:type="dxa"/>
            <w:vAlign w:val="bottom"/>
            <w:tcBorders>
              <w:bottom w:val="single" w:sz="8" w:color="125288"/>
            </w:tcBorders>
          </w:tcPr>
          <w:p>
            <w:pPr>
              <w:jc w:val="right"/>
              <w:ind w:right="195"/>
              <w:spacing w:after="0"/>
              <w:rPr>
                <w:sz w:val="20"/>
                <w:szCs w:val="20"/>
                <w:color w:val="auto"/>
              </w:rPr>
            </w:pPr>
            <w:r>
              <w:rPr>
                <w:rFonts w:ascii="Arial" w:cs="Arial" w:eastAsia="Arial" w:hAnsi="Arial"/>
                <w:sz w:val="13"/>
                <w:szCs w:val="13"/>
                <w:b w:val="1"/>
                <w:bCs w:val="1"/>
                <w:color w:val="125288"/>
              </w:rPr>
              <w:t>($)</w:t>
            </w:r>
          </w:p>
        </w:tc>
        <w:tc>
          <w:tcPr>
            <w:tcW w:w="1500" w:type="dxa"/>
            <w:vAlign w:val="bottom"/>
            <w:tcBorders>
              <w:bottom w:val="single" w:sz="8" w:color="125288"/>
            </w:tcBorders>
          </w:tcPr>
          <w:p>
            <w:pPr>
              <w:jc w:val="right"/>
              <w:ind w:right="535"/>
              <w:spacing w:after="0"/>
              <w:rPr>
                <w:sz w:val="20"/>
                <w:szCs w:val="20"/>
                <w:color w:val="auto"/>
              </w:rPr>
            </w:pPr>
            <w:r>
              <w:rPr>
                <w:rFonts w:ascii="Arial" w:cs="Arial" w:eastAsia="Arial" w:hAnsi="Arial"/>
                <w:sz w:val="13"/>
                <w:szCs w:val="13"/>
                <w:b w:val="1"/>
                <w:bCs w:val="1"/>
                <w:color w:val="125288"/>
              </w:rPr>
              <w:t>($)</w:t>
            </w:r>
          </w:p>
        </w:tc>
        <w:tc>
          <w:tcPr>
            <w:tcW w:w="1680" w:type="dxa"/>
            <w:vAlign w:val="bottom"/>
            <w:tcBorders>
              <w:bottom w:val="single" w:sz="8" w:color="125288"/>
            </w:tcBorders>
          </w:tcPr>
          <w:p>
            <w:pPr>
              <w:jc w:val="right"/>
              <w:ind w:right="255"/>
              <w:spacing w:after="0"/>
              <w:rPr>
                <w:sz w:val="20"/>
                <w:szCs w:val="20"/>
                <w:color w:val="auto"/>
              </w:rPr>
            </w:pPr>
            <w:r>
              <w:rPr>
                <w:rFonts w:ascii="Arial" w:cs="Arial" w:eastAsia="Arial" w:hAnsi="Arial"/>
                <w:sz w:val="13"/>
                <w:szCs w:val="13"/>
                <w:b w:val="1"/>
                <w:bCs w:val="1"/>
                <w:color w:val="125288"/>
              </w:rPr>
              <w:t>($)</w:t>
            </w:r>
          </w:p>
        </w:tc>
        <w:tc>
          <w:tcPr>
            <w:tcW w:w="1080" w:type="dxa"/>
            <w:vAlign w:val="bottom"/>
            <w:tcBorders>
              <w:bottom w:val="single" w:sz="8" w:color="125288"/>
            </w:tcBorders>
          </w:tcPr>
          <w:p>
            <w:pPr>
              <w:jc w:val="right"/>
              <w:ind w:right="75"/>
              <w:spacing w:after="0" w:line="230" w:lineRule="exact"/>
              <w:rPr>
                <w:sz w:val="20"/>
                <w:szCs w:val="20"/>
                <w:color w:val="auto"/>
              </w:rPr>
            </w:pPr>
            <w:r>
              <w:rPr>
                <w:rFonts w:ascii="Arial" w:cs="Arial" w:eastAsia="Arial" w:hAnsi="Arial"/>
                <w:sz w:val="13"/>
                <w:szCs w:val="13"/>
                <w:b w:val="1"/>
                <w:bCs w:val="1"/>
                <w:color w:val="125288"/>
              </w:rPr>
              <w:t>($)</w:t>
            </w:r>
            <w:r>
              <w:rPr>
                <w:rFonts w:ascii="Arial" w:cs="Arial" w:eastAsia="Arial" w:hAnsi="Arial"/>
                <w:sz w:val="21"/>
                <w:szCs w:val="21"/>
                <w:b w:val="1"/>
                <w:bCs w:val="1"/>
                <w:color w:val="125288"/>
                <w:vertAlign w:val="superscript"/>
              </w:rPr>
              <w:t>(b)</w:t>
            </w:r>
          </w:p>
        </w:tc>
        <w:tc>
          <w:tcPr>
            <w:tcW w:w="1160" w:type="dxa"/>
            <w:vAlign w:val="bottom"/>
            <w:tcBorders>
              <w:bottom w:val="single" w:sz="8" w:color="125288"/>
            </w:tcBorders>
          </w:tcPr>
          <w:p>
            <w:pPr>
              <w:jc w:val="right"/>
              <w:spacing w:after="0"/>
              <w:rPr>
                <w:sz w:val="20"/>
                <w:szCs w:val="20"/>
                <w:color w:val="auto"/>
              </w:rPr>
            </w:pPr>
            <w:r>
              <w:rPr>
                <w:rFonts w:ascii="Arial" w:cs="Arial" w:eastAsia="Arial" w:hAnsi="Arial"/>
                <w:sz w:val="13"/>
                <w:szCs w:val="13"/>
                <w:b w:val="1"/>
                <w:bCs w:val="1"/>
                <w:color w:val="125288"/>
              </w:rPr>
              <w:t>($)</w:t>
            </w:r>
          </w:p>
        </w:tc>
        <w:tc>
          <w:tcPr>
            <w:tcW w:w="0" w:type="dxa"/>
            <w:vAlign w:val="bottom"/>
          </w:tcPr>
          <w:p>
            <w:pPr>
              <w:spacing w:after="0"/>
              <w:rPr>
                <w:sz w:val="1"/>
                <w:szCs w:val="1"/>
                <w:color w:val="auto"/>
              </w:rPr>
            </w:pPr>
          </w:p>
        </w:tc>
      </w:tr>
      <w:tr>
        <w:trPr>
          <w:trHeight w:val="228"/>
        </w:trPr>
        <w:tc>
          <w:tcPr>
            <w:tcW w:w="1120" w:type="dxa"/>
            <w:vAlign w:val="bottom"/>
          </w:tcPr>
          <w:p>
            <w:pPr>
              <w:ind w:left="60"/>
              <w:spacing w:after="0"/>
              <w:rPr>
                <w:sz w:val="20"/>
                <w:szCs w:val="20"/>
                <w:color w:val="auto"/>
              </w:rPr>
            </w:pPr>
            <w:r>
              <w:rPr>
                <w:rFonts w:ascii="Arial" w:cs="Arial" w:eastAsia="Arial" w:hAnsi="Arial"/>
                <w:sz w:val="13"/>
                <w:szCs w:val="13"/>
                <w:b w:val="1"/>
                <w:bCs w:val="1"/>
                <w:color w:val="auto"/>
              </w:rPr>
              <w:t>Robert Kotick</w:t>
            </w:r>
          </w:p>
        </w:tc>
        <w:tc>
          <w:tcPr>
            <w:tcW w:w="120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5"/>
              <w:spacing w:after="0"/>
              <w:rPr>
                <w:sz w:val="20"/>
                <w:szCs w:val="20"/>
                <w:color w:val="auto"/>
              </w:rPr>
            </w:pPr>
            <w:r>
              <w:rPr>
                <w:rFonts w:ascii="Arial" w:cs="Arial" w:eastAsia="Arial" w:hAnsi="Arial"/>
                <w:sz w:val="13"/>
                <w:szCs w:val="13"/>
                <w:color w:val="auto"/>
              </w:rPr>
              <w:t>102,020</w:t>
            </w:r>
          </w:p>
        </w:tc>
        <w:tc>
          <w:tcPr>
            <w:tcW w:w="1320" w:type="dxa"/>
            <w:vAlign w:val="bottom"/>
          </w:tcPr>
          <w:p>
            <w:pPr>
              <w:jc w:val="right"/>
              <w:ind w:right="75"/>
              <w:spacing w:after="0"/>
              <w:rPr>
                <w:sz w:val="20"/>
                <w:szCs w:val="20"/>
                <w:color w:val="auto"/>
              </w:rPr>
            </w:pPr>
            <w:r>
              <w:rPr>
                <w:rFonts w:ascii="Arial" w:cs="Arial" w:eastAsia="Arial" w:hAnsi="Arial"/>
                <w:sz w:val="13"/>
                <w:szCs w:val="13"/>
                <w:color w:val="auto"/>
              </w:rPr>
              <w:t>6,500</w:t>
            </w:r>
          </w:p>
        </w:tc>
        <w:tc>
          <w:tcPr>
            <w:tcW w:w="10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500" w:type="dxa"/>
            <w:vAlign w:val="bottom"/>
          </w:tcPr>
          <w:p>
            <w:pPr>
              <w:jc w:val="right"/>
              <w:ind w:right="535"/>
              <w:spacing w:after="0"/>
              <w:rPr>
                <w:sz w:val="20"/>
                <w:szCs w:val="20"/>
                <w:color w:val="auto"/>
              </w:rPr>
            </w:pPr>
            <w:r>
              <w:rPr>
                <w:rFonts w:ascii="Arial" w:cs="Arial" w:eastAsia="Arial" w:hAnsi="Arial"/>
                <w:sz w:val="13"/>
                <w:szCs w:val="13"/>
                <w:color w:val="auto"/>
              </w:rPr>
              <w:t>—</w:t>
            </w:r>
          </w:p>
        </w:tc>
        <w:tc>
          <w:tcPr>
            <w:tcW w:w="1680" w:type="dxa"/>
            <w:vAlign w:val="bottom"/>
          </w:tcPr>
          <w:p>
            <w:pPr>
              <w:jc w:val="right"/>
              <w:ind w:right="255"/>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108,520</w:t>
            </w:r>
          </w:p>
        </w:tc>
        <w:tc>
          <w:tcPr>
            <w:tcW w:w="0" w:type="dxa"/>
            <w:vAlign w:val="bottom"/>
          </w:tcPr>
          <w:p>
            <w:pPr>
              <w:spacing w:after="0"/>
              <w:rPr>
                <w:sz w:val="1"/>
                <w:szCs w:val="1"/>
                <w:color w:val="auto"/>
              </w:rPr>
            </w:pPr>
          </w:p>
        </w:tc>
      </w:tr>
      <w:tr>
        <w:trPr>
          <w:trHeight w:val="85"/>
        </w:trPr>
        <w:tc>
          <w:tcPr>
            <w:tcW w:w="1120" w:type="dxa"/>
            <w:vAlign w:val="bottom"/>
            <w:tcBorders>
              <w:bottom w:val="single" w:sz="8" w:color="125288"/>
            </w:tcBorders>
          </w:tcPr>
          <w:p>
            <w:pPr>
              <w:spacing w:after="0"/>
              <w:rPr>
                <w:sz w:val="7"/>
                <w:szCs w:val="7"/>
                <w:color w:val="auto"/>
              </w:rPr>
            </w:pPr>
          </w:p>
        </w:tc>
        <w:tc>
          <w:tcPr>
            <w:tcW w:w="1200" w:type="dxa"/>
            <w:vAlign w:val="bottom"/>
            <w:tcBorders>
              <w:bottom w:val="single" w:sz="8" w:color="125288"/>
            </w:tcBorders>
          </w:tcPr>
          <w:p>
            <w:pPr>
              <w:spacing w:after="0"/>
              <w:rPr>
                <w:sz w:val="7"/>
                <w:szCs w:val="7"/>
                <w:color w:val="auto"/>
              </w:rPr>
            </w:pPr>
          </w:p>
        </w:tc>
        <w:tc>
          <w:tcPr>
            <w:tcW w:w="940" w:type="dxa"/>
            <w:vAlign w:val="bottom"/>
            <w:tcBorders>
              <w:bottom w:val="single" w:sz="8" w:color="125288"/>
            </w:tcBorders>
          </w:tcPr>
          <w:p>
            <w:pPr>
              <w:spacing w:after="0"/>
              <w:rPr>
                <w:sz w:val="7"/>
                <w:szCs w:val="7"/>
                <w:color w:val="auto"/>
              </w:rPr>
            </w:pPr>
          </w:p>
        </w:tc>
        <w:tc>
          <w:tcPr>
            <w:tcW w:w="1320" w:type="dxa"/>
            <w:vAlign w:val="bottom"/>
            <w:tcBorders>
              <w:bottom w:val="single" w:sz="8" w:color="125288"/>
            </w:tcBorders>
          </w:tcPr>
          <w:p>
            <w:pPr>
              <w:spacing w:after="0"/>
              <w:rPr>
                <w:sz w:val="7"/>
                <w:szCs w:val="7"/>
                <w:color w:val="auto"/>
              </w:rPr>
            </w:pPr>
          </w:p>
        </w:tc>
        <w:tc>
          <w:tcPr>
            <w:tcW w:w="1060" w:type="dxa"/>
            <w:vAlign w:val="bottom"/>
            <w:tcBorders>
              <w:bottom w:val="single" w:sz="8" w:color="125288"/>
            </w:tcBorders>
          </w:tcPr>
          <w:p>
            <w:pPr>
              <w:spacing w:after="0"/>
              <w:rPr>
                <w:sz w:val="7"/>
                <w:szCs w:val="7"/>
                <w:color w:val="auto"/>
              </w:rPr>
            </w:pPr>
          </w:p>
        </w:tc>
        <w:tc>
          <w:tcPr>
            <w:tcW w:w="1500" w:type="dxa"/>
            <w:vAlign w:val="bottom"/>
            <w:tcBorders>
              <w:bottom w:val="single" w:sz="8" w:color="125288"/>
            </w:tcBorders>
          </w:tcPr>
          <w:p>
            <w:pPr>
              <w:spacing w:after="0"/>
              <w:rPr>
                <w:sz w:val="7"/>
                <w:szCs w:val="7"/>
                <w:color w:val="auto"/>
              </w:rPr>
            </w:pPr>
          </w:p>
        </w:tc>
        <w:tc>
          <w:tcPr>
            <w:tcW w:w="1680" w:type="dxa"/>
            <w:vAlign w:val="bottom"/>
            <w:tcBorders>
              <w:bottom w:val="single" w:sz="8" w:color="125288"/>
            </w:tcBorders>
          </w:tcPr>
          <w:p>
            <w:pPr>
              <w:spacing w:after="0"/>
              <w:rPr>
                <w:sz w:val="7"/>
                <w:szCs w:val="7"/>
                <w:color w:val="auto"/>
              </w:rPr>
            </w:pPr>
          </w:p>
        </w:tc>
        <w:tc>
          <w:tcPr>
            <w:tcW w:w="1080" w:type="dxa"/>
            <w:vAlign w:val="bottom"/>
            <w:tcBorders>
              <w:bottom w:val="single" w:sz="8" w:color="125288"/>
            </w:tcBorders>
          </w:tcPr>
          <w:p>
            <w:pPr>
              <w:spacing w:after="0"/>
              <w:rPr>
                <w:sz w:val="7"/>
                <w:szCs w:val="7"/>
                <w:color w:val="auto"/>
              </w:rPr>
            </w:pPr>
          </w:p>
        </w:tc>
        <w:tc>
          <w:tcPr>
            <w:tcW w:w="1160" w:type="dxa"/>
            <w:vAlign w:val="bottom"/>
            <w:tcBorders>
              <w:bottom w:val="single" w:sz="8" w:color="125288"/>
            </w:tcBorders>
          </w:tcPr>
          <w:p>
            <w:pPr>
              <w:spacing w:after="0"/>
              <w:rPr>
                <w:sz w:val="7"/>
                <w:szCs w:val="7"/>
                <w:color w:val="auto"/>
              </w:rPr>
            </w:pPr>
          </w:p>
        </w:tc>
        <w:tc>
          <w:tcPr>
            <w:tcW w:w="0" w:type="dxa"/>
            <w:vAlign w:val="bottom"/>
          </w:tcPr>
          <w:p>
            <w:pPr>
              <w:spacing w:after="0"/>
              <w:rPr>
                <w:sz w:val="1"/>
                <w:szCs w:val="1"/>
                <w:color w:val="auto"/>
              </w:rPr>
            </w:pPr>
          </w:p>
        </w:tc>
      </w:tr>
      <w:tr>
        <w:trPr>
          <w:trHeight w:val="325"/>
        </w:trPr>
        <w:tc>
          <w:tcPr>
            <w:tcW w:w="1120" w:type="dxa"/>
            <w:vAlign w:val="bottom"/>
            <w:tcBorders>
              <w:bottom w:val="single" w:sz="8" w:color="125288"/>
            </w:tcBorders>
          </w:tcPr>
          <w:p>
            <w:pPr>
              <w:ind w:left="60"/>
              <w:spacing w:after="0"/>
              <w:rPr>
                <w:sz w:val="20"/>
                <w:szCs w:val="20"/>
                <w:color w:val="auto"/>
              </w:rPr>
            </w:pPr>
            <w:r>
              <w:rPr>
                <w:rFonts w:ascii="Arial" w:cs="Arial" w:eastAsia="Arial" w:hAnsi="Arial"/>
                <w:sz w:val="13"/>
                <w:szCs w:val="13"/>
                <w:b w:val="1"/>
                <w:bCs w:val="1"/>
                <w:color w:val="auto"/>
              </w:rPr>
              <w:t>Dennis Durkin</w:t>
            </w:r>
          </w:p>
        </w:tc>
        <w:tc>
          <w:tcPr>
            <w:tcW w:w="1200" w:type="dxa"/>
            <w:vAlign w:val="bottom"/>
            <w:tcBorders>
              <w:bottom w:val="single" w:sz="8" w:color="125288"/>
            </w:tcBorders>
          </w:tcPr>
          <w:p>
            <w:pPr>
              <w:jc w:val="right"/>
              <w:ind w:right="21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125288"/>
            </w:tcBorders>
          </w:tcPr>
          <w:p>
            <w:pPr>
              <w:jc w:val="right"/>
              <w:ind w:right="95"/>
              <w:spacing w:after="0"/>
              <w:rPr>
                <w:sz w:val="20"/>
                <w:szCs w:val="20"/>
                <w:color w:val="auto"/>
              </w:rPr>
            </w:pPr>
            <w:r>
              <w:rPr>
                <w:rFonts w:ascii="Arial" w:cs="Arial" w:eastAsia="Arial" w:hAnsi="Arial"/>
                <w:sz w:val="13"/>
                <w:szCs w:val="13"/>
                <w:color w:val="auto"/>
              </w:rPr>
              <w:t>8,644</w:t>
            </w:r>
          </w:p>
        </w:tc>
        <w:tc>
          <w:tcPr>
            <w:tcW w:w="1320" w:type="dxa"/>
            <w:vAlign w:val="bottom"/>
            <w:tcBorders>
              <w:bottom w:val="single" w:sz="8" w:color="125288"/>
            </w:tcBorders>
          </w:tcPr>
          <w:p>
            <w:pPr>
              <w:jc w:val="right"/>
              <w:ind w:right="75"/>
              <w:spacing w:after="0"/>
              <w:rPr>
                <w:sz w:val="20"/>
                <w:szCs w:val="20"/>
                <w:color w:val="auto"/>
              </w:rPr>
            </w:pPr>
            <w:r>
              <w:rPr>
                <w:rFonts w:ascii="Arial" w:cs="Arial" w:eastAsia="Arial" w:hAnsi="Arial"/>
                <w:sz w:val="13"/>
                <w:szCs w:val="13"/>
                <w:color w:val="auto"/>
              </w:rPr>
              <w:t>6,500</w:t>
            </w:r>
          </w:p>
        </w:tc>
        <w:tc>
          <w:tcPr>
            <w:tcW w:w="1060" w:type="dxa"/>
            <w:vAlign w:val="bottom"/>
            <w:tcBorders>
              <w:bottom w:val="single" w:sz="8" w:color="125288"/>
            </w:tcBorders>
          </w:tcPr>
          <w:p>
            <w:pPr>
              <w:jc w:val="right"/>
              <w:ind w:right="195"/>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125288"/>
            </w:tcBorders>
          </w:tcPr>
          <w:p>
            <w:pPr>
              <w:jc w:val="right"/>
              <w:ind w:right="535"/>
              <w:spacing w:after="0"/>
              <w:rPr>
                <w:sz w:val="20"/>
                <w:szCs w:val="20"/>
                <w:color w:val="auto"/>
              </w:rPr>
            </w:pPr>
            <w:r>
              <w:rPr>
                <w:rFonts w:ascii="Arial" w:cs="Arial" w:eastAsia="Arial" w:hAnsi="Arial"/>
                <w:sz w:val="13"/>
                <w:szCs w:val="13"/>
                <w:color w:val="auto"/>
              </w:rPr>
              <w:t>—</w:t>
            </w:r>
          </w:p>
        </w:tc>
        <w:tc>
          <w:tcPr>
            <w:tcW w:w="1680" w:type="dxa"/>
            <w:vAlign w:val="bottom"/>
            <w:tcBorders>
              <w:bottom w:val="single" w:sz="8" w:color="125288"/>
            </w:tcBorders>
          </w:tcPr>
          <w:p>
            <w:pPr>
              <w:jc w:val="right"/>
              <w:ind w:right="115"/>
              <w:spacing w:after="0"/>
              <w:rPr>
                <w:sz w:val="20"/>
                <w:szCs w:val="20"/>
                <w:color w:val="auto"/>
              </w:rPr>
            </w:pPr>
            <w:r>
              <w:rPr>
                <w:rFonts w:ascii="Arial" w:cs="Arial" w:eastAsia="Arial" w:hAnsi="Arial"/>
                <w:sz w:val="13"/>
                <w:szCs w:val="13"/>
                <w:color w:val="auto"/>
              </w:rPr>
              <w:t>310</w:t>
            </w:r>
            <w:r>
              <w:rPr>
                <w:rFonts w:ascii="Arial" w:cs="Arial" w:eastAsia="Arial" w:hAnsi="Arial"/>
                <w:sz w:val="21"/>
                <w:szCs w:val="21"/>
                <w:color w:val="auto"/>
                <w:vertAlign w:val="superscript"/>
              </w:rPr>
              <w:t>(c)</w:t>
            </w:r>
          </w:p>
        </w:tc>
        <w:tc>
          <w:tcPr>
            <w:tcW w:w="1080" w:type="dxa"/>
            <w:vAlign w:val="bottom"/>
            <w:tcBorders>
              <w:bottom w:val="single" w:sz="8" w:color="125288"/>
            </w:tcBorders>
          </w:tcPr>
          <w:p>
            <w:pPr>
              <w:jc w:val="right"/>
              <w:ind w:right="75"/>
              <w:spacing w:after="0"/>
              <w:rPr>
                <w:sz w:val="20"/>
                <w:szCs w:val="20"/>
                <w:color w:val="auto"/>
              </w:rPr>
            </w:pPr>
            <w:r>
              <w:rPr>
                <w:rFonts w:ascii="Arial" w:cs="Arial" w:eastAsia="Arial" w:hAnsi="Arial"/>
                <w:sz w:val="13"/>
                <w:szCs w:val="13"/>
                <w:color w:val="auto"/>
              </w:rPr>
              <w:t>13,846</w:t>
            </w:r>
          </w:p>
        </w:tc>
        <w:tc>
          <w:tcPr>
            <w:tcW w:w="1160" w:type="dxa"/>
            <w:vAlign w:val="bottom"/>
            <w:tcBorders>
              <w:bottom w:val="single" w:sz="8" w:color="125288"/>
            </w:tcBorders>
          </w:tcPr>
          <w:p>
            <w:pPr>
              <w:jc w:val="right"/>
              <w:spacing w:after="0"/>
              <w:rPr>
                <w:sz w:val="20"/>
                <w:szCs w:val="20"/>
                <w:color w:val="auto"/>
              </w:rPr>
            </w:pPr>
            <w:r>
              <w:rPr>
                <w:rFonts w:ascii="Arial" w:cs="Arial" w:eastAsia="Arial" w:hAnsi="Arial"/>
                <w:sz w:val="13"/>
                <w:szCs w:val="13"/>
                <w:color w:val="auto"/>
              </w:rPr>
              <w:t>29,300</w:t>
            </w:r>
          </w:p>
        </w:tc>
        <w:tc>
          <w:tcPr>
            <w:tcW w:w="0" w:type="dxa"/>
            <w:vAlign w:val="bottom"/>
          </w:tcPr>
          <w:p>
            <w:pPr>
              <w:spacing w:after="0"/>
              <w:rPr>
                <w:sz w:val="1"/>
                <w:szCs w:val="1"/>
                <w:color w:val="auto"/>
              </w:rPr>
            </w:pPr>
          </w:p>
        </w:tc>
      </w:tr>
      <w:tr>
        <w:trPr>
          <w:trHeight w:val="313"/>
        </w:trPr>
        <w:tc>
          <w:tcPr>
            <w:tcW w:w="1120" w:type="dxa"/>
            <w:vAlign w:val="bottom"/>
            <w:tcBorders>
              <w:bottom w:val="single" w:sz="8" w:color="125288"/>
            </w:tcBorders>
          </w:tcPr>
          <w:p>
            <w:pPr>
              <w:ind w:left="60"/>
              <w:spacing w:after="0"/>
              <w:rPr>
                <w:sz w:val="20"/>
                <w:szCs w:val="20"/>
                <w:color w:val="auto"/>
              </w:rPr>
            </w:pPr>
            <w:r>
              <w:rPr>
                <w:rFonts w:ascii="Arial" w:cs="Arial" w:eastAsia="Arial" w:hAnsi="Arial"/>
                <w:sz w:val="13"/>
                <w:szCs w:val="13"/>
                <w:b w:val="1"/>
                <w:bCs w:val="1"/>
                <w:color w:val="auto"/>
              </w:rPr>
              <w:t>Armin Zerza</w:t>
            </w:r>
          </w:p>
        </w:tc>
        <w:tc>
          <w:tcPr>
            <w:tcW w:w="1200" w:type="dxa"/>
            <w:vAlign w:val="bottom"/>
            <w:tcBorders>
              <w:bottom w:val="single" w:sz="8" w:color="125288"/>
            </w:tcBorders>
          </w:tcPr>
          <w:p>
            <w:pPr>
              <w:jc w:val="right"/>
              <w:ind w:right="21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125288"/>
            </w:tcBorders>
          </w:tcPr>
          <w:p>
            <w:pPr>
              <w:jc w:val="right"/>
              <w:ind w:right="95"/>
              <w:spacing w:after="0"/>
              <w:rPr>
                <w:sz w:val="20"/>
                <w:szCs w:val="20"/>
                <w:color w:val="auto"/>
              </w:rPr>
            </w:pPr>
            <w:r>
              <w:rPr>
                <w:rFonts w:ascii="Arial" w:cs="Arial" w:eastAsia="Arial" w:hAnsi="Arial"/>
                <w:sz w:val="13"/>
                <w:szCs w:val="13"/>
                <w:color w:val="auto"/>
              </w:rPr>
              <w:t>31,610</w:t>
            </w:r>
          </w:p>
        </w:tc>
        <w:tc>
          <w:tcPr>
            <w:tcW w:w="1320" w:type="dxa"/>
            <w:vAlign w:val="bottom"/>
            <w:tcBorders>
              <w:bottom w:val="single" w:sz="8" w:color="125288"/>
            </w:tcBorders>
          </w:tcPr>
          <w:p>
            <w:pPr>
              <w:jc w:val="right"/>
              <w:ind w:right="75"/>
              <w:spacing w:after="0"/>
              <w:rPr>
                <w:sz w:val="20"/>
                <w:szCs w:val="20"/>
                <w:color w:val="auto"/>
              </w:rPr>
            </w:pPr>
            <w:r>
              <w:rPr>
                <w:rFonts w:ascii="Arial" w:cs="Arial" w:eastAsia="Arial" w:hAnsi="Arial"/>
                <w:sz w:val="13"/>
                <w:szCs w:val="13"/>
                <w:color w:val="auto"/>
              </w:rPr>
              <w:t>6,500</w:t>
            </w:r>
          </w:p>
        </w:tc>
        <w:tc>
          <w:tcPr>
            <w:tcW w:w="1060" w:type="dxa"/>
            <w:vAlign w:val="bottom"/>
            <w:tcBorders>
              <w:bottom w:val="single" w:sz="8" w:color="125288"/>
            </w:tcBorders>
          </w:tcPr>
          <w:p>
            <w:pPr>
              <w:jc w:val="right"/>
              <w:ind w:right="195"/>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125288"/>
            </w:tcBorders>
          </w:tcPr>
          <w:p>
            <w:pPr>
              <w:jc w:val="right"/>
              <w:ind w:right="535"/>
              <w:spacing w:after="0"/>
              <w:rPr>
                <w:sz w:val="20"/>
                <w:szCs w:val="20"/>
                <w:color w:val="auto"/>
              </w:rPr>
            </w:pPr>
            <w:r>
              <w:rPr>
                <w:rFonts w:ascii="Arial" w:cs="Arial" w:eastAsia="Arial" w:hAnsi="Arial"/>
                <w:sz w:val="13"/>
                <w:szCs w:val="13"/>
                <w:color w:val="auto"/>
              </w:rPr>
              <w:t>—</w:t>
            </w:r>
          </w:p>
        </w:tc>
        <w:tc>
          <w:tcPr>
            <w:tcW w:w="1680" w:type="dxa"/>
            <w:vAlign w:val="bottom"/>
            <w:tcBorders>
              <w:bottom w:val="single" w:sz="8" w:color="125288"/>
            </w:tcBorders>
          </w:tcPr>
          <w:p>
            <w:pPr>
              <w:jc w:val="right"/>
              <w:ind w:right="115"/>
              <w:spacing w:after="0"/>
              <w:rPr>
                <w:sz w:val="20"/>
                <w:szCs w:val="20"/>
                <w:color w:val="auto"/>
              </w:rPr>
            </w:pPr>
            <w:r>
              <w:rPr>
                <w:rFonts w:ascii="Arial" w:cs="Arial" w:eastAsia="Arial" w:hAnsi="Arial"/>
                <w:sz w:val="13"/>
                <w:szCs w:val="13"/>
                <w:color w:val="auto"/>
              </w:rPr>
              <w:t>1,870</w:t>
            </w:r>
            <w:r>
              <w:rPr>
                <w:rFonts w:ascii="Arial" w:cs="Arial" w:eastAsia="Arial" w:hAnsi="Arial"/>
                <w:sz w:val="21"/>
                <w:szCs w:val="21"/>
                <w:color w:val="auto"/>
                <w:vertAlign w:val="superscript"/>
              </w:rPr>
              <w:t>(d)</w:t>
            </w:r>
          </w:p>
        </w:tc>
        <w:tc>
          <w:tcPr>
            <w:tcW w:w="1080" w:type="dxa"/>
            <w:vAlign w:val="bottom"/>
            <w:tcBorders>
              <w:bottom w:val="single" w:sz="8" w:color="125288"/>
            </w:tcBorders>
          </w:tcPr>
          <w:p>
            <w:pPr>
              <w:jc w:val="right"/>
              <w:ind w:right="75"/>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125288"/>
            </w:tcBorders>
          </w:tcPr>
          <w:p>
            <w:pPr>
              <w:jc w:val="right"/>
              <w:spacing w:after="0"/>
              <w:rPr>
                <w:sz w:val="20"/>
                <w:szCs w:val="20"/>
                <w:color w:val="auto"/>
              </w:rPr>
            </w:pPr>
            <w:r>
              <w:rPr>
                <w:rFonts w:ascii="Arial" w:cs="Arial" w:eastAsia="Arial" w:hAnsi="Arial"/>
                <w:sz w:val="13"/>
                <w:szCs w:val="13"/>
                <w:color w:val="auto"/>
              </w:rPr>
              <w:t>39,980</w:t>
            </w:r>
          </w:p>
        </w:tc>
        <w:tc>
          <w:tcPr>
            <w:tcW w:w="0" w:type="dxa"/>
            <w:vAlign w:val="bottom"/>
          </w:tcPr>
          <w:p>
            <w:pPr>
              <w:spacing w:after="0"/>
              <w:rPr>
                <w:sz w:val="1"/>
                <w:szCs w:val="1"/>
                <w:color w:val="auto"/>
              </w:rPr>
            </w:pPr>
          </w:p>
        </w:tc>
      </w:tr>
      <w:tr>
        <w:trPr>
          <w:trHeight w:val="228"/>
        </w:trPr>
        <w:tc>
          <w:tcPr>
            <w:tcW w:w="1120" w:type="dxa"/>
            <w:vAlign w:val="bottom"/>
          </w:tcPr>
          <w:p>
            <w:pPr>
              <w:ind w:left="60"/>
              <w:spacing w:after="0"/>
              <w:rPr>
                <w:sz w:val="20"/>
                <w:szCs w:val="20"/>
                <w:color w:val="auto"/>
              </w:rPr>
            </w:pPr>
            <w:r>
              <w:rPr>
                <w:rFonts w:ascii="Arial" w:cs="Arial" w:eastAsia="Arial" w:hAnsi="Arial"/>
                <w:sz w:val="13"/>
                <w:szCs w:val="13"/>
                <w:b w:val="1"/>
                <w:bCs w:val="1"/>
                <w:color w:val="auto"/>
              </w:rPr>
              <w:t>Daniel Alegre</w:t>
            </w:r>
          </w:p>
        </w:tc>
        <w:tc>
          <w:tcPr>
            <w:tcW w:w="120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5"/>
              <w:spacing w:after="0"/>
              <w:rPr>
                <w:sz w:val="20"/>
                <w:szCs w:val="20"/>
                <w:color w:val="auto"/>
              </w:rPr>
            </w:pPr>
            <w:r>
              <w:rPr>
                <w:rFonts w:ascii="Arial" w:cs="Arial" w:eastAsia="Arial" w:hAnsi="Arial"/>
                <w:sz w:val="13"/>
                <w:szCs w:val="13"/>
                <w:color w:val="auto"/>
              </w:rPr>
              <w:t>40,025</w:t>
            </w:r>
          </w:p>
        </w:tc>
        <w:tc>
          <w:tcPr>
            <w:tcW w:w="1320" w:type="dxa"/>
            <w:vAlign w:val="bottom"/>
          </w:tcPr>
          <w:p>
            <w:pPr>
              <w:jc w:val="right"/>
              <w:ind w:right="75"/>
              <w:spacing w:after="0"/>
              <w:rPr>
                <w:sz w:val="20"/>
                <w:szCs w:val="20"/>
                <w:color w:val="auto"/>
              </w:rPr>
            </w:pPr>
            <w:r>
              <w:rPr>
                <w:rFonts w:ascii="Arial" w:cs="Arial" w:eastAsia="Arial" w:hAnsi="Arial"/>
                <w:sz w:val="13"/>
                <w:szCs w:val="13"/>
                <w:color w:val="auto"/>
              </w:rPr>
              <w:t>6,500</w:t>
            </w:r>
          </w:p>
        </w:tc>
        <w:tc>
          <w:tcPr>
            <w:tcW w:w="10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500" w:type="dxa"/>
            <w:vAlign w:val="bottom"/>
          </w:tcPr>
          <w:p>
            <w:pPr>
              <w:jc w:val="right"/>
              <w:ind w:right="535"/>
              <w:spacing w:after="0"/>
              <w:rPr>
                <w:sz w:val="20"/>
                <w:szCs w:val="20"/>
                <w:color w:val="auto"/>
              </w:rPr>
            </w:pPr>
            <w:r>
              <w:rPr>
                <w:rFonts w:ascii="Arial" w:cs="Arial" w:eastAsia="Arial" w:hAnsi="Arial"/>
                <w:sz w:val="13"/>
                <w:szCs w:val="13"/>
                <w:color w:val="auto"/>
              </w:rPr>
              <w:t>—</w:t>
            </w:r>
          </w:p>
        </w:tc>
        <w:tc>
          <w:tcPr>
            <w:tcW w:w="1680" w:type="dxa"/>
            <w:vAlign w:val="bottom"/>
          </w:tcPr>
          <w:p>
            <w:pPr>
              <w:jc w:val="right"/>
              <w:ind w:right="255"/>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46,525</w:t>
            </w:r>
          </w:p>
        </w:tc>
        <w:tc>
          <w:tcPr>
            <w:tcW w:w="0" w:type="dxa"/>
            <w:vAlign w:val="bottom"/>
          </w:tcPr>
          <w:p>
            <w:pPr>
              <w:spacing w:after="0"/>
              <w:rPr>
                <w:sz w:val="1"/>
                <w:szCs w:val="1"/>
                <w:color w:val="auto"/>
              </w:rPr>
            </w:pPr>
          </w:p>
        </w:tc>
      </w:tr>
      <w:tr>
        <w:trPr>
          <w:trHeight w:val="85"/>
        </w:trPr>
        <w:tc>
          <w:tcPr>
            <w:tcW w:w="1120" w:type="dxa"/>
            <w:vAlign w:val="bottom"/>
            <w:tcBorders>
              <w:bottom w:val="single" w:sz="8" w:color="125288"/>
            </w:tcBorders>
          </w:tcPr>
          <w:p>
            <w:pPr>
              <w:spacing w:after="0"/>
              <w:rPr>
                <w:sz w:val="7"/>
                <w:szCs w:val="7"/>
                <w:color w:val="auto"/>
              </w:rPr>
            </w:pPr>
          </w:p>
        </w:tc>
        <w:tc>
          <w:tcPr>
            <w:tcW w:w="1200" w:type="dxa"/>
            <w:vAlign w:val="bottom"/>
            <w:tcBorders>
              <w:bottom w:val="single" w:sz="8" w:color="125288"/>
            </w:tcBorders>
          </w:tcPr>
          <w:p>
            <w:pPr>
              <w:spacing w:after="0"/>
              <w:rPr>
                <w:sz w:val="7"/>
                <w:szCs w:val="7"/>
                <w:color w:val="auto"/>
              </w:rPr>
            </w:pPr>
          </w:p>
        </w:tc>
        <w:tc>
          <w:tcPr>
            <w:tcW w:w="940" w:type="dxa"/>
            <w:vAlign w:val="bottom"/>
            <w:tcBorders>
              <w:bottom w:val="single" w:sz="8" w:color="125288"/>
            </w:tcBorders>
          </w:tcPr>
          <w:p>
            <w:pPr>
              <w:spacing w:after="0"/>
              <w:rPr>
                <w:sz w:val="7"/>
                <w:szCs w:val="7"/>
                <w:color w:val="auto"/>
              </w:rPr>
            </w:pPr>
          </w:p>
        </w:tc>
        <w:tc>
          <w:tcPr>
            <w:tcW w:w="1320" w:type="dxa"/>
            <w:vAlign w:val="bottom"/>
            <w:tcBorders>
              <w:bottom w:val="single" w:sz="8" w:color="125288"/>
            </w:tcBorders>
          </w:tcPr>
          <w:p>
            <w:pPr>
              <w:spacing w:after="0"/>
              <w:rPr>
                <w:sz w:val="7"/>
                <w:szCs w:val="7"/>
                <w:color w:val="auto"/>
              </w:rPr>
            </w:pPr>
          </w:p>
        </w:tc>
        <w:tc>
          <w:tcPr>
            <w:tcW w:w="1060" w:type="dxa"/>
            <w:vAlign w:val="bottom"/>
            <w:tcBorders>
              <w:bottom w:val="single" w:sz="8" w:color="125288"/>
            </w:tcBorders>
          </w:tcPr>
          <w:p>
            <w:pPr>
              <w:spacing w:after="0"/>
              <w:rPr>
                <w:sz w:val="7"/>
                <w:szCs w:val="7"/>
                <w:color w:val="auto"/>
              </w:rPr>
            </w:pPr>
          </w:p>
        </w:tc>
        <w:tc>
          <w:tcPr>
            <w:tcW w:w="1500" w:type="dxa"/>
            <w:vAlign w:val="bottom"/>
            <w:tcBorders>
              <w:bottom w:val="single" w:sz="8" w:color="125288"/>
            </w:tcBorders>
          </w:tcPr>
          <w:p>
            <w:pPr>
              <w:spacing w:after="0"/>
              <w:rPr>
                <w:sz w:val="7"/>
                <w:szCs w:val="7"/>
                <w:color w:val="auto"/>
              </w:rPr>
            </w:pPr>
          </w:p>
        </w:tc>
        <w:tc>
          <w:tcPr>
            <w:tcW w:w="1680" w:type="dxa"/>
            <w:vAlign w:val="bottom"/>
            <w:tcBorders>
              <w:bottom w:val="single" w:sz="8" w:color="125288"/>
            </w:tcBorders>
          </w:tcPr>
          <w:p>
            <w:pPr>
              <w:spacing w:after="0"/>
              <w:rPr>
                <w:sz w:val="7"/>
                <w:szCs w:val="7"/>
                <w:color w:val="auto"/>
              </w:rPr>
            </w:pPr>
          </w:p>
        </w:tc>
        <w:tc>
          <w:tcPr>
            <w:tcW w:w="1080" w:type="dxa"/>
            <w:vAlign w:val="bottom"/>
            <w:tcBorders>
              <w:bottom w:val="single" w:sz="8" w:color="125288"/>
            </w:tcBorders>
          </w:tcPr>
          <w:p>
            <w:pPr>
              <w:spacing w:after="0"/>
              <w:rPr>
                <w:sz w:val="7"/>
                <w:szCs w:val="7"/>
                <w:color w:val="auto"/>
              </w:rPr>
            </w:pPr>
          </w:p>
        </w:tc>
        <w:tc>
          <w:tcPr>
            <w:tcW w:w="1160" w:type="dxa"/>
            <w:vAlign w:val="bottom"/>
            <w:tcBorders>
              <w:bottom w:val="single" w:sz="8" w:color="125288"/>
            </w:tcBorders>
          </w:tcPr>
          <w:p>
            <w:pPr>
              <w:spacing w:after="0"/>
              <w:rPr>
                <w:sz w:val="7"/>
                <w:szCs w:val="7"/>
                <w:color w:val="auto"/>
              </w:rPr>
            </w:pPr>
          </w:p>
        </w:tc>
        <w:tc>
          <w:tcPr>
            <w:tcW w:w="0" w:type="dxa"/>
            <w:vAlign w:val="bottom"/>
          </w:tcPr>
          <w:p>
            <w:pPr>
              <w:spacing w:after="0"/>
              <w:rPr>
                <w:sz w:val="1"/>
                <w:szCs w:val="1"/>
                <w:color w:val="auto"/>
              </w:rPr>
            </w:pPr>
          </w:p>
        </w:tc>
      </w:tr>
      <w:tr>
        <w:trPr>
          <w:trHeight w:val="313"/>
        </w:trPr>
        <w:tc>
          <w:tcPr>
            <w:tcW w:w="1120" w:type="dxa"/>
            <w:vAlign w:val="bottom"/>
            <w:tcBorders>
              <w:bottom w:val="single" w:sz="8" w:color="125288"/>
            </w:tcBorders>
          </w:tcPr>
          <w:p>
            <w:pPr>
              <w:ind w:left="60"/>
              <w:spacing w:after="0"/>
              <w:rPr>
                <w:sz w:val="20"/>
                <w:szCs w:val="20"/>
                <w:color w:val="auto"/>
              </w:rPr>
            </w:pPr>
            <w:r>
              <w:rPr>
                <w:rFonts w:ascii="Arial" w:cs="Arial" w:eastAsia="Arial" w:hAnsi="Arial"/>
                <w:sz w:val="13"/>
                <w:szCs w:val="13"/>
                <w:b w:val="1"/>
                <w:bCs w:val="1"/>
                <w:color w:val="auto"/>
              </w:rPr>
              <w:t>Brian Bulatao</w:t>
            </w:r>
          </w:p>
        </w:tc>
        <w:tc>
          <w:tcPr>
            <w:tcW w:w="1200" w:type="dxa"/>
            <w:vAlign w:val="bottom"/>
            <w:tcBorders>
              <w:bottom w:val="single" w:sz="8" w:color="125288"/>
            </w:tcBorders>
          </w:tcPr>
          <w:p>
            <w:pPr>
              <w:jc w:val="right"/>
              <w:ind w:right="95"/>
              <w:spacing w:after="0"/>
              <w:rPr>
                <w:sz w:val="20"/>
                <w:szCs w:val="20"/>
                <w:color w:val="auto"/>
              </w:rPr>
            </w:pPr>
            <w:r>
              <w:rPr>
                <w:rFonts w:ascii="Arial" w:cs="Arial" w:eastAsia="Arial" w:hAnsi="Arial"/>
                <w:sz w:val="13"/>
                <w:szCs w:val="13"/>
                <w:color w:val="auto"/>
              </w:rPr>
              <w:t>33,850</w:t>
            </w:r>
            <w:r>
              <w:rPr>
                <w:rFonts w:ascii="Arial" w:cs="Arial" w:eastAsia="Arial" w:hAnsi="Arial"/>
                <w:sz w:val="21"/>
                <w:szCs w:val="21"/>
                <w:color w:val="auto"/>
                <w:vertAlign w:val="superscript"/>
              </w:rPr>
              <w:t>(e)</w:t>
            </w:r>
          </w:p>
        </w:tc>
        <w:tc>
          <w:tcPr>
            <w:tcW w:w="940" w:type="dxa"/>
            <w:vAlign w:val="bottom"/>
            <w:tcBorders>
              <w:bottom w:val="single" w:sz="8" w:color="125288"/>
            </w:tcBorders>
          </w:tcPr>
          <w:p>
            <w:pPr>
              <w:jc w:val="right"/>
              <w:ind w:right="95"/>
              <w:spacing w:after="0"/>
              <w:rPr>
                <w:sz w:val="20"/>
                <w:szCs w:val="20"/>
                <w:color w:val="auto"/>
              </w:rPr>
            </w:pPr>
            <w:r>
              <w:rPr>
                <w:rFonts w:ascii="Arial" w:cs="Arial" w:eastAsia="Arial" w:hAnsi="Arial"/>
                <w:sz w:val="13"/>
                <w:szCs w:val="13"/>
                <w:color w:val="auto"/>
              </w:rPr>
              <w:t>765</w:t>
            </w:r>
          </w:p>
        </w:tc>
        <w:tc>
          <w:tcPr>
            <w:tcW w:w="1320" w:type="dxa"/>
            <w:vAlign w:val="bottom"/>
            <w:tcBorders>
              <w:bottom w:val="single" w:sz="8" w:color="125288"/>
            </w:tcBorders>
          </w:tcPr>
          <w:p>
            <w:pPr>
              <w:jc w:val="right"/>
              <w:ind w:right="75"/>
              <w:spacing w:after="0"/>
              <w:rPr>
                <w:sz w:val="20"/>
                <w:szCs w:val="20"/>
                <w:color w:val="auto"/>
              </w:rPr>
            </w:pPr>
            <w:r>
              <w:rPr>
                <w:rFonts w:ascii="Arial" w:cs="Arial" w:eastAsia="Arial" w:hAnsi="Arial"/>
                <w:sz w:val="13"/>
                <w:szCs w:val="13"/>
                <w:color w:val="auto"/>
              </w:rPr>
              <w:t>4,231</w:t>
            </w:r>
          </w:p>
        </w:tc>
        <w:tc>
          <w:tcPr>
            <w:tcW w:w="1060" w:type="dxa"/>
            <w:vAlign w:val="bottom"/>
            <w:tcBorders>
              <w:bottom w:val="single" w:sz="8" w:color="125288"/>
            </w:tcBorders>
          </w:tcPr>
          <w:p>
            <w:pPr>
              <w:jc w:val="right"/>
              <w:ind w:right="195"/>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125288"/>
            </w:tcBorders>
          </w:tcPr>
          <w:p>
            <w:pPr>
              <w:jc w:val="right"/>
              <w:ind w:right="535"/>
              <w:spacing w:after="0"/>
              <w:rPr>
                <w:sz w:val="20"/>
                <w:szCs w:val="20"/>
                <w:color w:val="auto"/>
              </w:rPr>
            </w:pPr>
            <w:r>
              <w:rPr>
                <w:rFonts w:ascii="Arial" w:cs="Arial" w:eastAsia="Arial" w:hAnsi="Arial"/>
                <w:sz w:val="13"/>
                <w:szCs w:val="13"/>
                <w:color w:val="auto"/>
              </w:rPr>
              <w:t>—</w:t>
            </w:r>
          </w:p>
        </w:tc>
        <w:tc>
          <w:tcPr>
            <w:tcW w:w="1680" w:type="dxa"/>
            <w:vAlign w:val="bottom"/>
            <w:tcBorders>
              <w:bottom w:val="single" w:sz="8" w:color="125288"/>
            </w:tcBorders>
          </w:tcPr>
          <w:p>
            <w:pPr>
              <w:jc w:val="right"/>
              <w:ind w:right="135"/>
              <w:spacing w:after="0"/>
              <w:rPr>
                <w:sz w:val="20"/>
                <w:szCs w:val="20"/>
                <w:color w:val="auto"/>
              </w:rPr>
            </w:pPr>
            <w:r>
              <w:rPr>
                <w:rFonts w:ascii="Arial" w:cs="Arial" w:eastAsia="Arial" w:hAnsi="Arial"/>
                <w:sz w:val="13"/>
                <w:szCs w:val="13"/>
                <w:color w:val="auto"/>
              </w:rPr>
              <w:t>7,017</w:t>
            </w:r>
            <w:r>
              <w:rPr>
                <w:rFonts w:ascii="Arial" w:cs="Arial" w:eastAsia="Arial" w:hAnsi="Arial"/>
                <w:sz w:val="21"/>
                <w:szCs w:val="21"/>
                <w:color w:val="auto"/>
                <w:vertAlign w:val="superscript"/>
              </w:rPr>
              <w:t>(f)</w:t>
            </w:r>
          </w:p>
        </w:tc>
        <w:tc>
          <w:tcPr>
            <w:tcW w:w="1080" w:type="dxa"/>
            <w:vAlign w:val="bottom"/>
            <w:tcBorders>
              <w:bottom w:val="single" w:sz="8" w:color="125288"/>
            </w:tcBorders>
          </w:tcPr>
          <w:p>
            <w:pPr>
              <w:jc w:val="right"/>
              <w:ind w:right="75"/>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125288"/>
            </w:tcBorders>
          </w:tcPr>
          <w:p>
            <w:pPr>
              <w:jc w:val="right"/>
              <w:spacing w:after="0"/>
              <w:rPr>
                <w:sz w:val="20"/>
                <w:szCs w:val="20"/>
                <w:color w:val="auto"/>
              </w:rPr>
            </w:pPr>
            <w:r>
              <w:rPr>
                <w:rFonts w:ascii="Arial" w:cs="Arial" w:eastAsia="Arial" w:hAnsi="Arial"/>
                <w:sz w:val="13"/>
                <w:szCs w:val="13"/>
                <w:color w:val="auto"/>
              </w:rPr>
              <w:t>45,862</w:t>
            </w:r>
          </w:p>
        </w:tc>
        <w:tc>
          <w:tcPr>
            <w:tcW w:w="0" w:type="dxa"/>
            <w:vAlign w:val="bottom"/>
          </w:tcPr>
          <w:p>
            <w:pPr>
              <w:spacing w:after="0"/>
              <w:rPr>
                <w:sz w:val="1"/>
                <w:szCs w:val="1"/>
                <w:color w:val="auto"/>
              </w:rPr>
            </w:pPr>
          </w:p>
        </w:tc>
      </w:tr>
      <w:tr>
        <w:trPr>
          <w:trHeight w:val="313"/>
        </w:trPr>
        <w:tc>
          <w:tcPr>
            <w:tcW w:w="1120" w:type="dxa"/>
            <w:vAlign w:val="bottom"/>
            <w:tcBorders>
              <w:bottom w:val="single" w:sz="8" w:color="125288"/>
            </w:tcBorders>
          </w:tcPr>
          <w:p>
            <w:pPr>
              <w:ind w:left="60"/>
              <w:spacing w:after="0"/>
              <w:rPr>
                <w:sz w:val="20"/>
                <w:szCs w:val="20"/>
                <w:color w:val="auto"/>
              </w:rPr>
            </w:pPr>
            <w:r>
              <w:rPr>
                <w:rFonts w:ascii="Arial" w:cs="Arial" w:eastAsia="Arial" w:hAnsi="Arial"/>
                <w:sz w:val="13"/>
                <w:szCs w:val="13"/>
                <w:b w:val="1"/>
                <w:bCs w:val="1"/>
                <w:color w:val="auto"/>
              </w:rPr>
              <w:t>Grant Dixton</w:t>
            </w:r>
          </w:p>
        </w:tc>
        <w:tc>
          <w:tcPr>
            <w:tcW w:w="1200" w:type="dxa"/>
            <w:vAlign w:val="bottom"/>
            <w:tcBorders>
              <w:bottom w:val="single" w:sz="8" w:color="125288"/>
            </w:tcBorders>
          </w:tcPr>
          <w:p>
            <w:pPr>
              <w:jc w:val="right"/>
              <w:ind w:right="95"/>
              <w:spacing w:after="0"/>
              <w:rPr>
                <w:sz w:val="20"/>
                <w:szCs w:val="20"/>
                <w:color w:val="auto"/>
              </w:rPr>
            </w:pPr>
            <w:r>
              <w:rPr>
                <w:rFonts w:ascii="Arial" w:cs="Arial" w:eastAsia="Arial" w:hAnsi="Arial"/>
                <w:sz w:val="13"/>
                <w:szCs w:val="13"/>
                <w:color w:val="auto"/>
              </w:rPr>
              <w:t>7,023</w:t>
            </w:r>
            <w:r>
              <w:rPr>
                <w:rFonts w:ascii="Arial" w:cs="Arial" w:eastAsia="Arial" w:hAnsi="Arial"/>
                <w:sz w:val="21"/>
                <w:szCs w:val="21"/>
                <w:color w:val="auto"/>
                <w:vertAlign w:val="superscript"/>
              </w:rPr>
              <w:t>(g)</w:t>
            </w:r>
          </w:p>
        </w:tc>
        <w:tc>
          <w:tcPr>
            <w:tcW w:w="940" w:type="dxa"/>
            <w:vAlign w:val="bottom"/>
            <w:tcBorders>
              <w:bottom w:val="single" w:sz="8" w:color="125288"/>
            </w:tcBorders>
          </w:tcPr>
          <w:p>
            <w:pPr>
              <w:jc w:val="right"/>
              <w:ind w:right="95"/>
              <w:spacing w:after="0"/>
              <w:rPr>
                <w:sz w:val="20"/>
                <w:szCs w:val="20"/>
                <w:color w:val="auto"/>
              </w:rPr>
            </w:pPr>
            <w:r>
              <w:rPr>
                <w:rFonts w:ascii="Arial" w:cs="Arial" w:eastAsia="Arial" w:hAnsi="Arial"/>
                <w:sz w:val="13"/>
                <w:szCs w:val="13"/>
                <w:color w:val="auto"/>
              </w:rPr>
              <w:t>7,030</w:t>
            </w:r>
          </w:p>
        </w:tc>
        <w:tc>
          <w:tcPr>
            <w:tcW w:w="1320" w:type="dxa"/>
            <w:vAlign w:val="bottom"/>
            <w:tcBorders>
              <w:bottom w:val="single" w:sz="8" w:color="125288"/>
            </w:tcBorders>
          </w:tcPr>
          <w:p>
            <w:pPr>
              <w:jc w:val="right"/>
              <w:ind w:right="75"/>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125288"/>
            </w:tcBorders>
          </w:tcPr>
          <w:p>
            <w:pPr>
              <w:jc w:val="right"/>
              <w:ind w:right="55"/>
              <w:spacing w:after="0"/>
              <w:rPr>
                <w:sz w:val="20"/>
                <w:szCs w:val="20"/>
                <w:color w:val="auto"/>
              </w:rPr>
            </w:pPr>
            <w:r>
              <w:rPr>
                <w:rFonts w:ascii="Arial" w:cs="Arial" w:eastAsia="Arial" w:hAnsi="Arial"/>
                <w:sz w:val="13"/>
                <w:szCs w:val="13"/>
                <w:color w:val="auto"/>
              </w:rPr>
              <w:t>73,707</w:t>
            </w:r>
            <w:r>
              <w:rPr>
                <w:rFonts w:ascii="Arial" w:cs="Arial" w:eastAsia="Arial" w:hAnsi="Arial"/>
                <w:sz w:val="21"/>
                <w:szCs w:val="21"/>
                <w:color w:val="auto"/>
                <w:vertAlign w:val="superscript"/>
              </w:rPr>
              <w:t>(h)</w:t>
            </w:r>
          </w:p>
        </w:tc>
        <w:tc>
          <w:tcPr>
            <w:tcW w:w="1500" w:type="dxa"/>
            <w:vAlign w:val="bottom"/>
            <w:tcBorders>
              <w:bottom w:val="single" w:sz="8" w:color="125288"/>
            </w:tcBorders>
          </w:tcPr>
          <w:p>
            <w:pPr>
              <w:jc w:val="right"/>
              <w:ind w:right="335"/>
              <w:spacing w:after="0"/>
              <w:rPr>
                <w:sz w:val="20"/>
                <w:szCs w:val="20"/>
                <w:color w:val="auto"/>
              </w:rPr>
            </w:pPr>
            <w:r>
              <w:rPr>
                <w:rFonts w:ascii="Arial" w:cs="Arial" w:eastAsia="Arial" w:hAnsi="Arial"/>
                <w:sz w:val="13"/>
                <w:szCs w:val="13"/>
                <w:color w:val="auto"/>
              </w:rPr>
              <w:t>4,375</w:t>
            </w:r>
            <w:r>
              <w:rPr>
                <w:rFonts w:ascii="Arial" w:cs="Arial" w:eastAsia="Arial" w:hAnsi="Arial"/>
                <w:sz w:val="21"/>
                <w:szCs w:val="21"/>
                <w:color w:val="auto"/>
                <w:vertAlign w:val="superscript"/>
              </w:rPr>
              <w:t>(i)</w:t>
            </w:r>
          </w:p>
        </w:tc>
        <w:tc>
          <w:tcPr>
            <w:tcW w:w="1680" w:type="dxa"/>
            <w:vAlign w:val="bottom"/>
            <w:tcBorders>
              <w:bottom w:val="single" w:sz="8" w:color="125288"/>
            </w:tcBorders>
          </w:tcPr>
          <w:p>
            <w:pPr>
              <w:jc w:val="right"/>
              <w:ind w:right="155"/>
              <w:spacing w:after="0"/>
              <w:rPr>
                <w:sz w:val="20"/>
                <w:szCs w:val="20"/>
                <w:color w:val="auto"/>
              </w:rPr>
            </w:pPr>
            <w:r>
              <w:rPr>
                <w:rFonts w:ascii="Arial" w:cs="Arial" w:eastAsia="Arial" w:hAnsi="Arial"/>
                <w:sz w:val="13"/>
                <w:szCs w:val="13"/>
                <w:color w:val="auto"/>
              </w:rPr>
              <w:t>77,642</w:t>
            </w:r>
            <w:r>
              <w:rPr>
                <w:rFonts w:ascii="Arial" w:cs="Arial" w:eastAsia="Arial" w:hAnsi="Arial"/>
                <w:sz w:val="21"/>
                <w:szCs w:val="21"/>
                <w:color w:val="auto"/>
                <w:vertAlign w:val="superscript"/>
              </w:rPr>
              <w:t>(j)</w:t>
            </w:r>
          </w:p>
        </w:tc>
        <w:tc>
          <w:tcPr>
            <w:tcW w:w="1080" w:type="dxa"/>
            <w:vAlign w:val="bottom"/>
            <w:tcBorders>
              <w:bottom w:val="single" w:sz="8" w:color="125288"/>
            </w:tcBorders>
          </w:tcPr>
          <w:p>
            <w:pPr>
              <w:jc w:val="right"/>
              <w:ind w:right="75"/>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125288"/>
            </w:tcBorders>
          </w:tcPr>
          <w:p>
            <w:pPr>
              <w:jc w:val="right"/>
              <w:spacing w:after="0"/>
              <w:rPr>
                <w:sz w:val="20"/>
                <w:szCs w:val="20"/>
                <w:color w:val="auto"/>
              </w:rPr>
            </w:pPr>
            <w:r>
              <w:rPr>
                <w:rFonts w:ascii="Arial" w:cs="Arial" w:eastAsia="Arial" w:hAnsi="Arial"/>
                <w:sz w:val="13"/>
                <w:szCs w:val="13"/>
                <w:color w:val="auto"/>
              </w:rPr>
              <w:t>169,778</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5"/>
        <w:spacing w:after="0"/>
        <w:tabs>
          <w:tab w:leader="none" w:pos="7364" w:val="left"/>
          <w:tab w:leader="none" w:pos="9384" w:val="left"/>
          <w:tab w:leader="none" w:pos="1108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bookmarkStart w:id="91" w:name="page92"/>
    <w:bookmarkEnd w:id="91"/>
    <w:p>
      <w:pPr>
        <w:ind w:left="5"/>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43" w:lineRule="exact"/>
        <w:rPr>
          <w:sz w:val="20"/>
          <w:szCs w:val="20"/>
          <w:color w:val="auto"/>
        </w:rPr>
      </w:pPr>
    </w:p>
    <w:p>
      <w:pPr>
        <w:ind w:left="545" w:hanging="283"/>
        <w:spacing w:after="0"/>
        <w:tabs>
          <w:tab w:leader="none" w:pos="545"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These amounts represent “matching” contributions by us under our 401(k) plan.</w:t>
      </w:r>
    </w:p>
    <w:p>
      <w:pPr>
        <w:spacing w:after="0" w:line="89" w:lineRule="exact"/>
        <w:rPr>
          <w:rFonts w:ascii="Arial" w:cs="Arial" w:eastAsia="Arial" w:hAnsi="Arial"/>
          <w:sz w:val="15"/>
          <w:szCs w:val="15"/>
          <w:color w:val="auto"/>
        </w:rPr>
      </w:pPr>
    </w:p>
    <w:p>
      <w:pPr>
        <w:ind w:left="545" w:right="80" w:hanging="283"/>
        <w:spacing w:after="0" w:line="266" w:lineRule="auto"/>
        <w:tabs>
          <w:tab w:leader="none" w:pos="545" w:val="left"/>
        </w:tabs>
        <w:numPr>
          <w:ilvl w:val="0"/>
          <w:numId w:val="106"/>
        </w:numPr>
        <w:rPr>
          <w:rFonts w:ascii="Arial" w:cs="Arial" w:eastAsia="Arial" w:hAnsi="Arial"/>
          <w:sz w:val="15"/>
          <w:szCs w:val="15"/>
          <w:color w:val="auto"/>
        </w:rPr>
      </w:pPr>
      <w:r>
        <w:rPr>
          <w:rFonts w:ascii="Arial" w:cs="Arial" w:eastAsia="Arial" w:hAnsi="Arial"/>
          <w:sz w:val="15"/>
          <w:szCs w:val="15"/>
          <w:color w:val="auto"/>
        </w:rPr>
        <w:t>Under California law, if an employee’s wages are not paid in full on their final day of employment, certain “waiting time penalties” may be owed to the terminated employee.</w:t>
      </w:r>
    </w:p>
    <w:p>
      <w:pPr>
        <w:spacing w:after="0" w:line="57" w:lineRule="exact"/>
        <w:rPr>
          <w:rFonts w:ascii="Arial" w:cs="Arial" w:eastAsia="Arial" w:hAnsi="Arial"/>
          <w:sz w:val="15"/>
          <w:szCs w:val="15"/>
          <w:color w:val="auto"/>
        </w:rPr>
      </w:pPr>
    </w:p>
    <w:p>
      <w:pPr>
        <w:ind w:left="545" w:right="240" w:hanging="283"/>
        <w:spacing w:after="0" w:line="266" w:lineRule="auto"/>
        <w:tabs>
          <w:tab w:leader="none" w:pos="545"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This amount represents a reimbursement for taxes Mr. Durkin incurred for a gift received from the Company, in connection with his retirement from our employment, the amount of which is not included in the table because the aggregate perquisites Mr. Durkin received were below the disclosure threshold.</w:t>
      </w:r>
    </w:p>
    <w:p>
      <w:pPr>
        <w:spacing w:after="0" w:line="57" w:lineRule="exact"/>
        <w:rPr>
          <w:rFonts w:ascii="Arial" w:cs="Arial" w:eastAsia="Arial" w:hAnsi="Arial"/>
          <w:sz w:val="15"/>
          <w:szCs w:val="15"/>
          <w:color w:val="auto"/>
        </w:rPr>
      </w:pPr>
    </w:p>
    <w:p>
      <w:pPr>
        <w:ind w:left="545" w:right="80" w:hanging="283"/>
        <w:spacing w:after="0" w:line="266" w:lineRule="auto"/>
        <w:tabs>
          <w:tab w:leader="none" w:pos="545"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This amount represents a reimbursement for taxes Mr. Zerza received for a gift received from the Company, the amount of which is not included in the table because the aggregate perquisites Mr. Zerza received were below the disclosure threshold.</w:t>
      </w:r>
    </w:p>
    <w:p>
      <w:pPr>
        <w:spacing w:after="0" w:line="57" w:lineRule="exact"/>
        <w:rPr>
          <w:rFonts w:ascii="Arial" w:cs="Arial" w:eastAsia="Arial" w:hAnsi="Arial"/>
          <w:sz w:val="15"/>
          <w:szCs w:val="15"/>
          <w:color w:val="auto"/>
        </w:rPr>
      </w:pPr>
    </w:p>
    <w:p>
      <w:pPr>
        <w:ind w:left="545" w:right="80" w:hanging="283"/>
        <w:spacing w:after="0" w:line="266" w:lineRule="auto"/>
        <w:tabs>
          <w:tab w:leader="none" w:pos="545"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This amount represents (1) $21,800 in personal travel and (2) $12,050 for a reimbursement for legal fees Mr. Bulatao incurred in connection with the negotiation of the Bulatao Employment Agreement.</w:t>
      </w:r>
    </w:p>
    <w:p>
      <w:pPr>
        <w:spacing w:after="0" w:line="57" w:lineRule="exact"/>
        <w:rPr>
          <w:rFonts w:ascii="Arial" w:cs="Arial" w:eastAsia="Arial" w:hAnsi="Arial"/>
          <w:sz w:val="15"/>
          <w:szCs w:val="15"/>
          <w:color w:val="auto"/>
        </w:rPr>
      </w:pPr>
    </w:p>
    <w:p>
      <w:pPr>
        <w:ind w:left="545" w:hanging="283"/>
        <w:spacing w:after="0"/>
        <w:tabs>
          <w:tab w:leader="none" w:pos="545"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This amount represents a reimbursement for taxes incurred on the compensation referenced in clause (1) of footnote (e).</w:t>
      </w:r>
    </w:p>
    <w:p>
      <w:pPr>
        <w:spacing w:after="0" w:line="89" w:lineRule="exact"/>
        <w:rPr>
          <w:rFonts w:ascii="Arial" w:cs="Arial" w:eastAsia="Arial" w:hAnsi="Arial"/>
          <w:sz w:val="15"/>
          <w:szCs w:val="15"/>
          <w:color w:val="auto"/>
        </w:rPr>
      </w:pPr>
    </w:p>
    <w:p>
      <w:pPr>
        <w:ind w:left="545" w:right="480" w:hanging="283"/>
        <w:spacing w:after="0" w:line="257" w:lineRule="auto"/>
        <w:tabs>
          <w:tab w:leader="none" w:pos="545"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This amount represents (1) reimbursement for legal fees Mr. Dixton incurred in connection with negotiating the Dixton Employment Agreement and (2) contributions by the Company via a giving fund to a charitable organization of the executive's choosing as part of a broad-based Company directed charitable donation program.</w:t>
      </w:r>
    </w:p>
    <w:p>
      <w:pPr>
        <w:spacing w:after="0" w:line="64" w:lineRule="exact"/>
        <w:rPr>
          <w:rFonts w:ascii="Arial" w:cs="Arial" w:eastAsia="Arial" w:hAnsi="Arial"/>
          <w:sz w:val="15"/>
          <w:szCs w:val="15"/>
          <w:color w:val="auto"/>
        </w:rPr>
      </w:pPr>
    </w:p>
    <w:p>
      <w:pPr>
        <w:ind w:left="545" w:hanging="283"/>
        <w:spacing w:after="0"/>
        <w:tabs>
          <w:tab w:leader="none" w:pos="545"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This amount represents expenses Mr. Dixton incurred in connection with his relocation to the Los Angeles area that were paid for by the Company.</w:t>
      </w:r>
    </w:p>
    <w:p>
      <w:pPr>
        <w:spacing w:after="0" w:line="89" w:lineRule="exact"/>
        <w:rPr>
          <w:rFonts w:ascii="Arial" w:cs="Arial" w:eastAsia="Arial" w:hAnsi="Arial"/>
          <w:sz w:val="15"/>
          <w:szCs w:val="15"/>
          <w:color w:val="auto"/>
        </w:rPr>
      </w:pPr>
    </w:p>
    <w:p>
      <w:pPr>
        <w:ind w:left="545" w:hanging="283"/>
        <w:spacing w:after="0"/>
        <w:tabs>
          <w:tab w:leader="none" w:pos="545"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This amount represents the rental of an office by the Company for Mr. Dixton near his home prior to his relocation to the Los Angeles area.</w:t>
      </w:r>
    </w:p>
    <w:p>
      <w:pPr>
        <w:spacing w:after="0" w:line="89" w:lineRule="exact"/>
        <w:rPr>
          <w:rFonts w:ascii="Arial" w:cs="Arial" w:eastAsia="Arial" w:hAnsi="Arial"/>
          <w:sz w:val="15"/>
          <w:szCs w:val="15"/>
          <w:color w:val="auto"/>
        </w:rPr>
      </w:pPr>
    </w:p>
    <w:p>
      <w:pPr>
        <w:ind w:left="545" w:hanging="283"/>
        <w:spacing w:after="0"/>
        <w:tabs>
          <w:tab w:leader="none" w:pos="545"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This amount represents a reimbursement for taxes incurred on the compensation referenced in footnote (h).</w:t>
      </w:r>
    </w:p>
    <w:p>
      <w:pPr>
        <w:spacing w:after="0" w:line="172" w:lineRule="exact"/>
        <w:rPr>
          <w:sz w:val="20"/>
          <w:szCs w:val="20"/>
          <w:color w:val="auto"/>
        </w:rPr>
      </w:pPr>
    </w:p>
    <w:p>
      <w:pPr>
        <w:jc w:val="both"/>
        <w:ind w:left="285" w:right="40"/>
        <w:spacing w:after="0" w:line="257" w:lineRule="auto"/>
        <w:rPr>
          <w:sz w:val="20"/>
          <w:szCs w:val="20"/>
          <w:color w:val="auto"/>
        </w:rPr>
      </w:pPr>
      <w:r>
        <w:rPr>
          <w:rFonts w:ascii="Arial" w:cs="Arial" w:eastAsia="Arial" w:hAnsi="Arial"/>
          <w:sz w:val="15"/>
          <w:szCs w:val="15"/>
          <w:color w:val="auto"/>
        </w:rPr>
        <w:t>We have calculated the incremental cost to Activision Blizzard of the compensation listed above based on the amount of payments made by us to provide such benefits. The cost to us of providing personal travel to Mr. Bulatao on aircraft indirectly owned by our Chief Executive Officer was 95% of the charter operator’s regular hourly flight charges plus 100% of the actual, third-party costs incurred by the charter operator in obtaining goods and services for the flights.</w:t>
      </w:r>
    </w:p>
    <w:p>
      <w:pPr>
        <w:spacing w:after="0" w:line="64" w:lineRule="exact"/>
        <w:rPr>
          <w:sz w:val="20"/>
          <w:szCs w:val="20"/>
          <w:color w:val="auto"/>
        </w:rPr>
      </w:pPr>
    </w:p>
    <w:p>
      <w:pPr>
        <w:ind w:left="285" w:hanging="285"/>
        <w:spacing w:after="0"/>
        <w:tabs>
          <w:tab w:leader="none" w:pos="285" w:val="left"/>
        </w:tabs>
        <w:numPr>
          <w:ilvl w:val="0"/>
          <w:numId w:val="107"/>
        </w:numPr>
        <w:rPr>
          <w:rFonts w:ascii="Arial" w:cs="Arial" w:eastAsia="Arial" w:hAnsi="Arial"/>
          <w:sz w:val="15"/>
          <w:szCs w:val="15"/>
          <w:color w:val="auto"/>
        </w:rPr>
      </w:pPr>
      <w:r>
        <w:rPr>
          <w:rFonts w:ascii="Arial" w:cs="Arial" w:eastAsia="Arial" w:hAnsi="Arial"/>
          <w:sz w:val="15"/>
          <w:szCs w:val="15"/>
          <w:color w:val="auto"/>
        </w:rPr>
        <w:t>These amounts include equity grants made in 2020 for our CEO’s performance over the four-year term of the 2016 Kotick Employment Agreement.</w:t>
      </w:r>
    </w:p>
    <w:p>
      <w:pPr>
        <w:spacing w:after="0" w:line="89" w:lineRule="exact"/>
        <w:rPr>
          <w:rFonts w:ascii="Arial" w:cs="Arial" w:eastAsia="Arial" w:hAnsi="Arial"/>
          <w:sz w:val="15"/>
          <w:szCs w:val="15"/>
          <w:color w:val="auto"/>
        </w:rPr>
      </w:pPr>
    </w:p>
    <w:p>
      <w:pPr>
        <w:jc w:val="both"/>
        <w:ind w:left="285" w:right="40" w:hanging="285"/>
        <w:spacing w:after="0" w:line="257" w:lineRule="auto"/>
        <w:tabs>
          <w:tab w:leader="none" w:pos="285" w:val="left"/>
        </w:tabs>
        <w:numPr>
          <w:ilvl w:val="0"/>
          <w:numId w:val="107"/>
        </w:numPr>
        <w:rPr>
          <w:rFonts w:ascii="Arial" w:cs="Arial" w:eastAsia="Arial" w:hAnsi="Arial"/>
          <w:sz w:val="15"/>
          <w:szCs w:val="15"/>
          <w:color w:val="auto"/>
        </w:rPr>
      </w:pPr>
      <w:r>
        <w:rPr>
          <w:rFonts w:ascii="Arial" w:cs="Arial" w:eastAsia="Arial" w:hAnsi="Arial"/>
          <w:sz w:val="15"/>
          <w:szCs w:val="15"/>
          <w:color w:val="auto"/>
        </w:rPr>
        <w:t>Mr. Durkin served as our Chief Financial Officer from March 1, 2012, until May 30, 2017. He served as our Chief Corporate Officer from May 10, 2017, through January 1, 2019, at which time he again became our Chief Financial Officer. On March 29, 2021, Mr. Durkin retired as our Chief Financial Officer and served as an executive advisor to the Company until May 31, 2021.</w:t>
      </w:r>
    </w:p>
    <w:p>
      <w:pPr>
        <w:spacing w:after="0" w:line="64" w:lineRule="exact"/>
        <w:rPr>
          <w:rFonts w:ascii="Arial" w:cs="Arial" w:eastAsia="Arial" w:hAnsi="Arial"/>
          <w:sz w:val="15"/>
          <w:szCs w:val="15"/>
          <w:color w:val="auto"/>
        </w:rPr>
      </w:pPr>
    </w:p>
    <w:p>
      <w:pPr>
        <w:ind w:left="285" w:right="40" w:hanging="285"/>
        <w:spacing w:after="0" w:line="266" w:lineRule="auto"/>
        <w:tabs>
          <w:tab w:leader="none" w:pos="285" w:val="left"/>
        </w:tabs>
        <w:numPr>
          <w:ilvl w:val="0"/>
          <w:numId w:val="107"/>
        </w:numPr>
        <w:rPr>
          <w:rFonts w:ascii="Arial" w:cs="Arial" w:eastAsia="Arial" w:hAnsi="Arial"/>
          <w:sz w:val="15"/>
          <w:szCs w:val="15"/>
          <w:color w:val="auto"/>
        </w:rPr>
      </w:pPr>
      <w:r>
        <w:rPr>
          <w:rFonts w:ascii="Arial" w:cs="Arial" w:eastAsia="Arial" w:hAnsi="Arial"/>
          <w:sz w:val="15"/>
          <w:szCs w:val="15"/>
          <w:color w:val="auto"/>
        </w:rPr>
        <w:t>Mr. Zerza became our Chief Financial Officer on March 29, 2021. He served as our Chief Commercial Officer from February 2019 until March 2021, as well as Blizzard’s Chief Operating Officer from October 2017 until March 2021, and he was Chief Financial Officer of Blizzard from June 2015 until October 2017.</w:t>
      </w:r>
    </w:p>
    <w:p>
      <w:pPr>
        <w:spacing w:after="0" w:line="57" w:lineRule="exact"/>
        <w:rPr>
          <w:rFonts w:ascii="Arial" w:cs="Arial" w:eastAsia="Arial" w:hAnsi="Arial"/>
          <w:sz w:val="15"/>
          <w:szCs w:val="15"/>
          <w:color w:val="auto"/>
        </w:rPr>
      </w:pPr>
    </w:p>
    <w:p>
      <w:pPr>
        <w:ind w:left="285" w:hanging="285"/>
        <w:spacing w:after="0"/>
        <w:tabs>
          <w:tab w:leader="none" w:pos="285" w:val="left"/>
        </w:tabs>
        <w:numPr>
          <w:ilvl w:val="0"/>
          <w:numId w:val="107"/>
        </w:numPr>
        <w:rPr>
          <w:rFonts w:ascii="Arial" w:cs="Arial" w:eastAsia="Arial" w:hAnsi="Arial"/>
          <w:sz w:val="15"/>
          <w:szCs w:val="15"/>
          <w:color w:val="auto"/>
        </w:rPr>
      </w:pPr>
      <w:r>
        <w:rPr>
          <w:rFonts w:ascii="Arial" w:cs="Arial" w:eastAsia="Arial" w:hAnsi="Arial"/>
          <w:sz w:val="15"/>
          <w:szCs w:val="15"/>
          <w:color w:val="auto"/>
        </w:rPr>
        <w:t>Mr. Alegre’s employment with us began on April 7, 2020.</w:t>
      </w:r>
    </w:p>
    <w:p>
      <w:pPr>
        <w:spacing w:after="0" w:line="89" w:lineRule="exact"/>
        <w:rPr>
          <w:rFonts w:ascii="Arial" w:cs="Arial" w:eastAsia="Arial" w:hAnsi="Arial"/>
          <w:sz w:val="15"/>
          <w:szCs w:val="15"/>
          <w:color w:val="auto"/>
        </w:rPr>
      </w:pPr>
    </w:p>
    <w:p>
      <w:pPr>
        <w:jc w:val="both"/>
        <w:ind w:left="285" w:right="40" w:hanging="285"/>
        <w:spacing w:after="0" w:line="252" w:lineRule="auto"/>
        <w:tabs>
          <w:tab w:leader="none" w:pos="298" w:val="left"/>
        </w:tabs>
        <w:numPr>
          <w:ilvl w:val="0"/>
          <w:numId w:val="107"/>
        </w:numPr>
        <w:rPr>
          <w:rFonts w:ascii="Arial" w:cs="Arial" w:eastAsia="Arial" w:hAnsi="Arial"/>
          <w:sz w:val="15"/>
          <w:szCs w:val="15"/>
          <w:color w:val="auto"/>
        </w:rPr>
      </w:pPr>
      <w:r>
        <w:rPr>
          <w:rFonts w:ascii="Arial" w:cs="Arial" w:eastAsia="Arial" w:hAnsi="Arial"/>
          <w:sz w:val="15"/>
          <w:szCs w:val="15"/>
          <w:color w:val="auto"/>
        </w:rPr>
        <w:t>On October 29, 2021, pursuant to the Alegre Employment Agreement, the Compensation Committee awarded Mr. Alegre PSUs. Mr. Alegre renounced those awards when he was notified that they had been granted, and he did not receive any other form of compensation in lieu thereof. As such, these awards are not reflected in this table. The awards consisted of two grants—one for 43,969 PSUs, which would have vested on March 30, 2025, and another for 36,641 PSUs, which would have vested on March 30, 2024, both subject to Mr. Alegre’s continued employment through the applicable vesting date and satisfaction of certain performance conditions. For more information on these awards see “—Employment Agreements—Daniel Alegre—Annual Equity Awards” below.</w:t>
      </w:r>
    </w:p>
    <w:p>
      <w:pPr>
        <w:spacing w:after="0" w:line="69" w:lineRule="exact"/>
        <w:rPr>
          <w:rFonts w:ascii="Arial" w:cs="Arial" w:eastAsia="Arial" w:hAnsi="Arial"/>
          <w:sz w:val="15"/>
          <w:szCs w:val="15"/>
          <w:color w:val="auto"/>
        </w:rPr>
      </w:pPr>
    </w:p>
    <w:p>
      <w:pPr>
        <w:ind w:left="305" w:hanging="305"/>
        <w:spacing w:after="0"/>
        <w:tabs>
          <w:tab w:leader="none" w:pos="305" w:val="left"/>
        </w:tabs>
        <w:numPr>
          <w:ilvl w:val="0"/>
          <w:numId w:val="107"/>
        </w:numPr>
        <w:rPr>
          <w:rFonts w:ascii="Arial" w:cs="Arial" w:eastAsia="Arial" w:hAnsi="Arial"/>
          <w:sz w:val="15"/>
          <w:szCs w:val="15"/>
          <w:color w:val="auto"/>
        </w:rPr>
      </w:pPr>
      <w:r>
        <w:rPr>
          <w:rFonts w:ascii="Arial" w:cs="Arial" w:eastAsia="Arial" w:hAnsi="Arial"/>
          <w:sz w:val="15"/>
          <w:szCs w:val="15"/>
          <w:color w:val="auto"/>
        </w:rPr>
        <w:t>Mr. Bulatao’s employment with us began on February 1, 2021.</w:t>
      </w:r>
    </w:p>
    <w:p>
      <w:pPr>
        <w:spacing w:after="0" w:line="89" w:lineRule="exact"/>
        <w:rPr>
          <w:rFonts w:ascii="Arial" w:cs="Arial" w:eastAsia="Arial" w:hAnsi="Arial"/>
          <w:sz w:val="15"/>
          <w:szCs w:val="15"/>
          <w:color w:val="auto"/>
        </w:rPr>
      </w:pPr>
    </w:p>
    <w:p>
      <w:pPr>
        <w:ind w:left="305" w:hanging="305"/>
        <w:spacing w:after="0"/>
        <w:tabs>
          <w:tab w:leader="none" w:pos="305" w:val="left"/>
        </w:tabs>
        <w:numPr>
          <w:ilvl w:val="0"/>
          <w:numId w:val="107"/>
        </w:numPr>
        <w:rPr>
          <w:rFonts w:ascii="Arial" w:cs="Arial" w:eastAsia="Arial" w:hAnsi="Arial"/>
          <w:sz w:val="15"/>
          <w:szCs w:val="15"/>
          <w:color w:val="auto"/>
        </w:rPr>
      </w:pPr>
      <w:r>
        <w:rPr>
          <w:rFonts w:ascii="Arial" w:cs="Arial" w:eastAsia="Arial" w:hAnsi="Arial"/>
          <w:sz w:val="15"/>
          <w:szCs w:val="15"/>
          <w:color w:val="auto"/>
        </w:rPr>
        <w:t>Mr. Dixton’s employment with us began on June 14, 2021.</w:t>
      </w:r>
    </w:p>
    <w:p>
      <w:pPr>
        <w:spacing w:after="0" w:line="211" w:lineRule="exact"/>
        <w:rPr>
          <w:sz w:val="20"/>
          <w:szCs w:val="20"/>
          <w:color w:val="auto"/>
        </w:rPr>
      </w:pPr>
    </w:p>
    <w:p>
      <w:pPr>
        <w:ind w:left="5" w:right="20"/>
        <w:spacing w:after="0" w:line="245" w:lineRule="auto"/>
        <w:rPr>
          <w:sz w:val="20"/>
          <w:szCs w:val="20"/>
          <w:color w:val="auto"/>
        </w:rPr>
      </w:pPr>
      <w:r>
        <w:rPr>
          <w:rFonts w:ascii="Arial" w:cs="Arial" w:eastAsia="Arial" w:hAnsi="Arial"/>
          <w:sz w:val="19"/>
          <w:szCs w:val="19"/>
          <w:color w:val="auto"/>
        </w:rPr>
        <w:t>On January 18, 2022, we announced that we had entered into the Microsoft Merger Agreement. For details regarding any amounts payable to our NEOs if the proposed transaction with Microsoft is completed, please see the Merger Proxy Statement.</w:t>
      </w:r>
    </w:p>
    <w:p>
      <w:pPr>
        <w:spacing w:after="0" w:line="245" w:lineRule="exact"/>
        <w:rPr>
          <w:sz w:val="20"/>
          <w:szCs w:val="20"/>
          <w:color w:val="auto"/>
        </w:rPr>
      </w:pPr>
    </w:p>
    <w:p>
      <w:pPr>
        <w:ind w:left="5"/>
        <w:spacing w:after="0"/>
        <w:tabs>
          <w:tab w:leader="none" w:pos="7364" w:val="left"/>
          <w:tab w:leader="none" w:pos="9384" w:val="left"/>
          <w:tab w:leader="none" w:pos="1108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bookmarkStart w:id="92" w:name="page93"/>
    <w:bookmarkEnd w:id="92"/>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GRANTS OF PLAN-BASED AWARDS FOR 2021</w:t>
      </w:r>
    </w:p>
    <w:p>
      <w:pPr>
        <w:spacing w:after="0" w:line="309"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The table below provides information regarding the grants of plan-based awards made to each of our NEOs during 2021. Mr. Durkin, who ceased serving as our Chief Financial Officer on March 29, 2021, was not granted any awards during 2021 and, as such, does not appear in the table.</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140" w:type="dxa"/>
            <w:vAlign w:val="bottom"/>
            <w:gridSpan w:val="3"/>
          </w:tcPr>
          <w:p>
            <w:pPr>
              <w:jc w:val="right"/>
              <w:ind w:right="794"/>
              <w:spacing w:after="0"/>
              <w:rPr>
                <w:sz w:val="20"/>
                <w:szCs w:val="20"/>
                <w:color w:val="auto"/>
              </w:rPr>
            </w:pPr>
            <w:r>
              <w:rPr>
                <w:rFonts w:ascii="Arial" w:cs="Arial" w:eastAsia="Arial" w:hAnsi="Arial"/>
                <w:sz w:val="15"/>
                <w:szCs w:val="15"/>
                <w:b w:val="1"/>
                <w:bCs w:val="1"/>
                <w:color w:val="125288"/>
              </w:rPr>
              <w:t>Estimated Future Payouts Under</w:t>
            </w:r>
          </w:p>
        </w:tc>
      </w:tr>
      <w:tr>
        <w:trPr>
          <w:trHeight w:val="214"/>
        </w:trPr>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140" w:type="dxa"/>
            <w:vAlign w:val="bottom"/>
            <w:gridSpan w:val="3"/>
          </w:tcPr>
          <w:p>
            <w:pPr>
              <w:jc w:val="right"/>
              <w:ind w:right="734"/>
              <w:spacing w:after="0"/>
              <w:rPr>
                <w:sz w:val="20"/>
                <w:szCs w:val="20"/>
                <w:color w:val="auto"/>
              </w:rPr>
            </w:pPr>
            <w:r>
              <w:rPr>
                <w:rFonts w:ascii="Arial" w:cs="Arial" w:eastAsia="Arial" w:hAnsi="Arial"/>
                <w:sz w:val="15"/>
                <w:szCs w:val="15"/>
                <w:b w:val="1"/>
                <w:bCs w:val="1"/>
                <w:color w:val="125288"/>
              </w:rPr>
              <w:t>Non-Equity Incentive Plan Awards</w:t>
            </w:r>
          </w:p>
        </w:tc>
      </w:tr>
      <w:tr>
        <w:trPr>
          <w:trHeight w:val="41"/>
        </w:trPr>
        <w:tc>
          <w:tcPr>
            <w:tcW w:w="1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20" w:type="dxa"/>
            <w:vAlign w:val="bottom"/>
            <w:tcBorders>
              <w:bottom w:val="single" w:sz="8" w:color="125288"/>
            </w:tcBorders>
          </w:tcPr>
          <w:p>
            <w:pPr>
              <w:spacing w:after="0"/>
              <w:rPr>
                <w:sz w:val="3"/>
                <w:szCs w:val="3"/>
                <w:color w:val="auto"/>
              </w:rPr>
            </w:pPr>
          </w:p>
        </w:tc>
        <w:tc>
          <w:tcPr>
            <w:tcW w:w="1320" w:type="dxa"/>
            <w:vAlign w:val="bottom"/>
            <w:tcBorders>
              <w:bottom w:val="single" w:sz="8" w:color="125288"/>
            </w:tcBorders>
          </w:tcPr>
          <w:p>
            <w:pPr>
              <w:spacing w:after="0"/>
              <w:rPr>
                <w:sz w:val="3"/>
                <w:szCs w:val="3"/>
                <w:color w:val="auto"/>
              </w:rPr>
            </w:pPr>
          </w:p>
        </w:tc>
        <w:tc>
          <w:tcPr>
            <w:tcW w:w="1200" w:type="dxa"/>
            <w:vAlign w:val="bottom"/>
            <w:tcBorders>
              <w:bottom w:val="single" w:sz="8" w:color="125288"/>
            </w:tcBorders>
          </w:tcPr>
          <w:p>
            <w:pPr>
              <w:spacing w:after="0"/>
              <w:rPr>
                <w:sz w:val="3"/>
                <w:szCs w:val="3"/>
                <w:color w:val="auto"/>
              </w:rPr>
            </w:pPr>
          </w:p>
        </w:tc>
      </w:tr>
      <w:tr>
        <w:trPr>
          <w:trHeight w:val="212"/>
        </w:trPr>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20" w:type="dxa"/>
            <w:vAlign w:val="bottom"/>
          </w:tcPr>
          <w:p>
            <w:pPr>
              <w:jc w:val="right"/>
              <w:ind w:right="411"/>
              <w:spacing w:after="0"/>
              <w:rPr>
                <w:sz w:val="20"/>
                <w:szCs w:val="20"/>
                <w:color w:val="auto"/>
              </w:rPr>
            </w:pPr>
            <w:r>
              <w:rPr>
                <w:rFonts w:ascii="Arial" w:cs="Arial" w:eastAsia="Arial" w:hAnsi="Arial"/>
                <w:sz w:val="15"/>
                <w:szCs w:val="15"/>
                <w:b w:val="1"/>
                <w:bCs w:val="1"/>
                <w:color w:val="125288"/>
              </w:rPr>
              <w:t>Threshold</w:t>
            </w:r>
          </w:p>
        </w:tc>
        <w:tc>
          <w:tcPr>
            <w:tcW w:w="1320" w:type="dxa"/>
            <w:vAlign w:val="bottom"/>
          </w:tcPr>
          <w:p>
            <w:pPr>
              <w:jc w:val="right"/>
              <w:ind w:right="267"/>
              <w:spacing w:after="0"/>
              <w:rPr>
                <w:sz w:val="20"/>
                <w:szCs w:val="20"/>
                <w:color w:val="auto"/>
              </w:rPr>
            </w:pPr>
            <w:r>
              <w:rPr>
                <w:rFonts w:ascii="Arial" w:cs="Arial" w:eastAsia="Arial" w:hAnsi="Arial"/>
                <w:sz w:val="15"/>
                <w:szCs w:val="15"/>
                <w:b w:val="1"/>
                <w:bCs w:val="1"/>
                <w:color w:val="125288"/>
              </w:rPr>
              <w:t>Target</w:t>
            </w:r>
          </w:p>
        </w:tc>
        <w:tc>
          <w:tcPr>
            <w:tcW w:w="1200" w:type="dxa"/>
            <w:vAlign w:val="bottom"/>
          </w:tcPr>
          <w:p>
            <w:pPr>
              <w:jc w:val="right"/>
              <w:ind w:right="174"/>
              <w:spacing w:after="0"/>
              <w:rPr>
                <w:sz w:val="20"/>
                <w:szCs w:val="20"/>
                <w:color w:val="auto"/>
              </w:rPr>
            </w:pPr>
            <w:r>
              <w:rPr>
                <w:rFonts w:ascii="Arial" w:cs="Arial" w:eastAsia="Arial" w:hAnsi="Arial"/>
                <w:sz w:val="15"/>
                <w:szCs w:val="15"/>
                <w:b w:val="1"/>
                <w:bCs w:val="1"/>
                <w:color w:val="125288"/>
              </w:rPr>
              <w:t>Maximum</w:t>
            </w:r>
          </w:p>
        </w:tc>
      </w:tr>
      <w:tr>
        <w:trPr>
          <w:trHeight w:val="255"/>
        </w:trPr>
        <w:tc>
          <w:tcPr>
            <w:tcW w:w="1520" w:type="dxa"/>
            <w:vAlign w:val="bottom"/>
            <w:tcBorders>
              <w:bottom w:val="single" w:sz="8" w:color="125288"/>
            </w:tcBorders>
          </w:tcPr>
          <w:p>
            <w:pPr>
              <w:ind w:left="40"/>
              <w:spacing w:after="0"/>
              <w:rPr>
                <w:sz w:val="20"/>
                <w:szCs w:val="20"/>
                <w:color w:val="auto"/>
              </w:rPr>
            </w:pPr>
            <w:r>
              <w:rPr>
                <w:rFonts w:ascii="Arial" w:cs="Arial" w:eastAsia="Arial" w:hAnsi="Arial"/>
                <w:sz w:val="15"/>
                <w:szCs w:val="15"/>
                <w:b w:val="1"/>
                <w:bCs w:val="1"/>
                <w:color w:val="125288"/>
              </w:rPr>
              <w:t>Name</w:t>
            </w:r>
          </w:p>
        </w:tc>
        <w:tc>
          <w:tcPr>
            <w:tcW w:w="2180" w:type="dxa"/>
            <w:vAlign w:val="bottom"/>
            <w:tcBorders>
              <w:bottom w:val="single" w:sz="8" w:color="125288"/>
            </w:tcBorders>
            <w:gridSpan w:val="2"/>
          </w:tcPr>
          <w:p>
            <w:pPr>
              <w:ind w:left="500"/>
              <w:spacing w:after="0"/>
              <w:rPr>
                <w:sz w:val="20"/>
                <w:szCs w:val="20"/>
                <w:color w:val="auto"/>
              </w:rPr>
            </w:pPr>
            <w:r>
              <w:rPr>
                <w:rFonts w:ascii="Arial" w:cs="Arial" w:eastAsia="Arial" w:hAnsi="Arial"/>
                <w:sz w:val="15"/>
                <w:szCs w:val="15"/>
                <w:b w:val="1"/>
                <w:bCs w:val="1"/>
                <w:color w:val="125288"/>
              </w:rPr>
              <w:t>Grant Type</w:t>
            </w:r>
          </w:p>
        </w:tc>
        <w:tc>
          <w:tcPr>
            <w:tcW w:w="1760" w:type="dxa"/>
            <w:vAlign w:val="bottom"/>
            <w:tcBorders>
              <w:bottom w:val="single" w:sz="8" w:color="125288"/>
            </w:tcBorders>
          </w:tcPr>
          <w:p>
            <w:pPr>
              <w:ind w:left="660"/>
              <w:spacing w:after="0"/>
              <w:rPr>
                <w:sz w:val="20"/>
                <w:szCs w:val="20"/>
                <w:color w:val="auto"/>
              </w:rPr>
            </w:pPr>
            <w:r>
              <w:rPr>
                <w:rFonts w:ascii="Arial" w:cs="Arial" w:eastAsia="Arial" w:hAnsi="Arial"/>
                <w:sz w:val="15"/>
                <w:szCs w:val="15"/>
                <w:b w:val="1"/>
                <w:bCs w:val="1"/>
                <w:color w:val="125288"/>
              </w:rPr>
              <w:t>Grant Date</w:t>
            </w:r>
          </w:p>
        </w:tc>
        <w:tc>
          <w:tcPr>
            <w:tcW w:w="1660" w:type="dxa"/>
            <w:vAlign w:val="bottom"/>
            <w:tcBorders>
              <w:bottom w:val="single" w:sz="8" w:color="125288"/>
            </w:tcBorders>
          </w:tcPr>
          <w:p>
            <w:pPr>
              <w:ind w:left="300"/>
              <w:spacing w:after="0"/>
              <w:rPr>
                <w:sz w:val="20"/>
                <w:szCs w:val="20"/>
                <w:color w:val="auto"/>
              </w:rPr>
            </w:pPr>
            <w:r>
              <w:rPr>
                <w:rFonts w:ascii="Arial" w:cs="Arial" w:eastAsia="Arial" w:hAnsi="Arial"/>
                <w:sz w:val="15"/>
                <w:szCs w:val="15"/>
                <w:b w:val="1"/>
                <w:bCs w:val="1"/>
                <w:color w:val="125288"/>
              </w:rPr>
              <w:t>Approval Date</w:t>
            </w:r>
            <w:r>
              <w:rPr>
                <w:rFonts w:ascii="Arial" w:cs="Arial" w:eastAsia="Arial" w:hAnsi="Arial"/>
                <w:sz w:val="19"/>
                <w:szCs w:val="19"/>
                <w:b w:val="1"/>
                <w:bCs w:val="1"/>
                <w:color w:val="125288"/>
                <w:vertAlign w:val="superscript"/>
              </w:rPr>
              <w:t>(1)</w:t>
            </w:r>
          </w:p>
        </w:tc>
        <w:tc>
          <w:tcPr>
            <w:tcW w:w="1620" w:type="dxa"/>
            <w:vAlign w:val="bottom"/>
            <w:tcBorders>
              <w:bottom w:val="single" w:sz="8" w:color="125288"/>
            </w:tcBorders>
          </w:tcPr>
          <w:p>
            <w:pPr>
              <w:jc w:val="right"/>
              <w:ind w:right="411"/>
              <w:spacing w:after="0"/>
              <w:rPr>
                <w:sz w:val="20"/>
                <w:szCs w:val="20"/>
                <w:color w:val="auto"/>
              </w:rPr>
            </w:pPr>
            <w:r>
              <w:rPr>
                <w:rFonts w:ascii="Arial" w:cs="Arial" w:eastAsia="Arial" w:hAnsi="Arial"/>
                <w:sz w:val="15"/>
                <w:szCs w:val="15"/>
                <w:b w:val="1"/>
                <w:bCs w:val="1"/>
                <w:color w:val="125288"/>
              </w:rPr>
              <w:t>($)</w:t>
            </w:r>
          </w:p>
        </w:tc>
        <w:tc>
          <w:tcPr>
            <w:tcW w:w="1320" w:type="dxa"/>
            <w:vAlign w:val="bottom"/>
            <w:tcBorders>
              <w:bottom w:val="single" w:sz="8" w:color="125288"/>
            </w:tcBorders>
          </w:tcPr>
          <w:p>
            <w:pPr>
              <w:jc w:val="right"/>
              <w:ind w:right="267"/>
              <w:spacing w:after="0"/>
              <w:rPr>
                <w:sz w:val="20"/>
                <w:szCs w:val="20"/>
                <w:color w:val="auto"/>
              </w:rPr>
            </w:pPr>
            <w:r>
              <w:rPr>
                <w:rFonts w:ascii="Arial" w:cs="Arial" w:eastAsia="Arial" w:hAnsi="Arial"/>
                <w:sz w:val="15"/>
                <w:szCs w:val="15"/>
                <w:b w:val="1"/>
                <w:bCs w:val="1"/>
                <w:color w:val="125288"/>
              </w:rPr>
              <w:t>($)</w:t>
            </w:r>
          </w:p>
        </w:tc>
        <w:tc>
          <w:tcPr>
            <w:tcW w:w="1200" w:type="dxa"/>
            <w:vAlign w:val="bottom"/>
            <w:tcBorders>
              <w:bottom w:val="single" w:sz="8" w:color="125288"/>
            </w:tcBorders>
          </w:tcPr>
          <w:p>
            <w:pPr>
              <w:jc w:val="right"/>
              <w:ind w:right="174"/>
              <w:spacing w:after="0"/>
              <w:rPr>
                <w:sz w:val="20"/>
                <w:szCs w:val="20"/>
                <w:color w:val="auto"/>
              </w:rPr>
            </w:pPr>
            <w:r>
              <w:rPr>
                <w:rFonts w:ascii="Arial" w:cs="Arial" w:eastAsia="Arial" w:hAnsi="Arial"/>
                <w:sz w:val="15"/>
                <w:szCs w:val="15"/>
                <w:b w:val="1"/>
                <w:bCs w:val="1"/>
                <w:color w:val="125288"/>
              </w:rPr>
              <w:t>($)</w:t>
            </w:r>
          </w:p>
        </w:tc>
      </w:tr>
      <w:tr>
        <w:trPr>
          <w:trHeight w:val="265"/>
        </w:trPr>
        <w:tc>
          <w:tcPr>
            <w:tcW w:w="1520" w:type="dxa"/>
            <w:vAlign w:val="bottom"/>
            <w:tcBorders>
              <w:bottom w:val="single" w:sz="8" w:color="125288"/>
            </w:tcBorders>
          </w:tcPr>
          <w:p>
            <w:pPr>
              <w:ind w:left="40"/>
              <w:spacing w:after="0"/>
              <w:rPr>
                <w:sz w:val="20"/>
                <w:szCs w:val="20"/>
                <w:color w:val="auto"/>
              </w:rPr>
            </w:pPr>
            <w:r>
              <w:rPr>
                <w:rFonts w:ascii="Arial" w:cs="Arial" w:eastAsia="Arial" w:hAnsi="Arial"/>
                <w:sz w:val="17"/>
                <w:szCs w:val="17"/>
                <w:color w:val="auto"/>
              </w:rPr>
              <w:t>Robert Kotick</w:t>
            </w:r>
          </w:p>
        </w:tc>
        <w:tc>
          <w:tcPr>
            <w:tcW w:w="500" w:type="dxa"/>
            <w:vAlign w:val="bottom"/>
            <w:tcBorders>
              <w:bottom w:val="single" w:sz="8" w:color="125288"/>
            </w:tcBorders>
          </w:tcPr>
          <w:p>
            <w:pPr>
              <w:spacing w:after="0"/>
              <w:rPr>
                <w:sz w:val="23"/>
                <w:szCs w:val="23"/>
                <w:color w:val="auto"/>
              </w:rPr>
            </w:pPr>
          </w:p>
        </w:tc>
        <w:tc>
          <w:tcPr>
            <w:tcW w:w="1680" w:type="dxa"/>
            <w:vAlign w:val="bottom"/>
            <w:tcBorders>
              <w:bottom w:val="single" w:sz="8" w:color="125288"/>
            </w:tcBorders>
            <w:shd w:val="clear" w:color="auto" w:fill="ECF1F5"/>
          </w:tcPr>
          <w:p>
            <w:pPr>
              <w:spacing w:after="0"/>
              <w:rPr>
                <w:sz w:val="20"/>
                <w:szCs w:val="20"/>
                <w:color w:val="auto"/>
              </w:rPr>
            </w:pPr>
            <w:r>
              <w:rPr>
                <w:rFonts w:ascii="Arial" w:cs="Arial" w:eastAsia="Arial" w:hAnsi="Arial"/>
                <w:sz w:val="17"/>
                <w:szCs w:val="17"/>
                <w:color w:val="auto"/>
              </w:rPr>
              <w:t>CAIP</w:t>
            </w:r>
            <w:r>
              <w:rPr>
                <w:rFonts w:ascii="Arial" w:cs="Arial" w:eastAsia="Arial" w:hAnsi="Arial"/>
                <w:sz w:val="9"/>
                <w:szCs w:val="9"/>
                <w:color w:val="auto"/>
              </w:rPr>
              <w:t>(3)</w:t>
            </w:r>
          </w:p>
        </w:tc>
        <w:tc>
          <w:tcPr>
            <w:tcW w:w="1760" w:type="dxa"/>
            <w:vAlign w:val="bottom"/>
            <w:tcBorders>
              <w:bottom w:val="single" w:sz="8" w:color="125288"/>
            </w:tcBorders>
            <w:shd w:val="clear" w:color="auto" w:fill="ECF1F5"/>
          </w:tcPr>
          <w:p>
            <w:pPr>
              <w:spacing w:after="0"/>
              <w:rPr>
                <w:sz w:val="23"/>
                <w:szCs w:val="23"/>
                <w:color w:val="auto"/>
              </w:rPr>
            </w:pPr>
          </w:p>
        </w:tc>
        <w:tc>
          <w:tcPr>
            <w:tcW w:w="1660" w:type="dxa"/>
            <w:vAlign w:val="bottom"/>
            <w:tcBorders>
              <w:bottom w:val="single" w:sz="8" w:color="125288"/>
            </w:tcBorders>
            <w:shd w:val="clear" w:color="auto" w:fill="ECF1F5"/>
          </w:tcPr>
          <w:p>
            <w:pPr>
              <w:spacing w:after="0"/>
              <w:rPr>
                <w:sz w:val="23"/>
                <w:szCs w:val="23"/>
                <w:color w:val="auto"/>
              </w:rPr>
            </w:pPr>
          </w:p>
        </w:tc>
        <w:tc>
          <w:tcPr>
            <w:tcW w:w="1620" w:type="dxa"/>
            <w:vAlign w:val="bottom"/>
            <w:tcBorders>
              <w:bottom w:val="single" w:sz="8" w:color="125288"/>
            </w:tcBorders>
            <w:shd w:val="clear" w:color="auto" w:fill="ECF1F5"/>
          </w:tcPr>
          <w:p>
            <w:pPr>
              <w:jc w:val="right"/>
              <w:ind w:right="291"/>
              <w:spacing w:after="0" w:line="261"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9"/>
                <w:szCs w:val="9"/>
                <w:color w:val="auto"/>
              </w:rPr>
              <w:t>(4)</w:t>
            </w:r>
          </w:p>
        </w:tc>
        <w:tc>
          <w:tcPr>
            <w:tcW w:w="1320" w:type="dxa"/>
            <w:vAlign w:val="bottom"/>
            <w:tcBorders>
              <w:bottom w:val="single" w:sz="8" w:color="125288"/>
            </w:tcBorders>
            <w:shd w:val="clear" w:color="auto" w:fill="ECF1F5"/>
          </w:tcPr>
          <w:p>
            <w:pPr>
              <w:jc w:val="right"/>
              <w:ind w:right="147"/>
              <w:spacing w:after="0" w:line="261"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9"/>
                <w:szCs w:val="9"/>
                <w:color w:val="auto"/>
              </w:rPr>
              <w:t>(4)</w:t>
            </w:r>
          </w:p>
        </w:tc>
        <w:tc>
          <w:tcPr>
            <w:tcW w:w="1200" w:type="dxa"/>
            <w:vAlign w:val="bottom"/>
            <w:tcBorders>
              <w:bottom w:val="single" w:sz="8" w:color="125288"/>
            </w:tcBorders>
            <w:shd w:val="clear" w:color="auto" w:fill="ECF1F5"/>
          </w:tcPr>
          <w:p>
            <w:pPr>
              <w:jc w:val="right"/>
              <w:ind w:right="54"/>
              <w:spacing w:after="0" w:line="261"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9"/>
                <w:szCs w:val="9"/>
                <w:color w:val="auto"/>
              </w:rPr>
              <w:t>(4)</w:t>
            </w:r>
          </w:p>
        </w:tc>
      </w:tr>
      <w:tr>
        <w:trPr>
          <w:trHeight w:val="252"/>
        </w:trPr>
        <w:tc>
          <w:tcPr>
            <w:tcW w:w="1520" w:type="dxa"/>
            <w:vAlign w:val="bottom"/>
          </w:tcPr>
          <w:p>
            <w:pPr>
              <w:ind w:left="40"/>
              <w:spacing w:after="0"/>
              <w:rPr>
                <w:sz w:val="20"/>
                <w:szCs w:val="20"/>
                <w:color w:val="auto"/>
              </w:rPr>
            </w:pPr>
            <w:r>
              <w:rPr>
                <w:rFonts w:ascii="Arial" w:cs="Arial" w:eastAsia="Arial" w:hAnsi="Arial"/>
                <w:sz w:val="17"/>
                <w:szCs w:val="17"/>
                <w:color w:val="auto"/>
              </w:rPr>
              <w:t>Armin Zerza</w:t>
            </w:r>
          </w:p>
        </w:tc>
        <w:tc>
          <w:tcPr>
            <w:tcW w:w="2180" w:type="dxa"/>
            <w:vAlign w:val="bottom"/>
            <w:gridSpan w:val="2"/>
          </w:tcPr>
          <w:p>
            <w:pPr>
              <w:ind w:left="500"/>
              <w:spacing w:after="0"/>
              <w:rPr>
                <w:sz w:val="20"/>
                <w:szCs w:val="20"/>
                <w:color w:val="auto"/>
              </w:rPr>
            </w:pPr>
            <w:r>
              <w:rPr>
                <w:rFonts w:ascii="Arial" w:cs="Arial" w:eastAsia="Arial" w:hAnsi="Arial"/>
                <w:sz w:val="17"/>
                <w:szCs w:val="17"/>
                <w:color w:val="auto"/>
              </w:rPr>
              <w:t>CAIP</w:t>
            </w:r>
            <w:r>
              <w:rPr>
                <w:rFonts w:ascii="Arial" w:cs="Arial" w:eastAsia="Arial" w:hAnsi="Arial"/>
                <w:sz w:val="9"/>
                <w:szCs w:val="9"/>
                <w:color w:val="auto"/>
              </w:rPr>
              <w:t>(3)</w:t>
            </w:r>
          </w:p>
        </w:tc>
        <w:tc>
          <w:tcPr>
            <w:tcW w:w="17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620" w:type="dxa"/>
            <w:vAlign w:val="bottom"/>
          </w:tcPr>
          <w:p>
            <w:pPr>
              <w:jc w:val="right"/>
              <w:ind w:right="291"/>
              <w:spacing w:after="0"/>
              <w:rPr>
                <w:sz w:val="20"/>
                <w:szCs w:val="20"/>
                <w:color w:val="auto"/>
              </w:rPr>
            </w:pPr>
            <w:r>
              <w:rPr>
                <w:rFonts w:ascii="Arial" w:cs="Arial" w:eastAsia="Arial" w:hAnsi="Arial"/>
                <w:sz w:val="17"/>
                <w:szCs w:val="17"/>
                <w:color w:val="auto"/>
              </w:rPr>
              <w:t>238,749</w:t>
            </w:r>
            <w:r>
              <w:rPr>
                <w:rFonts w:ascii="Arial" w:cs="Arial" w:eastAsia="Arial" w:hAnsi="Arial"/>
                <w:sz w:val="19"/>
                <w:szCs w:val="19"/>
                <w:color w:val="auto"/>
                <w:vertAlign w:val="superscript"/>
              </w:rPr>
              <w:t>(5)</w:t>
            </w:r>
          </w:p>
        </w:tc>
        <w:tc>
          <w:tcPr>
            <w:tcW w:w="1320" w:type="dxa"/>
            <w:vAlign w:val="bottom"/>
          </w:tcPr>
          <w:p>
            <w:pPr>
              <w:jc w:val="right"/>
              <w:ind w:right="147"/>
              <w:spacing w:after="0"/>
              <w:rPr>
                <w:sz w:val="20"/>
                <w:szCs w:val="20"/>
                <w:color w:val="auto"/>
              </w:rPr>
            </w:pPr>
            <w:r>
              <w:rPr>
                <w:rFonts w:ascii="Arial" w:cs="Arial" w:eastAsia="Arial" w:hAnsi="Arial"/>
                <w:sz w:val="17"/>
                <w:szCs w:val="17"/>
                <w:color w:val="auto"/>
              </w:rPr>
              <w:t>994,789</w:t>
            </w:r>
            <w:r>
              <w:rPr>
                <w:rFonts w:ascii="Arial" w:cs="Arial" w:eastAsia="Arial" w:hAnsi="Arial"/>
                <w:sz w:val="19"/>
                <w:szCs w:val="19"/>
                <w:color w:val="auto"/>
                <w:vertAlign w:val="superscript"/>
              </w:rPr>
              <w:t>(5)</w:t>
            </w:r>
          </w:p>
        </w:tc>
        <w:tc>
          <w:tcPr>
            <w:tcW w:w="1200" w:type="dxa"/>
            <w:vAlign w:val="bottom"/>
          </w:tcPr>
          <w:p>
            <w:pPr>
              <w:jc w:val="right"/>
              <w:ind w:right="54"/>
              <w:spacing w:after="0"/>
              <w:rPr>
                <w:sz w:val="20"/>
                <w:szCs w:val="20"/>
                <w:color w:val="auto"/>
              </w:rPr>
            </w:pPr>
            <w:r>
              <w:rPr>
                <w:rFonts w:ascii="Arial" w:cs="Arial" w:eastAsia="Arial" w:hAnsi="Arial"/>
                <w:sz w:val="17"/>
                <w:szCs w:val="17"/>
                <w:color w:val="auto"/>
              </w:rPr>
              <w:t>1,750,828</w:t>
            </w:r>
            <w:r>
              <w:rPr>
                <w:rFonts w:ascii="Arial" w:cs="Arial" w:eastAsia="Arial" w:hAnsi="Arial"/>
                <w:sz w:val="19"/>
                <w:szCs w:val="19"/>
                <w:color w:val="auto"/>
                <w:vertAlign w:val="superscript"/>
              </w:rPr>
              <w:t>(5)</w:t>
            </w:r>
          </w:p>
        </w:tc>
      </w:tr>
      <w:tr>
        <w:trPr>
          <w:trHeight w:val="21"/>
        </w:trPr>
        <w:tc>
          <w:tcPr>
            <w:tcW w:w="15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73"/>
        </w:trPr>
        <w:tc>
          <w:tcPr>
            <w:tcW w:w="1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80" w:type="dxa"/>
            <w:vAlign w:val="bottom"/>
            <w:shd w:val="clear" w:color="auto" w:fill="ECF1F5"/>
          </w:tcPr>
          <w:p>
            <w:pPr>
              <w:spacing w:after="0"/>
              <w:rPr>
                <w:sz w:val="20"/>
                <w:szCs w:val="20"/>
                <w:color w:val="auto"/>
              </w:rPr>
            </w:pPr>
            <w:r>
              <w:rPr>
                <w:rFonts w:ascii="Arial" w:cs="Arial" w:eastAsia="Arial" w:hAnsi="Arial"/>
                <w:sz w:val="17"/>
                <w:szCs w:val="17"/>
                <w:color w:val="auto"/>
              </w:rPr>
              <w:t>BPSA</w:t>
            </w:r>
            <w:r>
              <w:rPr>
                <w:rFonts w:ascii="Arial" w:cs="Arial" w:eastAsia="Arial" w:hAnsi="Arial"/>
                <w:sz w:val="9"/>
                <w:szCs w:val="9"/>
                <w:color w:val="auto"/>
              </w:rPr>
              <w:t>(6)</w:t>
            </w:r>
          </w:p>
        </w:tc>
        <w:tc>
          <w:tcPr>
            <w:tcW w:w="1760" w:type="dxa"/>
            <w:vAlign w:val="bottom"/>
            <w:shd w:val="clear" w:color="auto" w:fill="ECF1F5"/>
          </w:tcPr>
          <w:p>
            <w:pPr>
              <w:spacing w:after="0"/>
              <w:rPr>
                <w:sz w:val="23"/>
                <w:szCs w:val="23"/>
                <w:color w:val="auto"/>
              </w:rPr>
            </w:pPr>
          </w:p>
        </w:tc>
        <w:tc>
          <w:tcPr>
            <w:tcW w:w="1660" w:type="dxa"/>
            <w:vAlign w:val="bottom"/>
            <w:shd w:val="clear" w:color="auto" w:fill="ECF1F5"/>
          </w:tcPr>
          <w:p>
            <w:pPr>
              <w:spacing w:after="0"/>
              <w:rPr>
                <w:sz w:val="23"/>
                <w:szCs w:val="23"/>
                <w:color w:val="auto"/>
              </w:rPr>
            </w:pPr>
          </w:p>
        </w:tc>
        <w:tc>
          <w:tcPr>
            <w:tcW w:w="1620" w:type="dxa"/>
            <w:vAlign w:val="bottom"/>
            <w:shd w:val="clear" w:color="auto" w:fill="ECF1F5"/>
          </w:tcPr>
          <w:p>
            <w:pPr>
              <w:jc w:val="right"/>
              <w:ind w:right="291"/>
              <w:spacing w:after="0" w:line="274"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9"/>
                <w:szCs w:val="9"/>
                <w:color w:val="auto"/>
              </w:rPr>
              <w:t>(6)</w:t>
            </w:r>
          </w:p>
        </w:tc>
        <w:tc>
          <w:tcPr>
            <w:tcW w:w="1320" w:type="dxa"/>
            <w:vAlign w:val="bottom"/>
            <w:shd w:val="clear" w:color="auto" w:fill="ECF1F5"/>
          </w:tcPr>
          <w:p>
            <w:pPr>
              <w:jc w:val="right"/>
              <w:ind w:right="147"/>
              <w:spacing w:after="0"/>
              <w:rPr>
                <w:sz w:val="20"/>
                <w:szCs w:val="20"/>
                <w:color w:val="auto"/>
              </w:rPr>
            </w:pPr>
            <w:r>
              <w:rPr>
                <w:rFonts w:ascii="Arial" w:cs="Arial" w:eastAsia="Arial" w:hAnsi="Arial"/>
                <w:sz w:val="17"/>
                <w:szCs w:val="17"/>
                <w:color w:val="auto"/>
              </w:rPr>
              <w:t>855,936</w:t>
            </w:r>
            <w:r>
              <w:rPr>
                <w:rFonts w:ascii="Arial" w:cs="Arial" w:eastAsia="Arial" w:hAnsi="Arial"/>
                <w:sz w:val="19"/>
                <w:szCs w:val="19"/>
                <w:color w:val="auto"/>
                <w:vertAlign w:val="superscript"/>
              </w:rPr>
              <w:t>(6)</w:t>
            </w:r>
          </w:p>
        </w:tc>
        <w:tc>
          <w:tcPr>
            <w:tcW w:w="1200" w:type="dxa"/>
            <w:vAlign w:val="bottom"/>
            <w:shd w:val="clear" w:color="auto" w:fill="ECF1F5"/>
          </w:tcPr>
          <w:p>
            <w:pPr>
              <w:jc w:val="right"/>
              <w:ind w:right="54"/>
              <w:spacing w:after="0" w:line="274"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9"/>
                <w:szCs w:val="9"/>
                <w:color w:val="auto"/>
              </w:rPr>
              <w:t>(6)</w:t>
            </w:r>
          </w:p>
        </w:tc>
      </w:tr>
      <w:tr>
        <w:trPr>
          <w:trHeight w:val="24"/>
        </w:trPr>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shd w:val="clear" w:color="auto" w:fill="ECF1F5"/>
          </w:tcPr>
          <w:p>
            <w:pPr>
              <w:spacing w:after="0"/>
              <w:rPr>
                <w:sz w:val="2"/>
                <w:szCs w:val="2"/>
                <w:color w:val="auto"/>
              </w:rPr>
            </w:pPr>
          </w:p>
        </w:tc>
        <w:tc>
          <w:tcPr>
            <w:tcW w:w="1760" w:type="dxa"/>
            <w:vAlign w:val="bottom"/>
            <w:shd w:val="clear" w:color="auto" w:fill="ECF1F5"/>
          </w:tcPr>
          <w:p>
            <w:pPr>
              <w:spacing w:after="0"/>
              <w:rPr>
                <w:sz w:val="2"/>
                <w:szCs w:val="2"/>
                <w:color w:val="auto"/>
              </w:rPr>
            </w:pPr>
          </w:p>
        </w:tc>
        <w:tc>
          <w:tcPr>
            <w:tcW w:w="1660" w:type="dxa"/>
            <w:vAlign w:val="bottom"/>
            <w:shd w:val="clear" w:color="auto" w:fill="ECF1F5"/>
          </w:tcPr>
          <w:p>
            <w:pPr>
              <w:spacing w:after="0"/>
              <w:rPr>
                <w:sz w:val="2"/>
                <w:szCs w:val="2"/>
                <w:color w:val="auto"/>
              </w:rPr>
            </w:pPr>
          </w:p>
        </w:tc>
        <w:tc>
          <w:tcPr>
            <w:tcW w:w="1620" w:type="dxa"/>
            <w:vAlign w:val="bottom"/>
            <w:shd w:val="clear" w:color="auto" w:fill="ECF1F5"/>
          </w:tcPr>
          <w:p>
            <w:pPr>
              <w:spacing w:after="0"/>
              <w:rPr>
                <w:sz w:val="2"/>
                <w:szCs w:val="2"/>
                <w:color w:val="auto"/>
              </w:rPr>
            </w:pPr>
          </w:p>
        </w:tc>
        <w:tc>
          <w:tcPr>
            <w:tcW w:w="1320" w:type="dxa"/>
            <w:vAlign w:val="bottom"/>
            <w:shd w:val="clear" w:color="auto" w:fill="ECF1F5"/>
          </w:tcPr>
          <w:p>
            <w:pPr>
              <w:spacing w:after="0"/>
              <w:rPr>
                <w:sz w:val="2"/>
                <w:szCs w:val="2"/>
                <w:color w:val="auto"/>
              </w:rPr>
            </w:pPr>
          </w:p>
        </w:tc>
        <w:tc>
          <w:tcPr>
            <w:tcW w:w="1200" w:type="dxa"/>
            <w:vAlign w:val="bottom"/>
            <w:shd w:val="clear" w:color="auto" w:fill="ECF1F5"/>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1280160</wp:posOffset>
            </wp:positionH>
            <wp:positionV relativeFrom="paragraph">
              <wp:posOffset>-195580</wp:posOffset>
            </wp:positionV>
            <wp:extent cx="5865495" cy="152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865495" cy="15240"/>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52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7"/>
                <w:szCs w:val="17"/>
                <w:color w:val="auto"/>
                <w:w w:val="95"/>
              </w:rPr>
              <w:t>2014</w:t>
            </w:r>
          </w:p>
        </w:tc>
        <w:tc>
          <w:tcPr>
            <w:tcW w:w="1300" w:type="dxa"/>
            <w:vAlign w:val="bottom"/>
          </w:tcPr>
          <w:p>
            <w:pPr>
              <w:ind w:left="40"/>
              <w:spacing w:after="0"/>
              <w:rPr>
                <w:sz w:val="20"/>
                <w:szCs w:val="20"/>
                <w:color w:val="auto"/>
              </w:rPr>
            </w:pPr>
            <w:r>
              <w:rPr>
                <w:rFonts w:ascii="Arial" w:cs="Arial" w:eastAsia="Arial" w:hAnsi="Arial"/>
                <w:sz w:val="17"/>
                <w:szCs w:val="17"/>
                <w:color w:val="auto"/>
              </w:rPr>
              <w:t>Plan/PSUs</w:t>
            </w:r>
          </w:p>
        </w:tc>
        <w:tc>
          <w:tcPr>
            <w:tcW w:w="2100" w:type="dxa"/>
            <w:vAlign w:val="bottom"/>
          </w:tcPr>
          <w:p>
            <w:pPr>
              <w:jc w:val="right"/>
              <w:ind w:right="557"/>
              <w:spacing w:after="0"/>
              <w:rPr>
                <w:sz w:val="20"/>
                <w:szCs w:val="20"/>
                <w:color w:val="auto"/>
              </w:rPr>
            </w:pPr>
            <w:r>
              <w:rPr>
                <w:rFonts w:ascii="Arial" w:cs="Arial" w:eastAsia="Arial" w:hAnsi="Arial"/>
                <w:sz w:val="17"/>
                <w:szCs w:val="17"/>
                <w:color w:val="auto"/>
              </w:rPr>
              <w:t>4/29/21</w:t>
            </w:r>
          </w:p>
        </w:tc>
        <w:tc>
          <w:tcPr>
            <w:tcW w:w="2900" w:type="dxa"/>
            <w:vAlign w:val="bottom"/>
          </w:tcPr>
          <w:p>
            <w:pPr>
              <w:jc w:val="right"/>
              <w:ind w:right="1697"/>
              <w:spacing w:after="0"/>
              <w:rPr>
                <w:sz w:val="20"/>
                <w:szCs w:val="20"/>
                <w:color w:val="auto"/>
              </w:rPr>
            </w:pPr>
            <w:r>
              <w:rPr>
                <w:rFonts w:ascii="Arial" w:cs="Arial" w:eastAsia="Arial" w:hAnsi="Arial"/>
                <w:sz w:val="17"/>
                <w:szCs w:val="17"/>
                <w:color w:val="auto"/>
              </w:rPr>
              <w:t>4/29/21</w:t>
            </w:r>
          </w:p>
        </w:tc>
        <w:tc>
          <w:tcPr>
            <w:tcW w:w="13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5"/>
        </w:trPr>
        <w:tc>
          <w:tcPr>
            <w:tcW w:w="152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300" w:type="dxa"/>
            <w:vAlign w:val="bottom"/>
          </w:tcPr>
          <w:p>
            <w:pPr>
              <w:spacing w:after="0"/>
              <w:rPr>
                <w:sz w:val="3"/>
                <w:szCs w:val="3"/>
                <w:color w:val="auto"/>
              </w:rPr>
            </w:pPr>
          </w:p>
        </w:tc>
        <w:tc>
          <w:tcPr>
            <w:tcW w:w="2100" w:type="dxa"/>
            <w:vAlign w:val="bottom"/>
          </w:tcPr>
          <w:p>
            <w:pPr>
              <w:spacing w:after="0"/>
              <w:rPr>
                <w:sz w:val="3"/>
                <w:szCs w:val="3"/>
                <w:color w:val="auto"/>
              </w:rPr>
            </w:pPr>
          </w:p>
        </w:tc>
        <w:tc>
          <w:tcPr>
            <w:tcW w:w="29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77"/>
        </w:trPr>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Borders>
              <w:bottom w:val="single" w:sz="8" w:color="ECF1F5"/>
            </w:tcBorders>
            <w:shd w:val="clear" w:color="auto" w:fill="ECF1F5"/>
          </w:tcPr>
          <w:p>
            <w:pPr>
              <w:spacing w:after="0"/>
              <w:rPr>
                <w:sz w:val="20"/>
                <w:szCs w:val="20"/>
                <w:color w:val="auto"/>
              </w:rPr>
            </w:pPr>
            <w:r>
              <w:rPr>
                <w:rFonts w:ascii="Arial" w:cs="Arial" w:eastAsia="Arial" w:hAnsi="Arial"/>
                <w:sz w:val="17"/>
                <w:szCs w:val="17"/>
                <w:color w:val="auto"/>
                <w:w w:val="95"/>
              </w:rPr>
              <w:t>2014</w:t>
            </w:r>
          </w:p>
        </w:tc>
        <w:tc>
          <w:tcPr>
            <w:tcW w:w="1300" w:type="dxa"/>
            <w:vAlign w:val="bottom"/>
            <w:tcBorders>
              <w:bottom w:val="single" w:sz="8" w:color="ECF1F5"/>
            </w:tcBorders>
            <w:shd w:val="clear" w:color="auto" w:fill="ECF1F5"/>
          </w:tcPr>
          <w:p>
            <w:pPr>
              <w:ind w:left="40"/>
              <w:spacing w:after="0"/>
              <w:rPr>
                <w:sz w:val="20"/>
                <w:szCs w:val="20"/>
                <w:color w:val="auto"/>
              </w:rPr>
            </w:pPr>
            <w:r>
              <w:rPr>
                <w:rFonts w:ascii="Arial" w:cs="Arial" w:eastAsia="Arial" w:hAnsi="Arial"/>
                <w:sz w:val="17"/>
                <w:szCs w:val="17"/>
                <w:color w:val="auto"/>
              </w:rPr>
              <w:t>Plan/PSUs</w:t>
            </w:r>
          </w:p>
        </w:tc>
        <w:tc>
          <w:tcPr>
            <w:tcW w:w="2100" w:type="dxa"/>
            <w:vAlign w:val="bottom"/>
            <w:tcBorders>
              <w:bottom w:val="single" w:sz="8" w:color="ECF1F5"/>
            </w:tcBorders>
            <w:shd w:val="clear" w:color="auto" w:fill="ECF1F5"/>
          </w:tcPr>
          <w:p>
            <w:pPr>
              <w:jc w:val="right"/>
              <w:ind w:right="557"/>
              <w:spacing w:after="0"/>
              <w:rPr>
                <w:sz w:val="20"/>
                <w:szCs w:val="20"/>
                <w:color w:val="auto"/>
              </w:rPr>
            </w:pPr>
            <w:r>
              <w:rPr>
                <w:rFonts w:ascii="Arial" w:cs="Arial" w:eastAsia="Arial" w:hAnsi="Arial"/>
                <w:sz w:val="17"/>
                <w:szCs w:val="17"/>
                <w:color w:val="auto"/>
              </w:rPr>
              <w:t>4/29/21</w:t>
            </w:r>
          </w:p>
        </w:tc>
        <w:tc>
          <w:tcPr>
            <w:tcW w:w="2900" w:type="dxa"/>
            <w:vAlign w:val="bottom"/>
            <w:tcBorders>
              <w:bottom w:val="single" w:sz="8" w:color="ECF1F5"/>
            </w:tcBorders>
            <w:shd w:val="clear" w:color="auto" w:fill="ECF1F5"/>
          </w:tcPr>
          <w:p>
            <w:pPr>
              <w:jc w:val="right"/>
              <w:ind w:right="1697"/>
              <w:spacing w:after="0"/>
              <w:rPr>
                <w:sz w:val="20"/>
                <w:szCs w:val="20"/>
                <w:color w:val="auto"/>
              </w:rPr>
            </w:pPr>
            <w:r>
              <w:rPr>
                <w:rFonts w:ascii="Arial" w:cs="Arial" w:eastAsia="Arial" w:hAnsi="Arial"/>
                <w:sz w:val="17"/>
                <w:szCs w:val="17"/>
                <w:color w:val="auto"/>
              </w:rPr>
              <w:t>4/29/21</w:t>
            </w:r>
          </w:p>
        </w:tc>
        <w:tc>
          <w:tcPr>
            <w:tcW w:w="1380" w:type="dxa"/>
            <w:vAlign w:val="bottom"/>
            <w:tcBorders>
              <w:bottom w:val="single" w:sz="8" w:color="ECF1F5"/>
            </w:tcBorders>
            <w:shd w:val="clear" w:color="auto" w:fill="ECF1F5"/>
          </w:tcPr>
          <w:p>
            <w:pPr>
              <w:spacing w:after="0"/>
              <w:rPr>
                <w:sz w:val="24"/>
                <w:szCs w:val="24"/>
                <w:color w:val="auto"/>
              </w:rPr>
            </w:pPr>
          </w:p>
        </w:tc>
        <w:tc>
          <w:tcPr>
            <w:tcW w:w="1180" w:type="dxa"/>
            <w:vAlign w:val="bottom"/>
            <w:tcBorders>
              <w:bottom w:val="single" w:sz="8" w:color="ECF1F5"/>
            </w:tcBorders>
            <w:shd w:val="clear" w:color="auto" w:fill="ECF1F5"/>
          </w:tcPr>
          <w:p>
            <w:pPr>
              <w:spacing w:after="0"/>
              <w:rPr>
                <w:sz w:val="24"/>
                <w:szCs w:val="24"/>
                <w:color w:val="auto"/>
              </w:rPr>
            </w:pPr>
          </w:p>
        </w:tc>
      </w:tr>
      <w:tr>
        <w:trPr>
          <w:trHeight w:val="228"/>
        </w:trPr>
        <w:tc>
          <w:tcPr>
            <w:tcW w:w="1520" w:type="dxa"/>
            <w:vAlign w:val="bottom"/>
          </w:tcPr>
          <w:p>
            <w:pPr>
              <w:spacing w:after="0"/>
              <w:rPr>
                <w:sz w:val="19"/>
                <w:szCs w:val="19"/>
                <w:color w:val="auto"/>
              </w:rPr>
            </w:pPr>
          </w:p>
        </w:tc>
        <w:tc>
          <w:tcPr>
            <w:tcW w:w="880" w:type="dxa"/>
            <w:vAlign w:val="bottom"/>
            <w:gridSpan w:val="2"/>
          </w:tcPr>
          <w:p>
            <w:pPr>
              <w:ind w:left="500"/>
              <w:spacing w:after="0"/>
              <w:rPr>
                <w:sz w:val="20"/>
                <w:szCs w:val="20"/>
                <w:color w:val="auto"/>
              </w:rPr>
            </w:pPr>
            <w:r>
              <w:rPr>
                <w:rFonts w:ascii="Arial" w:cs="Arial" w:eastAsia="Arial" w:hAnsi="Arial"/>
                <w:sz w:val="17"/>
                <w:szCs w:val="17"/>
                <w:color w:val="auto"/>
                <w:w w:val="95"/>
              </w:rPr>
              <w:t>2014</w:t>
            </w:r>
          </w:p>
        </w:tc>
        <w:tc>
          <w:tcPr>
            <w:tcW w:w="1300" w:type="dxa"/>
            <w:vAlign w:val="bottom"/>
          </w:tcPr>
          <w:p>
            <w:pPr>
              <w:ind w:left="40"/>
              <w:spacing w:after="0"/>
              <w:rPr>
                <w:sz w:val="20"/>
                <w:szCs w:val="20"/>
                <w:color w:val="auto"/>
              </w:rPr>
            </w:pPr>
            <w:r>
              <w:rPr>
                <w:rFonts w:ascii="Arial" w:cs="Arial" w:eastAsia="Arial" w:hAnsi="Arial"/>
                <w:sz w:val="17"/>
                <w:szCs w:val="17"/>
                <w:color w:val="auto"/>
              </w:rPr>
              <w:t>Plan/PSUs</w:t>
            </w:r>
          </w:p>
        </w:tc>
        <w:tc>
          <w:tcPr>
            <w:tcW w:w="2100" w:type="dxa"/>
            <w:vAlign w:val="bottom"/>
          </w:tcPr>
          <w:p>
            <w:pPr>
              <w:jc w:val="right"/>
              <w:ind w:right="557"/>
              <w:spacing w:after="0"/>
              <w:rPr>
                <w:sz w:val="20"/>
                <w:szCs w:val="20"/>
                <w:color w:val="auto"/>
              </w:rPr>
            </w:pPr>
            <w:r>
              <w:rPr>
                <w:rFonts w:ascii="Arial" w:cs="Arial" w:eastAsia="Arial" w:hAnsi="Arial"/>
                <w:sz w:val="17"/>
                <w:szCs w:val="17"/>
                <w:color w:val="auto"/>
              </w:rPr>
              <w:t>4/29/21</w:t>
            </w:r>
          </w:p>
        </w:tc>
        <w:tc>
          <w:tcPr>
            <w:tcW w:w="2900" w:type="dxa"/>
            <w:vAlign w:val="bottom"/>
          </w:tcPr>
          <w:p>
            <w:pPr>
              <w:jc w:val="right"/>
              <w:ind w:right="1697"/>
              <w:spacing w:after="0"/>
              <w:rPr>
                <w:sz w:val="20"/>
                <w:szCs w:val="20"/>
                <w:color w:val="auto"/>
              </w:rPr>
            </w:pPr>
            <w:r>
              <w:rPr>
                <w:rFonts w:ascii="Arial" w:cs="Arial" w:eastAsia="Arial" w:hAnsi="Arial"/>
                <w:sz w:val="17"/>
                <w:szCs w:val="17"/>
                <w:color w:val="auto"/>
              </w:rPr>
              <w:t>4/29/21</w:t>
            </w:r>
          </w:p>
        </w:tc>
        <w:tc>
          <w:tcPr>
            <w:tcW w:w="1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5"/>
        </w:trPr>
        <w:tc>
          <w:tcPr>
            <w:tcW w:w="152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300" w:type="dxa"/>
            <w:vAlign w:val="bottom"/>
          </w:tcPr>
          <w:p>
            <w:pPr>
              <w:spacing w:after="0"/>
              <w:rPr>
                <w:sz w:val="3"/>
                <w:szCs w:val="3"/>
                <w:color w:val="auto"/>
              </w:rPr>
            </w:pPr>
          </w:p>
        </w:tc>
        <w:tc>
          <w:tcPr>
            <w:tcW w:w="2100" w:type="dxa"/>
            <w:vAlign w:val="bottom"/>
          </w:tcPr>
          <w:p>
            <w:pPr>
              <w:spacing w:after="0"/>
              <w:rPr>
                <w:sz w:val="3"/>
                <w:szCs w:val="3"/>
                <w:color w:val="auto"/>
              </w:rPr>
            </w:pPr>
          </w:p>
        </w:tc>
        <w:tc>
          <w:tcPr>
            <w:tcW w:w="29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77"/>
        </w:trPr>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Borders>
              <w:bottom w:val="single" w:sz="8" w:color="ECF1F5"/>
            </w:tcBorders>
            <w:shd w:val="clear" w:color="auto" w:fill="ECF1F5"/>
          </w:tcPr>
          <w:p>
            <w:pPr>
              <w:spacing w:after="0"/>
              <w:rPr>
                <w:sz w:val="20"/>
                <w:szCs w:val="20"/>
                <w:color w:val="auto"/>
              </w:rPr>
            </w:pPr>
            <w:r>
              <w:rPr>
                <w:rFonts w:ascii="Arial" w:cs="Arial" w:eastAsia="Arial" w:hAnsi="Arial"/>
                <w:sz w:val="17"/>
                <w:szCs w:val="17"/>
                <w:color w:val="auto"/>
                <w:w w:val="95"/>
              </w:rPr>
              <w:t>2014</w:t>
            </w:r>
          </w:p>
        </w:tc>
        <w:tc>
          <w:tcPr>
            <w:tcW w:w="1300" w:type="dxa"/>
            <w:vAlign w:val="bottom"/>
            <w:tcBorders>
              <w:bottom w:val="single" w:sz="8" w:color="ECF1F5"/>
            </w:tcBorders>
            <w:shd w:val="clear" w:color="auto" w:fill="ECF1F5"/>
          </w:tcPr>
          <w:p>
            <w:pPr>
              <w:ind w:left="40"/>
              <w:spacing w:after="0"/>
              <w:rPr>
                <w:sz w:val="20"/>
                <w:szCs w:val="20"/>
                <w:color w:val="auto"/>
              </w:rPr>
            </w:pPr>
            <w:r>
              <w:rPr>
                <w:rFonts w:ascii="Arial" w:cs="Arial" w:eastAsia="Arial" w:hAnsi="Arial"/>
                <w:sz w:val="17"/>
                <w:szCs w:val="17"/>
                <w:color w:val="auto"/>
              </w:rPr>
              <w:t>Plan/PSUs</w:t>
            </w:r>
          </w:p>
        </w:tc>
        <w:tc>
          <w:tcPr>
            <w:tcW w:w="2100" w:type="dxa"/>
            <w:vAlign w:val="bottom"/>
            <w:tcBorders>
              <w:bottom w:val="single" w:sz="8" w:color="ECF1F5"/>
            </w:tcBorders>
            <w:shd w:val="clear" w:color="auto" w:fill="ECF1F5"/>
          </w:tcPr>
          <w:p>
            <w:pPr>
              <w:jc w:val="right"/>
              <w:ind w:right="557"/>
              <w:spacing w:after="0"/>
              <w:rPr>
                <w:sz w:val="20"/>
                <w:szCs w:val="20"/>
                <w:color w:val="auto"/>
              </w:rPr>
            </w:pPr>
            <w:r>
              <w:rPr>
                <w:rFonts w:ascii="Arial" w:cs="Arial" w:eastAsia="Arial" w:hAnsi="Arial"/>
                <w:sz w:val="17"/>
                <w:szCs w:val="17"/>
                <w:color w:val="auto"/>
              </w:rPr>
              <w:t>4/29/21</w:t>
            </w:r>
          </w:p>
        </w:tc>
        <w:tc>
          <w:tcPr>
            <w:tcW w:w="2900" w:type="dxa"/>
            <w:vAlign w:val="bottom"/>
            <w:tcBorders>
              <w:bottom w:val="single" w:sz="8" w:color="ECF1F5"/>
            </w:tcBorders>
            <w:shd w:val="clear" w:color="auto" w:fill="ECF1F5"/>
          </w:tcPr>
          <w:p>
            <w:pPr>
              <w:jc w:val="right"/>
              <w:ind w:right="1697"/>
              <w:spacing w:after="0"/>
              <w:rPr>
                <w:sz w:val="20"/>
                <w:szCs w:val="20"/>
                <w:color w:val="auto"/>
              </w:rPr>
            </w:pPr>
            <w:r>
              <w:rPr>
                <w:rFonts w:ascii="Arial" w:cs="Arial" w:eastAsia="Arial" w:hAnsi="Arial"/>
                <w:sz w:val="17"/>
                <w:szCs w:val="17"/>
                <w:color w:val="auto"/>
              </w:rPr>
              <w:t>4/29/21</w:t>
            </w:r>
          </w:p>
        </w:tc>
        <w:tc>
          <w:tcPr>
            <w:tcW w:w="1380" w:type="dxa"/>
            <w:vAlign w:val="bottom"/>
            <w:tcBorders>
              <w:bottom w:val="single" w:sz="8" w:color="ECF1F5"/>
            </w:tcBorders>
            <w:shd w:val="clear" w:color="auto" w:fill="ECF1F5"/>
          </w:tcPr>
          <w:p>
            <w:pPr>
              <w:spacing w:after="0"/>
              <w:rPr>
                <w:sz w:val="24"/>
                <w:szCs w:val="24"/>
                <w:color w:val="auto"/>
              </w:rPr>
            </w:pPr>
          </w:p>
        </w:tc>
        <w:tc>
          <w:tcPr>
            <w:tcW w:w="1180" w:type="dxa"/>
            <w:vAlign w:val="bottom"/>
            <w:tcBorders>
              <w:bottom w:val="single" w:sz="8" w:color="ECF1F5"/>
            </w:tcBorders>
            <w:shd w:val="clear" w:color="auto" w:fill="ECF1F5"/>
          </w:tcPr>
          <w:p>
            <w:pPr>
              <w:spacing w:after="0"/>
              <w:rPr>
                <w:sz w:val="24"/>
                <w:szCs w:val="24"/>
                <w:color w:val="auto"/>
              </w:rPr>
            </w:pPr>
          </w:p>
        </w:tc>
      </w:tr>
      <w:tr>
        <w:trPr>
          <w:trHeight w:val="228"/>
        </w:trPr>
        <w:tc>
          <w:tcPr>
            <w:tcW w:w="1520" w:type="dxa"/>
            <w:vAlign w:val="bottom"/>
          </w:tcPr>
          <w:p>
            <w:pPr>
              <w:spacing w:after="0"/>
              <w:rPr>
                <w:sz w:val="19"/>
                <w:szCs w:val="19"/>
                <w:color w:val="auto"/>
              </w:rPr>
            </w:pPr>
          </w:p>
        </w:tc>
        <w:tc>
          <w:tcPr>
            <w:tcW w:w="880" w:type="dxa"/>
            <w:vAlign w:val="bottom"/>
            <w:gridSpan w:val="2"/>
          </w:tcPr>
          <w:p>
            <w:pPr>
              <w:ind w:left="500"/>
              <w:spacing w:after="0"/>
              <w:rPr>
                <w:sz w:val="20"/>
                <w:szCs w:val="20"/>
                <w:color w:val="auto"/>
              </w:rPr>
            </w:pPr>
            <w:r>
              <w:rPr>
                <w:rFonts w:ascii="Arial" w:cs="Arial" w:eastAsia="Arial" w:hAnsi="Arial"/>
                <w:sz w:val="17"/>
                <w:szCs w:val="17"/>
                <w:color w:val="auto"/>
                <w:w w:val="95"/>
              </w:rPr>
              <w:t>2014</w:t>
            </w:r>
          </w:p>
        </w:tc>
        <w:tc>
          <w:tcPr>
            <w:tcW w:w="1300" w:type="dxa"/>
            <w:vAlign w:val="bottom"/>
          </w:tcPr>
          <w:p>
            <w:pPr>
              <w:ind w:left="40"/>
              <w:spacing w:after="0"/>
              <w:rPr>
                <w:sz w:val="20"/>
                <w:szCs w:val="20"/>
                <w:color w:val="auto"/>
              </w:rPr>
            </w:pPr>
            <w:r>
              <w:rPr>
                <w:rFonts w:ascii="Arial" w:cs="Arial" w:eastAsia="Arial" w:hAnsi="Arial"/>
                <w:sz w:val="17"/>
                <w:szCs w:val="17"/>
                <w:color w:val="auto"/>
              </w:rPr>
              <w:t>Plan/PSUs</w:t>
            </w:r>
          </w:p>
        </w:tc>
        <w:tc>
          <w:tcPr>
            <w:tcW w:w="2100" w:type="dxa"/>
            <w:vAlign w:val="bottom"/>
          </w:tcPr>
          <w:p>
            <w:pPr>
              <w:jc w:val="right"/>
              <w:ind w:right="557"/>
              <w:spacing w:after="0"/>
              <w:rPr>
                <w:sz w:val="20"/>
                <w:szCs w:val="20"/>
                <w:color w:val="auto"/>
              </w:rPr>
            </w:pPr>
            <w:r>
              <w:rPr>
                <w:rFonts w:ascii="Arial" w:cs="Arial" w:eastAsia="Arial" w:hAnsi="Arial"/>
                <w:sz w:val="17"/>
                <w:szCs w:val="17"/>
                <w:color w:val="auto"/>
              </w:rPr>
              <w:t>4/29/21</w:t>
            </w:r>
          </w:p>
        </w:tc>
        <w:tc>
          <w:tcPr>
            <w:tcW w:w="2900" w:type="dxa"/>
            <w:vAlign w:val="bottom"/>
          </w:tcPr>
          <w:p>
            <w:pPr>
              <w:jc w:val="right"/>
              <w:ind w:right="1697"/>
              <w:spacing w:after="0"/>
              <w:rPr>
                <w:sz w:val="20"/>
                <w:szCs w:val="20"/>
                <w:color w:val="auto"/>
              </w:rPr>
            </w:pPr>
            <w:r>
              <w:rPr>
                <w:rFonts w:ascii="Arial" w:cs="Arial" w:eastAsia="Arial" w:hAnsi="Arial"/>
                <w:sz w:val="17"/>
                <w:szCs w:val="17"/>
                <w:color w:val="auto"/>
              </w:rPr>
              <w:t>4/29/21</w:t>
            </w:r>
          </w:p>
        </w:tc>
        <w:tc>
          <w:tcPr>
            <w:tcW w:w="1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5"/>
        </w:trPr>
        <w:tc>
          <w:tcPr>
            <w:tcW w:w="152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300" w:type="dxa"/>
            <w:vAlign w:val="bottom"/>
          </w:tcPr>
          <w:p>
            <w:pPr>
              <w:spacing w:after="0"/>
              <w:rPr>
                <w:sz w:val="3"/>
                <w:szCs w:val="3"/>
                <w:color w:val="auto"/>
              </w:rPr>
            </w:pPr>
          </w:p>
        </w:tc>
        <w:tc>
          <w:tcPr>
            <w:tcW w:w="2100" w:type="dxa"/>
            <w:vAlign w:val="bottom"/>
          </w:tcPr>
          <w:p>
            <w:pPr>
              <w:spacing w:after="0"/>
              <w:rPr>
                <w:sz w:val="3"/>
                <w:szCs w:val="3"/>
                <w:color w:val="auto"/>
              </w:rPr>
            </w:pPr>
          </w:p>
        </w:tc>
        <w:tc>
          <w:tcPr>
            <w:tcW w:w="29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77"/>
        </w:trPr>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Borders>
              <w:bottom w:val="single" w:sz="8" w:color="ECF1F5"/>
            </w:tcBorders>
            <w:shd w:val="clear" w:color="auto" w:fill="ECF1F5"/>
          </w:tcPr>
          <w:p>
            <w:pPr>
              <w:spacing w:after="0"/>
              <w:rPr>
                <w:sz w:val="20"/>
                <w:szCs w:val="20"/>
                <w:color w:val="auto"/>
              </w:rPr>
            </w:pPr>
            <w:r>
              <w:rPr>
                <w:rFonts w:ascii="Arial" w:cs="Arial" w:eastAsia="Arial" w:hAnsi="Arial"/>
                <w:sz w:val="17"/>
                <w:szCs w:val="17"/>
                <w:color w:val="auto"/>
                <w:w w:val="95"/>
              </w:rPr>
              <w:t>2014</w:t>
            </w:r>
          </w:p>
        </w:tc>
        <w:tc>
          <w:tcPr>
            <w:tcW w:w="1300" w:type="dxa"/>
            <w:vAlign w:val="bottom"/>
            <w:tcBorders>
              <w:bottom w:val="single" w:sz="8" w:color="ECF1F5"/>
            </w:tcBorders>
            <w:shd w:val="clear" w:color="auto" w:fill="ECF1F5"/>
          </w:tcPr>
          <w:p>
            <w:pPr>
              <w:ind w:left="40"/>
              <w:spacing w:after="0"/>
              <w:rPr>
                <w:sz w:val="20"/>
                <w:szCs w:val="20"/>
                <w:color w:val="auto"/>
              </w:rPr>
            </w:pPr>
            <w:r>
              <w:rPr>
                <w:rFonts w:ascii="Arial" w:cs="Arial" w:eastAsia="Arial" w:hAnsi="Arial"/>
                <w:sz w:val="17"/>
                <w:szCs w:val="17"/>
                <w:color w:val="auto"/>
              </w:rPr>
              <w:t>Plan/PSUs</w:t>
            </w:r>
          </w:p>
        </w:tc>
        <w:tc>
          <w:tcPr>
            <w:tcW w:w="2100" w:type="dxa"/>
            <w:vAlign w:val="bottom"/>
            <w:tcBorders>
              <w:bottom w:val="single" w:sz="8" w:color="ECF1F5"/>
            </w:tcBorders>
            <w:shd w:val="clear" w:color="auto" w:fill="ECF1F5"/>
          </w:tcPr>
          <w:p>
            <w:pPr>
              <w:jc w:val="right"/>
              <w:ind w:right="557"/>
              <w:spacing w:after="0"/>
              <w:rPr>
                <w:sz w:val="20"/>
                <w:szCs w:val="20"/>
                <w:color w:val="auto"/>
              </w:rPr>
            </w:pPr>
            <w:r>
              <w:rPr>
                <w:rFonts w:ascii="Arial" w:cs="Arial" w:eastAsia="Arial" w:hAnsi="Arial"/>
                <w:sz w:val="17"/>
                <w:szCs w:val="17"/>
                <w:color w:val="auto"/>
              </w:rPr>
              <w:t>5/6/21</w:t>
            </w:r>
          </w:p>
        </w:tc>
        <w:tc>
          <w:tcPr>
            <w:tcW w:w="2900" w:type="dxa"/>
            <w:vAlign w:val="bottom"/>
            <w:tcBorders>
              <w:bottom w:val="single" w:sz="8" w:color="ECF1F5"/>
            </w:tcBorders>
            <w:shd w:val="clear" w:color="auto" w:fill="ECF1F5"/>
          </w:tcPr>
          <w:p>
            <w:pPr>
              <w:jc w:val="right"/>
              <w:ind w:right="1537"/>
              <w:spacing w:after="0"/>
              <w:rPr>
                <w:sz w:val="20"/>
                <w:szCs w:val="20"/>
                <w:color w:val="auto"/>
              </w:rPr>
            </w:pPr>
            <w:r>
              <w:rPr>
                <w:rFonts w:ascii="Arial" w:cs="Arial" w:eastAsia="Arial" w:hAnsi="Arial"/>
                <w:sz w:val="17"/>
                <w:szCs w:val="17"/>
                <w:color w:val="auto"/>
              </w:rPr>
              <w:t>4/29/21</w:t>
            </w:r>
            <w:r>
              <w:rPr>
                <w:rFonts w:ascii="Arial" w:cs="Arial" w:eastAsia="Arial" w:hAnsi="Arial"/>
                <w:sz w:val="19"/>
                <w:szCs w:val="19"/>
                <w:color w:val="auto"/>
                <w:vertAlign w:val="superscript"/>
              </w:rPr>
              <w:t>(12)</w:t>
            </w:r>
          </w:p>
        </w:tc>
        <w:tc>
          <w:tcPr>
            <w:tcW w:w="1380" w:type="dxa"/>
            <w:vAlign w:val="bottom"/>
            <w:tcBorders>
              <w:bottom w:val="single" w:sz="8" w:color="ECF1F5"/>
            </w:tcBorders>
            <w:shd w:val="clear" w:color="auto" w:fill="ECF1F5"/>
          </w:tcPr>
          <w:p>
            <w:pPr>
              <w:spacing w:after="0"/>
              <w:rPr>
                <w:sz w:val="24"/>
                <w:szCs w:val="24"/>
                <w:color w:val="auto"/>
              </w:rPr>
            </w:pPr>
          </w:p>
        </w:tc>
        <w:tc>
          <w:tcPr>
            <w:tcW w:w="1180" w:type="dxa"/>
            <w:vAlign w:val="bottom"/>
            <w:tcBorders>
              <w:bottom w:val="single" w:sz="8" w:color="ECF1F5"/>
            </w:tcBorders>
            <w:shd w:val="clear" w:color="auto" w:fill="ECF1F5"/>
          </w:tcPr>
          <w:p>
            <w:pPr>
              <w:spacing w:after="0"/>
              <w:rPr>
                <w:sz w:val="24"/>
                <w:szCs w:val="24"/>
                <w:color w:val="auto"/>
              </w:rPr>
            </w:pPr>
          </w:p>
        </w:tc>
      </w:tr>
      <w:tr>
        <w:trPr>
          <w:trHeight w:val="228"/>
        </w:trPr>
        <w:tc>
          <w:tcPr>
            <w:tcW w:w="1520" w:type="dxa"/>
            <w:vAlign w:val="bottom"/>
          </w:tcPr>
          <w:p>
            <w:pPr>
              <w:spacing w:after="0"/>
              <w:rPr>
                <w:sz w:val="19"/>
                <w:szCs w:val="19"/>
                <w:color w:val="auto"/>
              </w:rPr>
            </w:pPr>
          </w:p>
        </w:tc>
        <w:tc>
          <w:tcPr>
            <w:tcW w:w="880" w:type="dxa"/>
            <w:vAlign w:val="bottom"/>
            <w:gridSpan w:val="2"/>
          </w:tcPr>
          <w:p>
            <w:pPr>
              <w:ind w:left="500"/>
              <w:spacing w:after="0"/>
              <w:rPr>
                <w:sz w:val="20"/>
                <w:szCs w:val="20"/>
                <w:color w:val="auto"/>
              </w:rPr>
            </w:pPr>
            <w:r>
              <w:rPr>
                <w:rFonts w:ascii="Arial" w:cs="Arial" w:eastAsia="Arial" w:hAnsi="Arial"/>
                <w:sz w:val="17"/>
                <w:szCs w:val="17"/>
                <w:color w:val="auto"/>
                <w:w w:val="95"/>
              </w:rPr>
              <w:t>2014</w:t>
            </w:r>
          </w:p>
        </w:tc>
        <w:tc>
          <w:tcPr>
            <w:tcW w:w="1300" w:type="dxa"/>
            <w:vAlign w:val="bottom"/>
          </w:tcPr>
          <w:p>
            <w:pPr>
              <w:ind w:left="40"/>
              <w:spacing w:after="0"/>
              <w:rPr>
                <w:sz w:val="20"/>
                <w:szCs w:val="20"/>
                <w:color w:val="auto"/>
              </w:rPr>
            </w:pPr>
            <w:r>
              <w:rPr>
                <w:rFonts w:ascii="Arial" w:cs="Arial" w:eastAsia="Arial" w:hAnsi="Arial"/>
                <w:sz w:val="17"/>
                <w:szCs w:val="17"/>
                <w:color w:val="auto"/>
              </w:rPr>
              <w:t>Plan/PSUs</w:t>
            </w:r>
          </w:p>
        </w:tc>
        <w:tc>
          <w:tcPr>
            <w:tcW w:w="2100" w:type="dxa"/>
            <w:vAlign w:val="bottom"/>
          </w:tcPr>
          <w:p>
            <w:pPr>
              <w:jc w:val="right"/>
              <w:ind w:right="557"/>
              <w:spacing w:after="0"/>
              <w:rPr>
                <w:sz w:val="20"/>
                <w:szCs w:val="20"/>
                <w:color w:val="auto"/>
              </w:rPr>
            </w:pPr>
            <w:r>
              <w:rPr>
                <w:rFonts w:ascii="Arial" w:cs="Arial" w:eastAsia="Arial" w:hAnsi="Arial"/>
                <w:sz w:val="17"/>
                <w:szCs w:val="17"/>
                <w:color w:val="auto"/>
              </w:rPr>
              <w:t>10/29/21</w:t>
            </w:r>
          </w:p>
        </w:tc>
        <w:tc>
          <w:tcPr>
            <w:tcW w:w="2900" w:type="dxa"/>
            <w:vAlign w:val="bottom"/>
          </w:tcPr>
          <w:p>
            <w:pPr>
              <w:jc w:val="right"/>
              <w:ind w:right="1697"/>
              <w:spacing w:after="0"/>
              <w:rPr>
                <w:sz w:val="20"/>
                <w:szCs w:val="20"/>
                <w:color w:val="auto"/>
              </w:rPr>
            </w:pPr>
            <w:r>
              <w:rPr>
                <w:rFonts w:ascii="Arial" w:cs="Arial" w:eastAsia="Arial" w:hAnsi="Arial"/>
                <w:sz w:val="17"/>
                <w:szCs w:val="17"/>
                <w:color w:val="auto"/>
              </w:rPr>
              <w:t>10/29/21</w:t>
            </w:r>
          </w:p>
        </w:tc>
        <w:tc>
          <w:tcPr>
            <w:tcW w:w="1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5"/>
        </w:trPr>
        <w:tc>
          <w:tcPr>
            <w:tcW w:w="152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300" w:type="dxa"/>
            <w:vAlign w:val="bottom"/>
          </w:tcPr>
          <w:p>
            <w:pPr>
              <w:spacing w:after="0"/>
              <w:rPr>
                <w:sz w:val="3"/>
                <w:szCs w:val="3"/>
                <w:color w:val="auto"/>
              </w:rPr>
            </w:pPr>
          </w:p>
        </w:tc>
        <w:tc>
          <w:tcPr>
            <w:tcW w:w="2100" w:type="dxa"/>
            <w:vAlign w:val="bottom"/>
          </w:tcPr>
          <w:p>
            <w:pPr>
              <w:spacing w:after="0"/>
              <w:rPr>
                <w:sz w:val="3"/>
                <w:szCs w:val="3"/>
                <w:color w:val="auto"/>
              </w:rPr>
            </w:pPr>
          </w:p>
        </w:tc>
        <w:tc>
          <w:tcPr>
            <w:tcW w:w="29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77"/>
        </w:trPr>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Borders>
              <w:bottom w:val="single" w:sz="8" w:color="ECF1F5"/>
            </w:tcBorders>
            <w:shd w:val="clear" w:color="auto" w:fill="ECF1F5"/>
          </w:tcPr>
          <w:p>
            <w:pPr>
              <w:spacing w:after="0"/>
              <w:rPr>
                <w:sz w:val="20"/>
                <w:szCs w:val="20"/>
                <w:color w:val="auto"/>
              </w:rPr>
            </w:pPr>
            <w:r>
              <w:rPr>
                <w:rFonts w:ascii="Arial" w:cs="Arial" w:eastAsia="Arial" w:hAnsi="Arial"/>
                <w:sz w:val="17"/>
                <w:szCs w:val="17"/>
                <w:color w:val="auto"/>
                <w:w w:val="95"/>
              </w:rPr>
              <w:t>2014</w:t>
            </w:r>
          </w:p>
        </w:tc>
        <w:tc>
          <w:tcPr>
            <w:tcW w:w="1300" w:type="dxa"/>
            <w:vAlign w:val="bottom"/>
            <w:tcBorders>
              <w:bottom w:val="single" w:sz="8" w:color="ECF1F5"/>
            </w:tcBorders>
            <w:shd w:val="clear" w:color="auto" w:fill="ECF1F5"/>
          </w:tcPr>
          <w:p>
            <w:pPr>
              <w:ind w:left="40"/>
              <w:spacing w:after="0"/>
              <w:rPr>
                <w:sz w:val="20"/>
                <w:szCs w:val="20"/>
                <w:color w:val="auto"/>
              </w:rPr>
            </w:pPr>
            <w:r>
              <w:rPr>
                <w:rFonts w:ascii="Arial" w:cs="Arial" w:eastAsia="Arial" w:hAnsi="Arial"/>
                <w:sz w:val="17"/>
                <w:szCs w:val="17"/>
                <w:color w:val="auto"/>
              </w:rPr>
              <w:t>Plan/PSUs</w:t>
            </w:r>
          </w:p>
        </w:tc>
        <w:tc>
          <w:tcPr>
            <w:tcW w:w="2100" w:type="dxa"/>
            <w:vAlign w:val="bottom"/>
            <w:tcBorders>
              <w:bottom w:val="single" w:sz="8" w:color="ECF1F5"/>
            </w:tcBorders>
            <w:shd w:val="clear" w:color="auto" w:fill="ECF1F5"/>
          </w:tcPr>
          <w:p>
            <w:pPr>
              <w:jc w:val="right"/>
              <w:ind w:right="557"/>
              <w:spacing w:after="0"/>
              <w:rPr>
                <w:sz w:val="20"/>
                <w:szCs w:val="20"/>
                <w:color w:val="auto"/>
              </w:rPr>
            </w:pPr>
            <w:r>
              <w:rPr>
                <w:rFonts w:ascii="Arial" w:cs="Arial" w:eastAsia="Arial" w:hAnsi="Arial"/>
                <w:sz w:val="17"/>
                <w:szCs w:val="17"/>
                <w:color w:val="auto"/>
              </w:rPr>
              <w:t>7/26/21</w:t>
            </w:r>
          </w:p>
        </w:tc>
        <w:tc>
          <w:tcPr>
            <w:tcW w:w="2900" w:type="dxa"/>
            <w:vAlign w:val="bottom"/>
            <w:tcBorders>
              <w:bottom w:val="single" w:sz="8" w:color="ECF1F5"/>
            </w:tcBorders>
            <w:shd w:val="clear" w:color="auto" w:fill="ECF1F5"/>
          </w:tcPr>
          <w:p>
            <w:pPr>
              <w:jc w:val="right"/>
              <w:ind w:right="1697"/>
              <w:spacing w:after="0"/>
              <w:rPr>
                <w:sz w:val="20"/>
                <w:szCs w:val="20"/>
                <w:color w:val="auto"/>
              </w:rPr>
            </w:pPr>
            <w:r>
              <w:rPr>
                <w:rFonts w:ascii="Arial" w:cs="Arial" w:eastAsia="Arial" w:hAnsi="Arial"/>
                <w:sz w:val="17"/>
                <w:szCs w:val="17"/>
                <w:color w:val="auto"/>
              </w:rPr>
              <w:t>7/26/21</w:t>
            </w:r>
          </w:p>
        </w:tc>
        <w:tc>
          <w:tcPr>
            <w:tcW w:w="1380" w:type="dxa"/>
            <w:vAlign w:val="bottom"/>
            <w:tcBorders>
              <w:bottom w:val="single" w:sz="8" w:color="ECF1F5"/>
            </w:tcBorders>
            <w:shd w:val="clear" w:color="auto" w:fill="ECF1F5"/>
          </w:tcPr>
          <w:p>
            <w:pPr>
              <w:spacing w:after="0"/>
              <w:rPr>
                <w:sz w:val="24"/>
                <w:szCs w:val="24"/>
                <w:color w:val="auto"/>
              </w:rPr>
            </w:pPr>
          </w:p>
        </w:tc>
        <w:tc>
          <w:tcPr>
            <w:tcW w:w="1180" w:type="dxa"/>
            <w:vAlign w:val="bottom"/>
            <w:tcBorders>
              <w:bottom w:val="single" w:sz="8" w:color="ECF1F5"/>
            </w:tcBorders>
            <w:shd w:val="clear" w:color="auto" w:fill="ECF1F5"/>
          </w:tcPr>
          <w:p>
            <w:pPr>
              <w:spacing w:after="0"/>
              <w:rPr>
                <w:sz w:val="24"/>
                <w:szCs w:val="24"/>
                <w:color w:val="auto"/>
              </w:rPr>
            </w:pPr>
          </w:p>
        </w:tc>
      </w:tr>
      <w:tr>
        <w:trPr>
          <w:trHeight w:val="252"/>
        </w:trPr>
        <w:tc>
          <w:tcPr>
            <w:tcW w:w="1520" w:type="dxa"/>
            <w:vAlign w:val="bottom"/>
          </w:tcPr>
          <w:p>
            <w:pPr>
              <w:spacing w:after="0"/>
              <w:rPr>
                <w:sz w:val="21"/>
                <w:szCs w:val="21"/>
                <w:color w:val="auto"/>
              </w:rPr>
            </w:pPr>
          </w:p>
        </w:tc>
        <w:tc>
          <w:tcPr>
            <w:tcW w:w="880" w:type="dxa"/>
            <w:vAlign w:val="bottom"/>
            <w:gridSpan w:val="2"/>
          </w:tcPr>
          <w:p>
            <w:pPr>
              <w:ind w:left="500"/>
              <w:spacing w:after="0"/>
              <w:rPr>
                <w:sz w:val="20"/>
                <w:szCs w:val="20"/>
                <w:color w:val="auto"/>
              </w:rPr>
            </w:pPr>
            <w:r>
              <w:rPr>
                <w:rFonts w:ascii="Arial" w:cs="Arial" w:eastAsia="Arial" w:hAnsi="Arial"/>
                <w:sz w:val="17"/>
                <w:szCs w:val="17"/>
                <w:color w:val="auto"/>
                <w:w w:val="95"/>
              </w:rPr>
              <w:t>2014</w:t>
            </w:r>
          </w:p>
        </w:tc>
        <w:tc>
          <w:tcPr>
            <w:tcW w:w="1300" w:type="dxa"/>
            <w:vAlign w:val="bottom"/>
          </w:tcPr>
          <w:p>
            <w:pPr>
              <w:ind w:left="40"/>
              <w:spacing w:after="0"/>
              <w:rPr>
                <w:sz w:val="20"/>
                <w:szCs w:val="20"/>
                <w:color w:val="auto"/>
              </w:rPr>
            </w:pPr>
            <w:r>
              <w:rPr>
                <w:rFonts w:ascii="Arial" w:cs="Arial" w:eastAsia="Arial" w:hAnsi="Arial"/>
                <w:sz w:val="17"/>
                <w:szCs w:val="17"/>
                <w:color w:val="auto"/>
              </w:rPr>
              <w:t>Plan/PSUs</w:t>
            </w:r>
          </w:p>
        </w:tc>
        <w:tc>
          <w:tcPr>
            <w:tcW w:w="2100" w:type="dxa"/>
            <w:vAlign w:val="bottom"/>
          </w:tcPr>
          <w:p>
            <w:pPr>
              <w:jc w:val="right"/>
              <w:ind w:right="557"/>
              <w:spacing w:after="0"/>
              <w:rPr>
                <w:sz w:val="20"/>
                <w:szCs w:val="20"/>
                <w:color w:val="auto"/>
              </w:rPr>
            </w:pPr>
            <w:r>
              <w:rPr>
                <w:rFonts w:ascii="Arial" w:cs="Arial" w:eastAsia="Arial" w:hAnsi="Arial"/>
                <w:sz w:val="17"/>
                <w:szCs w:val="17"/>
                <w:color w:val="auto"/>
              </w:rPr>
              <w:t>11/4/21</w:t>
            </w:r>
          </w:p>
        </w:tc>
        <w:tc>
          <w:tcPr>
            <w:tcW w:w="2900" w:type="dxa"/>
            <w:vAlign w:val="bottom"/>
          </w:tcPr>
          <w:p>
            <w:pPr>
              <w:jc w:val="right"/>
              <w:ind w:right="1537"/>
              <w:spacing w:after="0"/>
              <w:rPr>
                <w:sz w:val="20"/>
                <w:szCs w:val="20"/>
                <w:color w:val="auto"/>
              </w:rPr>
            </w:pPr>
            <w:r>
              <w:rPr>
                <w:rFonts w:ascii="Arial" w:cs="Arial" w:eastAsia="Arial" w:hAnsi="Arial"/>
                <w:sz w:val="17"/>
                <w:szCs w:val="17"/>
                <w:color w:val="auto"/>
              </w:rPr>
              <w:t>10/29/21</w:t>
            </w:r>
            <w:r>
              <w:rPr>
                <w:rFonts w:ascii="Arial" w:cs="Arial" w:eastAsia="Arial" w:hAnsi="Arial"/>
                <w:sz w:val="19"/>
                <w:szCs w:val="19"/>
                <w:color w:val="auto"/>
                <w:vertAlign w:val="superscript"/>
              </w:rPr>
              <w:t>(12)</w:t>
            </w:r>
          </w:p>
        </w:tc>
        <w:tc>
          <w:tcPr>
            <w:tcW w:w="1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1"/>
        </w:trPr>
        <w:tc>
          <w:tcPr>
            <w:tcW w:w="15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77"/>
        </w:trPr>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Borders>
              <w:bottom w:val="single" w:sz="8" w:color="ECF1F5"/>
            </w:tcBorders>
            <w:shd w:val="clear" w:color="auto" w:fill="ECF1F5"/>
          </w:tcPr>
          <w:p>
            <w:pPr>
              <w:spacing w:after="0"/>
              <w:rPr>
                <w:sz w:val="20"/>
                <w:szCs w:val="20"/>
                <w:color w:val="auto"/>
              </w:rPr>
            </w:pPr>
            <w:r>
              <w:rPr>
                <w:rFonts w:ascii="Arial" w:cs="Arial" w:eastAsia="Arial" w:hAnsi="Arial"/>
                <w:sz w:val="17"/>
                <w:szCs w:val="17"/>
                <w:color w:val="auto"/>
                <w:w w:val="95"/>
              </w:rPr>
              <w:t>2014</w:t>
            </w:r>
          </w:p>
        </w:tc>
        <w:tc>
          <w:tcPr>
            <w:tcW w:w="1300" w:type="dxa"/>
            <w:vAlign w:val="bottom"/>
            <w:tcBorders>
              <w:bottom w:val="single" w:sz="8" w:color="ECF1F5"/>
            </w:tcBorders>
            <w:shd w:val="clear" w:color="auto" w:fill="ECF1F5"/>
          </w:tcPr>
          <w:p>
            <w:pPr>
              <w:ind w:left="40"/>
              <w:spacing w:after="0"/>
              <w:rPr>
                <w:sz w:val="20"/>
                <w:szCs w:val="20"/>
                <w:color w:val="auto"/>
              </w:rPr>
            </w:pPr>
            <w:r>
              <w:rPr>
                <w:rFonts w:ascii="Arial" w:cs="Arial" w:eastAsia="Arial" w:hAnsi="Arial"/>
                <w:sz w:val="17"/>
                <w:szCs w:val="17"/>
                <w:color w:val="auto"/>
              </w:rPr>
              <w:t>Plan/RSUs</w:t>
            </w:r>
          </w:p>
        </w:tc>
        <w:tc>
          <w:tcPr>
            <w:tcW w:w="2100" w:type="dxa"/>
            <w:vAlign w:val="bottom"/>
            <w:tcBorders>
              <w:bottom w:val="single" w:sz="8" w:color="ECF1F5"/>
            </w:tcBorders>
            <w:shd w:val="clear" w:color="auto" w:fill="ECF1F5"/>
          </w:tcPr>
          <w:p>
            <w:pPr>
              <w:jc w:val="right"/>
              <w:ind w:right="557"/>
              <w:spacing w:after="0"/>
              <w:rPr>
                <w:sz w:val="20"/>
                <w:szCs w:val="20"/>
                <w:color w:val="auto"/>
              </w:rPr>
            </w:pPr>
            <w:r>
              <w:rPr>
                <w:rFonts w:ascii="Arial" w:cs="Arial" w:eastAsia="Arial" w:hAnsi="Arial"/>
                <w:sz w:val="17"/>
                <w:szCs w:val="17"/>
                <w:color w:val="auto"/>
              </w:rPr>
              <w:t>5/6/21</w:t>
            </w:r>
          </w:p>
        </w:tc>
        <w:tc>
          <w:tcPr>
            <w:tcW w:w="2900" w:type="dxa"/>
            <w:vAlign w:val="bottom"/>
            <w:tcBorders>
              <w:bottom w:val="single" w:sz="8" w:color="ECF1F5"/>
            </w:tcBorders>
            <w:shd w:val="clear" w:color="auto" w:fill="ECF1F5"/>
          </w:tcPr>
          <w:p>
            <w:pPr>
              <w:jc w:val="right"/>
              <w:ind w:right="1537"/>
              <w:spacing w:after="0"/>
              <w:rPr>
                <w:sz w:val="20"/>
                <w:szCs w:val="20"/>
                <w:color w:val="auto"/>
              </w:rPr>
            </w:pPr>
            <w:r>
              <w:rPr>
                <w:rFonts w:ascii="Arial" w:cs="Arial" w:eastAsia="Arial" w:hAnsi="Arial"/>
                <w:sz w:val="17"/>
                <w:szCs w:val="17"/>
                <w:color w:val="auto"/>
              </w:rPr>
              <w:t>4/29/21</w:t>
            </w:r>
            <w:r>
              <w:rPr>
                <w:rFonts w:ascii="Arial" w:cs="Arial" w:eastAsia="Arial" w:hAnsi="Arial"/>
                <w:sz w:val="19"/>
                <w:szCs w:val="19"/>
                <w:color w:val="auto"/>
                <w:vertAlign w:val="superscript"/>
              </w:rPr>
              <w:t>(12)</w:t>
            </w:r>
          </w:p>
        </w:tc>
        <w:tc>
          <w:tcPr>
            <w:tcW w:w="1380" w:type="dxa"/>
            <w:vAlign w:val="bottom"/>
            <w:tcBorders>
              <w:bottom w:val="single" w:sz="8" w:color="ECF1F5"/>
            </w:tcBorders>
            <w:shd w:val="clear" w:color="auto" w:fill="ECF1F5"/>
          </w:tcPr>
          <w:p>
            <w:pPr>
              <w:spacing w:after="0"/>
              <w:rPr>
                <w:sz w:val="24"/>
                <w:szCs w:val="24"/>
                <w:color w:val="auto"/>
              </w:rPr>
            </w:pPr>
          </w:p>
        </w:tc>
        <w:tc>
          <w:tcPr>
            <w:tcW w:w="1180" w:type="dxa"/>
            <w:vAlign w:val="bottom"/>
            <w:tcBorders>
              <w:bottom w:val="single" w:sz="8" w:color="ECF1F5"/>
            </w:tcBorders>
            <w:shd w:val="clear" w:color="auto" w:fill="ECF1F5"/>
          </w:tcPr>
          <w:p>
            <w:pPr>
              <w:spacing w:after="0"/>
              <w:rPr>
                <w:sz w:val="24"/>
                <w:szCs w:val="24"/>
                <w:color w:val="auto"/>
              </w:rPr>
            </w:pPr>
          </w:p>
        </w:tc>
      </w:tr>
      <w:tr>
        <w:trPr>
          <w:trHeight w:val="265"/>
        </w:trPr>
        <w:tc>
          <w:tcPr>
            <w:tcW w:w="1520" w:type="dxa"/>
            <w:vAlign w:val="bottom"/>
            <w:tcBorders>
              <w:bottom w:val="single" w:sz="8" w:color="125288"/>
            </w:tcBorders>
          </w:tcPr>
          <w:p>
            <w:pPr>
              <w:spacing w:after="0"/>
              <w:rPr>
                <w:sz w:val="23"/>
                <w:szCs w:val="23"/>
                <w:color w:val="auto"/>
              </w:rPr>
            </w:pPr>
          </w:p>
        </w:tc>
        <w:tc>
          <w:tcPr>
            <w:tcW w:w="880" w:type="dxa"/>
            <w:vAlign w:val="bottom"/>
            <w:tcBorders>
              <w:bottom w:val="single" w:sz="8" w:color="125288"/>
            </w:tcBorders>
            <w:gridSpan w:val="2"/>
          </w:tcPr>
          <w:p>
            <w:pPr>
              <w:ind w:left="500"/>
              <w:spacing w:after="0"/>
              <w:rPr>
                <w:sz w:val="20"/>
                <w:szCs w:val="20"/>
                <w:color w:val="auto"/>
              </w:rPr>
            </w:pPr>
            <w:r>
              <w:rPr>
                <w:rFonts w:ascii="Arial" w:cs="Arial" w:eastAsia="Arial" w:hAnsi="Arial"/>
                <w:sz w:val="17"/>
                <w:szCs w:val="17"/>
                <w:color w:val="auto"/>
                <w:w w:val="95"/>
              </w:rPr>
              <w:t>2014</w:t>
            </w:r>
          </w:p>
        </w:tc>
        <w:tc>
          <w:tcPr>
            <w:tcW w:w="1300" w:type="dxa"/>
            <w:vAlign w:val="bottom"/>
            <w:tcBorders>
              <w:bottom w:val="single" w:sz="8" w:color="125288"/>
            </w:tcBorders>
          </w:tcPr>
          <w:p>
            <w:pPr>
              <w:ind w:left="40"/>
              <w:spacing w:after="0"/>
              <w:rPr>
                <w:sz w:val="20"/>
                <w:szCs w:val="20"/>
                <w:color w:val="auto"/>
              </w:rPr>
            </w:pPr>
            <w:r>
              <w:rPr>
                <w:rFonts w:ascii="Arial" w:cs="Arial" w:eastAsia="Arial" w:hAnsi="Arial"/>
                <w:sz w:val="17"/>
                <w:szCs w:val="17"/>
                <w:color w:val="auto"/>
              </w:rPr>
              <w:t>Plan/Options</w:t>
            </w:r>
          </w:p>
        </w:tc>
        <w:tc>
          <w:tcPr>
            <w:tcW w:w="2100" w:type="dxa"/>
            <w:vAlign w:val="bottom"/>
            <w:tcBorders>
              <w:bottom w:val="single" w:sz="8" w:color="125288"/>
            </w:tcBorders>
          </w:tcPr>
          <w:p>
            <w:pPr>
              <w:jc w:val="right"/>
              <w:ind w:right="557"/>
              <w:spacing w:after="0"/>
              <w:rPr>
                <w:sz w:val="20"/>
                <w:szCs w:val="20"/>
                <w:color w:val="auto"/>
              </w:rPr>
            </w:pPr>
            <w:r>
              <w:rPr>
                <w:rFonts w:ascii="Arial" w:cs="Arial" w:eastAsia="Arial" w:hAnsi="Arial"/>
                <w:sz w:val="17"/>
                <w:szCs w:val="17"/>
                <w:color w:val="auto"/>
              </w:rPr>
              <w:t>5/6/21</w:t>
            </w:r>
          </w:p>
        </w:tc>
        <w:tc>
          <w:tcPr>
            <w:tcW w:w="2900" w:type="dxa"/>
            <w:vAlign w:val="bottom"/>
            <w:tcBorders>
              <w:bottom w:val="single" w:sz="8" w:color="125288"/>
            </w:tcBorders>
          </w:tcPr>
          <w:p>
            <w:pPr>
              <w:jc w:val="right"/>
              <w:ind w:right="1537"/>
              <w:spacing w:after="0"/>
              <w:rPr>
                <w:sz w:val="20"/>
                <w:szCs w:val="20"/>
                <w:color w:val="auto"/>
              </w:rPr>
            </w:pPr>
            <w:r>
              <w:rPr>
                <w:rFonts w:ascii="Arial" w:cs="Arial" w:eastAsia="Arial" w:hAnsi="Arial"/>
                <w:sz w:val="17"/>
                <w:szCs w:val="17"/>
                <w:color w:val="auto"/>
              </w:rPr>
              <w:t>4/29/21</w:t>
            </w:r>
            <w:r>
              <w:rPr>
                <w:rFonts w:ascii="Arial" w:cs="Arial" w:eastAsia="Arial" w:hAnsi="Arial"/>
                <w:sz w:val="19"/>
                <w:szCs w:val="19"/>
                <w:color w:val="auto"/>
                <w:vertAlign w:val="superscript"/>
              </w:rPr>
              <w:t>(12)</w:t>
            </w:r>
          </w:p>
        </w:tc>
        <w:tc>
          <w:tcPr>
            <w:tcW w:w="1380" w:type="dxa"/>
            <w:vAlign w:val="bottom"/>
            <w:tcBorders>
              <w:bottom w:val="single" w:sz="8" w:color="125288"/>
            </w:tcBorders>
          </w:tcPr>
          <w:p>
            <w:pPr>
              <w:spacing w:after="0"/>
              <w:rPr>
                <w:sz w:val="23"/>
                <w:szCs w:val="23"/>
                <w:color w:val="auto"/>
              </w:rPr>
            </w:pPr>
          </w:p>
        </w:tc>
        <w:tc>
          <w:tcPr>
            <w:tcW w:w="1180" w:type="dxa"/>
            <w:vAlign w:val="bottom"/>
            <w:tcBorders>
              <w:bottom w:val="single" w:sz="8" w:color="125288"/>
            </w:tcBorders>
          </w:tcPr>
          <w:p>
            <w:pPr>
              <w:spacing w:after="0"/>
              <w:rPr>
                <w:sz w:val="23"/>
                <w:szCs w:val="23"/>
                <w:color w:val="auto"/>
              </w:rPr>
            </w:pPr>
          </w:p>
        </w:tc>
      </w:tr>
      <w:tr>
        <w:trPr>
          <w:trHeight w:val="265"/>
        </w:trPr>
        <w:tc>
          <w:tcPr>
            <w:tcW w:w="1520" w:type="dxa"/>
            <w:vAlign w:val="bottom"/>
          </w:tcPr>
          <w:p>
            <w:pPr>
              <w:ind w:left="40"/>
              <w:spacing w:after="0"/>
              <w:rPr>
                <w:sz w:val="20"/>
                <w:szCs w:val="20"/>
                <w:color w:val="auto"/>
              </w:rPr>
            </w:pPr>
            <w:r>
              <w:rPr>
                <w:rFonts w:ascii="Arial" w:cs="Arial" w:eastAsia="Arial" w:hAnsi="Arial"/>
                <w:sz w:val="17"/>
                <w:szCs w:val="17"/>
                <w:color w:val="auto"/>
              </w:rPr>
              <w:t>Daniel Alegre</w:t>
            </w:r>
          </w:p>
        </w:tc>
        <w:tc>
          <w:tcPr>
            <w:tcW w:w="500" w:type="dxa"/>
            <w:vAlign w:val="bottom"/>
          </w:tcPr>
          <w:p>
            <w:pPr>
              <w:spacing w:after="0"/>
              <w:rPr>
                <w:sz w:val="23"/>
                <w:szCs w:val="23"/>
                <w:color w:val="auto"/>
              </w:rPr>
            </w:pPr>
          </w:p>
        </w:tc>
        <w:tc>
          <w:tcPr>
            <w:tcW w:w="1680" w:type="dxa"/>
            <w:vAlign w:val="bottom"/>
            <w:tcBorders>
              <w:bottom w:val="single" w:sz="8" w:color="ECF1F5"/>
            </w:tcBorders>
            <w:gridSpan w:val="2"/>
            <w:shd w:val="clear" w:color="auto" w:fill="ECF1F5"/>
          </w:tcPr>
          <w:p>
            <w:pPr>
              <w:spacing w:after="0"/>
              <w:rPr>
                <w:sz w:val="20"/>
                <w:szCs w:val="20"/>
                <w:color w:val="auto"/>
              </w:rPr>
            </w:pPr>
            <w:r>
              <w:rPr>
                <w:rFonts w:ascii="Arial" w:cs="Arial" w:eastAsia="Arial" w:hAnsi="Arial"/>
                <w:sz w:val="17"/>
                <w:szCs w:val="17"/>
                <w:color w:val="auto"/>
              </w:rPr>
              <w:t>CAIP</w:t>
            </w:r>
            <w:r>
              <w:rPr>
                <w:rFonts w:ascii="Arial" w:cs="Arial" w:eastAsia="Arial" w:hAnsi="Arial"/>
                <w:sz w:val="9"/>
                <w:szCs w:val="9"/>
                <w:color w:val="auto"/>
              </w:rPr>
              <w:t>(3)</w:t>
            </w:r>
          </w:p>
        </w:tc>
        <w:tc>
          <w:tcPr>
            <w:tcW w:w="2100" w:type="dxa"/>
            <w:vAlign w:val="bottom"/>
            <w:tcBorders>
              <w:bottom w:val="single" w:sz="8" w:color="ECF1F5"/>
            </w:tcBorders>
            <w:shd w:val="clear" w:color="auto" w:fill="ECF1F5"/>
          </w:tcPr>
          <w:p>
            <w:pPr>
              <w:spacing w:after="0"/>
              <w:rPr>
                <w:sz w:val="23"/>
                <w:szCs w:val="23"/>
                <w:color w:val="auto"/>
              </w:rPr>
            </w:pPr>
          </w:p>
        </w:tc>
        <w:tc>
          <w:tcPr>
            <w:tcW w:w="2900" w:type="dxa"/>
            <w:vAlign w:val="bottom"/>
            <w:tcBorders>
              <w:bottom w:val="single" w:sz="8" w:color="ECF1F5"/>
            </w:tcBorders>
            <w:shd w:val="clear" w:color="auto" w:fill="ECF1F5"/>
          </w:tcPr>
          <w:p>
            <w:pPr>
              <w:jc w:val="right"/>
              <w:ind w:right="357"/>
              <w:spacing w:after="0"/>
              <w:rPr>
                <w:sz w:val="20"/>
                <w:szCs w:val="20"/>
                <w:color w:val="auto"/>
              </w:rPr>
            </w:pPr>
            <w:r>
              <w:rPr>
                <w:rFonts w:ascii="Arial" w:cs="Arial" w:eastAsia="Arial" w:hAnsi="Arial"/>
                <w:sz w:val="17"/>
                <w:szCs w:val="17"/>
                <w:color w:val="auto"/>
              </w:rPr>
              <w:t>324,000</w:t>
            </w:r>
          </w:p>
        </w:tc>
        <w:tc>
          <w:tcPr>
            <w:tcW w:w="1380" w:type="dxa"/>
            <w:vAlign w:val="bottom"/>
            <w:tcBorders>
              <w:bottom w:val="single" w:sz="8" w:color="ECF1F5"/>
            </w:tcBorders>
            <w:shd w:val="clear" w:color="auto" w:fill="ECF1F5"/>
          </w:tcPr>
          <w:p>
            <w:pPr>
              <w:jc w:val="right"/>
              <w:ind w:right="117"/>
              <w:spacing w:after="0"/>
              <w:rPr>
                <w:sz w:val="20"/>
                <w:szCs w:val="20"/>
                <w:color w:val="auto"/>
              </w:rPr>
            </w:pPr>
            <w:r>
              <w:rPr>
                <w:rFonts w:ascii="Arial" w:cs="Arial" w:eastAsia="Arial" w:hAnsi="Arial"/>
                <w:sz w:val="17"/>
                <w:szCs w:val="17"/>
                <w:color w:val="auto"/>
              </w:rPr>
              <w:t>1,350,000</w:t>
            </w:r>
            <w:r>
              <w:rPr>
                <w:rFonts w:ascii="Arial" w:cs="Arial" w:eastAsia="Arial" w:hAnsi="Arial"/>
                <w:sz w:val="19"/>
                <w:szCs w:val="19"/>
                <w:color w:val="auto"/>
                <w:vertAlign w:val="superscript"/>
              </w:rPr>
              <w:t>(20)</w:t>
            </w:r>
          </w:p>
        </w:tc>
        <w:tc>
          <w:tcPr>
            <w:tcW w:w="1180" w:type="dxa"/>
            <w:vAlign w:val="bottom"/>
            <w:tcBorders>
              <w:bottom w:val="single" w:sz="8" w:color="ECF1F5"/>
            </w:tcBorders>
            <w:shd w:val="clear" w:color="auto" w:fill="ECF1F5"/>
          </w:tcPr>
          <w:p>
            <w:pPr>
              <w:jc w:val="right"/>
              <w:spacing w:after="0"/>
              <w:rPr>
                <w:sz w:val="20"/>
                <w:szCs w:val="20"/>
                <w:color w:val="auto"/>
              </w:rPr>
            </w:pPr>
            <w:r>
              <w:rPr>
                <w:rFonts w:ascii="Arial" w:cs="Arial" w:eastAsia="Arial" w:hAnsi="Arial"/>
                <w:sz w:val="17"/>
                <w:szCs w:val="17"/>
                <w:color w:val="auto"/>
              </w:rPr>
              <w:t>4,752,000</w:t>
            </w:r>
            <w:r>
              <w:rPr>
                <w:rFonts w:ascii="Arial" w:cs="Arial" w:eastAsia="Arial" w:hAnsi="Arial"/>
                <w:sz w:val="19"/>
                <w:szCs w:val="19"/>
                <w:color w:val="auto"/>
                <w:vertAlign w:val="superscript"/>
              </w:rPr>
              <w:t>(20)</w:t>
            </w:r>
          </w:p>
        </w:tc>
      </w:tr>
      <w:tr>
        <w:trPr>
          <w:trHeight w:val="228"/>
        </w:trPr>
        <w:tc>
          <w:tcPr>
            <w:tcW w:w="1520" w:type="dxa"/>
            <w:vAlign w:val="bottom"/>
          </w:tcPr>
          <w:p>
            <w:pPr>
              <w:spacing w:after="0"/>
              <w:rPr>
                <w:sz w:val="19"/>
                <w:szCs w:val="19"/>
                <w:color w:val="auto"/>
              </w:rPr>
            </w:pPr>
          </w:p>
        </w:tc>
        <w:tc>
          <w:tcPr>
            <w:tcW w:w="880" w:type="dxa"/>
            <w:vAlign w:val="bottom"/>
            <w:gridSpan w:val="2"/>
          </w:tcPr>
          <w:p>
            <w:pPr>
              <w:ind w:left="500"/>
              <w:spacing w:after="0"/>
              <w:rPr>
                <w:sz w:val="20"/>
                <w:szCs w:val="20"/>
                <w:color w:val="auto"/>
              </w:rPr>
            </w:pPr>
            <w:r>
              <w:rPr>
                <w:rFonts w:ascii="Arial" w:cs="Arial" w:eastAsia="Arial" w:hAnsi="Arial"/>
                <w:sz w:val="17"/>
                <w:szCs w:val="17"/>
                <w:color w:val="auto"/>
                <w:w w:val="95"/>
              </w:rPr>
              <w:t>2014</w:t>
            </w:r>
          </w:p>
        </w:tc>
        <w:tc>
          <w:tcPr>
            <w:tcW w:w="1300" w:type="dxa"/>
            <w:vAlign w:val="bottom"/>
          </w:tcPr>
          <w:p>
            <w:pPr>
              <w:ind w:left="40"/>
              <w:spacing w:after="0"/>
              <w:rPr>
                <w:sz w:val="20"/>
                <w:szCs w:val="20"/>
                <w:color w:val="auto"/>
              </w:rPr>
            </w:pPr>
            <w:r>
              <w:rPr>
                <w:rFonts w:ascii="Arial" w:cs="Arial" w:eastAsia="Arial" w:hAnsi="Arial"/>
                <w:sz w:val="17"/>
                <w:szCs w:val="17"/>
                <w:color w:val="auto"/>
              </w:rPr>
              <w:t>Plan/PSUs</w:t>
            </w:r>
          </w:p>
        </w:tc>
        <w:tc>
          <w:tcPr>
            <w:tcW w:w="2100" w:type="dxa"/>
            <w:vAlign w:val="bottom"/>
          </w:tcPr>
          <w:p>
            <w:pPr>
              <w:jc w:val="right"/>
              <w:ind w:right="557"/>
              <w:spacing w:after="0"/>
              <w:rPr>
                <w:sz w:val="20"/>
                <w:szCs w:val="20"/>
                <w:color w:val="auto"/>
              </w:rPr>
            </w:pPr>
            <w:r>
              <w:rPr>
                <w:rFonts w:ascii="Arial" w:cs="Arial" w:eastAsia="Arial" w:hAnsi="Arial"/>
                <w:sz w:val="17"/>
                <w:szCs w:val="17"/>
                <w:color w:val="auto"/>
              </w:rPr>
              <w:t>1/14/21</w:t>
            </w:r>
          </w:p>
        </w:tc>
        <w:tc>
          <w:tcPr>
            <w:tcW w:w="2900" w:type="dxa"/>
            <w:vAlign w:val="bottom"/>
          </w:tcPr>
          <w:p>
            <w:pPr>
              <w:jc w:val="right"/>
              <w:ind w:right="1697"/>
              <w:spacing w:after="0"/>
              <w:rPr>
                <w:sz w:val="20"/>
                <w:szCs w:val="20"/>
                <w:color w:val="auto"/>
              </w:rPr>
            </w:pPr>
            <w:r>
              <w:rPr>
                <w:rFonts w:ascii="Arial" w:cs="Arial" w:eastAsia="Arial" w:hAnsi="Arial"/>
                <w:sz w:val="17"/>
                <w:szCs w:val="17"/>
                <w:color w:val="auto"/>
              </w:rPr>
              <w:t>1/14/21</w:t>
            </w:r>
          </w:p>
        </w:tc>
        <w:tc>
          <w:tcPr>
            <w:tcW w:w="1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5"/>
        </w:trPr>
        <w:tc>
          <w:tcPr>
            <w:tcW w:w="152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300" w:type="dxa"/>
            <w:vAlign w:val="bottom"/>
          </w:tcPr>
          <w:p>
            <w:pPr>
              <w:spacing w:after="0"/>
              <w:rPr>
                <w:sz w:val="3"/>
                <w:szCs w:val="3"/>
                <w:color w:val="auto"/>
              </w:rPr>
            </w:pPr>
          </w:p>
        </w:tc>
        <w:tc>
          <w:tcPr>
            <w:tcW w:w="2100" w:type="dxa"/>
            <w:vAlign w:val="bottom"/>
          </w:tcPr>
          <w:p>
            <w:pPr>
              <w:spacing w:after="0"/>
              <w:rPr>
                <w:sz w:val="3"/>
                <w:szCs w:val="3"/>
                <w:color w:val="auto"/>
              </w:rPr>
            </w:pPr>
          </w:p>
        </w:tc>
        <w:tc>
          <w:tcPr>
            <w:tcW w:w="29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77"/>
        </w:trPr>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Borders>
              <w:bottom w:val="single" w:sz="8" w:color="ECF1F5"/>
            </w:tcBorders>
            <w:shd w:val="clear" w:color="auto" w:fill="ECF1F5"/>
          </w:tcPr>
          <w:p>
            <w:pPr>
              <w:spacing w:after="0"/>
              <w:rPr>
                <w:sz w:val="20"/>
                <w:szCs w:val="20"/>
                <w:color w:val="auto"/>
              </w:rPr>
            </w:pPr>
            <w:r>
              <w:rPr>
                <w:rFonts w:ascii="Arial" w:cs="Arial" w:eastAsia="Arial" w:hAnsi="Arial"/>
                <w:sz w:val="17"/>
                <w:szCs w:val="17"/>
                <w:color w:val="auto"/>
                <w:w w:val="95"/>
              </w:rPr>
              <w:t>2014</w:t>
            </w:r>
          </w:p>
        </w:tc>
        <w:tc>
          <w:tcPr>
            <w:tcW w:w="1300" w:type="dxa"/>
            <w:vAlign w:val="bottom"/>
            <w:tcBorders>
              <w:bottom w:val="single" w:sz="8" w:color="ECF1F5"/>
            </w:tcBorders>
            <w:shd w:val="clear" w:color="auto" w:fill="ECF1F5"/>
          </w:tcPr>
          <w:p>
            <w:pPr>
              <w:ind w:left="40"/>
              <w:spacing w:after="0"/>
              <w:rPr>
                <w:sz w:val="20"/>
                <w:szCs w:val="20"/>
                <w:color w:val="auto"/>
              </w:rPr>
            </w:pPr>
            <w:r>
              <w:rPr>
                <w:rFonts w:ascii="Arial" w:cs="Arial" w:eastAsia="Arial" w:hAnsi="Arial"/>
                <w:sz w:val="17"/>
                <w:szCs w:val="17"/>
                <w:color w:val="auto"/>
              </w:rPr>
              <w:t>Plan/PSUs</w:t>
            </w:r>
          </w:p>
        </w:tc>
        <w:tc>
          <w:tcPr>
            <w:tcW w:w="2100" w:type="dxa"/>
            <w:vAlign w:val="bottom"/>
            <w:tcBorders>
              <w:bottom w:val="single" w:sz="8" w:color="ECF1F5"/>
            </w:tcBorders>
            <w:shd w:val="clear" w:color="auto" w:fill="ECF1F5"/>
          </w:tcPr>
          <w:p>
            <w:pPr>
              <w:jc w:val="right"/>
              <w:ind w:right="557"/>
              <w:spacing w:after="0"/>
              <w:rPr>
                <w:sz w:val="20"/>
                <w:szCs w:val="20"/>
                <w:color w:val="auto"/>
              </w:rPr>
            </w:pPr>
            <w:r>
              <w:rPr>
                <w:rFonts w:ascii="Arial" w:cs="Arial" w:eastAsia="Arial" w:hAnsi="Arial"/>
                <w:sz w:val="17"/>
                <w:szCs w:val="17"/>
                <w:color w:val="auto"/>
              </w:rPr>
              <w:t>3/4/21</w:t>
            </w:r>
          </w:p>
        </w:tc>
        <w:tc>
          <w:tcPr>
            <w:tcW w:w="2900" w:type="dxa"/>
            <w:vAlign w:val="bottom"/>
            <w:tcBorders>
              <w:bottom w:val="single" w:sz="8" w:color="ECF1F5"/>
            </w:tcBorders>
            <w:shd w:val="clear" w:color="auto" w:fill="ECF1F5"/>
          </w:tcPr>
          <w:p>
            <w:pPr>
              <w:jc w:val="right"/>
              <w:ind w:right="1697"/>
              <w:spacing w:after="0"/>
              <w:rPr>
                <w:sz w:val="20"/>
                <w:szCs w:val="20"/>
                <w:color w:val="auto"/>
              </w:rPr>
            </w:pPr>
            <w:r>
              <w:rPr>
                <w:rFonts w:ascii="Arial" w:cs="Arial" w:eastAsia="Arial" w:hAnsi="Arial"/>
                <w:sz w:val="17"/>
                <w:szCs w:val="17"/>
                <w:color w:val="auto"/>
              </w:rPr>
              <w:t>3/4/21</w:t>
            </w:r>
          </w:p>
        </w:tc>
        <w:tc>
          <w:tcPr>
            <w:tcW w:w="1380" w:type="dxa"/>
            <w:vAlign w:val="bottom"/>
            <w:tcBorders>
              <w:bottom w:val="single" w:sz="8" w:color="ECF1F5"/>
            </w:tcBorders>
            <w:shd w:val="clear" w:color="auto" w:fill="ECF1F5"/>
          </w:tcPr>
          <w:p>
            <w:pPr>
              <w:spacing w:after="0"/>
              <w:rPr>
                <w:sz w:val="24"/>
                <w:szCs w:val="24"/>
                <w:color w:val="auto"/>
              </w:rPr>
            </w:pPr>
          </w:p>
        </w:tc>
        <w:tc>
          <w:tcPr>
            <w:tcW w:w="1180" w:type="dxa"/>
            <w:vAlign w:val="bottom"/>
            <w:tcBorders>
              <w:bottom w:val="single" w:sz="8" w:color="ECF1F5"/>
            </w:tcBorders>
            <w:shd w:val="clear" w:color="auto" w:fill="ECF1F5"/>
          </w:tcPr>
          <w:p>
            <w:pPr>
              <w:spacing w:after="0"/>
              <w:rPr>
                <w:sz w:val="24"/>
                <w:szCs w:val="24"/>
                <w:color w:val="auto"/>
              </w:rPr>
            </w:pPr>
          </w:p>
        </w:tc>
      </w:tr>
      <w:tr>
        <w:trPr>
          <w:trHeight w:val="228"/>
        </w:trPr>
        <w:tc>
          <w:tcPr>
            <w:tcW w:w="1520" w:type="dxa"/>
            <w:vAlign w:val="bottom"/>
          </w:tcPr>
          <w:p>
            <w:pPr>
              <w:spacing w:after="0"/>
              <w:rPr>
                <w:sz w:val="19"/>
                <w:szCs w:val="19"/>
                <w:color w:val="auto"/>
              </w:rPr>
            </w:pPr>
          </w:p>
        </w:tc>
        <w:tc>
          <w:tcPr>
            <w:tcW w:w="880" w:type="dxa"/>
            <w:vAlign w:val="bottom"/>
            <w:gridSpan w:val="2"/>
          </w:tcPr>
          <w:p>
            <w:pPr>
              <w:ind w:left="500"/>
              <w:spacing w:after="0"/>
              <w:rPr>
                <w:sz w:val="20"/>
                <w:szCs w:val="20"/>
                <w:color w:val="auto"/>
              </w:rPr>
            </w:pPr>
            <w:r>
              <w:rPr>
                <w:rFonts w:ascii="Arial" w:cs="Arial" w:eastAsia="Arial" w:hAnsi="Arial"/>
                <w:sz w:val="17"/>
                <w:szCs w:val="17"/>
                <w:color w:val="auto"/>
                <w:w w:val="95"/>
              </w:rPr>
              <w:t>2014</w:t>
            </w:r>
          </w:p>
        </w:tc>
        <w:tc>
          <w:tcPr>
            <w:tcW w:w="1300" w:type="dxa"/>
            <w:vAlign w:val="bottom"/>
          </w:tcPr>
          <w:p>
            <w:pPr>
              <w:ind w:left="40"/>
              <w:spacing w:after="0"/>
              <w:rPr>
                <w:sz w:val="20"/>
                <w:szCs w:val="20"/>
                <w:color w:val="auto"/>
              </w:rPr>
            </w:pPr>
            <w:r>
              <w:rPr>
                <w:rFonts w:ascii="Arial" w:cs="Arial" w:eastAsia="Arial" w:hAnsi="Arial"/>
                <w:sz w:val="17"/>
                <w:szCs w:val="17"/>
                <w:color w:val="auto"/>
              </w:rPr>
              <w:t>Plan/PSUs</w:t>
            </w:r>
          </w:p>
        </w:tc>
        <w:tc>
          <w:tcPr>
            <w:tcW w:w="2100" w:type="dxa"/>
            <w:vAlign w:val="bottom"/>
          </w:tcPr>
          <w:p>
            <w:pPr>
              <w:jc w:val="right"/>
              <w:ind w:right="557"/>
              <w:spacing w:after="0"/>
              <w:rPr>
                <w:sz w:val="20"/>
                <w:szCs w:val="20"/>
                <w:color w:val="auto"/>
              </w:rPr>
            </w:pPr>
            <w:r>
              <w:rPr>
                <w:rFonts w:ascii="Arial" w:cs="Arial" w:eastAsia="Arial" w:hAnsi="Arial"/>
                <w:sz w:val="17"/>
                <w:szCs w:val="17"/>
                <w:color w:val="auto"/>
              </w:rPr>
              <w:t>4/29/21</w:t>
            </w:r>
          </w:p>
        </w:tc>
        <w:tc>
          <w:tcPr>
            <w:tcW w:w="2900" w:type="dxa"/>
            <w:vAlign w:val="bottom"/>
          </w:tcPr>
          <w:p>
            <w:pPr>
              <w:jc w:val="right"/>
              <w:ind w:right="1697"/>
              <w:spacing w:after="0"/>
              <w:rPr>
                <w:sz w:val="20"/>
                <w:szCs w:val="20"/>
                <w:color w:val="auto"/>
              </w:rPr>
            </w:pPr>
            <w:r>
              <w:rPr>
                <w:rFonts w:ascii="Arial" w:cs="Arial" w:eastAsia="Arial" w:hAnsi="Arial"/>
                <w:sz w:val="17"/>
                <w:szCs w:val="17"/>
                <w:color w:val="auto"/>
              </w:rPr>
              <w:t>4/29/21</w:t>
            </w:r>
          </w:p>
        </w:tc>
        <w:tc>
          <w:tcPr>
            <w:tcW w:w="1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5"/>
        </w:trPr>
        <w:tc>
          <w:tcPr>
            <w:tcW w:w="152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300" w:type="dxa"/>
            <w:vAlign w:val="bottom"/>
          </w:tcPr>
          <w:p>
            <w:pPr>
              <w:spacing w:after="0"/>
              <w:rPr>
                <w:sz w:val="3"/>
                <w:szCs w:val="3"/>
                <w:color w:val="auto"/>
              </w:rPr>
            </w:pPr>
          </w:p>
        </w:tc>
        <w:tc>
          <w:tcPr>
            <w:tcW w:w="2100" w:type="dxa"/>
            <w:vAlign w:val="bottom"/>
          </w:tcPr>
          <w:p>
            <w:pPr>
              <w:spacing w:after="0"/>
              <w:rPr>
                <w:sz w:val="3"/>
                <w:szCs w:val="3"/>
                <w:color w:val="auto"/>
              </w:rPr>
            </w:pPr>
          </w:p>
        </w:tc>
        <w:tc>
          <w:tcPr>
            <w:tcW w:w="29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77"/>
        </w:trPr>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Borders>
              <w:bottom w:val="single" w:sz="8" w:color="ECF1F5"/>
            </w:tcBorders>
            <w:shd w:val="clear" w:color="auto" w:fill="ECF1F5"/>
          </w:tcPr>
          <w:p>
            <w:pPr>
              <w:spacing w:after="0"/>
              <w:rPr>
                <w:sz w:val="20"/>
                <w:szCs w:val="20"/>
                <w:color w:val="auto"/>
              </w:rPr>
            </w:pPr>
            <w:r>
              <w:rPr>
                <w:rFonts w:ascii="Arial" w:cs="Arial" w:eastAsia="Arial" w:hAnsi="Arial"/>
                <w:sz w:val="17"/>
                <w:szCs w:val="17"/>
                <w:color w:val="auto"/>
                <w:w w:val="95"/>
              </w:rPr>
              <w:t>2014</w:t>
            </w:r>
          </w:p>
        </w:tc>
        <w:tc>
          <w:tcPr>
            <w:tcW w:w="1300" w:type="dxa"/>
            <w:vAlign w:val="bottom"/>
            <w:tcBorders>
              <w:bottom w:val="single" w:sz="8" w:color="ECF1F5"/>
            </w:tcBorders>
            <w:shd w:val="clear" w:color="auto" w:fill="ECF1F5"/>
          </w:tcPr>
          <w:p>
            <w:pPr>
              <w:ind w:left="40"/>
              <w:spacing w:after="0"/>
              <w:rPr>
                <w:sz w:val="20"/>
                <w:szCs w:val="20"/>
                <w:color w:val="auto"/>
              </w:rPr>
            </w:pPr>
            <w:r>
              <w:rPr>
                <w:rFonts w:ascii="Arial" w:cs="Arial" w:eastAsia="Arial" w:hAnsi="Arial"/>
                <w:sz w:val="17"/>
                <w:szCs w:val="17"/>
                <w:color w:val="auto"/>
              </w:rPr>
              <w:t>Plan/PSUs</w:t>
            </w:r>
          </w:p>
        </w:tc>
        <w:tc>
          <w:tcPr>
            <w:tcW w:w="2100" w:type="dxa"/>
            <w:vAlign w:val="bottom"/>
            <w:tcBorders>
              <w:bottom w:val="single" w:sz="8" w:color="ECF1F5"/>
            </w:tcBorders>
            <w:shd w:val="clear" w:color="auto" w:fill="ECF1F5"/>
          </w:tcPr>
          <w:p>
            <w:pPr>
              <w:jc w:val="right"/>
              <w:ind w:right="557"/>
              <w:spacing w:after="0"/>
              <w:rPr>
                <w:sz w:val="20"/>
                <w:szCs w:val="20"/>
                <w:color w:val="auto"/>
              </w:rPr>
            </w:pPr>
            <w:r>
              <w:rPr>
                <w:rFonts w:ascii="Arial" w:cs="Arial" w:eastAsia="Arial" w:hAnsi="Arial"/>
                <w:sz w:val="17"/>
                <w:szCs w:val="17"/>
                <w:color w:val="auto"/>
              </w:rPr>
              <w:t>4/29/21</w:t>
            </w:r>
          </w:p>
        </w:tc>
        <w:tc>
          <w:tcPr>
            <w:tcW w:w="2900" w:type="dxa"/>
            <w:vAlign w:val="bottom"/>
            <w:tcBorders>
              <w:bottom w:val="single" w:sz="8" w:color="ECF1F5"/>
            </w:tcBorders>
            <w:shd w:val="clear" w:color="auto" w:fill="ECF1F5"/>
          </w:tcPr>
          <w:p>
            <w:pPr>
              <w:jc w:val="right"/>
              <w:ind w:right="1697"/>
              <w:spacing w:after="0"/>
              <w:rPr>
                <w:sz w:val="20"/>
                <w:szCs w:val="20"/>
                <w:color w:val="auto"/>
              </w:rPr>
            </w:pPr>
            <w:r>
              <w:rPr>
                <w:rFonts w:ascii="Arial" w:cs="Arial" w:eastAsia="Arial" w:hAnsi="Arial"/>
                <w:sz w:val="17"/>
                <w:szCs w:val="17"/>
                <w:color w:val="auto"/>
              </w:rPr>
              <w:t>4/29/21</w:t>
            </w:r>
          </w:p>
        </w:tc>
        <w:tc>
          <w:tcPr>
            <w:tcW w:w="1380" w:type="dxa"/>
            <w:vAlign w:val="bottom"/>
            <w:tcBorders>
              <w:bottom w:val="single" w:sz="8" w:color="ECF1F5"/>
            </w:tcBorders>
            <w:shd w:val="clear" w:color="auto" w:fill="ECF1F5"/>
          </w:tcPr>
          <w:p>
            <w:pPr>
              <w:spacing w:after="0"/>
              <w:rPr>
                <w:sz w:val="24"/>
                <w:szCs w:val="24"/>
                <w:color w:val="auto"/>
              </w:rPr>
            </w:pPr>
          </w:p>
        </w:tc>
        <w:tc>
          <w:tcPr>
            <w:tcW w:w="1180" w:type="dxa"/>
            <w:vAlign w:val="bottom"/>
            <w:tcBorders>
              <w:bottom w:val="single" w:sz="8" w:color="ECF1F5"/>
            </w:tcBorders>
            <w:shd w:val="clear" w:color="auto" w:fill="ECF1F5"/>
          </w:tcPr>
          <w:p>
            <w:pPr>
              <w:spacing w:after="0"/>
              <w:rPr>
                <w:sz w:val="24"/>
                <w:szCs w:val="24"/>
                <w:color w:val="auto"/>
              </w:rPr>
            </w:pPr>
          </w:p>
        </w:tc>
      </w:tr>
      <w:tr>
        <w:trPr>
          <w:trHeight w:val="228"/>
        </w:trPr>
        <w:tc>
          <w:tcPr>
            <w:tcW w:w="1520" w:type="dxa"/>
            <w:vAlign w:val="bottom"/>
          </w:tcPr>
          <w:p>
            <w:pPr>
              <w:spacing w:after="0"/>
              <w:rPr>
                <w:sz w:val="19"/>
                <w:szCs w:val="19"/>
                <w:color w:val="auto"/>
              </w:rPr>
            </w:pPr>
          </w:p>
        </w:tc>
        <w:tc>
          <w:tcPr>
            <w:tcW w:w="880" w:type="dxa"/>
            <w:vAlign w:val="bottom"/>
            <w:gridSpan w:val="2"/>
          </w:tcPr>
          <w:p>
            <w:pPr>
              <w:ind w:left="500"/>
              <w:spacing w:after="0"/>
              <w:rPr>
                <w:sz w:val="20"/>
                <w:szCs w:val="20"/>
                <w:color w:val="auto"/>
              </w:rPr>
            </w:pPr>
            <w:r>
              <w:rPr>
                <w:rFonts w:ascii="Arial" w:cs="Arial" w:eastAsia="Arial" w:hAnsi="Arial"/>
                <w:sz w:val="17"/>
                <w:szCs w:val="17"/>
                <w:color w:val="auto"/>
                <w:w w:val="95"/>
              </w:rPr>
              <w:t>2014</w:t>
            </w:r>
          </w:p>
        </w:tc>
        <w:tc>
          <w:tcPr>
            <w:tcW w:w="1300" w:type="dxa"/>
            <w:vAlign w:val="bottom"/>
          </w:tcPr>
          <w:p>
            <w:pPr>
              <w:ind w:left="40"/>
              <w:spacing w:after="0"/>
              <w:rPr>
                <w:sz w:val="20"/>
                <w:szCs w:val="20"/>
                <w:color w:val="auto"/>
              </w:rPr>
            </w:pPr>
            <w:r>
              <w:rPr>
                <w:rFonts w:ascii="Arial" w:cs="Arial" w:eastAsia="Arial" w:hAnsi="Arial"/>
                <w:sz w:val="17"/>
                <w:szCs w:val="17"/>
                <w:color w:val="auto"/>
              </w:rPr>
              <w:t>Plan/PSUs</w:t>
            </w:r>
          </w:p>
        </w:tc>
        <w:tc>
          <w:tcPr>
            <w:tcW w:w="2100" w:type="dxa"/>
            <w:vAlign w:val="bottom"/>
          </w:tcPr>
          <w:p>
            <w:pPr>
              <w:jc w:val="right"/>
              <w:ind w:right="557"/>
              <w:spacing w:after="0"/>
              <w:rPr>
                <w:sz w:val="20"/>
                <w:szCs w:val="20"/>
                <w:color w:val="auto"/>
              </w:rPr>
            </w:pPr>
            <w:r>
              <w:rPr>
                <w:rFonts w:ascii="Arial" w:cs="Arial" w:eastAsia="Arial" w:hAnsi="Arial"/>
                <w:sz w:val="17"/>
                <w:szCs w:val="17"/>
                <w:color w:val="auto"/>
              </w:rPr>
              <w:t>4/29/21</w:t>
            </w:r>
          </w:p>
        </w:tc>
        <w:tc>
          <w:tcPr>
            <w:tcW w:w="2900" w:type="dxa"/>
            <w:vAlign w:val="bottom"/>
          </w:tcPr>
          <w:p>
            <w:pPr>
              <w:jc w:val="right"/>
              <w:ind w:right="1697"/>
              <w:spacing w:after="0"/>
              <w:rPr>
                <w:sz w:val="20"/>
                <w:szCs w:val="20"/>
                <w:color w:val="auto"/>
              </w:rPr>
            </w:pPr>
            <w:r>
              <w:rPr>
                <w:rFonts w:ascii="Arial" w:cs="Arial" w:eastAsia="Arial" w:hAnsi="Arial"/>
                <w:sz w:val="17"/>
                <w:szCs w:val="17"/>
                <w:color w:val="auto"/>
              </w:rPr>
              <w:t>4/29/21</w:t>
            </w:r>
          </w:p>
        </w:tc>
        <w:tc>
          <w:tcPr>
            <w:tcW w:w="1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5"/>
        </w:trPr>
        <w:tc>
          <w:tcPr>
            <w:tcW w:w="152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300" w:type="dxa"/>
            <w:vAlign w:val="bottom"/>
          </w:tcPr>
          <w:p>
            <w:pPr>
              <w:spacing w:after="0"/>
              <w:rPr>
                <w:sz w:val="3"/>
                <w:szCs w:val="3"/>
                <w:color w:val="auto"/>
              </w:rPr>
            </w:pPr>
          </w:p>
        </w:tc>
        <w:tc>
          <w:tcPr>
            <w:tcW w:w="2100" w:type="dxa"/>
            <w:vAlign w:val="bottom"/>
          </w:tcPr>
          <w:p>
            <w:pPr>
              <w:spacing w:after="0"/>
              <w:rPr>
                <w:sz w:val="3"/>
                <w:szCs w:val="3"/>
                <w:color w:val="auto"/>
              </w:rPr>
            </w:pPr>
          </w:p>
        </w:tc>
        <w:tc>
          <w:tcPr>
            <w:tcW w:w="29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77"/>
        </w:trPr>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Borders>
              <w:bottom w:val="single" w:sz="8" w:color="ECF1F5"/>
            </w:tcBorders>
            <w:shd w:val="clear" w:color="auto" w:fill="ECF1F5"/>
          </w:tcPr>
          <w:p>
            <w:pPr>
              <w:spacing w:after="0"/>
              <w:rPr>
                <w:sz w:val="20"/>
                <w:szCs w:val="20"/>
                <w:color w:val="auto"/>
              </w:rPr>
            </w:pPr>
            <w:r>
              <w:rPr>
                <w:rFonts w:ascii="Arial" w:cs="Arial" w:eastAsia="Arial" w:hAnsi="Arial"/>
                <w:sz w:val="17"/>
                <w:szCs w:val="17"/>
                <w:color w:val="auto"/>
                <w:w w:val="95"/>
              </w:rPr>
              <w:t>2014</w:t>
            </w:r>
          </w:p>
        </w:tc>
        <w:tc>
          <w:tcPr>
            <w:tcW w:w="1300" w:type="dxa"/>
            <w:vAlign w:val="bottom"/>
            <w:tcBorders>
              <w:bottom w:val="single" w:sz="8" w:color="ECF1F5"/>
            </w:tcBorders>
            <w:shd w:val="clear" w:color="auto" w:fill="ECF1F5"/>
          </w:tcPr>
          <w:p>
            <w:pPr>
              <w:ind w:left="40"/>
              <w:spacing w:after="0"/>
              <w:rPr>
                <w:sz w:val="20"/>
                <w:szCs w:val="20"/>
                <w:color w:val="auto"/>
              </w:rPr>
            </w:pPr>
            <w:r>
              <w:rPr>
                <w:rFonts w:ascii="Arial" w:cs="Arial" w:eastAsia="Arial" w:hAnsi="Arial"/>
                <w:sz w:val="17"/>
                <w:szCs w:val="17"/>
                <w:color w:val="auto"/>
              </w:rPr>
              <w:t>Plan/Options</w:t>
            </w:r>
          </w:p>
        </w:tc>
        <w:tc>
          <w:tcPr>
            <w:tcW w:w="2100" w:type="dxa"/>
            <w:vAlign w:val="bottom"/>
            <w:tcBorders>
              <w:bottom w:val="single" w:sz="8" w:color="ECF1F5"/>
            </w:tcBorders>
            <w:shd w:val="clear" w:color="auto" w:fill="ECF1F5"/>
          </w:tcPr>
          <w:p>
            <w:pPr>
              <w:jc w:val="right"/>
              <w:ind w:right="557"/>
              <w:spacing w:after="0"/>
              <w:rPr>
                <w:sz w:val="20"/>
                <w:szCs w:val="20"/>
                <w:color w:val="auto"/>
              </w:rPr>
            </w:pPr>
            <w:r>
              <w:rPr>
                <w:rFonts w:ascii="Arial" w:cs="Arial" w:eastAsia="Arial" w:hAnsi="Arial"/>
                <w:sz w:val="17"/>
                <w:szCs w:val="17"/>
                <w:color w:val="auto"/>
              </w:rPr>
              <w:t>4/29/21</w:t>
            </w:r>
          </w:p>
        </w:tc>
        <w:tc>
          <w:tcPr>
            <w:tcW w:w="2900" w:type="dxa"/>
            <w:vAlign w:val="bottom"/>
            <w:tcBorders>
              <w:bottom w:val="single" w:sz="8" w:color="ECF1F5"/>
            </w:tcBorders>
            <w:shd w:val="clear" w:color="auto" w:fill="ECF1F5"/>
          </w:tcPr>
          <w:p>
            <w:pPr>
              <w:jc w:val="right"/>
              <w:ind w:right="1697"/>
              <w:spacing w:after="0"/>
              <w:rPr>
                <w:sz w:val="20"/>
                <w:szCs w:val="20"/>
                <w:color w:val="auto"/>
              </w:rPr>
            </w:pPr>
            <w:r>
              <w:rPr>
                <w:rFonts w:ascii="Arial" w:cs="Arial" w:eastAsia="Arial" w:hAnsi="Arial"/>
                <w:sz w:val="17"/>
                <w:szCs w:val="17"/>
                <w:color w:val="auto"/>
              </w:rPr>
              <w:t>4/29/21</w:t>
            </w:r>
          </w:p>
        </w:tc>
        <w:tc>
          <w:tcPr>
            <w:tcW w:w="1380" w:type="dxa"/>
            <w:vAlign w:val="bottom"/>
            <w:tcBorders>
              <w:bottom w:val="single" w:sz="8" w:color="ECF1F5"/>
            </w:tcBorders>
            <w:shd w:val="clear" w:color="auto" w:fill="ECF1F5"/>
          </w:tcPr>
          <w:p>
            <w:pPr>
              <w:spacing w:after="0"/>
              <w:rPr>
                <w:sz w:val="24"/>
                <w:szCs w:val="24"/>
                <w:color w:val="auto"/>
              </w:rPr>
            </w:pPr>
          </w:p>
        </w:tc>
        <w:tc>
          <w:tcPr>
            <w:tcW w:w="1180" w:type="dxa"/>
            <w:vAlign w:val="bottom"/>
            <w:tcBorders>
              <w:bottom w:val="single" w:sz="8" w:color="ECF1F5"/>
            </w:tcBorders>
            <w:shd w:val="clear" w:color="auto" w:fill="ECF1F5"/>
          </w:tcPr>
          <w:p>
            <w:pPr>
              <w:spacing w:after="0"/>
              <w:rPr>
                <w:sz w:val="24"/>
                <w:szCs w:val="24"/>
                <w:color w:val="auto"/>
              </w:rPr>
            </w:pPr>
          </w:p>
        </w:tc>
      </w:tr>
      <w:tr>
        <w:trPr>
          <w:trHeight w:val="265"/>
        </w:trPr>
        <w:tc>
          <w:tcPr>
            <w:tcW w:w="1520" w:type="dxa"/>
            <w:vAlign w:val="bottom"/>
            <w:tcBorders>
              <w:bottom w:val="single" w:sz="8" w:color="125288"/>
            </w:tcBorders>
          </w:tcPr>
          <w:p>
            <w:pPr>
              <w:spacing w:after="0"/>
              <w:rPr>
                <w:sz w:val="23"/>
                <w:szCs w:val="23"/>
                <w:color w:val="auto"/>
              </w:rPr>
            </w:pPr>
          </w:p>
        </w:tc>
        <w:tc>
          <w:tcPr>
            <w:tcW w:w="880" w:type="dxa"/>
            <w:vAlign w:val="bottom"/>
            <w:tcBorders>
              <w:bottom w:val="single" w:sz="8" w:color="125288"/>
            </w:tcBorders>
            <w:gridSpan w:val="2"/>
          </w:tcPr>
          <w:p>
            <w:pPr>
              <w:ind w:left="500"/>
              <w:spacing w:after="0"/>
              <w:rPr>
                <w:sz w:val="20"/>
                <w:szCs w:val="20"/>
                <w:color w:val="auto"/>
              </w:rPr>
            </w:pPr>
            <w:r>
              <w:rPr>
                <w:rFonts w:ascii="Arial" w:cs="Arial" w:eastAsia="Arial" w:hAnsi="Arial"/>
                <w:sz w:val="17"/>
                <w:szCs w:val="17"/>
                <w:color w:val="auto"/>
                <w:w w:val="95"/>
              </w:rPr>
              <w:t>2014</w:t>
            </w:r>
          </w:p>
        </w:tc>
        <w:tc>
          <w:tcPr>
            <w:tcW w:w="1300" w:type="dxa"/>
            <w:vAlign w:val="bottom"/>
            <w:tcBorders>
              <w:bottom w:val="single" w:sz="8" w:color="125288"/>
            </w:tcBorders>
          </w:tcPr>
          <w:p>
            <w:pPr>
              <w:ind w:left="40"/>
              <w:spacing w:after="0"/>
              <w:rPr>
                <w:sz w:val="20"/>
                <w:szCs w:val="20"/>
                <w:color w:val="auto"/>
              </w:rPr>
            </w:pPr>
            <w:r>
              <w:rPr>
                <w:rFonts w:ascii="Arial" w:cs="Arial" w:eastAsia="Arial" w:hAnsi="Arial"/>
                <w:sz w:val="17"/>
                <w:szCs w:val="17"/>
                <w:color w:val="auto"/>
              </w:rPr>
              <w:t>Plans/PSUs</w:t>
            </w:r>
          </w:p>
        </w:tc>
        <w:tc>
          <w:tcPr>
            <w:tcW w:w="2100" w:type="dxa"/>
            <w:vAlign w:val="bottom"/>
            <w:tcBorders>
              <w:bottom w:val="single" w:sz="8" w:color="125288"/>
            </w:tcBorders>
          </w:tcPr>
          <w:p>
            <w:pPr>
              <w:jc w:val="right"/>
              <w:ind w:right="397"/>
              <w:spacing w:after="0"/>
              <w:rPr>
                <w:sz w:val="20"/>
                <w:szCs w:val="20"/>
                <w:color w:val="auto"/>
              </w:rPr>
            </w:pPr>
            <w:r>
              <w:rPr>
                <w:rFonts w:ascii="Arial" w:cs="Arial" w:eastAsia="Arial" w:hAnsi="Arial"/>
                <w:sz w:val="17"/>
                <w:szCs w:val="17"/>
                <w:color w:val="auto"/>
              </w:rPr>
              <w:t>11/4/21</w:t>
            </w:r>
            <w:r>
              <w:rPr>
                <w:rFonts w:ascii="Arial" w:cs="Arial" w:eastAsia="Arial" w:hAnsi="Arial"/>
                <w:sz w:val="19"/>
                <w:szCs w:val="19"/>
                <w:color w:val="auto"/>
                <w:vertAlign w:val="superscript"/>
              </w:rPr>
              <w:t>(27)</w:t>
            </w:r>
          </w:p>
        </w:tc>
        <w:tc>
          <w:tcPr>
            <w:tcW w:w="2900" w:type="dxa"/>
            <w:vAlign w:val="bottom"/>
            <w:tcBorders>
              <w:bottom w:val="single" w:sz="8" w:color="125288"/>
            </w:tcBorders>
          </w:tcPr>
          <w:p>
            <w:pPr>
              <w:jc w:val="right"/>
              <w:ind w:right="1697"/>
              <w:spacing w:after="0"/>
              <w:rPr>
                <w:sz w:val="20"/>
                <w:szCs w:val="20"/>
                <w:color w:val="auto"/>
              </w:rPr>
            </w:pPr>
            <w:r>
              <w:rPr>
                <w:rFonts w:ascii="Arial" w:cs="Arial" w:eastAsia="Arial" w:hAnsi="Arial"/>
                <w:sz w:val="17"/>
                <w:szCs w:val="17"/>
                <w:color w:val="auto"/>
              </w:rPr>
              <w:t>10/29/21</w:t>
            </w:r>
          </w:p>
        </w:tc>
        <w:tc>
          <w:tcPr>
            <w:tcW w:w="1380" w:type="dxa"/>
            <w:vAlign w:val="bottom"/>
            <w:tcBorders>
              <w:bottom w:val="single" w:sz="8" w:color="125288"/>
            </w:tcBorders>
          </w:tcPr>
          <w:p>
            <w:pPr>
              <w:spacing w:after="0"/>
              <w:rPr>
                <w:sz w:val="23"/>
                <w:szCs w:val="23"/>
                <w:color w:val="auto"/>
              </w:rPr>
            </w:pPr>
          </w:p>
        </w:tc>
        <w:tc>
          <w:tcPr>
            <w:tcW w:w="1180" w:type="dxa"/>
            <w:vAlign w:val="bottom"/>
            <w:tcBorders>
              <w:bottom w:val="single" w:sz="8" w:color="125288"/>
            </w:tcBorders>
          </w:tcPr>
          <w:p>
            <w:pPr>
              <w:spacing w:after="0"/>
              <w:rPr>
                <w:sz w:val="23"/>
                <w:szCs w:val="23"/>
                <w:color w:val="auto"/>
              </w:rPr>
            </w:pPr>
          </w:p>
        </w:tc>
      </w:tr>
      <w:tr>
        <w:trPr>
          <w:trHeight w:val="265"/>
        </w:trPr>
        <w:tc>
          <w:tcPr>
            <w:tcW w:w="1520" w:type="dxa"/>
            <w:vAlign w:val="bottom"/>
          </w:tcPr>
          <w:p>
            <w:pPr>
              <w:ind w:left="40"/>
              <w:spacing w:after="0"/>
              <w:rPr>
                <w:sz w:val="20"/>
                <w:szCs w:val="20"/>
                <w:color w:val="auto"/>
              </w:rPr>
            </w:pPr>
            <w:r>
              <w:rPr>
                <w:rFonts w:ascii="Arial" w:cs="Arial" w:eastAsia="Arial" w:hAnsi="Arial"/>
                <w:sz w:val="17"/>
                <w:szCs w:val="17"/>
                <w:color w:val="auto"/>
              </w:rPr>
              <w:t>Brian Bulatao</w:t>
            </w:r>
          </w:p>
        </w:tc>
        <w:tc>
          <w:tcPr>
            <w:tcW w:w="500" w:type="dxa"/>
            <w:vAlign w:val="bottom"/>
          </w:tcPr>
          <w:p>
            <w:pPr>
              <w:spacing w:after="0"/>
              <w:rPr>
                <w:sz w:val="23"/>
                <w:szCs w:val="23"/>
                <w:color w:val="auto"/>
              </w:rPr>
            </w:pPr>
          </w:p>
        </w:tc>
        <w:tc>
          <w:tcPr>
            <w:tcW w:w="1680" w:type="dxa"/>
            <w:vAlign w:val="bottom"/>
            <w:tcBorders>
              <w:bottom w:val="single" w:sz="8" w:color="ECF1F5"/>
            </w:tcBorders>
            <w:gridSpan w:val="2"/>
            <w:shd w:val="clear" w:color="auto" w:fill="ECF1F5"/>
          </w:tcPr>
          <w:p>
            <w:pPr>
              <w:spacing w:after="0"/>
              <w:rPr>
                <w:sz w:val="20"/>
                <w:szCs w:val="20"/>
                <w:color w:val="auto"/>
              </w:rPr>
            </w:pPr>
            <w:r>
              <w:rPr>
                <w:rFonts w:ascii="Arial" w:cs="Arial" w:eastAsia="Arial" w:hAnsi="Arial"/>
                <w:sz w:val="17"/>
                <w:szCs w:val="17"/>
                <w:color w:val="auto"/>
              </w:rPr>
              <w:t>CAIP</w:t>
            </w:r>
            <w:r>
              <w:rPr>
                <w:rFonts w:ascii="Arial" w:cs="Arial" w:eastAsia="Arial" w:hAnsi="Arial"/>
                <w:sz w:val="9"/>
                <w:szCs w:val="9"/>
                <w:color w:val="auto"/>
              </w:rPr>
              <w:t>(3)</w:t>
            </w:r>
          </w:p>
        </w:tc>
        <w:tc>
          <w:tcPr>
            <w:tcW w:w="2100" w:type="dxa"/>
            <w:vAlign w:val="bottom"/>
            <w:tcBorders>
              <w:bottom w:val="single" w:sz="8" w:color="ECF1F5"/>
            </w:tcBorders>
            <w:shd w:val="clear" w:color="auto" w:fill="ECF1F5"/>
          </w:tcPr>
          <w:p>
            <w:pPr>
              <w:spacing w:after="0"/>
              <w:rPr>
                <w:sz w:val="23"/>
                <w:szCs w:val="23"/>
                <w:color w:val="auto"/>
              </w:rPr>
            </w:pPr>
          </w:p>
        </w:tc>
        <w:tc>
          <w:tcPr>
            <w:tcW w:w="2900" w:type="dxa"/>
            <w:vAlign w:val="bottom"/>
            <w:tcBorders>
              <w:bottom w:val="single" w:sz="8" w:color="ECF1F5"/>
            </w:tcBorders>
            <w:shd w:val="clear" w:color="auto" w:fill="ECF1F5"/>
          </w:tcPr>
          <w:p>
            <w:pPr>
              <w:jc w:val="right"/>
              <w:ind w:right="197"/>
              <w:spacing w:after="0"/>
              <w:rPr>
                <w:sz w:val="20"/>
                <w:szCs w:val="20"/>
                <w:color w:val="auto"/>
              </w:rPr>
            </w:pPr>
            <w:r>
              <w:rPr>
                <w:rFonts w:ascii="Arial" w:cs="Arial" w:eastAsia="Arial" w:hAnsi="Arial"/>
                <w:sz w:val="17"/>
                <w:szCs w:val="17"/>
                <w:color w:val="auto"/>
              </w:rPr>
              <w:t>216,923</w:t>
            </w:r>
            <w:r>
              <w:rPr>
                <w:rFonts w:ascii="Arial" w:cs="Arial" w:eastAsia="Arial" w:hAnsi="Arial"/>
                <w:sz w:val="19"/>
                <w:szCs w:val="19"/>
                <w:color w:val="auto"/>
                <w:vertAlign w:val="superscript"/>
              </w:rPr>
              <w:t>(28)</w:t>
            </w:r>
          </w:p>
        </w:tc>
        <w:tc>
          <w:tcPr>
            <w:tcW w:w="1380" w:type="dxa"/>
            <w:vAlign w:val="bottom"/>
            <w:tcBorders>
              <w:bottom w:val="single" w:sz="8" w:color="ECF1F5"/>
            </w:tcBorders>
            <w:shd w:val="clear" w:color="auto" w:fill="ECF1F5"/>
          </w:tcPr>
          <w:p>
            <w:pPr>
              <w:jc w:val="right"/>
              <w:ind w:right="117"/>
              <w:spacing w:after="0"/>
              <w:rPr>
                <w:sz w:val="20"/>
                <w:szCs w:val="20"/>
                <w:color w:val="auto"/>
              </w:rPr>
            </w:pPr>
            <w:r>
              <w:rPr>
                <w:rFonts w:ascii="Arial" w:cs="Arial" w:eastAsia="Arial" w:hAnsi="Arial"/>
                <w:sz w:val="17"/>
                <w:szCs w:val="17"/>
                <w:color w:val="auto"/>
              </w:rPr>
              <w:t>903,846</w:t>
            </w:r>
            <w:r>
              <w:rPr>
                <w:rFonts w:ascii="Arial" w:cs="Arial" w:eastAsia="Arial" w:hAnsi="Arial"/>
                <w:sz w:val="19"/>
                <w:szCs w:val="19"/>
                <w:color w:val="auto"/>
                <w:vertAlign w:val="superscript"/>
              </w:rPr>
              <w:t>(28)</w:t>
            </w:r>
          </w:p>
        </w:tc>
        <w:tc>
          <w:tcPr>
            <w:tcW w:w="1180" w:type="dxa"/>
            <w:vAlign w:val="bottom"/>
            <w:tcBorders>
              <w:bottom w:val="single" w:sz="8" w:color="ECF1F5"/>
            </w:tcBorders>
            <w:shd w:val="clear" w:color="auto" w:fill="ECF1F5"/>
          </w:tcPr>
          <w:p>
            <w:pPr>
              <w:jc w:val="right"/>
              <w:spacing w:after="0"/>
              <w:rPr>
                <w:sz w:val="20"/>
                <w:szCs w:val="20"/>
                <w:color w:val="auto"/>
              </w:rPr>
            </w:pPr>
            <w:r>
              <w:rPr>
                <w:rFonts w:ascii="Arial" w:cs="Arial" w:eastAsia="Arial" w:hAnsi="Arial"/>
                <w:sz w:val="17"/>
                <w:szCs w:val="17"/>
                <w:color w:val="auto"/>
              </w:rPr>
              <w:t>1,590,769</w:t>
            </w:r>
            <w:r>
              <w:rPr>
                <w:rFonts w:ascii="Arial" w:cs="Arial" w:eastAsia="Arial" w:hAnsi="Arial"/>
                <w:sz w:val="19"/>
                <w:szCs w:val="19"/>
                <w:color w:val="auto"/>
                <w:vertAlign w:val="superscript"/>
              </w:rPr>
              <w:t>(28)</w:t>
            </w:r>
          </w:p>
        </w:tc>
      </w:tr>
      <w:tr>
        <w:trPr>
          <w:trHeight w:val="228"/>
        </w:trPr>
        <w:tc>
          <w:tcPr>
            <w:tcW w:w="1520" w:type="dxa"/>
            <w:vAlign w:val="bottom"/>
          </w:tcPr>
          <w:p>
            <w:pPr>
              <w:spacing w:after="0"/>
              <w:rPr>
                <w:sz w:val="19"/>
                <w:szCs w:val="19"/>
                <w:color w:val="auto"/>
              </w:rPr>
            </w:pPr>
          </w:p>
        </w:tc>
        <w:tc>
          <w:tcPr>
            <w:tcW w:w="880" w:type="dxa"/>
            <w:vAlign w:val="bottom"/>
            <w:gridSpan w:val="2"/>
          </w:tcPr>
          <w:p>
            <w:pPr>
              <w:ind w:left="500"/>
              <w:spacing w:after="0"/>
              <w:rPr>
                <w:sz w:val="20"/>
                <w:szCs w:val="20"/>
                <w:color w:val="auto"/>
              </w:rPr>
            </w:pPr>
            <w:r>
              <w:rPr>
                <w:rFonts w:ascii="Arial" w:cs="Arial" w:eastAsia="Arial" w:hAnsi="Arial"/>
                <w:sz w:val="17"/>
                <w:szCs w:val="17"/>
                <w:color w:val="auto"/>
                <w:w w:val="95"/>
              </w:rPr>
              <w:t>2014</w:t>
            </w:r>
          </w:p>
        </w:tc>
        <w:tc>
          <w:tcPr>
            <w:tcW w:w="1300" w:type="dxa"/>
            <w:vAlign w:val="bottom"/>
          </w:tcPr>
          <w:p>
            <w:pPr>
              <w:ind w:left="40"/>
              <w:spacing w:after="0"/>
              <w:rPr>
                <w:sz w:val="20"/>
                <w:szCs w:val="20"/>
                <w:color w:val="auto"/>
              </w:rPr>
            </w:pPr>
            <w:r>
              <w:rPr>
                <w:rFonts w:ascii="Arial" w:cs="Arial" w:eastAsia="Arial" w:hAnsi="Arial"/>
                <w:sz w:val="17"/>
                <w:szCs w:val="17"/>
                <w:color w:val="auto"/>
              </w:rPr>
              <w:t>Plan/PSUs</w:t>
            </w:r>
          </w:p>
        </w:tc>
        <w:tc>
          <w:tcPr>
            <w:tcW w:w="2100" w:type="dxa"/>
            <w:vAlign w:val="bottom"/>
          </w:tcPr>
          <w:p>
            <w:pPr>
              <w:jc w:val="right"/>
              <w:ind w:right="557"/>
              <w:spacing w:after="0"/>
              <w:rPr>
                <w:sz w:val="20"/>
                <w:szCs w:val="20"/>
                <w:color w:val="auto"/>
              </w:rPr>
            </w:pPr>
            <w:r>
              <w:rPr>
                <w:rFonts w:ascii="Arial" w:cs="Arial" w:eastAsia="Arial" w:hAnsi="Arial"/>
                <w:sz w:val="17"/>
                <w:szCs w:val="17"/>
                <w:color w:val="auto"/>
              </w:rPr>
              <w:t>3/9/21</w:t>
            </w:r>
          </w:p>
        </w:tc>
        <w:tc>
          <w:tcPr>
            <w:tcW w:w="2900" w:type="dxa"/>
            <w:vAlign w:val="bottom"/>
          </w:tcPr>
          <w:p>
            <w:pPr>
              <w:jc w:val="right"/>
              <w:ind w:right="1697"/>
              <w:spacing w:after="0"/>
              <w:rPr>
                <w:sz w:val="20"/>
                <w:szCs w:val="20"/>
                <w:color w:val="auto"/>
              </w:rPr>
            </w:pPr>
            <w:r>
              <w:rPr>
                <w:rFonts w:ascii="Arial" w:cs="Arial" w:eastAsia="Arial" w:hAnsi="Arial"/>
                <w:sz w:val="17"/>
                <w:szCs w:val="17"/>
                <w:color w:val="auto"/>
              </w:rPr>
              <w:t>3/4/21</w:t>
            </w:r>
          </w:p>
        </w:tc>
        <w:tc>
          <w:tcPr>
            <w:tcW w:w="1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5"/>
        </w:trPr>
        <w:tc>
          <w:tcPr>
            <w:tcW w:w="152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300" w:type="dxa"/>
            <w:vAlign w:val="bottom"/>
          </w:tcPr>
          <w:p>
            <w:pPr>
              <w:spacing w:after="0"/>
              <w:rPr>
                <w:sz w:val="3"/>
                <w:szCs w:val="3"/>
                <w:color w:val="auto"/>
              </w:rPr>
            </w:pPr>
          </w:p>
        </w:tc>
        <w:tc>
          <w:tcPr>
            <w:tcW w:w="2100" w:type="dxa"/>
            <w:vAlign w:val="bottom"/>
          </w:tcPr>
          <w:p>
            <w:pPr>
              <w:spacing w:after="0"/>
              <w:rPr>
                <w:sz w:val="3"/>
                <w:szCs w:val="3"/>
                <w:color w:val="auto"/>
              </w:rPr>
            </w:pPr>
          </w:p>
        </w:tc>
        <w:tc>
          <w:tcPr>
            <w:tcW w:w="29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77"/>
        </w:trPr>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Borders>
              <w:bottom w:val="single" w:sz="8" w:color="ECF1F5"/>
            </w:tcBorders>
            <w:shd w:val="clear" w:color="auto" w:fill="ECF1F5"/>
          </w:tcPr>
          <w:p>
            <w:pPr>
              <w:spacing w:after="0"/>
              <w:rPr>
                <w:sz w:val="20"/>
                <w:szCs w:val="20"/>
                <w:color w:val="auto"/>
              </w:rPr>
            </w:pPr>
            <w:r>
              <w:rPr>
                <w:rFonts w:ascii="Arial" w:cs="Arial" w:eastAsia="Arial" w:hAnsi="Arial"/>
                <w:sz w:val="17"/>
                <w:szCs w:val="17"/>
                <w:color w:val="auto"/>
                <w:w w:val="95"/>
              </w:rPr>
              <w:t>2014</w:t>
            </w:r>
          </w:p>
        </w:tc>
        <w:tc>
          <w:tcPr>
            <w:tcW w:w="1300" w:type="dxa"/>
            <w:vAlign w:val="bottom"/>
            <w:tcBorders>
              <w:bottom w:val="single" w:sz="8" w:color="ECF1F5"/>
            </w:tcBorders>
            <w:shd w:val="clear" w:color="auto" w:fill="ECF1F5"/>
          </w:tcPr>
          <w:p>
            <w:pPr>
              <w:ind w:left="40"/>
              <w:spacing w:after="0"/>
              <w:rPr>
                <w:sz w:val="20"/>
                <w:szCs w:val="20"/>
                <w:color w:val="auto"/>
              </w:rPr>
            </w:pPr>
            <w:r>
              <w:rPr>
                <w:rFonts w:ascii="Arial" w:cs="Arial" w:eastAsia="Arial" w:hAnsi="Arial"/>
                <w:sz w:val="17"/>
                <w:szCs w:val="17"/>
                <w:color w:val="auto"/>
              </w:rPr>
              <w:t>Plan/PSUs</w:t>
            </w:r>
          </w:p>
        </w:tc>
        <w:tc>
          <w:tcPr>
            <w:tcW w:w="2100" w:type="dxa"/>
            <w:vAlign w:val="bottom"/>
            <w:tcBorders>
              <w:bottom w:val="single" w:sz="8" w:color="ECF1F5"/>
            </w:tcBorders>
            <w:shd w:val="clear" w:color="auto" w:fill="ECF1F5"/>
          </w:tcPr>
          <w:p>
            <w:pPr>
              <w:jc w:val="right"/>
              <w:ind w:right="557"/>
              <w:spacing w:after="0"/>
              <w:rPr>
                <w:sz w:val="20"/>
                <w:szCs w:val="20"/>
                <w:color w:val="auto"/>
              </w:rPr>
            </w:pPr>
            <w:r>
              <w:rPr>
                <w:rFonts w:ascii="Arial" w:cs="Arial" w:eastAsia="Arial" w:hAnsi="Arial"/>
                <w:sz w:val="17"/>
                <w:szCs w:val="17"/>
                <w:color w:val="auto"/>
              </w:rPr>
              <w:t>4/29/21</w:t>
            </w:r>
          </w:p>
        </w:tc>
        <w:tc>
          <w:tcPr>
            <w:tcW w:w="2900" w:type="dxa"/>
            <w:vAlign w:val="bottom"/>
            <w:tcBorders>
              <w:bottom w:val="single" w:sz="8" w:color="ECF1F5"/>
            </w:tcBorders>
            <w:shd w:val="clear" w:color="auto" w:fill="ECF1F5"/>
          </w:tcPr>
          <w:p>
            <w:pPr>
              <w:jc w:val="right"/>
              <w:ind w:right="1697"/>
              <w:spacing w:after="0"/>
              <w:rPr>
                <w:sz w:val="20"/>
                <w:szCs w:val="20"/>
                <w:color w:val="auto"/>
              </w:rPr>
            </w:pPr>
            <w:r>
              <w:rPr>
                <w:rFonts w:ascii="Arial" w:cs="Arial" w:eastAsia="Arial" w:hAnsi="Arial"/>
                <w:sz w:val="17"/>
                <w:szCs w:val="17"/>
                <w:color w:val="auto"/>
              </w:rPr>
              <w:t>4/29/21</w:t>
            </w:r>
          </w:p>
        </w:tc>
        <w:tc>
          <w:tcPr>
            <w:tcW w:w="1380" w:type="dxa"/>
            <w:vAlign w:val="bottom"/>
            <w:tcBorders>
              <w:bottom w:val="single" w:sz="8" w:color="ECF1F5"/>
            </w:tcBorders>
            <w:shd w:val="clear" w:color="auto" w:fill="ECF1F5"/>
          </w:tcPr>
          <w:p>
            <w:pPr>
              <w:spacing w:after="0"/>
              <w:rPr>
                <w:sz w:val="24"/>
                <w:szCs w:val="24"/>
                <w:color w:val="auto"/>
              </w:rPr>
            </w:pPr>
          </w:p>
        </w:tc>
        <w:tc>
          <w:tcPr>
            <w:tcW w:w="1180" w:type="dxa"/>
            <w:vAlign w:val="bottom"/>
            <w:tcBorders>
              <w:bottom w:val="single" w:sz="8" w:color="ECF1F5"/>
            </w:tcBorders>
            <w:shd w:val="clear" w:color="auto" w:fill="ECF1F5"/>
          </w:tcPr>
          <w:p>
            <w:pPr>
              <w:spacing w:after="0"/>
              <w:rPr>
                <w:sz w:val="24"/>
                <w:szCs w:val="24"/>
                <w:color w:val="auto"/>
              </w:rPr>
            </w:pPr>
          </w:p>
        </w:tc>
      </w:tr>
      <w:tr>
        <w:trPr>
          <w:trHeight w:val="228"/>
        </w:trPr>
        <w:tc>
          <w:tcPr>
            <w:tcW w:w="1520" w:type="dxa"/>
            <w:vAlign w:val="bottom"/>
          </w:tcPr>
          <w:p>
            <w:pPr>
              <w:spacing w:after="0"/>
              <w:rPr>
                <w:sz w:val="19"/>
                <w:szCs w:val="19"/>
                <w:color w:val="auto"/>
              </w:rPr>
            </w:pPr>
          </w:p>
        </w:tc>
        <w:tc>
          <w:tcPr>
            <w:tcW w:w="880" w:type="dxa"/>
            <w:vAlign w:val="bottom"/>
            <w:gridSpan w:val="2"/>
          </w:tcPr>
          <w:p>
            <w:pPr>
              <w:ind w:left="500"/>
              <w:spacing w:after="0"/>
              <w:rPr>
                <w:sz w:val="20"/>
                <w:szCs w:val="20"/>
                <w:color w:val="auto"/>
              </w:rPr>
            </w:pPr>
            <w:r>
              <w:rPr>
                <w:rFonts w:ascii="Arial" w:cs="Arial" w:eastAsia="Arial" w:hAnsi="Arial"/>
                <w:sz w:val="17"/>
                <w:szCs w:val="17"/>
                <w:color w:val="auto"/>
                <w:w w:val="95"/>
              </w:rPr>
              <w:t>2014</w:t>
            </w:r>
          </w:p>
        </w:tc>
        <w:tc>
          <w:tcPr>
            <w:tcW w:w="1300" w:type="dxa"/>
            <w:vAlign w:val="bottom"/>
          </w:tcPr>
          <w:p>
            <w:pPr>
              <w:ind w:left="40"/>
              <w:spacing w:after="0"/>
              <w:rPr>
                <w:sz w:val="20"/>
                <w:szCs w:val="20"/>
                <w:color w:val="auto"/>
              </w:rPr>
            </w:pPr>
            <w:r>
              <w:rPr>
                <w:rFonts w:ascii="Arial" w:cs="Arial" w:eastAsia="Arial" w:hAnsi="Arial"/>
                <w:sz w:val="17"/>
                <w:szCs w:val="17"/>
                <w:color w:val="auto"/>
              </w:rPr>
              <w:t>Plan/PSUs</w:t>
            </w:r>
          </w:p>
        </w:tc>
        <w:tc>
          <w:tcPr>
            <w:tcW w:w="2100" w:type="dxa"/>
            <w:vAlign w:val="bottom"/>
          </w:tcPr>
          <w:p>
            <w:pPr>
              <w:jc w:val="right"/>
              <w:ind w:right="557"/>
              <w:spacing w:after="0"/>
              <w:rPr>
                <w:sz w:val="20"/>
                <w:szCs w:val="20"/>
                <w:color w:val="auto"/>
              </w:rPr>
            </w:pPr>
            <w:r>
              <w:rPr>
                <w:rFonts w:ascii="Arial" w:cs="Arial" w:eastAsia="Arial" w:hAnsi="Arial"/>
                <w:sz w:val="17"/>
                <w:szCs w:val="17"/>
                <w:color w:val="auto"/>
              </w:rPr>
              <w:t>4/29/21</w:t>
            </w:r>
          </w:p>
        </w:tc>
        <w:tc>
          <w:tcPr>
            <w:tcW w:w="2900" w:type="dxa"/>
            <w:vAlign w:val="bottom"/>
          </w:tcPr>
          <w:p>
            <w:pPr>
              <w:jc w:val="right"/>
              <w:ind w:right="1697"/>
              <w:spacing w:after="0"/>
              <w:rPr>
                <w:sz w:val="20"/>
                <w:szCs w:val="20"/>
                <w:color w:val="auto"/>
              </w:rPr>
            </w:pPr>
            <w:r>
              <w:rPr>
                <w:rFonts w:ascii="Arial" w:cs="Arial" w:eastAsia="Arial" w:hAnsi="Arial"/>
                <w:sz w:val="17"/>
                <w:szCs w:val="17"/>
                <w:color w:val="auto"/>
              </w:rPr>
              <w:t>4/29/21</w:t>
            </w:r>
          </w:p>
        </w:tc>
        <w:tc>
          <w:tcPr>
            <w:tcW w:w="1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5"/>
        </w:trPr>
        <w:tc>
          <w:tcPr>
            <w:tcW w:w="152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300" w:type="dxa"/>
            <w:vAlign w:val="bottom"/>
          </w:tcPr>
          <w:p>
            <w:pPr>
              <w:spacing w:after="0"/>
              <w:rPr>
                <w:sz w:val="3"/>
                <w:szCs w:val="3"/>
                <w:color w:val="auto"/>
              </w:rPr>
            </w:pPr>
          </w:p>
        </w:tc>
        <w:tc>
          <w:tcPr>
            <w:tcW w:w="2100" w:type="dxa"/>
            <w:vAlign w:val="bottom"/>
          </w:tcPr>
          <w:p>
            <w:pPr>
              <w:spacing w:after="0"/>
              <w:rPr>
                <w:sz w:val="3"/>
                <w:szCs w:val="3"/>
                <w:color w:val="auto"/>
              </w:rPr>
            </w:pPr>
          </w:p>
        </w:tc>
        <w:tc>
          <w:tcPr>
            <w:tcW w:w="29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77"/>
        </w:trPr>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Borders>
              <w:bottom w:val="single" w:sz="8" w:color="ECF1F5"/>
            </w:tcBorders>
            <w:shd w:val="clear" w:color="auto" w:fill="ECF1F5"/>
          </w:tcPr>
          <w:p>
            <w:pPr>
              <w:spacing w:after="0"/>
              <w:rPr>
                <w:sz w:val="20"/>
                <w:szCs w:val="20"/>
                <w:color w:val="auto"/>
              </w:rPr>
            </w:pPr>
            <w:r>
              <w:rPr>
                <w:rFonts w:ascii="Arial" w:cs="Arial" w:eastAsia="Arial" w:hAnsi="Arial"/>
                <w:sz w:val="17"/>
                <w:szCs w:val="17"/>
                <w:color w:val="auto"/>
                <w:w w:val="95"/>
              </w:rPr>
              <w:t>2014</w:t>
            </w:r>
          </w:p>
        </w:tc>
        <w:tc>
          <w:tcPr>
            <w:tcW w:w="1300" w:type="dxa"/>
            <w:vAlign w:val="bottom"/>
            <w:tcBorders>
              <w:bottom w:val="single" w:sz="8" w:color="ECF1F5"/>
            </w:tcBorders>
            <w:shd w:val="clear" w:color="auto" w:fill="ECF1F5"/>
          </w:tcPr>
          <w:p>
            <w:pPr>
              <w:ind w:left="40"/>
              <w:spacing w:after="0"/>
              <w:rPr>
                <w:sz w:val="20"/>
                <w:szCs w:val="20"/>
                <w:color w:val="auto"/>
              </w:rPr>
            </w:pPr>
            <w:r>
              <w:rPr>
                <w:rFonts w:ascii="Arial" w:cs="Arial" w:eastAsia="Arial" w:hAnsi="Arial"/>
                <w:sz w:val="17"/>
                <w:szCs w:val="17"/>
                <w:color w:val="auto"/>
              </w:rPr>
              <w:t>Plan/PSUs</w:t>
            </w:r>
          </w:p>
        </w:tc>
        <w:tc>
          <w:tcPr>
            <w:tcW w:w="2100" w:type="dxa"/>
            <w:vAlign w:val="bottom"/>
            <w:tcBorders>
              <w:bottom w:val="single" w:sz="8" w:color="ECF1F5"/>
            </w:tcBorders>
            <w:shd w:val="clear" w:color="auto" w:fill="ECF1F5"/>
          </w:tcPr>
          <w:p>
            <w:pPr>
              <w:jc w:val="right"/>
              <w:ind w:right="557"/>
              <w:spacing w:after="0"/>
              <w:rPr>
                <w:sz w:val="20"/>
                <w:szCs w:val="20"/>
                <w:color w:val="auto"/>
              </w:rPr>
            </w:pPr>
            <w:r>
              <w:rPr>
                <w:rFonts w:ascii="Arial" w:cs="Arial" w:eastAsia="Arial" w:hAnsi="Arial"/>
                <w:sz w:val="17"/>
                <w:szCs w:val="17"/>
                <w:color w:val="auto"/>
              </w:rPr>
              <w:t>4/29/21</w:t>
            </w:r>
          </w:p>
        </w:tc>
        <w:tc>
          <w:tcPr>
            <w:tcW w:w="2900" w:type="dxa"/>
            <w:vAlign w:val="bottom"/>
            <w:tcBorders>
              <w:bottom w:val="single" w:sz="8" w:color="ECF1F5"/>
            </w:tcBorders>
            <w:shd w:val="clear" w:color="auto" w:fill="ECF1F5"/>
          </w:tcPr>
          <w:p>
            <w:pPr>
              <w:jc w:val="right"/>
              <w:ind w:right="1697"/>
              <w:spacing w:after="0"/>
              <w:rPr>
                <w:sz w:val="20"/>
                <w:szCs w:val="20"/>
                <w:color w:val="auto"/>
              </w:rPr>
            </w:pPr>
            <w:r>
              <w:rPr>
                <w:rFonts w:ascii="Arial" w:cs="Arial" w:eastAsia="Arial" w:hAnsi="Arial"/>
                <w:sz w:val="17"/>
                <w:szCs w:val="17"/>
                <w:color w:val="auto"/>
              </w:rPr>
              <w:t>4/29/21</w:t>
            </w:r>
          </w:p>
        </w:tc>
        <w:tc>
          <w:tcPr>
            <w:tcW w:w="1380" w:type="dxa"/>
            <w:vAlign w:val="bottom"/>
            <w:tcBorders>
              <w:bottom w:val="single" w:sz="8" w:color="ECF1F5"/>
            </w:tcBorders>
            <w:shd w:val="clear" w:color="auto" w:fill="ECF1F5"/>
          </w:tcPr>
          <w:p>
            <w:pPr>
              <w:spacing w:after="0"/>
              <w:rPr>
                <w:sz w:val="24"/>
                <w:szCs w:val="24"/>
                <w:color w:val="auto"/>
              </w:rPr>
            </w:pPr>
          </w:p>
        </w:tc>
        <w:tc>
          <w:tcPr>
            <w:tcW w:w="1180" w:type="dxa"/>
            <w:vAlign w:val="bottom"/>
            <w:tcBorders>
              <w:bottom w:val="single" w:sz="8" w:color="ECF1F5"/>
            </w:tcBorders>
            <w:shd w:val="clear" w:color="auto" w:fill="ECF1F5"/>
          </w:tcPr>
          <w:p>
            <w:pPr>
              <w:spacing w:after="0"/>
              <w:rPr>
                <w:sz w:val="24"/>
                <w:szCs w:val="24"/>
                <w:color w:val="auto"/>
              </w:rPr>
            </w:pPr>
          </w:p>
        </w:tc>
      </w:tr>
      <w:tr>
        <w:trPr>
          <w:trHeight w:val="252"/>
        </w:trPr>
        <w:tc>
          <w:tcPr>
            <w:tcW w:w="1520" w:type="dxa"/>
            <w:vAlign w:val="bottom"/>
          </w:tcPr>
          <w:p>
            <w:pPr>
              <w:spacing w:after="0"/>
              <w:rPr>
                <w:sz w:val="21"/>
                <w:szCs w:val="21"/>
                <w:color w:val="auto"/>
              </w:rPr>
            </w:pPr>
          </w:p>
        </w:tc>
        <w:tc>
          <w:tcPr>
            <w:tcW w:w="880" w:type="dxa"/>
            <w:vAlign w:val="bottom"/>
            <w:gridSpan w:val="2"/>
          </w:tcPr>
          <w:p>
            <w:pPr>
              <w:ind w:left="500"/>
              <w:spacing w:after="0"/>
              <w:rPr>
                <w:sz w:val="20"/>
                <w:szCs w:val="20"/>
                <w:color w:val="auto"/>
              </w:rPr>
            </w:pPr>
            <w:r>
              <w:rPr>
                <w:rFonts w:ascii="Arial" w:cs="Arial" w:eastAsia="Arial" w:hAnsi="Arial"/>
                <w:sz w:val="17"/>
                <w:szCs w:val="17"/>
                <w:color w:val="auto"/>
                <w:w w:val="95"/>
              </w:rPr>
              <w:t>2014</w:t>
            </w:r>
          </w:p>
        </w:tc>
        <w:tc>
          <w:tcPr>
            <w:tcW w:w="1300" w:type="dxa"/>
            <w:vAlign w:val="bottom"/>
          </w:tcPr>
          <w:p>
            <w:pPr>
              <w:ind w:left="40"/>
              <w:spacing w:after="0"/>
              <w:rPr>
                <w:sz w:val="20"/>
                <w:szCs w:val="20"/>
                <w:color w:val="auto"/>
              </w:rPr>
            </w:pPr>
            <w:r>
              <w:rPr>
                <w:rFonts w:ascii="Arial" w:cs="Arial" w:eastAsia="Arial" w:hAnsi="Arial"/>
                <w:sz w:val="17"/>
                <w:szCs w:val="17"/>
                <w:color w:val="auto"/>
              </w:rPr>
              <w:t>Plan/PSUs</w:t>
            </w:r>
          </w:p>
        </w:tc>
        <w:tc>
          <w:tcPr>
            <w:tcW w:w="2100" w:type="dxa"/>
            <w:vAlign w:val="bottom"/>
          </w:tcPr>
          <w:p>
            <w:pPr>
              <w:jc w:val="right"/>
              <w:ind w:right="557"/>
              <w:spacing w:after="0"/>
              <w:rPr>
                <w:sz w:val="20"/>
                <w:szCs w:val="20"/>
                <w:color w:val="auto"/>
              </w:rPr>
            </w:pPr>
            <w:r>
              <w:rPr>
                <w:rFonts w:ascii="Arial" w:cs="Arial" w:eastAsia="Arial" w:hAnsi="Arial"/>
                <w:sz w:val="17"/>
                <w:szCs w:val="17"/>
                <w:color w:val="auto"/>
              </w:rPr>
              <w:t>11/4/21</w:t>
            </w:r>
          </w:p>
        </w:tc>
        <w:tc>
          <w:tcPr>
            <w:tcW w:w="2900" w:type="dxa"/>
            <w:vAlign w:val="bottom"/>
          </w:tcPr>
          <w:p>
            <w:pPr>
              <w:jc w:val="right"/>
              <w:ind w:right="1537"/>
              <w:spacing w:after="0"/>
              <w:rPr>
                <w:sz w:val="20"/>
                <w:szCs w:val="20"/>
                <w:color w:val="auto"/>
              </w:rPr>
            </w:pPr>
            <w:r>
              <w:rPr>
                <w:rFonts w:ascii="Arial" w:cs="Arial" w:eastAsia="Arial" w:hAnsi="Arial"/>
                <w:sz w:val="17"/>
                <w:szCs w:val="17"/>
                <w:color w:val="auto"/>
              </w:rPr>
              <w:t>10/29/21</w:t>
            </w:r>
            <w:r>
              <w:rPr>
                <w:rFonts w:ascii="Arial" w:cs="Arial" w:eastAsia="Arial" w:hAnsi="Arial"/>
                <w:sz w:val="19"/>
                <w:szCs w:val="19"/>
                <w:color w:val="auto"/>
                <w:vertAlign w:val="superscript"/>
              </w:rPr>
              <w:t>(12)</w:t>
            </w:r>
          </w:p>
        </w:tc>
        <w:tc>
          <w:tcPr>
            <w:tcW w:w="1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1"/>
        </w:trPr>
        <w:tc>
          <w:tcPr>
            <w:tcW w:w="15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77"/>
        </w:trPr>
        <w:tc>
          <w:tcPr>
            <w:tcW w:w="1520" w:type="dxa"/>
            <w:vAlign w:val="bottom"/>
            <w:tcBorders>
              <w:bottom w:val="single" w:sz="8" w:color="125288"/>
            </w:tcBorders>
          </w:tcPr>
          <w:p>
            <w:pPr>
              <w:spacing w:after="0"/>
              <w:rPr>
                <w:sz w:val="24"/>
                <w:szCs w:val="24"/>
                <w:color w:val="auto"/>
              </w:rPr>
            </w:pPr>
          </w:p>
        </w:tc>
        <w:tc>
          <w:tcPr>
            <w:tcW w:w="500" w:type="dxa"/>
            <w:vAlign w:val="bottom"/>
            <w:tcBorders>
              <w:bottom w:val="single" w:sz="8" w:color="125288"/>
            </w:tcBorders>
          </w:tcPr>
          <w:p>
            <w:pPr>
              <w:spacing w:after="0"/>
              <w:rPr>
                <w:sz w:val="24"/>
                <w:szCs w:val="24"/>
                <w:color w:val="auto"/>
              </w:rPr>
            </w:pPr>
          </w:p>
        </w:tc>
        <w:tc>
          <w:tcPr>
            <w:tcW w:w="380" w:type="dxa"/>
            <w:vAlign w:val="bottom"/>
            <w:tcBorders>
              <w:bottom w:val="single" w:sz="8" w:color="125288"/>
            </w:tcBorders>
            <w:shd w:val="clear" w:color="auto" w:fill="ECF1F5"/>
          </w:tcPr>
          <w:p>
            <w:pPr>
              <w:spacing w:after="0"/>
              <w:rPr>
                <w:sz w:val="20"/>
                <w:szCs w:val="20"/>
                <w:color w:val="auto"/>
              </w:rPr>
            </w:pPr>
            <w:r>
              <w:rPr>
                <w:rFonts w:ascii="Arial" w:cs="Arial" w:eastAsia="Arial" w:hAnsi="Arial"/>
                <w:sz w:val="17"/>
                <w:szCs w:val="17"/>
                <w:color w:val="auto"/>
                <w:w w:val="95"/>
              </w:rPr>
              <w:t>2014</w:t>
            </w:r>
          </w:p>
        </w:tc>
        <w:tc>
          <w:tcPr>
            <w:tcW w:w="1300" w:type="dxa"/>
            <w:vAlign w:val="bottom"/>
            <w:tcBorders>
              <w:bottom w:val="single" w:sz="8" w:color="125288"/>
            </w:tcBorders>
            <w:shd w:val="clear" w:color="auto" w:fill="ECF1F5"/>
          </w:tcPr>
          <w:p>
            <w:pPr>
              <w:ind w:left="40"/>
              <w:spacing w:after="0"/>
              <w:rPr>
                <w:sz w:val="20"/>
                <w:szCs w:val="20"/>
                <w:color w:val="auto"/>
              </w:rPr>
            </w:pPr>
            <w:r>
              <w:rPr>
                <w:rFonts w:ascii="Arial" w:cs="Arial" w:eastAsia="Arial" w:hAnsi="Arial"/>
                <w:sz w:val="17"/>
                <w:szCs w:val="17"/>
                <w:color w:val="auto"/>
              </w:rPr>
              <w:t>Plan/Options</w:t>
            </w:r>
          </w:p>
        </w:tc>
        <w:tc>
          <w:tcPr>
            <w:tcW w:w="2100" w:type="dxa"/>
            <w:vAlign w:val="bottom"/>
            <w:tcBorders>
              <w:bottom w:val="single" w:sz="8" w:color="125288"/>
            </w:tcBorders>
            <w:shd w:val="clear" w:color="auto" w:fill="ECF1F5"/>
          </w:tcPr>
          <w:p>
            <w:pPr>
              <w:jc w:val="right"/>
              <w:ind w:right="557"/>
              <w:spacing w:after="0"/>
              <w:rPr>
                <w:sz w:val="20"/>
                <w:szCs w:val="20"/>
                <w:color w:val="auto"/>
              </w:rPr>
            </w:pPr>
            <w:r>
              <w:rPr>
                <w:rFonts w:ascii="Arial" w:cs="Arial" w:eastAsia="Arial" w:hAnsi="Arial"/>
                <w:sz w:val="17"/>
                <w:szCs w:val="17"/>
                <w:color w:val="auto"/>
              </w:rPr>
              <w:t>4/29/21</w:t>
            </w:r>
          </w:p>
        </w:tc>
        <w:tc>
          <w:tcPr>
            <w:tcW w:w="2900" w:type="dxa"/>
            <w:vAlign w:val="bottom"/>
            <w:tcBorders>
              <w:bottom w:val="single" w:sz="8" w:color="125288"/>
            </w:tcBorders>
            <w:shd w:val="clear" w:color="auto" w:fill="ECF1F5"/>
          </w:tcPr>
          <w:p>
            <w:pPr>
              <w:jc w:val="right"/>
              <w:ind w:right="1537"/>
              <w:spacing w:after="0"/>
              <w:rPr>
                <w:sz w:val="20"/>
                <w:szCs w:val="20"/>
                <w:color w:val="auto"/>
              </w:rPr>
            </w:pPr>
            <w:r>
              <w:rPr>
                <w:rFonts w:ascii="Arial" w:cs="Arial" w:eastAsia="Arial" w:hAnsi="Arial"/>
                <w:sz w:val="17"/>
                <w:szCs w:val="17"/>
                <w:color w:val="auto"/>
              </w:rPr>
              <w:t>4/29/21</w:t>
            </w:r>
            <w:r>
              <w:rPr>
                <w:rFonts w:ascii="Arial" w:cs="Arial" w:eastAsia="Arial" w:hAnsi="Arial"/>
                <w:sz w:val="19"/>
                <w:szCs w:val="19"/>
                <w:color w:val="auto"/>
                <w:vertAlign w:val="superscript"/>
              </w:rPr>
              <w:t>(12)</w:t>
            </w:r>
          </w:p>
        </w:tc>
        <w:tc>
          <w:tcPr>
            <w:tcW w:w="1380" w:type="dxa"/>
            <w:vAlign w:val="bottom"/>
            <w:tcBorders>
              <w:bottom w:val="single" w:sz="8" w:color="125288"/>
            </w:tcBorders>
            <w:shd w:val="clear" w:color="auto" w:fill="ECF1F5"/>
          </w:tcPr>
          <w:p>
            <w:pPr>
              <w:spacing w:after="0"/>
              <w:rPr>
                <w:sz w:val="24"/>
                <w:szCs w:val="24"/>
                <w:color w:val="auto"/>
              </w:rPr>
            </w:pPr>
          </w:p>
        </w:tc>
        <w:tc>
          <w:tcPr>
            <w:tcW w:w="1180" w:type="dxa"/>
            <w:vAlign w:val="bottom"/>
            <w:tcBorders>
              <w:bottom w:val="single" w:sz="8" w:color="125288"/>
            </w:tcBorders>
            <w:shd w:val="clear" w:color="auto" w:fill="ECF1F5"/>
          </w:tcPr>
          <w:p>
            <w:pPr>
              <w:spacing w:after="0"/>
              <w:rPr>
                <w:sz w:val="24"/>
                <w:szCs w:val="24"/>
                <w:color w:val="auto"/>
              </w:rPr>
            </w:pPr>
          </w:p>
        </w:tc>
      </w:tr>
      <w:tr>
        <w:trPr>
          <w:trHeight w:val="252"/>
        </w:trPr>
        <w:tc>
          <w:tcPr>
            <w:tcW w:w="1520" w:type="dxa"/>
            <w:vAlign w:val="bottom"/>
          </w:tcPr>
          <w:p>
            <w:pPr>
              <w:ind w:left="40"/>
              <w:spacing w:after="0"/>
              <w:rPr>
                <w:sz w:val="20"/>
                <w:szCs w:val="20"/>
                <w:color w:val="auto"/>
              </w:rPr>
            </w:pPr>
            <w:r>
              <w:rPr>
                <w:rFonts w:ascii="Arial" w:cs="Arial" w:eastAsia="Arial" w:hAnsi="Arial"/>
                <w:sz w:val="17"/>
                <w:szCs w:val="17"/>
                <w:color w:val="auto"/>
              </w:rPr>
              <w:t>Grant Dixton</w:t>
            </w:r>
          </w:p>
        </w:tc>
        <w:tc>
          <w:tcPr>
            <w:tcW w:w="2180" w:type="dxa"/>
            <w:vAlign w:val="bottom"/>
            <w:gridSpan w:val="3"/>
          </w:tcPr>
          <w:p>
            <w:pPr>
              <w:ind w:left="500"/>
              <w:spacing w:after="0"/>
              <w:rPr>
                <w:sz w:val="20"/>
                <w:szCs w:val="20"/>
                <w:color w:val="auto"/>
              </w:rPr>
            </w:pPr>
            <w:r>
              <w:rPr>
                <w:rFonts w:ascii="Arial" w:cs="Arial" w:eastAsia="Arial" w:hAnsi="Arial"/>
                <w:sz w:val="17"/>
                <w:szCs w:val="17"/>
                <w:color w:val="auto"/>
              </w:rPr>
              <w:t>CAIP</w:t>
            </w:r>
            <w:r>
              <w:rPr>
                <w:rFonts w:ascii="Arial" w:cs="Arial" w:eastAsia="Arial" w:hAnsi="Arial"/>
                <w:sz w:val="9"/>
                <w:szCs w:val="9"/>
                <w:color w:val="auto"/>
              </w:rPr>
              <w:t>(3)</w:t>
            </w:r>
          </w:p>
        </w:tc>
        <w:tc>
          <w:tcPr>
            <w:tcW w:w="2100" w:type="dxa"/>
            <w:vAlign w:val="bottom"/>
          </w:tcPr>
          <w:p>
            <w:pPr>
              <w:spacing w:after="0"/>
              <w:rPr>
                <w:sz w:val="21"/>
                <w:szCs w:val="21"/>
                <w:color w:val="auto"/>
              </w:rPr>
            </w:pPr>
          </w:p>
        </w:tc>
        <w:tc>
          <w:tcPr>
            <w:tcW w:w="2900" w:type="dxa"/>
            <w:vAlign w:val="bottom"/>
          </w:tcPr>
          <w:p>
            <w:pPr>
              <w:jc w:val="right"/>
              <w:ind w:right="197"/>
              <w:spacing w:after="0"/>
              <w:rPr>
                <w:sz w:val="20"/>
                <w:szCs w:val="20"/>
                <w:color w:val="auto"/>
              </w:rPr>
            </w:pPr>
            <w:r>
              <w:rPr>
                <w:rFonts w:ascii="Arial" w:cs="Arial" w:eastAsia="Arial" w:hAnsi="Arial"/>
                <w:sz w:val="17"/>
                <w:szCs w:val="17"/>
                <w:color w:val="auto"/>
              </w:rPr>
              <w:t>72,692</w:t>
            </w:r>
            <w:r>
              <w:rPr>
                <w:rFonts w:ascii="Arial" w:cs="Arial" w:eastAsia="Arial" w:hAnsi="Arial"/>
                <w:sz w:val="19"/>
                <w:szCs w:val="19"/>
                <w:color w:val="auto"/>
                <w:vertAlign w:val="superscript"/>
              </w:rPr>
              <w:t>(35)</w:t>
            </w:r>
          </w:p>
        </w:tc>
        <w:tc>
          <w:tcPr>
            <w:tcW w:w="1380" w:type="dxa"/>
            <w:vAlign w:val="bottom"/>
          </w:tcPr>
          <w:p>
            <w:pPr>
              <w:jc w:val="right"/>
              <w:ind w:right="117"/>
              <w:spacing w:after="0"/>
              <w:rPr>
                <w:sz w:val="20"/>
                <w:szCs w:val="20"/>
                <w:color w:val="auto"/>
              </w:rPr>
            </w:pPr>
            <w:r>
              <w:rPr>
                <w:rFonts w:ascii="Arial" w:cs="Arial" w:eastAsia="Arial" w:hAnsi="Arial"/>
                <w:sz w:val="17"/>
                <w:szCs w:val="17"/>
                <w:color w:val="auto"/>
              </w:rPr>
              <w:t>302,885</w:t>
            </w:r>
            <w:r>
              <w:rPr>
                <w:rFonts w:ascii="Arial" w:cs="Arial" w:eastAsia="Arial" w:hAnsi="Arial"/>
                <w:sz w:val="19"/>
                <w:szCs w:val="19"/>
                <w:color w:val="auto"/>
                <w:vertAlign w:val="superscript"/>
              </w:rPr>
              <w:t>(35)</w:t>
            </w:r>
          </w:p>
        </w:tc>
        <w:tc>
          <w:tcPr>
            <w:tcW w:w="1180" w:type="dxa"/>
            <w:vAlign w:val="bottom"/>
          </w:tcPr>
          <w:p>
            <w:pPr>
              <w:jc w:val="right"/>
              <w:spacing w:after="0"/>
              <w:rPr>
                <w:sz w:val="20"/>
                <w:szCs w:val="20"/>
                <w:color w:val="auto"/>
              </w:rPr>
            </w:pPr>
            <w:r>
              <w:rPr>
                <w:rFonts w:ascii="Arial" w:cs="Arial" w:eastAsia="Arial" w:hAnsi="Arial"/>
                <w:sz w:val="17"/>
                <w:szCs w:val="17"/>
                <w:color w:val="auto"/>
              </w:rPr>
              <w:t>533,077</w:t>
            </w:r>
            <w:r>
              <w:rPr>
                <w:rFonts w:ascii="Arial" w:cs="Arial" w:eastAsia="Arial" w:hAnsi="Arial"/>
                <w:sz w:val="19"/>
                <w:szCs w:val="19"/>
                <w:color w:val="auto"/>
                <w:vertAlign w:val="superscript"/>
              </w:rPr>
              <w:t>(35)</w:t>
            </w:r>
          </w:p>
        </w:tc>
      </w:tr>
      <w:tr>
        <w:trPr>
          <w:trHeight w:val="21"/>
        </w:trPr>
        <w:tc>
          <w:tcPr>
            <w:tcW w:w="15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77"/>
        </w:trPr>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Borders>
              <w:bottom w:val="single" w:sz="8" w:color="ECF1F5"/>
            </w:tcBorders>
            <w:shd w:val="clear" w:color="auto" w:fill="ECF1F5"/>
          </w:tcPr>
          <w:p>
            <w:pPr>
              <w:spacing w:after="0"/>
              <w:rPr>
                <w:sz w:val="20"/>
                <w:szCs w:val="20"/>
                <w:color w:val="auto"/>
              </w:rPr>
            </w:pPr>
            <w:r>
              <w:rPr>
                <w:rFonts w:ascii="Arial" w:cs="Arial" w:eastAsia="Arial" w:hAnsi="Arial"/>
                <w:sz w:val="17"/>
                <w:szCs w:val="17"/>
                <w:color w:val="auto"/>
                <w:w w:val="95"/>
              </w:rPr>
              <w:t>2014</w:t>
            </w:r>
          </w:p>
        </w:tc>
        <w:tc>
          <w:tcPr>
            <w:tcW w:w="1300" w:type="dxa"/>
            <w:vAlign w:val="bottom"/>
            <w:tcBorders>
              <w:bottom w:val="single" w:sz="8" w:color="ECF1F5"/>
            </w:tcBorders>
            <w:shd w:val="clear" w:color="auto" w:fill="ECF1F5"/>
          </w:tcPr>
          <w:p>
            <w:pPr>
              <w:ind w:left="40"/>
              <w:spacing w:after="0"/>
              <w:rPr>
                <w:sz w:val="20"/>
                <w:szCs w:val="20"/>
                <w:color w:val="auto"/>
              </w:rPr>
            </w:pPr>
            <w:r>
              <w:rPr>
                <w:rFonts w:ascii="Arial" w:cs="Arial" w:eastAsia="Arial" w:hAnsi="Arial"/>
                <w:sz w:val="17"/>
                <w:szCs w:val="17"/>
                <w:color w:val="auto"/>
              </w:rPr>
              <w:t>Plan/PSUs</w:t>
            </w:r>
          </w:p>
        </w:tc>
        <w:tc>
          <w:tcPr>
            <w:tcW w:w="2100" w:type="dxa"/>
            <w:vAlign w:val="bottom"/>
            <w:tcBorders>
              <w:bottom w:val="single" w:sz="8" w:color="ECF1F5"/>
            </w:tcBorders>
            <w:shd w:val="clear" w:color="auto" w:fill="ECF1F5"/>
          </w:tcPr>
          <w:p>
            <w:pPr>
              <w:jc w:val="right"/>
              <w:ind w:right="557"/>
              <w:spacing w:after="0"/>
              <w:rPr>
                <w:sz w:val="20"/>
                <w:szCs w:val="20"/>
                <w:color w:val="auto"/>
              </w:rPr>
            </w:pPr>
            <w:r>
              <w:rPr>
                <w:rFonts w:ascii="Arial" w:cs="Arial" w:eastAsia="Arial" w:hAnsi="Arial"/>
                <w:sz w:val="17"/>
                <w:szCs w:val="17"/>
                <w:color w:val="auto"/>
              </w:rPr>
              <w:t>8/5/21</w:t>
            </w:r>
          </w:p>
        </w:tc>
        <w:tc>
          <w:tcPr>
            <w:tcW w:w="2900" w:type="dxa"/>
            <w:vAlign w:val="bottom"/>
            <w:tcBorders>
              <w:bottom w:val="single" w:sz="8" w:color="ECF1F5"/>
            </w:tcBorders>
            <w:shd w:val="clear" w:color="auto" w:fill="ECF1F5"/>
          </w:tcPr>
          <w:p>
            <w:pPr>
              <w:jc w:val="right"/>
              <w:ind w:right="1537"/>
              <w:spacing w:after="0"/>
              <w:rPr>
                <w:sz w:val="20"/>
                <w:szCs w:val="20"/>
                <w:color w:val="auto"/>
              </w:rPr>
            </w:pPr>
            <w:r>
              <w:rPr>
                <w:rFonts w:ascii="Arial" w:cs="Arial" w:eastAsia="Arial" w:hAnsi="Arial"/>
                <w:sz w:val="17"/>
                <w:szCs w:val="17"/>
                <w:color w:val="auto"/>
              </w:rPr>
              <w:t>7/26/21</w:t>
            </w:r>
            <w:r>
              <w:rPr>
                <w:rFonts w:ascii="Arial" w:cs="Arial" w:eastAsia="Arial" w:hAnsi="Arial"/>
                <w:sz w:val="19"/>
                <w:szCs w:val="19"/>
                <w:color w:val="auto"/>
                <w:vertAlign w:val="superscript"/>
              </w:rPr>
              <w:t>(12)</w:t>
            </w:r>
          </w:p>
        </w:tc>
        <w:tc>
          <w:tcPr>
            <w:tcW w:w="1380" w:type="dxa"/>
            <w:vAlign w:val="bottom"/>
            <w:tcBorders>
              <w:bottom w:val="single" w:sz="8" w:color="ECF1F5"/>
            </w:tcBorders>
            <w:shd w:val="clear" w:color="auto" w:fill="ECF1F5"/>
          </w:tcPr>
          <w:p>
            <w:pPr>
              <w:spacing w:after="0"/>
              <w:rPr>
                <w:sz w:val="24"/>
                <w:szCs w:val="24"/>
                <w:color w:val="auto"/>
              </w:rPr>
            </w:pPr>
          </w:p>
        </w:tc>
        <w:tc>
          <w:tcPr>
            <w:tcW w:w="1180" w:type="dxa"/>
            <w:vAlign w:val="bottom"/>
            <w:tcBorders>
              <w:bottom w:val="single" w:sz="8" w:color="ECF1F5"/>
            </w:tcBorders>
            <w:shd w:val="clear" w:color="auto" w:fill="ECF1F5"/>
          </w:tcPr>
          <w:p>
            <w:pPr>
              <w:spacing w:after="0"/>
              <w:rPr>
                <w:sz w:val="24"/>
                <w:szCs w:val="24"/>
                <w:color w:val="auto"/>
              </w:rPr>
            </w:pPr>
          </w:p>
        </w:tc>
      </w:tr>
      <w:tr>
        <w:trPr>
          <w:trHeight w:val="252"/>
        </w:trPr>
        <w:tc>
          <w:tcPr>
            <w:tcW w:w="1520" w:type="dxa"/>
            <w:vAlign w:val="bottom"/>
          </w:tcPr>
          <w:p>
            <w:pPr>
              <w:spacing w:after="0"/>
              <w:rPr>
                <w:sz w:val="21"/>
                <w:szCs w:val="21"/>
                <w:color w:val="auto"/>
              </w:rPr>
            </w:pPr>
          </w:p>
        </w:tc>
        <w:tc>
          <w:tcPr>
            <w:tcW w:w="880" w:type="dxa"/>
            <w:vAlign w:val="bottom"/>
            <w:gridSpan w:val="2"/>
          </w:tcPr>
          <w:p>
            <w:pPr>
              <w:ind w:left="500"/>
              <w:spacing w:after="0"/>
              <w:rPr>
                <w:sz w:val="20"/>
                <w:szCs w:val="20"/>
                <w:color w:val="auto"/>
              </w:rPr>
            </w:pPr>
            <w:r>
              <w:rPr>
                <w:rFonts w:ascii="Arial" w:cs="Arial" w:eastAsia="Arial" w:hAnsi="Arial"/>
                <w:sz w:val="17"/>
                <w:szCs w:val="17"/>
                <w:color w:val="auto"/>
                <w:w w:val="95"/>
              </w:rPr>
              <w:t>2014</w:t>
            </w:r>
          </w:p>
        </w:tc>
        <w:tc>
          <w:tcPr>
            <w:tcW w:w="1300" w:type="dxa"/>
            <w:vAlign w:val="bottom"/>
          </w:tcPr>
          <w:p>
            <w:pPr>
              <w:ind w:left="40"/>
              <w:spacing w:after="0"/>
              <w:rPr>
                <w:sz w:val="20"/>
                <w:szCs w:val="20"/>
                <w:color w:val="auto"/>
              </w:rPr>
            </w:pPr>
            <w:r>
              <w:rPr>
                <w:rFonts w:ascii="Arial" w:cs="Arial" w:eastAsia="Arial" w:hAnsi="Arial"/>
                <w:sz w:val="17"/>
                <w:szCs w:val="17"/>
                <w:color w:val="auto"/>
              </w:rPr>
              <w:t>Plan/PSUs</w:t>
            </w:r>
          </w:p>
        </w:tc>
        <w:tc>
          <w:tcPr>
            <w:tcW w:w="2100" w:type="dxa"/>
            <w:vAlign w:val="bottom"/>
          </w:tcPr>
          <w:p>
            <w:pPr>
              <w:jc w:val="right"/>
              <w:ind w:right="557"/>
              <w:spacing w:after="0"/>
              <w:rPr>
                <w:sz w:val="20"/>
                <w:szCs w:val="20"/>
                <w:color w:val="auto"/>
              </w:rPr>
            </w:pPr>
            <w:r>
              <w:rPr>
                <w:rFonts w:ascii="Arial" w:cs="Arial" w:eastAsia="Arial" w:hAnsi="Arial"/>
                <w:sz w:val="17"/>
                <w:szCs w:val="17"/>
                <w:color w:val="auto"/>
              </w:rPr>
              <w:t>8/5/21</w:t>
            </w:r>
          </w:p>
        </w:tc>
        <w:tc>
          <w:tcPr>
            <w:tcW w:w="2900" w:type="dxa"/>
            <w:vAlign w:val="bottom"/>
          </w:tcPr>
          <w:p>
            <w:pPr>
              <w:jc w:val="right"/>
              <w:ind w:right="1537"/>
              <w:spacing w:after="0"/>
              <w:rPr>
                <w:sz w:val="20"/>
                <w:szCs w:val="20"/>
                <w:color w:val="auto"/>
              </w:rPr>
            </w:pPr>
            <w:r>
              <w:rPr>
                <w:rFonts w:ascii="Arial" w:cs="Arial" w:eastAsia="Arial" w:hAnsi="Arial"/>
                <w:sz w:val="17"/>
                <w:szCs w:val="17"/>
                <w:color w:val="auto"/>
              </w:rPr>
              <w:t>7/26/21</w:t>
            </w:r>
            <w:r>
              <w:rPr>
                <w:rFonts w:ascii="Arial" w:cs="Arial" w:eastAsia="Arial" w:hAnsi="Arial"/>
                <w:sz w:val="19"/>
                <w:szCs w:val="19"/>
                <w:color w:val="auto"/>
                <w:vertAlign w:val="superscript"/>
              </w:rPr>
              <w:t>(12)</w:t>
            </w:r>
          </w:p>
        </w:tc>
        <w:tc>
          <w:tcPr>
            <w:tcW w:w="1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1"/>
        </w:trPr>
        <w:tc>
          <w:tcPr>
            <w:tcW w:w="15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77"/>
        </w:trPr>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Borders>
              <w:bottom w:val="single" w:sz="8" w:color="ECF1F5"/>
            </w:tcBorders>
            <w:shd w:val="clear" w:color="auto" w:fill="ECF1F5"/>
          </w:tcPr>
          <w:p>
            <w:pPr>
              <w:spacing w:after="0"/>
              <w:rPr>
                <w:sz w:val="20"/>
                <w:szCs w:val="20"/>
                <w:color w:val="auto"/>
              </w:rPr>
            </w:pPr>
            <w:r>
              <w:rPr>
                <w:rFonts w:ascii="Arial" w:cs="Arial" w:eastAsia="Arial" w:hAnsi="Arial"/>
                <w:sz w:val="17"/>
                <w:szCs w:val="17"/>
                <w:color w:val="auto"/>
                <w:w w:val="95"/>
              </w:rPr>
              <w:t>2014</w:t>
            </w:r>
          </w:p>
        </w:tc>
        <w:tc>
          <w:tcPr>
            <w:tcW w:w="1300" w:type="dxa"/>
            <w:vAlign w:val="bottom"/>
            <w:tcBorders>
              <w:bottom w:val="single" w:sz="8" w:color="ECF1F5"/>
            </w:tcBorders>
            <w:shd w:val="clear" w:color="auto" w:fill="ECF1F5"/>
          </w:tcPr>
          <w:p>
            <w:pPr>
              <w:ind w:left="40"/>
              <w:spacing w:after="0"/>
              <w:rPr>
                <w:sz w:val="20"/>
                <w:szCs w:val="20"/>
                <w:color w:val="auto"/>
              </w:rPr>
            </w:pPr>
            <w:r>
              <w:rPr>
                <w:rFonts w:ascii="Arial" w:cs="Arial" w:eastAsia="Arial" w:hAnsi="Arial"/>
                <w:sz w:val="17"/>
                <w:szCs w:val="17"/>
                <w:color w:val="auto"/>
              </w:rPr>
              <w:t>Plan/PSUs</w:t>
            </w:r>
          </w:p>
        </w:tc>
        <w:tc>
          <w:tcPr>
            <w:tcW w:w="2100" w:type="dxa"/>
            <w:vAlign w:val="bottom"/>
            <w:tcBorders>
              <w:bottom w:val="single" w:sz="8" w:color="ECF1F5"/>
            </w:tcBorders>
            <w:shd w:val="clear" w:color="auto" w:fill="ECF1F5"/>
          </w:tcPr>
          <w:p>
            <w:pPr>
              <w:jc w:val="right"/>
              <w:ind w:right="557"/>
              <w:spacing w:after="0"/>
              <w:rPr>
                <w:sz w:val="20"/>
                <w:szCs w:val="20"/>
                <w:color w:val="auto"/>
              </w:rPr>
            </w:pPr>
            <w:r>
              <w:rPr>
                <w:rFonts w:ascii="Arial" w:cs="Arial" w:eastAsia="Arial" w:hAnsi="Arial"/>
                <w:sz w:val="17"/>
                <w:szCs w:val="17"/>
                <w:color w:val="auto"/>
              </w:rPr>
              <w:t>8/5/21</w:t>
            </w:r>
          </w:p>
        </w:tc>
        <w:tc>
          <w:tcPr>
            <w:tcW w:w="2900" w:type="dxa"/>
            <w:vAlign w:val="bottom"/>
            <w:tcBorders>
              <w:bottom w:val="single" w:sz="8" w:color="ECF1F5"/>
            </w:tcBorders>
            <w:shd w:val="clear" w:color="auto" w:fill="ECF1F5"/>
          </w:tcPr>
          <w:p>
            <w:pPr>
              <w:jc w:val="right"/>
              <w:ind w:right="1537"/>
              <w:spacing w:after="0"/>
              <w:rPr>
                <w:sz w:val="20"/>
                <w:szCs w:val="20"/>
                <w:color w:val="auto"/>
              </w:rPr>
            </w:pPr>
            <w:r>
              <w:rPr>
                <w:rFonts w:ascii="Arial" w:cs="Arial" w:eastAsia="Arial" w:hAnsi="Arial"/>
                <w:sz w:val="17"/>
                <w:szCs w:val="17"/>
                <w:color w:val="auto"/>
              </w:rPr>
              <w:t>7/26/21</w:t>
            </w:r>
            <w:r>
              <w:rPr>
                <w:rFonts w:ascii="Arial" w:cs="Arial" w:eastAsia="Arial" w:hAnsi="Arial"/>
                <w:sz w:val="19"/>
                <w:szCs w:val="19"/>
                <w:color w:val="auto"/>
                <w:vertAlign w:val="superscript"/>
              </w:rPr>
              <w:t>(12)</w:t>
            </w:r>
          </w:p>
        </w:tc>
        <w:tc>
          <w:tcPr>
            <w:tcW w:w="1380" w:type="dxa"/>
            <w:vAlign w:val="bottom"/>
            <w:tcBorders>
              <w:bottom w:val="single" w:sz="8" w:color="ECF1F5"/>
            </w:tcBorders>
            <w:shd w:val="clear" w:color="auto" w:fill="ECF1F5"/>
          </w:tcPr>
          <w:p>
            <w:pPr>
              <w:spacing w:after="0"/>
              <w:rPr>
                <w:sz w:val="24"/>
                <w:szCs w:val="24"/>
                <w:color w:val="auto"/>
              </w:rPr>
            </w:pPr>
          </w:p>
        </w:tc>
        <w:tc>
          <w:tcPr>
            <w:tcW w:w="1180" w:type="dxa"/>
            <w:vAlign w:val="bottom"/>
            <w:tcBorders>
              <w:bottom w:val="single" w:sz="8" w:color="ECF1F5"/>
            </w:tcBorders>
            <w:shd w:val="clear" w:color="auto" w:fill="ECF1F5"/>
          </w:tcPr>
          <w:p>
            <w:pPr>
              <w:spacing w:after="0"/>
              <w:rPr>
                <w:sz w:val="24"/>
                <w:szCs w:val="24"/>
                <w:color w:val="auto"/>
              </w:rPr>
            </w:pPr>
          </w:p>
        </w:tc>
      </w:tr>
      <w:tr>
        <w:trPr>
          <w:trHeight w:val="252"/>
        </w:trPr>
        <w:tc>
          <w:tcPr>
            <w:tcW w:w="1520" w:type="dxa"/>
            <w:vAlign w:val="bottom"/>
          </w:tcPr>
          <w:p>
            <w:pPr>
              <w:spacing w:after="0"/>
              <w:rPr>
                <w:sz w:val="21"/>
                <w:szCs w:val="21"/>
                <w:color w:val="auto"/>
              </w:rPr>
            </w:pPr>
          </w:p>
        </w:tc>
        <w:tc>
          <w:tcPr>
            <w:tcW w:w="880" w:type="dxa"/>
            <w:vAlign w:val="bottom"/>
            <w:gridSpan w:val="2"/>
          </w:tcPr>
          <w:p>
            <w:pPr>
              <w:ind w:left="500"/>
              <w:spacing w:after="0"/>
              <w:rPr>
                <w:sz w:val="20"/>
                <w:szCs w:val="20"/>
                <w:color w:val="auto"/>
              </w:rPr>
            </w:pPr>
            <w:r>
              <w:rPr>
                <w:rFonts w:ascii="Arial" w:cs="Arial" w:eastAsia="Arial" w:hAnsi="Arial"/>
                <w:sz w:val="17"/>
                <w:szCs w:val="17"/>
                <w:color w:val="auto"/>
                <w:w w:val="95"/>
              </w:rPr>
              <w:t>2014</w:t>
            </w:r>
          </w:p>
        </w:tc>
        <w:tc>
          <w:tcPr>
            <w:tcW w:w="1300" w:type="dxa"/>
            <w:vAlign w:val="bottom"/>
          </w:tcPr>
          <w:p>
            <w:pPr>
              <w:ind w:left="40"/>
              <w:spacing w:after="0"/>
              <w:rPr>
                <w:sz w:val="20"/>
                <w:szCs w:val="20"/>
                <w:color w:val="auto"/>
              </w:rPr>
            </w:pPr>
            <w:r>
              <w:rPr>
                <w:rFonts w:ascii="Arial" w:cs="Arial" w:eastAsia="Arial" w:hAnsi="Arial"/>
                <w:sz w:val="17"/>
                <w:szCs w:val="17"/>
                <w:color w:val="auto"/>
              </w:rPr>
              <w:t>Plan/PSUs</w:t>
            </w:r>
          </w:p>
        </w:tc>
        <w:tc>
          <w:tcPr>
            <w:tcW w:w="2100" w:type="dxa"/>
            <w:vAlign w:val="bottom"/>
          </w:tcPr>
          <w:p>
            <w:pPr>
              <w:jc w:val="right"/>
              <w:ind w:right="557"/>
              <w:spacing w:after="0"/>
              <w:rPr>
                <w:sz w:val="20"/>
                <w:szCs w:val="20"/>
                <w:color w:val="auto"/>
              </w:rPr>
            </w:pPr>
            <w:r>
              <w:rPr>
                <w:rFonts w:ascii="Arial" w:cs="Arial" w:eastAsia="Arial" w:hAnsi="Arial"/>
                <w:sz w:val="17"/>
                <w:szCs w:val="17"/>
                <w:color w:val="auto"/>
              </w:rPr>
              <w:t>11/4/21</w:t>
            </w:r>
          </w:p>
        </w:tc>
        <w:tc>
          <w:tcPr>
            <w:tcW w:w="2900" w:type="dxa"/>
            <w:vAlign w:val="bottom"/>
          </w:tcPr>
          <w:p>
            <w:pPr>
              <w:jc w:val="right"/>
              <w:ind w:right="1537"/>
              <w:spacing w:after="0"/>
              <w:rPr>
                <w:sz w:val="20"/>
                <w:szCs w:val="20"/>
                <w:color w:val="auto"/>
              </w:rPr>
            </w:pPr>
            <w:r>
              <w:rPr>
                <w:rFonts w:ascii="Arial" w:cs="Arial" w:eastAsia="Arial" w:hAnsi="Arial"/>
                <w:sz w:val="17"/>
                <w:szCs w:val="17"/>
                <w:color w:val="auto"/>
              </w:rPr>
              <w:t>10/29/21</w:t>
            </w:r>
            <w:r>
              <w:rPr>
                <w:rFonts w:ascii="Arial" w:cs="Arial" w:eastAsia="Arial" w:hAnsi="Arial"/>
                <w:sz w:val="19"/>
                <w:szCs w:val="19"/>
                <w:color w:val="auto"/>
                <w:vertAlign w:val="superscript"/>
              </w:rPr>
              <w:t>(12)</w:t>
            </w:r>
          </w:p>
        </w:tc>
        <w:tc>
          <w:tcPr>
            <w:tcW w:w="1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1"/>
        </w:trPr>
        <w:tc>
          <w:tcPr>
            <w:tcW w:w="15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77"/>
        </w:trPr>
        <w:tc>
          <w:tcPr>
            <w:tcW w:w="1520" w:type="dxa"/>
            <w:vAlign w:val="bottom"/>
            <w:tcBorders>
              <w:bottom w:val="single" w:sz="8" w:color="125288"/>
            </w:tcBorders>
          </w:tcPr>
          <w:p>
            <w:pPr>
              <w:spacing w:after="0"/>
              <w:rPr>
                <w:sz w:val="24"/>
                <w:szCs w:val="24"/>
                <w:color w:val="auto"/>
              </w:rPr>
            </w:pPr>
          </w:p>
        </w:tc>
        <w:tc>
          <w:tcPr>
            <w:tcW w:w="500" w:type="dxa"/>
            <w:vAlign w:val="bottom"/>
            <w:tcBorders>
              <w:bottom w:val="single" w:sz="8" w:color="125288"/>
            </w:tcBorders>
          </w:tcPr>
          <w:p>
            <w:pPr>
              <w:spacing w:after="0"/>
              <w:rPr>
                <w:sz w:val="24"/>
                <w:szCs w:val="24"/>
                <w:color w:val="auto"/>
              </w:rPr>
            </w:pPr>
          </w:p>
        </w:tc>
        <w:tc>
          <w:tcPr>
            <w:tcW w:w="380" w:type="dxa"/>
            <w:vAlign w:val="bottom"/>
            <w:tcBorders>
              <w:bottom w:val="single" w:sz="8" w:color="125288"/>
            </w:tcBorders>
            <w:shd w:val="clear" w:color="auto" w:fill="ECF1F5"/>
          </w:tcPr>
          <w:p>
            <w:pPr>
              <w:spacing w:after="0"/>
              <w:rPr>
                <w:sz w:val="20"/>
                <w:szCs w:val="20"/>
                <w:color w:val="auto"/>
              </w:rPr>
            </w:pPr>
            <w:r>
              <w:rPr>
                <w:rFonts w:ascii="Arial" w:cs="Arial" w:eastAsia="Arial" w:hAnsi="Arial"/>
                <w:sz w:val="17"/>
                <w:szCs w:val="17"/>
                <w:color w:val="auto"/>
                <w:w w:val="95"/>
              </w:rPr>
              <w:t>2014</w:t>
            </w:r>
          </w:p>
        </w:tc>
        <w:tc>
          <w:tcPr>
            <w:tcW w:w="1300" w:type="dxa"/>
            <w:vAlign w:val="bottom"/>
            <w:tcBorders>
              <w:bottom w:val="single" w:sz="8" w:color="125288"/>
            </w:tcBorders>
            <w:shd w:val="clear" w:color="auto" w:fill="ECF1F5"/>
          </w:tcPr>
          <w:p>
            <w:pPr>
              <w:ind w:left="40"/>
              <w:spacing w:after="0"/>
              <w:rPr>
                <w:sz w:val="20"/>
                <w:szCs w:val="20"/>
                <w:color w:val="auto"/>
              </w:rPr>
            </w:pPr>
            <w:r>
              <w:rPr>
                <w:rFonts w:ascii="Arial" w:cs="Arial" w:eastAsia="Arial" w:hAnsi="Arial"/>
                <w:sz w:val="17"/>
                <w:szCs w:val="17"/>
                <w:color w:val="auto"/>
              </w:rPr>
              <w:t>Plan/RSUs</w:t>
            </w:r>
          </w:p>
        </w:tc>
        <w:tc>
          <w:tcPr>
            <w:tcW w:w="2100" w:type="dxa"/>
            <w:vAlign w:val="bottom"/>
            <w:tcBorders>
              <w:bottom w:val="single" w:sz="8" w:color="125288"/>
            </w:tcBorders>
            <w:shd w:val="clear" w:color="auto" w:fill="ECF1F5"/>
          </w:tcPr>
          <w:p>
            <w:pPr>
              <w:jc w:val="right"/>
              <w:ind w:right="557"/>
              <w:spacing w:after="0"/>
              <w:rPr>
                <w:sz w:val="20"/>
                <w:szCs w:val="20"/>
                <w:color w:val="auto"/>
              </w:rPr>
            </w:pPr>
            <w:r>
              <w:rPr>
                <w:rFonts w:ascii="Arial" w:cs="Arial" w:eastAsia="Arial" w:hAnsi="Arial"/>
                <w:sz w:val="17"/>
                <w:szCs w:val="17"/>
                <w:color w:val="auto"/>
              </w:rPr>
              <w:t>8/5/21</w:t>
            </w:r>
          </w:p>
        </w:tc>
        <w:tc>
          <w:tcPr>
            <w:tcW w:w="2900" w:type="dxa"/>
            <w:vAlign w:val="bottom"/>
            <w:tcBorders>
              <w:bottom w:val="single" w:sz="8" w:color="125288"/>
            </w:tcBorders>
            <w:shd w:val="clear" w:color="auto" w:fill="ECF1F5"/>
          </w:tcPr>
          <w:p>
            <w:pPr>
              <w:jc w:val="right"/>
              <w:ind w:right="1537"/>
              <w:spacing w:after="0"/>
              <w:rPr>
                <w:sz w:val="20"/>
                <w:szCs w:val="20"/>
                <w:color w:val="auto"/>
              </w:rPr>
            </w:pPr>
            <w:r>
              <w:rPr>
                <w:rFonts w:ascii="Arial" w:cs="Arial" w:eastAsia="Arial" w:hAnsi="Arial"/>
                <w:sz w:val="17"/>
                <w:szCs w:val="17"/>
                <w:color w:val="auto"/>
              </w:rPr>
              <w:t>7/26/21</w:t>
            </w:r>
            <w:r>
              <w:rPr>
                <w:rFonts w:ascii="Arial" w:cs="Arial" w:eastAsia="Arial" w:hAnsi="Arial"/>
                <w:sz w:val="19"/>
                <w:szCs w:val="19"/>
                <w:color w:val="auto"/>
                <w:vertAlign w:val="superscript"/>
              </w:rPr>
              <w:t>(12)</w:t>
            </w:r>
          </w:p>
        </w:tc>
        <w:tc>
          <w:tcPr>
            <w:tcW w:w="1380" w:type="dxa"/>
            <w:vAlign w:val="bottom"/>
            <w:tcBorders>
              <w:bottom w:val="single" w:sz="8" w:color="125288"/>
            </w:tcBorders>
            <w:shd w:val="clear" w:color="auto" w:fill="ECF1F5"/>
          </w:tcPr>
          <w:p>
            <w:pPr>
              <w:spacing w:after="0"/>
              <w:rPr>
                <w:sz w:val="24"/>
                <w:szCs w:val="24"/>
                <w:color w:val="auto"/>
              </w:rPr>
            </w:pPr>
          </w:p>
        </w:tc>
        <w:tc>
          <w:tcPr>
            <w:tcW w:w="1180" w:type="dxa"/>
            <w:vAlign w:val="bottom"/>
            <w:tcBorders>
              <w:bottom w:val="single" w:sz="8" w:color="125288"/>
            </w:tcBorders>
            <w:shd w:val="clear" w:color="auto" w:fill="ECF1F5"/>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1280160</wp:posOffset>
            </wp:positionH>
            <wp:positionV relativeFrom="paragraph">
              <wp:posOffset>-195580</wp:posOffset>
            </wp:positionV>
            <wp:extent cx="5865495" cy="152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865495" cy="15240"/>
                    </a:xfrm>
                    <a:prstGeom prst="rect">
                      <a:avLst/>
                    </a:prstGeom>
                    <a:noFill/>
                  </pic:spPr>
                </pic:pic>
              </a:graphicData>
            </a:graphic>
          </wp:anchor>
        </w:drawing>
        <w:drawing>
          <wp:anchor simplePos="0" relativeHeight="251657728" behindDoc="1" locked="0" layoutInCell="0" allowOverlap="1">
            <wp:simplePos x="0" y="0"/>
            <wp:positionH relativeFrom="column">
              <wp:posOffset>1280160</wp:posOffset>
            </wp:positionH>
            <wp:positionV relativeFrom="paragraph">
              <wp:posOffset>-558165</wp:posOffset>
            </wp:positionV>
            <wp:extent cx="5865495" cy="152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865495" cy="15240"/>
                    </a:xfrm>
                    <a:prstGeom prst="rect">
                      <a:avLst/>
                    </a:prstGeom>
                    <a:noFill/>
                  </pic:spPr>
                </pic:pic>
              </a:graphicData>
            </a:graphic>
          </wp:anchor>
        </w:drawing>
        <w:drawing>
          <wp:anchor simplePos="0" relativeHeight="251657728" behindDoc="1" locked="0" layoutInCell="0" allowOverlap="1">
            <wp:simplePos x="0" y="0"/>
            <wp:positionH relativeFrom="column">
              <wp:posOffset>1280160</wp:posOffset>
            </wp:positionH>
            <wp:positionV relativeFrom="paragraph">
              <wp:posOffset>-920115</wp:posOffset>
            </wp:positionV>
            <wp:extent cx="5865495" cy="152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865495" cy="15240"/>
                    </a:xfrm>
                    <a:prstGeom prst="rect">
                      <a:avLst/>
                    </a:prstGeom>
                    <a:noFill/>
                  </pic:spPr>
                </pic:pic>
              </a:graphicData>
            </a:graphic>
          </wp:anchor>
        </w:drawing>
        <w:drawing>
          <wp:anchor simplePos="0" relativeHeight="251657728" behindDoc="1" locked="0" layoutInCell="0" allowOverlap="1">
            <wp:simplePos x="0" y="0"/>
            <wp:positionH relativeFrom="column">
              <wp:posOffset>1280160</wp:posOffset>
            </wp:positionH>
            <wp:positionV relativeFrom="paragraph">
              <wp:posOffset>-1282700</wp:posOffset>
            </wp:positionV>
            <wp:extent cx="5865495" cy="152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865495" cy="15240"/>
                    </a:xfrm>
                    <a:prstGeom prst="rect">
                      <a:avLst/>
                    </a:prstGeom>
                    <a:noFill/>
                  </pic:spPr>
                </pic:pic>
              </a:graphicData>
            </a:graphic>
          </wp:anchor>
        </w:drawing>
        <w:drawing>
          <wp:anchor simplePos="0" relativeHeight="251657728" behindDoc="1" locked="0" layoutInCell="0" allowOverlap="1">
            <wp:simplePos x="0" y="0"/>
            <wp:positionH relativeFrom="column">
              <wp:posOffset>1280160</wp:posOffset>
            </wp:positionH>
            <wp:positionV relativeFrom="paragraph">
              <wp:posOffset>-1645285</wp:posOffset>
            </wp:positionV>
            <wp:extent cx="5865495" cy="152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865495" cy="15240"/>
                    </a:xfrm>
                    <a:prstGeom prst="rect">
                      <a:avLst/>
                    </a:prstGeom>
                    <a:noFill/>
                  </pic:spPr>
                </pic:pic>
              </a:graphicData>
            </a:graphic>
          </wp:anchor>
        </w:drawing>
        <w:drawing>
          <wp:anchor simplePos="0" relativeHeight="251657728" behindDoc="1" locked="0" layoutInCell="0" allowOverlap="1">
            <wp:simplePos x="0" y="0"/>
            <wp:positionH relativeFrom="column">
              <wp:posOffset>1280160</wp:posOffset>
            </wp:positionH>
            <wp:positionV relativeFrom="paragraph">
              <wp:posOffset>-2007235</wp:posOffset>
            </wp:positionV>
            <wp:extent cx="5865495" cy="152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865495" cy="15240"/>
                    </a:xfrm>
                    <a:prstGeom prst="rect">
                      <a:avLst/>
                    </a:prstGeom>
                    <a:noFill/>
                  </pic:spPr>
                </pic:pic>
              </a:graphicData>
            </a:graphic>
          </wp:anchor>
        </w:drawing>
        <w:drawing>
          <wp:anchor simplePos="0" relativeHeight="251657728" behindDoc="1" locked="0" layoutInCell="0" allowOverlap="1">
            <wp:simplePos x="0" y="0"/>
            <wp:positionH relativeFrom="column">
              <wp:posOffset>1280160</wp:posOffset>
            </wp:positionH>
            <wp:positionV relativeFrom="paragraph">
              <wp:posOffset>-2731770</wp:posOffset>
            </wp:positionV>
            <wp:extent cx="5865495" cy="152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865495" cy="15240"/>
                    </a:xfrm>
                    <a:prstGeom prst="rect">
                      <a:avLst/>
                    </a:prstGeom>
                    <a:noFill/>
                  </pic:spPr>
                </pic:pic>
              </a:graphicData>
            </a:graphic>
          </wp:anchor>
        </w:drawing>
        <w:drawing>
          <wp:anchor simplePos="0" relativeHeight="251657728" behindDoc="1" locked="0" layoutInCell="0" allowOverlap="1">
            <wp:simplePos x="0" y="0"/>
            <wp:positionH relativeFrom="column">
              <wp:posOffset>1280160</wp:posOffset>
            </wp:positionH>
            <wp:positionV relativeFrom="paragraph">
              <wp:posOffset>-3094355</wp:posOffset>
            </wp:positionV>
            <wp:extent cx="5865495" cy="152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865495" cy="15240"/>
                    </a:xfrm>
                    <a:prstGeom prst="rect">
                      <a:avLst/>
                    </a:prstGeom>
                    <a:noFill/>
                  </pic:spPr>
                </pic:pic>
              </a:graphicData>
            </a:graphic>
          </wp:anchor>
        </w:drawing>
        <w:drawing>
          <wp:anchor simplePos="0" relativeHeight="251657728" behindDoc="1" locked="0" layoutInCell="0" allowOverlap="1">
            <wp:simplePos x="0" y="0"/>
            <wp:positionH relativeFrom="column">
              <wp:posOffset>1280160</wp:posOffset>
            </wp:positionH>
            <wp:positionV relativeFrom="paragraph">
              <wp:posOffset>-3456940</wp:posOffset>
            </wp:positionV>
            <wp:extent cx="5865495" cy="152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865495" cy="15240"/>
                    </a:xfrm>
                    <a:prstGeom prst="rect">
                      <a:avLst/>
                    </a:prstGeom>
                    <a:noFill/>
                  </pic:spPr>
                </pic:pic>
              </a:graphicData>
            </a:graphic>
          </wp:anchor>
        </w:drawing>
        <w:drawing>
          <wp:anchor simplePos="0" relativeHeight="251657728" behindDoc="1" locked="0" layoutInCell="0" allowOverlap="1">
            <wp:simplePos x="0" y="0"/>
            <wp:positionH relativeFrom="column">
              <wp:posOffset>1280160</wp:posOffset>
            </wp:positionH>
            <wp:positionV relativeFrom="paragraph">
              <wp:posOffset>-4181475</wp:posOffset>
            </wp:positionV>
            <wp:extent cx="5865495" cy="152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865495" cy="15240"/>
                    </a:xfrm>
                    <a:prstGeom prst="rect">
                      <a:avLst/>
                    </a:prstGeom>
                    <a:noFill/>
                  </pic:spPr>
                </pic:pic>
              </a:graphicData>
            </a:graphic>
          </wp:anchor>
        </w:drawing>
        <w:drawing>
          <wp:anchor simplePos="0" relativeHeight="251657728" behindDoc="1" locked="0" layoutInCell="0" allowOverlap="1">
            <wp:simplePos x="0" y="0"/>
            <wp:positionH relativeFrom="column">
              <wp:posOffset>1280160</wp:posOffset>
            </wp:positionH>
            <wp:positionV relativeFrom="paragraph">
              <wp:posOffset>-4543425</wp:posOffset>
            </wp:positionV>
            <wp:extent cx="5865495" cy="152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865495" cy="15240"/>
                    </a:xfrm>
                    <a:prstGeom prst="rect">
                      <a:avLst/>
                    </a:prstGeom>
                    <a:noFill/>
                  </pic:spPr>
                </pic:pic>
              </a:graphicData>
            </a:graphic>
          </wp:anchor>
        </w:drawing>
        <w:drawing>
          <wp:anchor simplePos="0" relativeHeight="251657728" behindDoc="1" locked="0" layoutInCell="0" allowOverlap="1">
            <wp:simplePos x="0" y="0"/>
            <wp:positionH relativeFrom="column">
              <wp:posOffset>1280160</wp:posOffset>
            </wp:positionH>
            <wp:positionV relativeFrom="paragraph">
              <wp:posOffset>-4906010</wp:posOffset>
            </wp:positionV>
            <wp:extent cx="5865495" cy="152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865495" cy="15240"/>
                    </a:xfrm>
                    <a:prstGeom prst="rect">
                      <a:avLst/>
                    </a:prstGeom>
                    <a:noFill/>
                  </pic:spPr>
                </pic:pic>
              </a:graphicData>
            </a:graphic>
          </wp:anchor>
        </w:drawing>
        <w:drawing>
          <wp:anchor simplePos="0" relativeHeight="251657728" behindDoc="1" locked="0" layoutInCell="0" allowOverlap="1">
            <wp:simplePos x="0" y="0"/>
            <wp:positionH relativeFrom="column">
              <wp:posOffset>1280160</wp:posOffset>
            </wp:positionH>
            <wp:positionV relativeFrom="paragraph">
              <wp:posOffset>-5268595</wp:posOffset>
            </wp:positionV>
            <wp:extent cx="5865495" cy="152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865495" cy="15240"/>
                    </a:xfrm>
                    <a:prstGeom prst="rect">
                      <a:avLst/>
                    </a:prstGeom>
                    <a:noFill/>
                  </pic:spPr>
                </pic:pic>
              </a:graphicData>
            </a:graphic>
          </wp:anchor>
        </w:drawing>
        <w:drawing>
          <wp:anchor simplePos="0" relativeHeight="251657728" behindDoc="1" locked="0" layoutInCell="0" allowOverlap="1">
            <wp:simplePos x="0" y="0"/>
            <wp:positionH relativeFrom="column">
              <wp:posOffset>1280160</wp:posOffset>
            </wp:positionH>
            <wp:positionV relativeFrom="paragraph">
              <wp:posOffset>-5630545</wp:posOffset>
            </wp:positionV>
            <wp:extent cx="5865495" cy="152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865495"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p>
      <w:pPr>
        <w:spacing w:after="0" w:line="293"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type w:val="continuous"/>
        </w:sectPr>
      </w:pPr>
    </w:p>
    <w:bookmarkStart w:id="93" w:name="page94"/>
    <w:bookmarkEnd w:id="93"/>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20" w:type="dxa"/>
            <w:vAlign w:val="bottom"/>
            <w:gridSpan w:val="3"/>
            <w:vMerge w:val="restart"/>
          </w:tcPr>
          <w:p>
            <w:pPr>
              <w:jc w:val="right"/>
              <w:ind w:right="663"/>
              <w:spacing w:after="0"/>
              <w:rPr>
                <w:sz w:val="20"/>
                <w:szCs w:val="20"/>
                <w:color w:val="auto"/>
              </w:rPr>
            </w:pPr>
            <w:r>
              <w:rPr>
                <w:rFonts w:ascii="Arial" w:cs="Arial" w:eastAsia="Arial" w:hAnsi="Arial"/>
                <w:sz w:val="15"/>
                <w:szCs w:val="15"/>
                <w:b w:val="1"/>
                <w:bCs w:val="1"/>
                <w:color w:val="125288"/>
              </w:rPr>
              <w:t>Estimated Future Payouts Under</w:t>
            </w:r>
          </w:p>
        </w:tc>
        <w:tc>
          <w:tcPr>
            <w:tcW w:w="2260" w:type="dxa"/>
            <w:vAlign w:val="bottom"/>
          </w:tcPr>
          <w:p>
            <w:pPr>
              <w:jc w:val="right"/>
              <w:ind w:right="283"/>
              <w:spacing w:after="0"/>
              <w:rPr>
                <w:sz w:val="20"/>
                <w:szCs w:val="20"/>
                <w:color w:val="auto"/>
              </w:rPr>
            </w:pPr>
            <w:r>
              <w:rPr>
                <w:rFonts w:ascii="Arial" w:cs="Arial" w:eastAsia="Arial" w:hAnsi="Arial"/>
                <w:sz w:val="15"/>
                <w:szCs w:val="15"/>
                <w:b w:val="1"/>
                <w:bCs w:val="1"/>
                <w:color w:val="125288"/>
              </w:rPr>
              <w:t>All Other Stock</w:t>
            </w:r>
          </w:p>
        </w:tc>
        <w:tc>
          <w:tcPr>
            <w:tcW w:w="1940" w:type="dxa"/>
            <w:vAlign w:val="bottom"/>
          </w:tcPr>
          <w:p>
            <w:pPr>
              <w:jc w:val="right"/>
              <w:ind w:right="83"/>
              <w:spacing w:after="0"/>
              <w:rPr>
                <w:sz w:val="20"/>
                <w:szCs w:val="20"/>
                <w:color w:val="auto"/>
              </w:rPr>
            </w:pPr>
            <w:r>
              <w:rPr>
                <w:rFonts w:ascii="Arial" w:cs="Arial" w:eastAsia="Arial" w:hAnsi="Arial"/>
                <w:sz w:val="15"/>
                <w:szCs w:val="15"/>
                <w:b w:val="1"/>
                <w:bCs w:val="1"/>
                <w:color w:val="125288"/>
              </w:rPr>
              <w:t>All Other Option</w:t>
            </w:r>
          </w:p>
        </w:tc>
        <w:tc>
          <w:tcPr>
            <w:tcW w:w="14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3820" w:type="dxa"/>
            <w:vAlign w:val="bottom"/>
            <w:gridSpan w:val="3"/>
            <w:vMerge w:val="continue"/>
          </w:tcPr>
          <w:p>
            <w:pPr>
              <w:spacing w:after="0"/>
              <w:rPr>
                <w:sz w:val="6"/>
                <w:szCs w:val="6"/>
                <w:color w:val="auto"/>
              </w:rPr>
            </w:pPr>
          </w:p>
        </w:tc>
        <w:tc>
          <w:tcPr>
            <w:tcW w:w="2260" w:type="dxa"/>
            <w:vAlign w:val="bottom"/>
            <w:vMerge w:val="restart"/>
          </w:tcPr>
          <w:p>
            <w:pPr>
              <w:jc w:val="right"/>
              <w:ind w:right="283"/>
              <w:spacing w:after="0"/>
              <w:rPr>
                <w:sz w:val="20"/>
                <w:szCs w:val="20"/>
                <w:color w:val="auto"/>
              </w:rPr>
            </w:pPr>
            <w:r>
              <w:rPr>
                <w:rFonts w:ascii="Arial" w:cs="Arial" w:eastAsia="Arial" w:hAnsi="Arial"/>
                <w:sz w:val="15"/>
                <w:szCs w:val="15"/>
                <w:b w:val="1"/>
                <w:bCs w:val="1"/>
                <w:color w:val="125288"/>
              </w:rPr>
              <w:t>Awards: Number of</w:t>
            </w:r>
          </w:p>
        </w:tc>
        <w:tc>
          <w:tcPr>
            <w:tcW w:w="194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125288"/>
              </w:rPr>
              <w:t>Awards: Number of</w:t>
            </w:r>
          </w:p>
        </w:tc>
        <w:tc>
          <w:tcPr>
            <w:tcW w:w="1440" w:type="dxa"/>
            <w:vAlign w:val="bottom"/>
            <w:vMerge w:val="restart"/>
          </w:tcPr>
          <w:p>
            <w:pPr>
              <w:jc w:val="right"/>
              <w:ind w:right="123"/>
              <w:spacing w:after="0"/>
              <w:rPr>
                <w:sz w:val="20"/>
                <w:szCs w:val="20"/>
                <w:color w:val="auto"/>
              </w:rPr>
            </w:pPr>
            <w:r>
              <w:rPr>
                <w:rFonts w:ascii="Arial" w:cs="Arial" w:eastAsia="Arial" w:hAnsi="Arial"/>
                <w:sz w:val="15"/>
                <w:szCs w:val="15"/>
                <w:b w:val="1"/>
                <w:bCs w:val="1"/>
                <w:color w:val="125288"/>
              </w:rPr>
              <w:t>Exercise or</w:t>
            </w:r>
          </w:p>
        </w:tc>
        <w:tc>
          <w:tcPr>
            <w:tcW w:w="1800" w:type="dxa"/>
            <w:vAlign w:val="bottom"/>
            <w:vMerge w:val="restart"/>
          </w:tcPr>
          <w:p>
            <w:pPr>
              <w:jc w:val="right"/>
              <w:ind w:right="183"/>
              <w:spacing w:after="0"/>
              <w:rPr>
                <w:sz w:val="20"/>
                <w:szCs w:val="20"/>
                <w:color w:val="auto"/>
              </w:rPr>
            </w:pPr>
            <w:r>
              <w:rPr>
                <w:rFonts w:ascii="Arial" w:cs="Arial" w:eastAsia="Arial" w:hAnsi="Arial"/>
                <w:sz w:val="15"/>
                <w:szCs w:val="15"/>
                <w:b w:val="1"/>
                <w:bCs w:val="1"/>
                <w:color w:val="125288"/>
              </w:rPr>
              <w:t>Grant Date Fair</w:t>
            </w:r>
          </w:p>
        </w:tc>
        <w:tc>
          <w:tcPr>
            <w:tcW w:w="0" w:type="dxa"/>
            <w:vAlign w:val="bottom"/>
          </w:tcPr>
          <w:p>
            <w:pPr>
              <w:spacing w:after="0"/>
              <w:rPr>
                <w:sz w:val="1"/>
                <w:szCs w:val="1"/>
                <w:color w:val="auto"/>
              </w:rPr>
            </w:pPr>
          </w:p>
        </w:tc>
      </w:tr>
      <w:tr>
        <w:trPr>
          <w:trHeight w:val="143"/>
        </w:trPr>
        <w:tc>
          <w:tcPr>
            <w:tcW w:w="3820" w:type="dxa"/>
            <w:vAlign w:val="bottom"/>
            <w:gridSpan w:val="3"/>
            <w:vMerge w:val="restart"/>
          </w:tcPr>
          <w:p>
            <w:pPr>
              <w:jc w:val="right"/>
              <w:ind w:right="763"/>
              <w:spacing w:after="0"/>
              <w:rPr>
                <w:sz w:val="20"/>
                <w:szCs w:val="20"/>
                <w:color w:val="auto"/>
              </w:rPr>
            </w:pPr>
            <w:r>
              <w:rPr>
                <w:rFonts w:ascii="Arial" w:cs="Arial" w:eastAsia="Arial" w:hAnsi="Arial"/>
                <w:sz w:val="15"/>
                <w:szCs w:val="15"/>
                <w:b w:val="1"/>
                <w:bCs w:val="1"/>
                <w:color w:val="125288"/>
              </w:rPr>
              <w:t>Equity Incentive Plan Awards</w:t>
            </w:r>
          </w:p>
        </w:tc>
        <w:tc>
          <w:tcPr>
            <w:tcW w:w="2260" w:type="dxa"/>
            <w:vAlign w:val="bottom"/>
            <w:vMerge w:val="continue"/>
          </w:tcPr>
          <w:p>
            <w:pPr>
              <w:spacing w:after="0"/>
              <w:rPr>
                <w:sz w:val="12"/>
                <w:szCs w:val="12"/>
                <w:color w:val="auto"/>
              </w:rPr>
            </w:pPr>
          </w:p>
        </w:tc>
        <w:tc>
          <w:tcPr>
            <w:tcW w:w="19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3820" w:type="dxa"/>
            <w:vAlign w:val="bottom"/>
            <w:gridSpan w:val="3"/>
            <w:vMerge w:val="continue"/>
          </w:tcPr>
          <w:p>
            <w:pPr>
              <w:spacing w:after="0"/>
              <w:rPr>
                <w:sz w:val="6"/>
                <w:szCs w:val="6"/>
                <w:color w:val="auto"/>
              </w:rPr>
            </w:pPr>
          </w:p>
        </w:tc>
        <w:tc>
          <w:tcPr>
            <w:tcW w:w="2260" w:type="dxa"/>
            <w:vAlign w:val="bottom"/>
            <w:vMerge w:val="restart"/>
          </w:tcPr>
          <w:p>
            <w:pPr>
              <w:jc w:val="right"/>
              <w:ind w:right="323"/>
              <w:spacing w:after="0"/>
              <w:rPr>
                <w:sz w:val="20"/>
                <w:szCs w:val="20"/>
                <w:color w:val="auto"/>
              </w:rPr>
            </w:pPr>
            <w:r>
              <w:rPr>
                <w:rFonts w:ascii="Arial" w:cs="Arial" w:eastAsia="Arial" w:hAnsi="Arial"/>
                <w:sz w:val="15"/>
                <w:szCs w:val="15"/>
                <w:b w:val="1"/>
                <w:bCs w:val="1"/>
                <w:color w:val="125288"/>
              </w:rPr>
              <w:t>Shares of</w:t>
            </w:r>
          </w:p>
        </w:tc>
        <w:tc>
          <w:tcPr>
            <w:tcW w:w="1940" w:type="dxa"/>
            <w:vAlign w:val="bottom"/>
            <w:vMerge w:val="restart"/>
          </w:tcPr>
          <w:p>
            <w:pPr>
              <w:jc w:val="right"/>
              <w:ind w:right="123"/>
              <w:spacing w:after="0"/>
              <w:rPr>
                <w:sz w:val="20"/>
                <w:szCs w:val="20"/>
                <w:color w:val="auto"/>
              </w:rPr>
            </w:pPr>
            <w:r>
              <w:rPr>
                <w:rFonts w:ascii="Arial" w:cs="Arial" w:eastAsia="Arial" w:hAnsi="Arial"/>
                <w:sz w:val="15"/>
                <w:szCs w:val="15"/>
                <w:b w:val="1"/>
                <w:bCs w:val="1"/>
                <w:color w:val="125288"/>
              </w:rPr>
              <w:t>Securities</w:t>
            </w:r>
          </w:p>
        </w:tc>
        <w:tc>
          <w:tcPr>
            <w:tcW w:w="1440" w:type="dxa"/>
            <w:vAlign w:val="bottom"/>
            <w:vMerge w:val="restart"/>
          </w:tcPr>
          <w:p>
            <w:pPr>
              <w:jc w:val="right"/>
              <w:ind w:right="163"/>
              <w:spacing w:after="0"/>
              <w:rPr>
                <w:sz w:val="20"/>
                <w:szCs w:val="20"/>
                <w:color w:val="auto"/>
              </w:rPr>
            </w:pPr>
            <w:r>
              <w:rPr>
                <w:rFonts w:ascii="Arial" w:cs="Arial" w:eastAsia="Arial" w:hAnsi="Arial"/>
                <w:sz w:val="15"/>
                <w:szCs w:val="15"/>
                <w:b w:val="1"/>
                <w:bCs w:val="1"/>
                <w:color w:val="125288"/>
              </w:rPr>
              <w:t>Base Price of</w:t>
            </w:r>
          </w:p>
        </w:tc>
        <w:tc>
          <w:tcPr>
            <w:tcW w:w="180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125288"/>
              </w:rPr>
              <w:t>Value of Stock and</w:t>
            </w:r>
          </w:p>
        </w:tc>
        <w:tc>
          <w:tcPr>
            <w:tcW w:w="0" w:type="dxa"/>
            <w:vAlign w:val="bottom"/>
          </w:tcPr>
          <w:p>
            <w:pPr>
              <w:spacing w:after="0"/>
              <w:rPr>
                <w:sz w:val="1"/>
                <w:szCs w:val="1"/>
                <w:color w:val="auto"/>
              </w:rPr>
            </w:pPr>
          </w:p>
        </w:tc>
      </w:tr>
      <w:tr>
        <w:trPr>
          <w:trHeight w:val="41"/>
        </w:trPr>
        <w:tc>
          <w:tcPr>
            <w:tcW w:w="1520" w:type="dxa"/>
            <w:vAlign w:val="bottom"/>
            <w:tcBorders>
              <w:bottom w:val="single" w:sz="8" w:color="125288"/>
            </w:tcBorders>
          </w:tcPr>
          <w:p>
            <w:pPr>
              <w:spacing w:after="0"/>
              <w:rPr>
                <w:sz w:val="3"/>
                <w:szCs w:val="3"/>
                <w:color w:val="auto"/>
              </w:rPr>
            </w:pPr>
          </w:p>
        </w:tc>
        <w:tc>
          <w:tcPr>
            <w:tcW w:w="980" w:type="dxa"/>
            <w:vAlign w:val="bottom"/>
            <w:tcBorders>
              <w:bottom w:val="single" w:sz="8" w:color="125288"/>
            </w:tcBorders>
          </w:tcPr>
          <w:p>
            <w:pPr>
              <w:spacing w:after="0"/>
              <w:rPr>
                <w:sz w:val="3"/>
                <w:szCs w:val="3"/>
                <w:color w:val="auto"/>
              </w:rPr>
            </w:pPr>
          </w:p>
        </w:tc>
        <w:tc>
          <w:tcPr>
            <w:tcW w:w="1320" w:type="dxa"/>
            <w:vAlign w:val="bottom"/>
            <w:tcBorders>
              <w:bottom w:val="single" w:sz="8" w:color="125288"/>
            </w:tcBorders>
          </w:tcPr>
          <w:p>
            <w:pPr>
              <w:spacing w:after="0"/>
              <w:rPr>
                <w:sz w:val="3"/>
                <w:szCs w:val="3"/>
                <w:color w:val="auto"/>
              </w:rPr>
            </w:pPr>
          </w:p>
        </w:tc>
        <w:tc>
          <w:tcPr>
            <w:tcW w:w="2260" w:type="dxa"/>
            <w:vAlign w:val="bottom"/>
            <w:vMerge w:val="continue"/>
          </w:tcPr>
          <w:p>
            <w:pPr>
              <w:spacing w:after="0"/>
              <w:rPr>
                <w:sz w:val="3"/>
                <w:szCs w:val="3"/>
                <w:color w:val="auto"/>
              </w:rPr>
            </w:pPr>
          </w:p>
        </w:tc>
        <w:tc>
          <w:tcPr>
            <w:tcW w:w="194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1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0"/>
        </w:trPr>
        <w:tc>
          <w:tcPr>
            <w:tcW w:w="1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260" w:type="dxa"/>
            <w:vAlign w:val="bottom"/>
            <w:vMerge w:val="continue"/>
          </w:tcPr>
          <w:p>
            <w:pPr>
              <w:spacing w:after="0"/>
              <w:rPr>
                <w:sz w:val="6"/>
                <w:szCs w:val="6"/>
                <w:color w:val="auto"/>
              </w:rPr>
            </w:pPr>
          </w:p>
        </w:tc>
        <w:tc>
          <w:tcPr>
            <w:tcW w:w="19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1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1520" w:type="dxa"/>
            <w:vAlign w:val="bottom"/>
          </w:tcPr>
          <w:p>
            <w:pPr>
              <w:jc w:val="right"/>
              <w:ind w:right="183"/>
              <w:spacing w:after="0"/>
              <w:rPr>
                <w:sz w:val="20"/>
                <w:szCs w:val="20"/>
                <w:color w:val="auto"/>
              </w:rPr>
            </w:pPr>
            <w:r>
              <w:rPr>
                <w:rFonts w:ascii="Arial" w:cs="Arial" w:eastAsia="Arial" w:hAnsi="Arial"/>
                <w:sz w:val="15"/>
                <w:szCs w:val="15"/>
                <w:b w:val="1"/>
                <w:bCs w:val="1"/>
                <w:color w:val="125288"/>
              </w:rPr>
              <w:t>Threshold</w:t>
            </w:r>
          </w:p>
        </w:tc>
        <w:tc>
          <w:tcPr>
            <w:tcW w:w="980" w:type="dxa"/>
            <w:vAlign w:val="bottom"/>
          </w:tcPr>
          <w:p>
            <w:pPr>
              <w:jc w:val="right"/>
              <w:ind w:right="163"/>
              <w:spacing w:after="0"/>
              <w:rPr>
                <w:sz w:val="20"/>
                <w:szCs w:val="20"/>
                <w:color w:val="auto"/>
              </w:rPr>
            </w:pPr>
            <w:r>
              <w:rPr>
                <w:rFonts w:ascii="Arial" w:cs="Arial" w:eastAsia="Arial" w:hAnsi="Arial"/>
                <w:sz w:val="15"/>
                <w:szCs w:val="15"/>
                <w:b w:val="1"/>
                <w:bCs w:val="1"/>
                <w:color w:val="125288"/>
              </w:rPr>
              <w:t>Target</w:t>
            </w:r>
          </w:p>
        </w:tc>
        <w:tc>
          <w:tcPr>
            <w:tcW w:w="1320" w:type="dxa"/>
            <w:vAlign w:val="bottom"/>
          </w:tcPr>
          <w:p>
            <w:pPr>
              <w:jc w:val="right"/>
              <w:ind w:right="263"/>
              <w:spacing w:after="0"/>
              <w:rPr>
                <w:sz w:val="20"/>
                <w:szCs w:val="20"/>
                <w:color w:val="auto"/>
              </w:rPr>
            </w:pPr>
            <w:r>
              <w:rPr>
                <w:rFonts w:ascii="Arial" w:cs="Arial" w:eastAsia="Arial" w:hAnsi="Arial"/>
                <w:sz w:val="15"/>
                <w:szCs w:val="15"/>
                <w:b w:val="1"/>
                <w:bCs w:val="1"/>
                <w:color w:val="125288"/>
              </w:rPr>
              <w:t>Maximum</w:t>
            </w:r>
          </w:p>
        </w:tc>
        <w:tc>
          <w:tcPr>
            <w:tcW w:w="2260" w:type="dxa"/>
            <w:vAlign w:val="bottom"/>
          </w:tcPr>
          <w:p>
            <w:pPr>
              <w:jc w:val="right"/>
              <w:ind w:right="283"/>
              <w:spacing w:after="0"/>
              <w:rPr>
                <w:sz w:val="20"/>
                <w:szCs w:val="20"/>
                <w:color w:val="auto"/>
              </w:rPr>
            </w:pPr>
            <w:r>
              <w:rPr>
                <w:rFonts w:ascii="Arial" w:cs="Arial" w:eastAsia="Arial" w:hAnsi="Arial"/>
                <w:sz w:val="15"/>
                <w:szCs w:val="15"/>
                <w:b w:val="1"/>
                <w:bCs w:val="1"/>
                <w:color w:val="125288"/>
              </w:rPr>
              <w:t>Stock or Units</w:t>
            </w:r>
          </w:p>
        </w:tc>
        <w:tc>
          <w:tcPr>
            <w:tcW w:w="1940" w:type="dxa"/>
            <w:vAlign w:val="bottom"/>
          </w:tcPr>
          <w:p>
            <w:pPr>
              <w:jc w:val="right"/>
              <w:ind w:right="83"/>
              <w:spacing w:after="0"/>
              <w:rPr>
                <w:sz w:val="20"/>
                <w:szCs w:val="20"/>
                <w:color w:val="auto"/>
              </w:rPr>
            </w:pPr>
            <w:r>
              <w:rPr>
                <w:rFonts w:ascii="Arial" w:cs="Arial" w:eastAsia="Arial" w:hAnsi="Arial"/>
                <w:sz w:val="15"/>
                <w:szCs w:val="15"/>
                <w:b w:val="1"/>
                <w:bCs w:val="1"/>
                <w:color w:val="125288"/>
              </w:rPr>
              <w:t>Underlying Options</w:t>
            </w:r>
          </w:p>
        </w:tc>
        <w:tc>
          <w:tcPr>
            <w:tcW w:w="1440" w:type="dxa"/>
            <w:vAlign w:val="bottom"/>
          </w:tcPr>
          <w:p>
            <w:pPr>
              <w:jc w:val="right"/>
              <w:ind w:right="123"/>
              <w:spacing w:after="0"/>
              <w:rPr>
                <w:sz w:val="20"/>
                <w:szCs w:val="20"/>
                <w:color w:val="auto"/>
              </w:rPr>
            </w:pPr>
            <w:r>
              <w:rPr>
                <w:rFonts w:ascii="Arial" w:cs="Arial" w:eastAsia="Arial" w:hAnsi="Arial"/>
                <w:sz w:val="15"/>
                <w:szCs w:val="15"/>
                <w:b w:val="1"/>
                <w:bCs w:val="1"/>
                <w:color w:val="125288"/>
              </w:rPr>
              <w:t>Option Awards</w:t>
            </w:r>
          </w:p>
        </w:tc>
        <w:tc>
          <w:tcPr>
            <w:tcW w:w="1800" w:type="dxa"/>
            <w:vAlign w:val="bottom"/>
          </w:tcPr>
          <w:p>
            <w:pPr>
              <w:jc w:val="right"/>
              <w:ind w:right="23"/>
              <w:spacing w:after="0"/>
              <w:rPr>
                <w:sz w:val="20"/>
                <w:szCs w:val="20"/>
                <w:color w:val="auto"/>
              </w:rPr>
            </w:pPr>
            <w:r>
              <w:rPr>
                <w:rFonts w:ascii="Arial" w:cs="Arial" w:eastAsia="Arial" w:hAnsi="Arial"/>
                <w:sz w:val="15"/>
                <w:szCs w:val="15"/>
                <w:b w:val="1"/>
                <w:bCs w:val="1"/>
                <w:color w:val="125288"/>
              </w:rPr>
              <w:t>Option Awards</w:t>
            </w:r>
            <w:r>
              <w:rPr>
                <w:rFonts w:ascii="Arial" w:cs="Arial" w:eastAsia="Arial" w:hAnsi="Arial"/>
                <w:sz w:val="19"/>
                <w:szCs w:val="19"/>
                <w:b w:val="1"/>
                <w:bCs w:val="1"/>
                <w:color w:val="125288"/>
                <w:vertAlign w:val="superscript"/>
              </w:rPr>
              <w:t>(2)</w:t>
            </w:r>
          </w:p>
        </w:tc>
        <w:tc>
          <w:tcPr>
            <w:tcW w:w="0" w:type="dxa"/>
            <w:vAlign w:val="bottom"/>
          </w:tcPr>
          <w:p>
            <w:pPr>
              <w:spacing w:after="0"/>
              <w:rPr>
                <w:sz w:val="1"/>
                <w:szCs w:val="1"/>
                <w:color w:val="auto"/>
              </w:rPr>
            </w:pPr>
          </w:p>
        </w:tc>
      </w:tr>
      <w:tr>
        <w:trPr>
          <w:trHeight w:val="204"/>
        </w:trPr>
        <w:tc>
          <w:tcPr>
            <w:tcW w:w="1520" w:type="dxa"/>
            <w:vAlign w:val="bottom"/>
          </w:tcPr>
          <w:p>
            <w:pPr>
              <w:jc w:val="right"/>
              <w:ind w:right="183"/>
              <w:spacing w:after="0"/>
              <w:rPr>
                <w:sz w:val="20"/>
                <w:szCs w:val="20"/>
                <w:color w:val="auto"/>
              </w:rPr>
            </w:pPr>
            <w:r>
              <w:rPr>
                <w:rFonts w:ascii="Arial" w:cs="Arial" w:eastAsia="Arial" w:hAnsi="Arial"/>
                <w:sz w:val="15"/>
                <w:szCs w:val="15"/>
                <w:b w:val="1"/>
                <w:bCs w:val="1"/>
                <w:color w:val="125288"/>
              </w:rPr>
              <w:t>(#)</w:t>
            </w:r>
          </w:p>
        </w:tc>
        <w:tc>
          <w:tcPr>
            <w:tcW w:w="980" w:type="dxa"/>
            <w:vAlign w:val="bottom"/>
          </w:tcPr>
          <w:p>
            <w:pPr>
              <w:jc w:val="right"/>
              <w:ind w:right="163"/>
              <w:spacing w:after="0"/>
              <w:rPr>
                <w:sz w:val="20"/>
                <w:szCs w:val="20"/>
                <w:color w:val="auto"/>
              </w:rPr>
            </w:pPr>
            <w:r>
              <w:rPr>
                <w:rFonts w:ascii="Arial" w:cs="Arial" w:eastAsia="Arial" w:hAnsi="Arial"/>
                <w:sz w:val="15"/>
                <w:szCs w:val="15"/>
                <w:b w:val="1"/>
                <w:bCs w:val="1"/>
                <w:color w:val="125288"/>
              </w:rPr>
              <w:t>(#)</w:t>
            </w:r>
          </w:p>
        </w:tc>
        <w:tc>
          <w:tcPr>
            <w:tcW w:w="1320" w:type="dxa"/>
            <w:vAlign w:val="bottom"/>
          </w:tcPr>
          <w:p>
            <w:pPr>
              <w:jc w:val="right"/>
              <w:ind w:right="263"/>
              <w:spacing w:after="0"/>
              <w:rPr>
                <w:sz w:val="20"/>
                <w:szCs w:val="20"/>
                <w:color w:val="auto"/>
              </w:rPr>
            </w:pPr>
            <w:r>
              <w:rPr>
                <w:rFonts w:ascii="Arial" w:cs="Arial" w:eastAsia="Arial" w:hAnsi="Arial"/>
                <w:sz w:val="15"/>
                <w:szCs w:val="15"/>
                <w:b w:val="1"/>
                <w:bCs w:val="1"/>
                <w:color w:val="125288"/>
              </w:rPr>
              <w:t>(#)</w:t>
            </w:r>
          </w:p>
        </w:tc>
        <w:tc>
          <w:tcPr>
            <w:tcW w:w="2260" w:type="dxa"/>
            <w:vAlign w:val="bottom"/>
          </w:tcPr>
          <w:p>
            <w:pPr>
              <w:jc w:val="right"/>
              <w:ind w:right="283"/>
              <w:spacing w:after="0"/>
              <w:rPr>
                <w:sz w:val="20"/>
                <w:szCs w:val="20"/>
                <w:color w:val="auto"/>
              </w:rPr>
            </w:pPr>
            <w:r>
              <w:rPr>
                <w:rFonts w:ascii="Arial" w:cs="Arial" w:eastAsia="Arial" w:hAnsi="Arial"/>
                <w:sz w:val="15"/>
                <w:szCs w:val="15"/>
                <w:b w:val="1"/>
                <w:bCs w:val="1"/>
                <w:color w:val="125288"/>
              </w:rPr>
              <w:t>(#)</w:t>
            </w:r>
          </w:p>
        </w:tc>
        <w:tc>
          <w:tcPr>
            <w:tcW w:w="1940" w:type="dxa"/>
            <w:vAlign w:val="bottom"/>
          </w:tcPr>
          <w:p>
            <w:pPr>
              <w:jc w:val="right"/>
              <w:ind w:right="83"/>
              <w:spacing w:after="0"/>
              <w:rPr>
                <w:sz w:val="20"/>
                <w:szCs w:val="20"/>
                <w:color w:val="auto"/>
              </w:rPr>
            </w:pPr>
            <w:r>
              <w:rPr>
                <w:rFonts w:ascii="Arial" w:cs="Arial" w:eastAsia="Arial" w:hAnsi="Arial"/>
                <w:sz w:val="15"/>
                <w:szCs w:val="15"/>
                <w:b w:val="1"/>
                <w:bCs w:val="1"/>
                <w:color w:val="125288"/>
              </w:rPr>
              <w:t>(#)</w:t>
            </w:r>
          </w:p>
        </w:tc>
        <w:tc>
          <w:tcPr>
            <w:tcW w:w="1440" w:type="dxa"/>
            <w:vAlign w:val="bottom"/>
          </w:tcPr>
          <w:p>
            <w:pPr>
              <w:jc w:val="right"/>
              <w:ind w:right="123"/>
              <w:spacing w:after="0"/>
              <w:rPr>
                <w:sz w:val="20"/>
                <w:szCs w:val="20"/>
                <w:color w:val="auto"/>
              </w:rPr>
            </w:pPr>
            <w:r>
              <w:rPr>
                <w:rFonts w:ascii="Arial" w:cs="Arial" w:eastAsia="Arial" w:hAnsi="Arial"/>
                <w:sz w:val="15"/>
                <w:szCs w:val="15"/>
                <w:b w:val="1"/>
                <w:bCs w:val="1"/>
                <w:color w:val="125288"/>
              </w:rPr>
              <w:t>($/Sh)</w:t>
            </w:r>
          </w:p>
        </w:tc>
        <w:tc>
          <w:tcPr>
            <w:tcW w:w="1800" w:type="dxa"/>
            <w:vAlign w:val="bottom"/>
          </w:tcPr>
          <w:p>
            <w:pPr>
              <w:jc w:val="right"/>
              <w:ind w:right="143"/>
              <w:spacing w:after="0"/>
              <w:rPr>
                <w:sz w:val="20"/>
                <w:szCs w:val="20"/>
                <w:color w:val="auto"/>
              </w:rPr>
            </w:pPr>
            <w:r>
              <w:rPr>
                <w:rFonts w:ascii="Arial" w:cs="Arial" w:eastAsia="Arial" w:hAnsi="Arial"/>
                <w:sz w:val="15"/>
                <w:szCs w:val="15"/>
                <w:b w:val="1"/>
                <w:bCs w:val="1"/>
                <w:color w:val="125288"/>
              </w:rPr>
              <w:t>($)</w:t>
            </w:r>
          </w:p>
        </w:tc>
        <w:tc>
          <w:tcPr>
            <w:tcW w:w="0" w:type="dxa"/>
            <w:vAlign w:val="bottom"/>
          </w:tcPr>
          <w:p>
            <w:pPr>
              <w:spacing w:after="0"/>
              <w:rPr>
                <w:sz w:val="1"/>
                <w:szCs w:val="1"/>
                <w:color w:val="auto"/>
              </w:rPr>
            </w:pPr>
          </w:p>
        </w:tc>
      </w:tr>
      <w:tr>
        <w:trPr>
          <w:trHeight w:val="41"/>
        </w:trPr>
        <w:tc>
          <w:tcPr>
            <w:tcW w:w="1520" w:type="dxa"/>
            <w:vAlign w:val="bottom"/>
            <w:tcBorders>
              <w:bottom w:val="single" w:sz="8" w:color="125288"/>
            </w:tcBorders>
          </w:tcPr>
          <w:p>
            <w:pPr>
              <w:spacing w:after="0"/>
              <w:rPr>
                <w:sz w:val="3"/>
                <w:szCs w:val="3"/>
                <w:color w:val="auto"/>
              </w:rPr>
            </w:pPr>
          </w:p>
        </w:tc>
        <w:tc>
          <w:tcPr>
            <w:tcW w:w="980" w:type="dxa"/>
            <w:vAlign w:val="bottom"/>
            <w:tcBorders>
              <w:bottom w:val="single" w:sz="8" w:color="125288"/>
            </w:tcBorders>
          </w:tcPr>
          <w:p>
            <w:pPr>
              <w:spacing w:after="0"/>
              <w:rPr>
                <w:sz w:val="3"/>
                <w:szCs w:val="3"/>
                <w:color w:val="auto"/>
              </w:rPr>
            </w:pPr>
          </w:p>
        </w:tc>
        <w:tc>
          <w:tcPr>
            <w:tcW w:w="1320" w:type="dxa"/>
            <w:vAlign w:val="bottom"/>
            <w:tcBorders>
              <w:bottom w:val="single" w:sz="8" w:color="125288"/>
            </w:tcBorders>
          </w:tcPr>
          <w:p>
            <w:pPr>
              <w:spacing w:after="0"/>
              <w:rPr>
                <w:sz w:val="3"/>
                <w:szCs w:val="3"/>
                <w:color w:val="auto"/>
              </w:rPr>
            </w:pPr>
          </w:p>
        </w:tc>
        <w:tc>
          <w:tcPr>
            <w:tcW w:w="2260" w:type="dxa"/>
            <w:vAlign w:val="bottom"/>
            <w:tcBorders>
              <w:bottom w:val="single" w:sz="8" w:color="125288"/>
            </w:tcBorders>
          </w:tcPr>
          <w:p>
            <w:pPr>
              <w:spacing w:after="0"/>
              <w:rPr>
                <w:sz w:val="3"/>
                <w:szCs w:val="3"/>
                <w:color w:val="auto"/>
              </w:rPr>
            </w:pPr>
          </w:p>
        </w:tc>
        <w:tc>
          <w:tcPr>
            <w:tcW w:w="1940" w:type="dxa"/>
            <w:vAlign w:val="bottom"/>
            <w:tcBorders>
              <w:bottom w:val="single" w:sz="8" w:color="125288"/>
            </w:tcBorders>
          </w:tcPr>
          <w:p>
            <w:pPr>
              <w:spacing w:after="0"/>
              <w:rPr>
                <w:sz w:val="3"/>
                <w:szCs w:val="3"/>
                <w:color w:val="auto"/>
              </w:rPr>
            </w:pPr>
          </w:p>
        </w:tc>
        <w:tc>
          <w:tcPr>
            <w:tcW w:w="1440" w:type="dxa"/>
            <w:vAlign w:val="bottom"/>
            <w:tcBorders>
              <w:bottom w:val="single" w:sz="8" w:color="125288"/>
            </w:tcBorders>
          </w:tcPr>
          <w:p>
            <w:pPr>
              <w:spacing w:after="0"/>
              <w:rPr>
                <w:sz w:val="3"/>
                <w:szCs w:val="3"/>
                <w:color w:val="auto"/>
              </w:rPr>
            </w:pPr>
          </w:p>
        </w:tc>
        <w:tc>
          <w:tcPr>
            <w:tcW w:w="1800" w:type="dxa"/>
            <w:vAlign w:val="bottom"/>
            <w:tcBorders>
              <w:bottom w:val="single" w:sz="8" w:color="125288"/>
            </w:tcBorders>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1520" w:type="dxa"/>
            <w:vAlign w:val="bottom"/>
            <w:tcBorders>
              <w:bottom w:val="single" w:sz="8" w:color="125288"/>
            </w:tcBorders>
            <w:shd w:val="clear" w:color="auto" w:fill="ECF1F5"/>
          </w:tcPr>
          <w:p>
            <w:pPr>
              <w:spacing w:after="0"/>
              <w:rPr>
                <w:sz w:val="23"/>
                <w:szCs w:val="23"/>
                <w:color w:val="auto"/>
              </w:rPr>
            </w:pPr>
          </w:p>
        </w:tc>
        <w:tc>
          <w:tcPr>
            <w:tcW w:w="980" w:type="dxa"/>
            <w:vAlign w:val="bottom"/>
            <w:tcBorders>
              <w:bottom w:val="single" w:sz="8" w:color="125288"/>
            </w:tcBorders>
            <w:shd w:val="clear" w:color="auto" w:fill="ECF1F5"/>
          </w:tcPr>
          <w:p>
            <w:pPr>
              <w:spacing w:after="0"/>
              <w:rPr>
                <w:sz w:val="23"/>
                <w:szCs w:val="23"/>
                <w:color w:val="auto"/>
              </w:rPr>
            </w:pPr>
          </w:p>
        </w:tc>
        <w:tc>
          <w:tcPr>
            <w:tcW w:w="1320" w:type="dxa"/>
            <w:vAlign w:val="bottom"/>
            <w:tcBorders>
              <w:bottom w:val="single" w:sz="8" w:color="125288"/>
            </w:tcBorders>
            <w:shd w:val="clear" w:color="auto" w:fill="ECF1F5"/>
          </w:tcPr>
          <w:p>
            <w:pPr>
              <w:spacing w:after="0"/>
              <w:rPr>
                <w:sz w:val="23"/>
                <w:szCs w:val="23"/>
                <w:color w:val="auto"/>
              </w:rPr>
            </w:pPr>
          </w:p>
        </w:tc>
        <w:tc>
          <w:tcPr>
            <w:tcW w:w="2260" w:type="dxa"/>
            <w:vAlign w:val="bottom"/>
            <w:tcBorders>
              <w:bottom w:val="single" w:sz="8" w:color="125288"/>
            </w:tcBorders>
            <w:shd w:val="clear" w:color="auto" w:fill="ECF1F5"/>
          </w:tcPr>
          <w:p>
            <w:pPr>
              <w:spacing w:after="0"/>
              <w:rPr>
                <w:sz w:val="23"/>
                <w:szCs w:val="23"/>
                <w:color w:val="auto"/>
              </w:rPr>
            </w:pPr>
          </w:p>
        </w:tc>
        <w:tc>
          <w:tcPr>
            <w:tcW w:w="1940" w:type="dxa"/>
            <w:vAlign w:val="bottom"/>
            <w:tcBorders>
              <w:bottom w:val="single" w:sz="8" w:color="125288"/>
            </w:tcBorders>
            <w:shd w:val="clear" w:color="auto" w:fill="ECF1F5"/>
          </w:tcPr>
          <w:p>
            <w:pPr>
              <w:spacing w:after="0"/>
              <w:rPr>
                <w:sz w:val="23"/>
                <w:szCs w:val="23"/>
                <w:color w:val="auto"/>
              </w:rPr>
            </w:pPr>
          </w:p>
        </w:tc>
        <w:tc>
          <w:tcPr>
            <w:tcW w:w="1440" w:type="dxa"/>
            <w:vAlign w:val="bottom"/>
            <w:tcBorders>
              <w:bottom w:val="single" w:sz="8" w:color="125288"/>
            </w:tcBorders>
            <w:shd w:val="clear" w:color="auto" w:fill="ECF1F5"/>
          </w:tcPr>
          <w:p>
            <w:pPr>
              <w:spacing w:after="0"/>
              <w:rPr>
                <w:sz w:val="23"/>
                <w:szCs w:val="23"/>
                <w:color w:val="auto"/>
              </w:rPr>
            </w:pPr>
          </w:p>
        </w:tc>
        <w:tc>
          <w:tcPr>
            <w:tcW w:w="1800" w:type="dxa"/>
            <w:vAlign w:val="bottom"/>
            <w:tcBorders>
              <w:bottom w:val="single" w:sz="8" w:color="125288"/>
            </w:tcBorders>
            <w:shd w:val="clear" w:color="auto" w:fill="ECF1F5"/>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166370</wp:posOffset>
            </wp:positionV>
            <wp:extent cx="7148830" cy="152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740" w:type="dxa"/>
            <w:vAlign w:val="bottom"/>
            <w:tcBorders>
              <w:bottom w:val="single" w:sz="8" w:color="ECF1F5"/>
            </w:tcBorders>
            <w:shd w:val="clear" w:color="auto" w:fill="ECF1F5"/>
          </w:tcPr>
          <w:p>
            <w:pPr>
              <w:jc w:val="right"/>
              <w:ind w:right="280"/>
              <w:spacing w:after="0"/>
              <w:rPr>
                <w:sz w:val="20"/>
                <w:szCs w:val="20"/>
                <w:color w:val="auto"/>
              </w:rPr>
            </w:pPr>
            <w:r>
              <w:rPr>
                <w:rFonts w:ascii="Arial" w:cs="Arial" w:eastAsia="Arial" w:hAnsi="Arial"/>
                <w:sz w:val="17"/>
                <w:szCs w:val="17"/>
                <w:color w:val="auto"/>
              </w:rPr>
              <w:t>7,558</w:t>
            </w:r>
            <w:r>
              <w:rPr>
                <w:rFonts w:ascii="Arial" w:cs="Arial" w:eastAsia="Arial" w:hAnsi="Arial"/>
                <w:sz w:val="19"/>
                <w:szCs w:val="19"/>
                <w:color w:val="auto"/>
                <w:vertAlign w:val="superscript"/>
              </w:rPr>
              <w:t>(7)</w:t>
            </w:r>
          </w:p>
        </w:tc>
        <w:tc>
          <w:tcPr>
            <w:tcW w:w="960" w:type="dxa"/>
            <w:vAlign w:val="bottom"/>
            <w:tcBorders>
              <w:bottom w:val="single" w:sz="8" w:color="ECF1F5"/>
            </w:tcBorders>
            <w:shd w:val="clear" w:color="auto" w:fill="ECF1F5"/>
          </w:tcPr>
          <w:p>
            <w:pPr>
              <w:jc w:val="right"/>
              <w:ind w:right="240"/>
              <w:spacing w:after="0"/>
              <w:rPr>
                <w:sz w:val="20"/>
                <w:szCs w:val="20"/>
                <w:color w:val="auto"/>
              </w:rPr>
            </w:pPr>
            <w:r>
              <w:rPr>
                <w:rFonts w:ascii="Arial" w:cs="Arial" w:eastAsia="Arial" w:hAnsi="Arial"/>
                <w:sz w:val="17"/>
                <w:szCs w:val="17"/>
                <w:color w:val="auto"/>
              </w:rPr>
              <w:t>8,892</w:t>
            </w:r>
            <w:r>
              <w:rPr>
                <w:rFonts w:ascii="Arial" w:cs="Arial" w:eastAsia="Arial" w:hAnsi="Arial"/>
                <w:sz w:val="19"/>
                <w:szCs w:val="19"/>
                <w:color w:val="auto"/>
                <w:vertAlign w:val="superscript"/>
              </w:rPr>
              <w:t>(7)</w:t>
            </w:r>
          </w:p>
        </w:tc>
        <w:tc>
          <w:tcPr>
            <w:tcW w:w="3780" w:type="dxa"/>
            <w:vAlign w:val="bottom"/>
            <w:tcBorders>
              <w:bottom w:val="single" w:sz="8" w:color="ECF1F5"/>
            </w:tcBorders>
            <w:shd w:val="clear" w:color="auto" w:fill="ECF1F5"/>
          </w:tcPr>
          <w:p>
            <w:pPr>
              <w:jc w:val="right"/>
              <w:ind w:right="2799"/>
              <w:spacing w:after="0"/>
              <w:rPr>
                <w:sz w:val="20"/>
                <w:szCs w:val="20"/>
                <w:color w:val="auto"/>
              </w:rPr>
            </w:pPr>
            <w:r>
              <w:rPr>
                <w:rFonts w:ascii="Arial" w:cs="Arial" w:eastAsia="Arial" w:hAnsi="Arial"/>
                <w:sz w:val="17"/>
                <w:szCs w:val="17"/>
                <w:color w:val="auto"/>
              </w:rPr>
              <w:t>11,115</w:t>
            </w:r>
            <w:r>
              <w:rPr>
                <w:rFonts w:ascii="Arial" w:cs="Arial" w:eastAsia="Arial" w:hAnsi="Arial"/>
                <w:sz w:val="19"/>
                <w:szCs w:val="19"/>
                <w:color w:val="auto"/>
                <w:vertAlign w:val="superscript"/>
              </w:rPr>
              <w:t>(7)</w:t>
            </w:r>
          </w:p>
        </w:tc>
        <w:tc>
          <w:tcPr>
            <w:tcW w:w="1880" w:type="dxa"/>
            <w:vAlign w:val="bottom"/>
            <w:tcBorders>
              <w:bottom w:val="single" w:sz="8" w:color="ECF1F5"/>
            </w:tcBorders>
            <w:shd w:val="clear" w:color="auto" w:fill="ECF1F5"/>
          </w:tcPr>
          <w:p>
            <w:pPr>
              <w:spacing w:after="0"/>
              <w:rPr>
                <w:sz w:val="24"/>
                <w:szCs w:val="24"/>
                <w:color w:val="auto"/>
              </w:rPr>
            </w:pPr>
          </w:p>
        </w:tc>
        <w:tc>
          <w:tcPr>
            <w:tcW w:w="1500" w:type="dxa"/>
            <w:vAlign w:val="bottom"/>
            <w:tcBorders>
              <w:bottom w:val="single" w:sz="8" w:color="ECF1F5"/>
            </w:tcBorders>
            <w:shd w:val="clear" w:color="auto" w:fill="ECF1F5"/>
          </w:tcPr>
          <w:p>
            <w:pPr>
              <w:spacing w:after="0"/>
              <w:rPr>
                <w:sz w:val="24"/>
                <w:szCs w:val="24"/>
                <w:color w:val="auto"/>
              </w:rPr>
            </w:pPr>
          </w:p>
        </w:tc>
        <w:tc>
          <w:tcPr>
            <w:tcW w:w="1400" w:type="dxa"/>
            <w:vAlign w:val="bottom"/>
            <w:tcBorders>
              <w:bottom w:val="single" w:sz="8" w:color="ECF1F5"/>
            </w:tcBorders>
            <w:gridSpan w:val="2"/>
            <w:shd w:val="clear" w:color="auto" w:fill="ECF1F5"/>
          </w:tcPr>
          <w:p>
            <w:pPr>
              <w:jc w:val="right"/>
              <w:ind w:right="42"/>
              <w:spacing w:after="0"/>
              <w:rPr>
                <w:sz w:val="20"/>
                <w:szCs w:val="20"/>
                <w:color w:val="auto"/>
              </w:rPr>
            </w:pPr>
            <w:r>
              <w:rPr>
                <w:rFonts w:ascii="Arial" w:cs="Arial" w:eastAsia="Arial" w:hAnsi="Arial"/>
                <w:sz w:val="17"/>
                <w:szCs w:val="17"/>
                <w:color w:val="auto"/>
              </w:rPr>
              <w:t>814,151</w:t>
            </w:r>
            <w:r>
              <w:rPr>
                <w:rFonts w:ascii="Arial" w:cs="Arial" w:eastAsia="Arial" w:hAnsi="Arial"/>
                <w:sz w:val="19"/>
                <w:szCs w:val="19"/>
                <w:color w:val="auto"/>
                <w:vertAlign w:val="superscript"/>
              </w:rPr>
              <w:t>(7)</w:t>
            </w:r>
          </w:p>
        </w:tc>
      </w:tr>
      <w:tr>
        <w:trPr>
          <w:trHeight w:val="252"/>
        </w:trPr>
        <w:tc>
          <w:tcPr>
            <w:tcW w:w="1740" w:type="dxa"/>
            <w:vAlign w:val="bottom"/>
          </w:tcPr>
          <w:p>
            <w:pPr>
              <w:jc w:val="right"/>
              <w:ind w:right="280"/>
              <w:spacing w:after="0"/>
              <w:rPr>
                <w:sz w:val="20"/>
                <w:szCs w:val="20"/>
                <w:color w:val="auto"/>
              </w:rPr>
            </w:pPr>
            <w:r>
              <w:rPr>
                <w:rFonts w:ascii="Arial" w:cs="Arial" w:eastAsia="Arial" w:hAnsi="Arial"/>
                <w:sz w:val="17"/>
                <w:szCs w:val="17"/>
                <w:color w:val="auto"/>
              </w:rPr>
              <w:t>788</w:t>
            </w:r>
            <w:r>
              <w:rPr>
                <w:rFonts w:ascii="Arial" w:cs="Arial" w:eastAsia="Arial" w:hAnsi="Arial"/>
                <w:sz w:val="19"/>
                <w:szCs w:val="19"/>
                <w:color w:val="auto"/>
                <w:vertAlign w:val="superscript"/>
              </w:rPr>
              <w:t>(8)</w:t>
            </w:r>
          </w:p>
        </w:tc>
        <w:tc>
          <w:tcPr>
            <w:tcW w:w="960" w:type="dxa"/>
            <w:vAlign w:val="bottom"/>
          </w:tcPr>
          <w:p>
            <w:pPr>
              <w:jc w:val="right"/>
              <w:ind w:right="240"/>
              <w:spacing w:after="0"/>
              <w:rPr>
                <w:sz w:val="20"/>
                <w:szCs w:val="20"/>
                <w:color w:val="auto"/>
              </w:rPr>
            </w:pPr>
            <w:r>
              <w:rPr>
                <w:rFonts w:ascii="Arial" w:cs="Arial" w:eastAsia="Arial" w:hAnsi="Arial"/>
                <w:sz w:val="17"/>
                <w:szCs w:val="17"/>
                <w:color w:val="auto"/>
              </w:rPr>
              <w:t>927</w:t>
            </w:r>
            <w:r>
              <w:rPr>
                <w:rFonts w:ascii="Arial" w:cs="Arial" w:eastAsia="Arial" w:hAnsi="Arial"/>
                <w:sz w:val="19"/>
                <w:szCs w:val="19"/>
                <w:color w:val="auto"/>
                <w:vertAlign w:val="superscript"/>
              </w:rPr>
              <w:t>(8)</w:t>
            </w:r>
          </w:p>
        </w:tc>
        <w:tc>
          <w:tcPr>
            <w:tcW w:w="3780" w:type="dxa"/>
            <w:vAlign w:val="bottom"/>
          </w:tcPr>
          <w:p>
            <w:pPr>
              <w:jc w:val="right"/>
              <w:ind w:right="2799"/>
              <w:spacing w:after="0"/>
              <w:rPr>
                <w:sz w:val="20"/>
                <w:szCs w:val="20"/>
                <w:color w:val="auto"/>
              </w:rPr>
            </w:pPr>
            <w:r>
              <w:rPr>
                <w:rFonts w:ascii="Arial" w:cs="Arial" w:eastAsia="Arial" w:hAnsi="Arial"/>
                <w:sz w:val="17"/>
                <w:szCs w:val="17"/>
                <w:color w:val="auto"/>
              </w:rPr>
              <w:t>1,159</w:t>
            </w:r>
            <w:r>
              <w:rPr>
                <w:rFonts w:ascii="Arial" w:cs="Arial" w:eastAsia="Arial" w:hAnsi="Arial"/>
                <w:sz w:val="19"/>
                <w:szCs w:val="19"/>
                <w:color w:val="auto"/>
                <w:vertAlign w:val="superscript"/>
              </w:rPr>
              <w:t>(8)</w:t>
            </w:r>
          </w:p>
        </w:tc>
        <w:tc>
          <w:tcPr>
            <w:tcW w:w="18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0" w:type="dxa"/>
            <w:vAlign w:val="bottom"/>
            <w:gridSpan w:val="2"/>
          </w:tcPr>
          <w:p>
            <w:pPr>
              <w:jc w:val="right"/>
              <w:ind w:right="42"/>
              <w:spacing w:after="0"/>
              <w:rPr>
                <w:sz w:val="20"/>
                <w:szCs w:val="20"/>
                <w:color w:val="auto"/>
              </w:rPr>
            </w:pPr>
            <w:r>
              <w:rPr>
                <w:rFonts w:ascii="Arial" w:cs="Arial" w:eastAsia="Arial" w:hAnsi="Arial"/>
                <w:sz w:val="17"/>
                <w:szCs w:val="17"/>
                <w:color w:val="auto"/>
              </w:rPr>
              <w:t>85,367</w:t>
            </w:r>
            <w:r>
              <w:rPr>
                <w:rFonts w:ascii="Arial" w:cs="Arial" w:eastAsia="Arial" w:hAnsi="Arial"/>
                <w:sz w:val="19"/>
                <w:szCs w:val="19"/>
                <w:color w:val="auto"/>
                <w:vertAlign w:val="superscript"/>
              </w:rPr>
              <w:t>(8)</w:t>
            </w:r>
          </w:p>
        </w:tc>
      </w:tr>
      <w:tr>
        <w:trPr>
          <w:trHeight w:val="21"/>
        </w:trPr>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277"/>
        </w:trPr>
        <w:tc>
          <w:tcPr>
            <w:tcW w:w="1740" w:type="dxa"/>
            <w:vAlign w:val="bottom"/>
            <w:tcBorders>
              <w:bottom w:val="single" w:sz="8" w:color="ECF1F5"/>
            </w:tcBorders>
            <w:shd w:val="clear" w:color="auto" w:fill="ECF1F5"/>
          </w:tcPr>
          <w:p>
            <w:pPr>
              <w:jc w:val="right"/>
              <w:ind w:right="280"/>
              <w:spacing w:after="0"/>
              <w:rPr>
                <w:sz w:val="20"/>
                <w:szCs w:val="20"/>
                <w:color w:val="auto"/>
              </w:rPr>
            </w:pPr>
            <w:r>
              <w:rPr>
                <w:rFonts w:ascii="Arial" w:cs="Arial" w:eastAsia="Arial" w:hAnsi="Arial"/>
                <w:sz w:val="17"/>
                <w:szCs w:val="17"/>
                <w:color w:val="auto"/>
              </w:rPr>
              <w:t>566</w:t>
            </w:r>
            <w:r>
              <w:rPr>
                <w:rFonts w:ascii="Arial" w:cs="Arial" w:eastAsia="Arial" w:hAnsi="Arial"/>
                <w:sz w:val="19"/>
                <w:szCs w:val="19"/>
                <w:color w:val="auto"/>
                <w:vertAlign w:val="superscript"/>
              </w:rPr>
              <w:t>(9)</w:t>
            </w:r>
          </w:p>
        </w:tc>
        <w:tc>
          <w:tcPr>
            <w:tcW w:w="960" w:type="dxa"/>
            <w:vAlign w:val="bottom"/>
            <w:tcBorders>
              <w:bottom w:val="single" w:sz="8" w:color="ECF1F5"/>
            </w:tcBorders>
            <w:shd w:val="clear" w:color="auto" w:fill="ECF1F5"/>
          </w:tcPr>
          <w:p>
            <w:pPr>
              <w:jc w:val="right"/>
              <w:ind w:right="240"/>
              <w:spacing w:after="0"/>
              <w:rPr>
                <w:sz w:val="20"/>
                <w:szCs w:val="20"/>
                <w:color w:val="auto"/>
              </w:rPr>
            </w:pPr>
            <w:r>
              <w:rPr>
                <w:rFonts w:ascii="Arial" w:cs="Arial" w:eastAsia="Arial" w:hAnsi="Arial"/>
                <w:sz w:val="17"/>
                <w:szCs w:val="17"/>
                <w:color w:val="auto"/>
              </w:rPr>
              <w:t>666</w:t>
            </w:r>
            <w:r>
              <w:rPr>
                <w:rFonts w:ascii="Arial" w:cs="Arial" w:eastAsia="Arial" w:hAnsi="Arial"/>
                <w:sz w:val="19"/>
                <w:szCs w:val="19"/>
                <w:color w:val="auto"/>
                <w:vertAlign w:val="superscript"/>
              </w:rPr>
              <w:t>(9)</w:t>
            </w:r>
          </w:p>
        </w:tc>
        <w:tc>
          <w:tcPr>
            <w:tcW w:w="3780" w:type="dxa"/>
            <w:vAlign w:val="bottom"/>
            <w:tcBorders>
              <w:bottom w:val="single" w:sz="8" w:color="ECF1F5"/>
            </w:tcBorders>
            <w:shd w:val="clear" w:color="auto" w:fill="ECF1F5"/>
          </w:tcPr>
          <w:p>
            <w:pPr>
              <w:jc w:val="right"/>
              <w:ind w:right="2799"/>
              <w:spacing w:after="0"/>
              <w:rPr>
                <w:sz w:val="20"/>
                <w:szCs w:val="20"/>
                <w:color w:val="auto"/>
              </w:rPr>
            </w:pPr>
            <w:r>
              <w:rPr>
                <w:rFonts w:ascii="Arial" w:cs="Arial" w:eastAsia="Arial" w:hAnsi="Arial"/>
                <w:sz w:val="17"/>
                <w:szCs w:val="17"/>
                <w:color w:val="auto"/>
              </w:rPr>
              <w:t>833</w:t>
            </w:r>
            <w:r>
              <w:rPr>
                <w:rFonts w:ascii="Arial" w:cs="Arial" w:eastAsia="Arial" w:hAnsi="Arial"/>
                <w:sz w:val="19"/>
                <w:szCs w:val="19"/>
                <w:color w:val="auto"/>
                <w:vertAlign w:val="superscript"/>
              </w:rPr>
              <w:t>(9)</w:t>
            </w:r>
          </w:p>
        </w:tc>
        <w:tc>
          <w:tcPr>
            <w:tcW w:w="1880" w:type="dxa"/>
            <w:vAlign w:val="bottom"/>
            <w:tcBorders>
              <w:bottom w:val="single" w:sz="8" w:color="ECF1F5"/>
            </w:tcBorders>
            <w:shd w:val="clear" w:color="auto" w:fill="ECF1F5"/>
          </w:tcPr>
          <w:p>
            <w:pPr>
              <w:spacing w:after="0"/>
              <w:rPr>
                <w:sz w:val="24"/>
                <w:szCs w:val="24"/>
                <w:color w:val="auto"/>
              </w:rPr>
            </w:pPr>
          </w:p>
        </w:tc>
        <w:tc>
          <w:tcPr>
            <w:tcW w:w="1500" w:type="dxa"/>
            <w:vAlign w:val="bottom"/>
            <w:tcBorders>
              <w:bottom w:val="single" w:sz="8" w:color="ECF1F5"/>
            </w:tcBorders>
            <w:shd w:val="clear" w:color="auto" w:fill="ECF1F5"/>
          </w:tcPr>
          <w:p>
            <w:pPr>
              <w:spacing w:after="0"/>
              <w:rPr>
                <w:sz w:val="24"/>
                <w:szCs w:val="24"/>
                <w:color w:val="auto"/>
              </w:rPr>
            </w:pPr>
          </w:p>
        </w:tc>
        <w:tc>
          <w:tcPr>
            <w:tcW w:w="1400" w:type="dxa"/>
            <w:vAlign w:val="bottom"/>
            <w:tcBorders>
              <w:bottom w:val="single" w:sz="8" w:color="ECF1F5"/>
            </w:tcBorders>
            <w:gridSpan w:val="2"/>
            <w:shd w:val="clear" w:color="auto" w:fill="ECF1F5"/>
          </w:tcPr>
          <w:p>
            <w:pPr>
              <w:jc w:val="right"/>
              <w:ind w:right="42"/>
              <w:spacing w:after="0"/>
              <w:rPr>
                <w:sz w:val="20"/>
                <w:szCs w:val="20"/>
                <w:color w:val="auto"/>
              </w:rPr>
            </w:pPr>
            <w:r>
              <w:rPr>
                <w:rFonts w:ascii="Arial" w:cs="Arial" w:eastAsia="Arial" w:hAnsi="Arial"/>
                <w:sz w:val="17"/>
                <w:szCs w:val="17"/>
                <w:color w:val="auto"/>
              </w:rPr>
              <w:t>60,979</w:t>
            </w:r>
            <w:r>
              <w:rPr>
                <w:rFonts w:ascii="Arial" w:cs="Arial" w:eastAsia="Arial" w:hAnsi="Arial"/>
                <w:sz w:val="19"/>
                <w:szCs w:val="19"/>
                <w:color w:val="auto"/>
                <w:vertAlign w:val="superscript"/>
              </w:rPr>
              <w:t>(9)</w:t>
            </w:r>
          </w:p>
        </w:tc>
      </w:tr>
      <w:tr>
        <w:trPr>
          <w:trHeight w:val="252"/>
        </w:trPr>
        <w:tc>
          <w:tcPr>
            <w:tcW w:w="1740" w:type="dxa"/>
            <w:vAlign w:val="bottom"/>
          </w:tcPr>
          <w:p>
            <w:pPr>
              <w:jc w:val="right"/>
              <w:ind w:right="240"/>
              <w:spacing w:after="0"/>
              <w:rPr>
                <w:sz w:val="20"/>
                <w:szCs w:val="20"/>
                <w:color w:val="auto"/>
              </w:rPr>
            </w:pPr>
            <w:r>
              <w:rPr>
                <w:rFonts w:ascii="Arial" w:cs="Arial" w:eastAsia="Arial" w:hAnsi="Arial"/>
                <w:sz w:val="17"/>
                <w:szCs w:val="17"/>
                <w:color w:val="auto"/>
              </w:rPr>
              <w:t>11,126</w:t>
            </w:r>
            <w:r>
              <w:rPr>
                <w:rFonts w:ascii="Arial" w:cs="Arial" w:eastAsia="Arial" w:hAnsi="Arial"/>
                <w:sz w:val="19"/>
                <w:szCs w:val="19"/>
                <w:color w:val="auto"/>
                <w:vertAlign w:val="superscript"/>
              </w:rPr>
              <w:t>(10)</w:t>
            </w:r>
          </w:p>
        </w:tc>
        <w:tc>
          <w:tcPr>
            <w:tcW w:w="960" w:type="dxa"/>
            <w:vAlign w:val="bottom"/>
          </w:tcPr>
          <w:p>
            <w:pPr>
              <w:jc w:val="right"/>
              <w:ind w:right="200"/>
              <w:spacing w:after="0"/>
              <w:rPr>
                <w:sz w:val="20"/>
                <w:szCs w:val="20"/>
                <w:color w:val="auto"/>
              </w:rPr>
            </w:pPr>
            <w:r>
              <w:rPr>
                <w:rFonts w:ascii="Arial" w:cs="Arial" w:eastAsia="Arial" w:hAnsi="Arial"/>
                <w:sz w:val="17"/>
                <w:szCs w:val="17"/>
                <w:color w:val="auto"/>
                <w:w w:val="88"/>
              </w:rPr>
              <w:t>13,089</w:t>
            </w:r>
            <w:r>
              <w:rPr>
                <w:rFonts w:ascii="Arial" w:cs="Arial" w:eastAsia="Arial" w:hAnsi="Arial"/>
                <w:sz w:val="19"/>
                <w:szCs w:val="19"/>
                <w:color w:val="auto"/>
                <w:w w:val="88"/>
                <w:vertAlign w:val="superscript"/>
              </w:rPr>
              <w:t>(10)</w:t>
            </w:r>
          </w:p>
        </w:tc>
        <w:tc>
          <w:tcPr>
            <w:tcW w:w="3780" w:type="dxa"/>
            <w:vAlign w:val="bottom"/>
          </w:tcPr>
          <w:p>
            <w:pPr>
              <w:jc w:val="right"/>
              <w:ind w:right="2759"/>
              <w:spacing w:after="0"/>
              <w:rPr>
                <w:sz w:val="20"/>
                <w:szCs w:val="20"/>
                <w:color w:val="auto"/>
              </w:rPr>
            </w:pPr>
            <w:r>
              <w:rPr>
                <w:rFonts w:ascii="Arial" w:cs="Arial" w:eastAsia="Arial" w:hAnsi="Arial"/>
                <w:sz w:val="17"/>
                <w:szCs w:val="17"/>
                <w:color w:val="auto"/>
              </w:rPr>
              <w:t>16,361</w:t>
            </w:r>
            <w:r>
              <w:rPr>
                <w:rFonts w:ascii="Arial" w:cs="Arial" w:eastAsia="Arial" w:hAnsi="Arial"/>
                <w:sz w:val="19"/>
                <w:szCs w:val="19"/>
                <w:color w:val="auto"/>
                <w:vertAlign w:val="superscript"/>
              </w:rPr>
              <w:t>(10)</w:t>
            </w:r>
          </w:p>
        </w:tc>
        <w:tc>
          <w:tcPr>
            <w:tcW w:w="18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0" w:type="dxa"/>
            <w:vAlign w:val="bottom"/>
            <w:gridSpan w:val="2"/>
          </w:tcPr>
          <w:p>
            <w:pPr>
              <w:jc w:val="right"/>
              <w:ind w:right="2"/>
              <w:spacing w:after="0"/>
              <w:rPr>
                <w:sz w:val="20"/>
                <w:szCs w:val="20"/>
                <w:color w:val="auto"/>
              </w:rPr>
            </w:pPr>
            <w:r>
              <w:rPr>
                <w:rFonts w:ascii="Arial" w:cs="Arial" w:eastAsia="Arial" w:hAnsi="Arial"/>
                <w:sz w:val="17"/>
                <w:szCs w:val="17"/>
                <w:color w:val="auto"/>
              </w:rPr>
              <w:t>1,190,837</w:t>
            </w:r>
            <w:r>
              <w:rPr>
                <w:rFonts w:ascii="Arial" w:cs="Arial" w:eastAsia="Arial" w:hAnsi="Arial"/>
                <w:sz w:val="19"/>
                <w:szCs w:val="19"/>
                <w:color w:val="auto"/>
                <w:vertAlign w:val="superscript"/>
              </w:rPr>
              <w:t>(10)</w:t>
            </w:r>
          </w:p>
        </w:tc>
      </w:tr>
      <w:tr>
        <w:trPr>
          <w:trHeight w:val="21"/>
        </w:trPr>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277"/>
        </w:trPr>
        <w:tc>
          <w:tcPr>
            <w:tcW w:w="1740" w:type="dxa"/>
            <w:vAlign w:val="bottom"/>
            <w:tcBorders>
              <w:bottom w:val="single" w:sz="8" w:color="ECF1F5"/>
            </w:tcBorders>
            <w:shd w:val="clear" w:color="auto" w:fill="ECF1F5"/>
          </w:tcPr>
          <w:p>
            <w:pPr>
              <w:jc w:val="right"/>
              <w:ind w:right="240"/>
              <w:spacing w:after="0" w:line="274" w:lineRule="exact"/>
              <w:rPr>
                <w:sz w:val="20"/>
                <w:szCs w:val="20"/>
                <w:color w:val="auto"/>
              </w:rPr>
            </w:pPr>
            <w:r>
              <w:rPr>
                <w:rFonts w:ascii="Arial" w:cs="Arial" w:eastAsia="Arial" w:hAnsi="Arial"/>
                <w:sz w:val="31"/>
                <w:szCs w:val="31"/>
                <w:color w:val="auto"/>
                <w:vertAlign w:val="subscript"/>
              </w:rPr>
              <w:t>303</w:t>
            </w:r>
            <w:r>
              <w:rPr>
                <w:rFonts w:ascii="Arial" w:cs="Arial" w:eastAsia="Arial" w:hAnsi="Arial"/>
                <w:sz w:val="9"/>
                <w:szCs w:val="9"/>
                <w:color w:val="auto"/>
              </w:rPr>
              <w:t>(11)</w:t>
            </w:r>
          </w:p>
        </w:tc>
        <w:tc>
          <w:tcPr>
            <w:tcW w:w="960" w:type="dxa"/>
            <w:vAlign w:val="bottom"/>
            <w:tcBorders>
              <w:bottom w:val="single" w:sz="8" w:color="ECF1F5"/>
            </w:tcBorders>
            <w:shd w:val="clear" w:color="auto" w:fill="ECF1F5"/>
          </w:tcPr>
          <w:p>
            <w:pPr>
              <w:jc w:val="right"/>
              <w:ind w:right="200"/>
              <w:spacing w:after="0" w:line="274" w:lineRule="exact"/>
              <w:rPr>
                <w:sz w:val="20"/>
                <w:szCs w:val="20"/>
                <w:color w:val="auto"/>
              </w:rPr>
            </w:pPr>
            <w:r>
              <w:rPr>
                <w:rFonts w:ascii="Arial" w:cs="Arial" w:eastAsia="Arial" w:hAnsi="Arial"/>
                <w:sz w:val="31"/>
                <w:szCs w:val="31"/>
                <w:color w:val="auto"/>
                <w:vertAlign w:val="subscript"/>
              </w:rPr>
              <w:t>606</w:t>
            </w:r>
            <w:r>
              <w:rPr>
                <w:rFonts w:ascii="Arial" w:cs="Arial" w:eastAsia="Arial" w:hAnsi="Arial"/>
                <w:sz w:val="9"/>
                <w:szCs w:val="9"/>
                <w:color w:val="auto"/>
              </w:rPr>
              <w:t>(11)</w:t>
            </w:r>
          </w:p>
        </w:tc>
        <w:tc>
          <w:tcPr>
            <w:tcW w:w="3780" w:type="dxa"/>
            <w:vAlign w:val="bottom"/>
            <w:tcBorders>
              <w:bottom w:val="single" w:sz="8" w:color="ECF1F5"/>
            </w:tcBorders>
            <w:shd w:val="clear" w:color="auto" w:fill="ECF1F5"/>
          </w:tcPr>
          <w:p>
            <w:pPr>
              <w:jc w:val="right"/>
              <w:ind w:right="2759"/>
              <w:spacing w:after="0" w:line="274" w:lineRule="exact"/>
              <w:rPr>
                <w:sz w:val="20"/>
                <w:szCs w:val="20"/>
                <w:color w:val="auto"/>
              </w:rPr>
            </w:pPr>
            <w:r>
              <w:rPr>
                <w:rFonts w:ascii="Arial" w:cs="Arial" w:eastAsia="Arial" w:hAnsi="Arial"/>
                <w:sz w:val="31"/>
                <w:szCs w:val="31"/>
                <w:color w:val="auto"/>
                <w:vertAlign w:val="subscript"/>
              </w:rPr>
              <w:t>758</w:t>
            </w:r>
            <w:r>
              <w:rPr>
                <w:rFonts w:ascii="Arial" w:cs="Arial" w:eastAsia="Arial" w:hAnsi="Arial"/>
                <w:sz w:val="9"/>
                <w:szCs w:val="9"/>
                <w:color w:val="auto"/>
              </w:rPr>
              <w:t>(11)</w:t>
            </w:r>
          </w:p>
        </w:tc>
        <w:tc>
          <w:tcPr>
            <w:tcW w:w="1880" w:type="dxa"/>
            <w:vAlign w:val="bottom"/>
            <w:tcBorders>
              <w:bottom w:val="single" w:sz="8" w:color="ECF1F5"/>
            </w:tcBorders>
            <w:shd w:val="clear" w:color="auto" w:fill="ECF1F5"/>
          </w:tcPr>
          <w:p>
            <w:pPr>
              <w:spacing w:after="0"/>
              <w:rPr>
                <w:sz w:val="24"/>
                <w:szCs w:val="24"/>
                <w:color w:val="auto"/>
              </w:rPr>
            </w:pPr>
          </w:p>
        </w:tc>
        <w:tc>
          <w:tcPr>
            <w:tcW w:w="1500" w:type="dxa"/>
            <w:vAlign w:val="bottom"/>
            <w:tcBorders>
              <w:bottom w:val="single" w:sz="8" w:color="ECF1F5"/>
            </w:tcBorders>
            <w:shd w:val="clear" w:color="auto" w:fill="ECF1F5"/>
          </w:tcPr>
          <w:p>
            <w:pPr>
              <w:spacing w:after="0"/>
              <w:rPr>
                <w:sz w:val="24"/>
                <w:szCs w:val="24"/>
                <w:color w:val="auto"/>
              </w:rPr>
            </w:pPr>
          </w:p>
        </w:tc>
        <w:tc>
          <w:tcPr>
            <w:tcW w:w="1400" w:type="dxa"/>
            <w:vAlign w:val="bottom"/>
            <w:tcBorders>
              <w:bottom w:val="single" w:sz="8" w:color="ECF1F5"/>
            </w:tcBorders>
            <w:gridSpan w:val="2"/>
            <w:shd w:val="clear" w:color="auto" w:fill="ECF1F5"/>
          </w:tcPr>
          <w:p>
            <w:pPr>
              <w:jc w:val="right"/>
              <w:ind w:right="2"/>
              <w:spacing w:after="0"/>
              <w:rPr>
                <w:sz w:val="20"/>
                <w:szCs w:val="20"/>
                <w:color w:val="auto"/>
              </w:rPr>
            </w:pPr>
            <w:r>
              <w:rPr>
                <w:rFonts w:ascii="Arial" w:cs="Arial" w:eastAsia="Arial" w:hAnsi="Arial"/>
                <w:sz w:val="17"/>
                <w:szCs w:val="17"/>
                <w:color w:val="auto"/>
              </w:rPr>
              <w:t>55,134</w:t>
            </w:r>
            <w:r>
              <w:rPr>
                <w:rFonts w:ascii="Arial" w:cs="Arial" w:eastAsia="Arial" w:hAnsi="Arial"/>
                <w:sz w:val="19"/>
                <w:szCs w:val="19"/>
                <w:color w:val="auto"/>
                <w:vertAlign w:val="superscript"/>
              </w:rPr>
              <w:t>(11)</w:t>
            </w:r>
          </w:p>
        </w:tc>
      </w:tr>
      <w:tr>
        <w:trPr>
          <w:trHeight w:val="252"/>
        </w:trPr>
        <w:tc>
          <w:tcPr>
            <w:tcW w:w="1740" w:type="dxa"/>
            <w:vAlign w:val="bottom"/>
          </w:tcPr>
          <w:p>
            <w:pPr>
              <w:jc w:val="right"/>
              <w:ind w:right="240"/>
              <w:spacing w:after="0"/>
              <w:rPr>
                <w:sz w:val="20"/>
                <w:szCs w:val="20"/>
                <w:color w:val="auto"/>
              </w:rPr>
            </w:pPr>
            <w:r>
              <w:rPr>
                <w:rFonts w:ascii="Arial" w:cs="Arial" w:eastAsia="Arial" w:hAnsi="Arial"/>
                <w:sz w:val="17"/>
                <w:szCs w:val="17"/>
                <w:color w:val="auto"/>
              </w:rPr>
              <w:t>9,675</w:t>
            </w:r>
            <w:r>
              <w:rPr>
                <w:rFonts w:ascii="Arial" w:cs="Arial" w:eastAsia="Arial" w:hAnsi="Arial"/>
                <w:sz w:val="19"/>
                <w:szCs w:val="19"/>
                <w:color w:val="auto"/>
                <w:vertAlign w:val="superscript"/>
              </w:rPr>
              <w:t>(13)</w:t>
            </w:r>
          </w:p>
        </w:tc>
        <w:tc>
          <w:tcPr>
            <w:tcW w:w="960" w:type="dxa"/>
            <w:vAlign w:val="bottom"/>
          </w:tcPr>
          <w:p>
            <w:pPr>
              <w:jc w:val="right"/>
              <w:ind w:right="200"/>
              <w:spacing w:after="0"/>
              <w:rPr>
                <w:sz w:val="20"/>
                <w:szCs w:val="20"/>
                <w:color w:val="auto"/>
              </w:rPr>
            </w:pPr>
            <w:r>
              <w:rPr>
                <w:rFonts w:ascii="Arial" w:cs="Arial" w:eastAsia="Arial" w:hAnsi="Arial"/>
                <w:sz w:val="17"/>
                <w:szCs w:val="17"/>
                <w:color w:val="auto"/>
                <w:w w:val="88"/>
              </w:rPr>
              <w:t>19,349</w:t>
            </w:r>
            <w:r>
              <w:rPr>
                <w:rFonts w:ascii="Arial" w:cs="Arial" w:eastAsia="Arial" w:hAnsi="Arial"/>
                <w:sz w:val="19"/>
                <w:szCs w:val="19"/>
                <w:color w:val="auto"/>
                <w:w w:val="88"/>
                <w:vertAlign w:val="superscript"/>
              </w:rPr>
              <w:t>(13)</w:t>
            </w:r>
          </w:p>
        </w:tc>
        <w:tc>
          <w:tcPr>
            <w:tcW w:w="3780" w:type="dxa"/>
            <w:vAlign w:val="bottom"/>
          </w:tcPr>
          <w:p>
            <w:pPr>
              <w:jc w:val="right"/>
              <w:ind w:right="2759"/>
              <w:spacing w:after="0"/>
              <w:rPr>
                <w:sz w:val="20"/>
                <w:szCs w:val="20"/>
                <w:color w:val="auto"/>
              </w:rPr>
            </w:pPr>
            <w:r>
              <w:rPr>
                <w:rFonts w:ascii="Arial" w:cs="Arial" w:eastAsia="Arial" w:hAnsi="Arial"/>
                <w:sz w:val="17"/>
                <w:szCs w:val="17"/>
                <w:color w:val="auto"/>
              </w:rPr>
              <w:t>24,186</w:t>
            </w:r>
            <w:r>
              <w:rPr>
                <w:rFonts w:ascii="Arial" w:cs="Arial" w:eastAsia="Arial" w:hAnsi="Arial"/>
                <w:sz w:val="19"/>
                <w:szCs w:val="19"/>
                <w:color w:val="auto"/>
                <w:vertAlign w:val="superscript"/>
              </w:rPr>
              <w:t>(13)</w:t>
            </w:r>
          </w:p>
        </w:tc>
        <w:tc>
          <w:tcPr>
            <w:tcW w:w="18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0" w:type="dxa"/>
            <w:vAlign w:val="bottom"/>
            <w:gridSpan w:val="2"/>
          </w:tcPr>
          <w:p>
            <w:pPr>
              <w:jc w:val="right"/>
              <w:ind w:right="2"/>
              <w:spacing w:after="0"/>
              <w:rPr>
                <w:sz w:val="20"/>
                <w:szCs w:val="20"/>
                <w:color w:val="auto"/>
              </w:rPr>
            </w:pPr>
            <w:r>
              <w:rPr>
                <w:rFonts w:ascii="Arial" w:cs="Arial" w:eastAsia="Arial" w:hAnsi="Arial"/>
                <w:sz w:val="17"/>
                <w:szCs w:val="17"/>
                <w:color w:val="auto"/>
              </w:rPr>
              <w:t>1,778,560</w:t>
            </w:r>
            <w:r>
              <w:rPr>
                <w:rFonts w:ascii="Arial" w:cs="Arial" w:eastAsia="Arial" w:hAnsi="Arial"/>
                <w:sz w:val="19"/>
                <w:szCs w:val="19"/>
                <w:color w:val="auto"/>
                <w:vertAlign w:val="superscript"/>
              </w:rPr>
              <w:t>(13)</w:t>
            </w:r>
          </w:p>
        </w:tc>
      </w:tr>
      <w:tr>
        <w:trPr>
          <w:trHeight w:val="21"/>
        </w:trPr>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277"/>
        </w:trPr>
        <w:tc>
          <w:tcPr>
            <w:tcW w:w="1740" w:type="dxa"/>
            <w:vAlign w:val="bottom"/>
            <w:tcBorders>
              <w:bottom w:val="single" w:sz="8" w:color="ECF1F5"/>
            </w:tcBorders>
            <w:shd w:val="clear" w:color="auto" w:fill="ECF1F5"/>
          </w:tcPr>
          <w:p>
            <w:pPr>
              <w:jc w:val="right"/>
              <w:ind w:right="240"/>
              <w:spacing w:after="0"/>
              <w:rPr>
                <w:sz w:val="20"/>
                <w:szCs w:val="20"/>
                <w:color w:val="auto"/>
              </w:rPr>
            </w:pPr>
            <w:r>
              <w:rPr>
                <w:rFonts w:ascii="Arial" w:cs="Arial" w:eastAsia="Arial" w:hAnsi="Arial"/>
                <w:sz w:val="17"/>
                <w:szCs w:val="17"/>
                <w:color w:val="auto"/>
              </w:rPr>
              <w:t>9,674</w:t>
            </w:r>
            <w:r>
              <w:rPr>
                <w:rFonts w:ascii="Arial" w:cs="Arial" w:eastAsia="Arial" w:hAnsi="Arial"/>
                <w:sz w:val="19"/>
                <w:szCs w:val="19"/>
                <w:color w:val="auto"/>
                <w:vertAlign w:val="superscript"/>
              </w:rPr>
              <w:t>(14)</w:t>
            </w:r>
          </w:p>
        </w:tc>
        <w:tc>
          <w:tcPr>
            <w:tcW w:w="960" w:type="dxa"/>
            <w:vAlign w:val="bottom"/>
            <w:tcBorders>
              <w:bottom w:val="single" w:sz="8" w:color="ECF1F5"/>
            </w:tcBorders>
            <w:shd w:val="clear" w:color="auto" w:fill="ECF1F5"/>
          </w:tcPr>
          <w:p>
            <w:pPr>
              <w:jc w:val="right"/>
              <w:ind w:right="200"/>
              <w:spacing w:after="0"/>
              <w:rPr>
                <w:sz w:val="20"/>
                <w:szCs w:val="20"/>
                <w:color w:val="auto"/>
              </w:rPr>
            </w:pPr>
            <w:r>
              <w:rPr>
                <w:rFonts w:ascii="Arial" w:cs="Arial" w:eastAsia="Arial" w:hAnsi="Arial"/>
                <w:sz w:val="17"/>
                <w:szCs w:val="17"/>
                <w:color w:val="auto"/>
                <w:w w:val="88"/>
              </w:rPr>
              <w:t>19,348</w:t>
            </w:r>
            <w:r>
              <w:rPr>
                <w:rFonts w:ascii="Arial" w:cs="Arial" w:eastAsia="Arial" w:hAnsi="Arial"/>
                <w:sz w:val="19"/>
                <w:szCs w:val="19"/>
                <w:color w:val="auto"/>
                <w:w w:val="88"/>
                <w:vertAlign w:val="superscript"/>
              </w:rPr>
              <w:t>(14)</w:t>
            </w:r>
          </w:p>
        </w:tc>
        <w:tc>
          <w:tcPr>
            <w:tcW w:w="3780" w:type="dxa"/>
            <w:vAlign w:val="bottom"/>
            <w:tcBorders>
              <w:bottom w:val="single" w:sz="8" w:color="ECF1F5"/>
            </w:tcBorders>
            <w:shd w:val="clear" w:color="auto" w:fill="ECF1F5"/>
          </w:tcPr>
          <w:p>
            <w:pPr>
              <w:jc w:val="right"/>
              <w:ind w:right="2759"/>
              <w:spacing w:after="0"/>
              <w:rPr>
                <w:sz w:val="20"/>
                <w:szCs w:val="20"/>
                <w:color w:val="auto"/>
              </w:rPr>
            </w:pPr>
            <w:r>
              <w:rPr>
                <w:rFonts w:ascii="Arial" w:cs="Arial" w:eastAsia="Arial" w:hAnsi="Arial"/>
                <w:sz w:val="17"/>
                <w:szCs w:val="17"/>
                <w:color w:val="auto"/>
              </w:rPr>
              <w:t>24,185</w:t>
            </w:r>
            <w:r>
              <w:rPr>
                <w:rFonts w:ascii="Arial" w:cs="Arial" w:eastAsia="Arial" w:hAnsi="Arial"/>
                <w:sz w:val="19"/>
                <w:szCs w:val="19"/>
                <w:color w:val="auto"/>
                <w:vertAlign w:val="superscript"/>
              </w:rPr>
              <w:t>(14)</w:t>
            </w:r>
          </w:p>
        </w:tc>
        <w:tc>
          <w:tcPr>
            <w:tcW w:w="1880" w:type="dxa"/>
            <w:vAlign w:val="bottom"/>
            <w:tcBorders>
              <w:bottom w:val="single" w:sz="8" w:color="ECF1F5"/>
            </w:tcBorders>
            <w:shd w:val="clear" w:color="auto" w:fill="ECF1F5"/>
          </w:tcPr>
          <w:p>
            <w:pPr>
              <w:spacing w:after="0"/>
              <w:rPr>
                <w:sz w:val="24"/>
                <w:szCs w:val="24"/>
                <w:color w:val="auto"/>
              </w:rPr>
            </w:pPr>
          </w:p>
        </w:tc>
        <w:tc>
          <w:tcPr>
            <w:tcW w:w="1500" w:type="dxa"/>
            <w:vAlign w:val="bottom"/>
            <w:tcBorders>
              <w:bottom w:val="single" w:sz="8" w:color="ECF1F5"/>
            </w:tcBorders>
            <w:shd w:val="clear" w:color="auto" w:fill="ECF1F5"/>
          </w:tcPr>
          <w:p>
            <w:pPr>
              <w:spacing w:after="0"/>
              <w:rPr>
                <w:sz w:val="24"/>
                <w:szCs w:val="24"/>
                <w:color w:val="auto"/>
              </w:rPr>
            </w:pPr>
          </w:p>
        </w:tc>
        <w:tc>
          <w:tcPr>
            <w:tcW w:w="1400" w:type="dxa"/>
            <w:vAlign w:val="bottom"/>
            <w:tcBorders>
              <w:bottom w:val="single" w:sz="8" w:color="ECF1F5"/>
            </w:tcBorders>
            <w:gridSpan w:val="2"/>
            <w:shd w:val="clear" w:color="auto" w:fill="ECF1F5"/>
          </w:tcPr>
          <w:p>
            <w:pPr>
              <w:jc w:val="right"/>
              <w:ind w:right="2"/>
              <w:spacing w:after="0"/>
              <w:rPr>
                <w:sz w:val="20"/>
                <w:szCs w:val="20"/>
                <w:color w:val="auto"/>
              </w:rPr>
            </w:pPr>
            <w:r>
              <w:rPr>
                <w:rFonts w:ascii="Arial" w:cs="Arial" w:eastAsia="Arial" w:hAnsi="Arial"/>
                <w:sz w:val="17"/>
                <w:szCs w:val="17"/>
                <w:color w:val="auto"/>
              </w:rPr>
              <w:t>1,478,381</w:t>
            </w:r>
            <w:r>
              <w:rPr>
                <w:rFonts w:ascii="Arial" w:cs="Arial" w:eastAsia="Arial" w:hAnsi="Arial"/>
                <w:sz w:val="19"/>
                <w:szCs w:val="19"/>
                <w:color w:val="auto"/>
                <w:vertAlign w:val="superscript"/>
              </w:rPr>
              <w:t>(14)</w:t>
            </w:r>
          </w:p>
        </w:tc>
      </w:tr>
      <w:tr>
        <w:trPr>
          <w:trHeight w:val="252"/>
        </w:trPr>
        <w:tc>
          <w:tcPr>
            <w:tcW w:w="1740" w:type="dxa"/>
            <w:vAlign w:val="bottom"/>
          </w:tcPr>
          <w:p>
            <w:pPr>
              <w:jc w:val="right"/>
              <w:ind w:right="240"/>
              <w:spacing w:after="0"/>
              <w:rPr>
                <w:sz w:val="20"/>
                <w:szCs w:val="20"/>
                <w:color w:val="auto"/>
              </w:rPr>
            </w:pPr>
            <w:r>
              <w:rPr>
                <w:rFonts w:ascii="Arial" w:cs="Arial" w:eastAsia="Arial" w:hAnsi="Arial"/>
                <w:sz w:val="17"/>
                <w:szCs w:val="17"/>
                <w:color w:val="auto"/>
              </w:rPr>
              <w:t>6,450</w:t>
            </w:r>
            <w:r>
              <w:rPr>
                <w:rFonts w:ascii="Arial" w:cs="Arial" w:eastAsia="Arial" w:hAnsi="Arial"/>
                <w:sz w:val="19"/>
                <w:szCs w:val="19"/>
                <w:color w:val="auto"/>
                <w:vertAlign w:val="superscript"/>
              </w:rPr>
              <w:t>(15)</w:t>
            </w:r>
          </w:p>
        </w:tc>
        <w:tc>
          <w:tcPr>
            <w:tcW w:w="960" w:type="dxa"/>
            <w:vAlign w:val="bottom"/>
          </w:tcPr>
          <w:p>
            <w:pPr>
              <w:jc w:val="right"/>
              <w:ind w:right="200"/>
              <w:spacing w:after="0"/>
              <w:rPr>
                <w:sz w:val="20"/>
                <w:szCs w:val="20"/>
                <w:color w:val="auto"/>
              </w:rPr>
            </w:pPr>
            <w:r>
              <w:rPr>
                <w:rFonts w:ascii="Arial" w:cs="Arial" w:eastAsia="Arial" w:hAnsi="Arial"/>
                <w:sz w:val="17"/>
                <w:szCs w:val="17"/>
                <w:color w:val="auto"/>
                <w:w w:val="88"/>
              </w:rPr>
              <w:t>12,899</w:t>
            </w:r>
            <w:r>
              <w:rPr>
                <w:rFonts w:ascii="Arial" w:cs="Arial" w:eastAsia="Arial" w:hAnsi="Arial"/>
                <w:sz w:val="19"/>
                <w:szCs w:val="19"/>
                <w:color w:val="auto"/>
                <w:w w:val="88"/>
                <w:vertAlign w:val="superscript"/>
              </w:rPr>
              <w:t>(15)</w:t>
            </w:r>
          </w:p>
        </w:tc>
        <w:tc>
          <w:tcPr>
            <w:tcW w:w="3780" w:type="dxa"/>
            <w:vAlign w:val="bottom"/>
          </w:tcPr>
          <w:p>
            <w:pPr>
              <w:jc w:val="right"/>
              <w:ind w:right="2759"/>
              <w:spacing w:after="0"/>
              <w:rPr>
                <w:sz w:val="20"/>
                <w:szCs w:val="20"/>
                <w:color w:val="auto"/>
              </w:rPr>
            </w:pPr>
            <w:r>
              <w:rPr>
                <w:rFonts w:ascii="Arial" w:cs="Arial" w:eastAsia="Arial" w:hAnsi="Arial"/>
                <w:sz w:val="17"/>
                <w:szCs w:val="17"/>
                <w:color w:val="auto"/>
              </w:rPr>
              <w:t>16,124</w:t>
            </w:r>
            <w:r>
              <w:rPr>
                <w:rFonts w:ascii="Arial" w:cs="Arial" w:eastAsia="Arial" w:hAnsi="Arial"/>
                <w:sz w:val="19"/>
                <w:szCs w:val="19"/>
                <w:color w:val="auto"/>
                <w:vertAlign w:val="superscript"/>
              </w:rPr>
              <w:t>(15)</w:t>
            </w:r>
          </w:p>
        </w:tc>
        <w:tc>
          <w:tcPr>
            <w:tcW w:w="18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0" w:type="dxa"/>
            <w:vAlign w:val="bottom"/>
            <w:gridSpan w:val="2"/>
          </w:tcPr>
          <w:p>
            <w:pPr>
              <w:jc w:val="right"/>
              <w:ind w:right="2"/>
              <w:spacing w:after="0"/>
              <w:rPr>
                <w:sz w:val="20"/>
                <w:szCs w:val="20"/>
                <w:color w:val="auto"/>
              </w:rPr>
            </w:pPr>
            <w:r>
              <w:rPr>
                <w:rFonts w:ascii="Arial" w:cs="Arial" w:eastAsia="Arial" w:hAnsi="Arial"/>
                <w:sz w:val="17"/>
                <w:szCs w:val="17"/>
                <w:color w:val="auto"/>
              </w:rPr>
              <w:t>549,239</w:t>
            </w:r>
            <w:r>
              <w:rPr>
                <w:rFonts w:ascii="Arial" w:cs="Arial" w:eastAsia="Arial" w:hAnsi="Arial"/>
                <w:sz w:val="19"/>
                <w:szCs w:val="19"/>
                <w:color w:val="auto"/>
                <w:vertAlign w:val="superscript"/>
              </w:rPr>
              <w:t>(15)</w:t>
            </w:r>
          </w:p>
        </w:tc>
      </w:tr>
      <w:tr>
        <w:trPr>
          <w:trHeight w:val="21"/>
        </w:trPr>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277"/>
        </w:trPr>
        <w:tc>
          <w:tcPr>
            <w:tcW w:w="1740" w:type="dxa"/>
            <w:vAlign w:val="bottom"/>
            <w:tcBorders>
              <w:bottom w:val="single" w:sz="8" w:color="ECF1F5"/>
            </w:tcBorders>
            <w:shd w:val="clear" w:color="auto" w:fill="ECF1F5"/>
          </w:tcPr>
          <w:p>
            <w:pPr>
              <w:jc w:val="right"/>
              <w:ind w:right="240"/>
              <w:spacing w:after="0"/>
              <w:rPr>
                <w:sz w:val="20"/>
                <w:szCs w:val="20"/>
                <w:color w:val="auto"/>
              </w:rPr>
            </w:pPr>
            <w:r>
              <w:rPr>
                <w:rFonts w:ascii="Arial" w:cs="Arial" w:eastAsia="Arial" w:hAnsi="Arial"/>
                <w:sz w:val="17"/>
                <w:szCs w:val="17"/>
                <w:color w:val="auto"/>
              </w:rPr>
              <w:t>2,748</w:t>
            </w:r>
            <w:r>
              <w:rPr>
                <w:rFonts w:ascii="Arial" w:cs="Arial" w:eastAsia="Arial" w:hAnsi="Arial"/>
                <w:sz w:val="19"/>
                <w:szCs w:val="19"/>
                <w:color w:val="auto"/>
                <w:vertAlign w:val="superscript"/>
              </w:rPr>
              <w:t>(16)</w:t>
            </w:r>
          </w:p>
        </w:tc>
        <w:tc>
          <w:tcPr>
            <w:tcW w:w="960" w:type="dxa"/>
            <w:vAlign w:val="bottom"/>
            <w:tcBorders>
              <w:bottom w:val="single" w:sz="8" w:color="ECF1F5"/>
            </w:tcBorders>
            <w:shd w:val="clear" w:color="auto" w:fill="ECF1F5"/>
          </w:tcPr>
          <w:p>
            <w:pPr>
              <w:jc w:val="right"/>
              <w:ind w:right="200"/>
              <w:spacing w:after="0"/>
              <w:rPr>
                <w:sz w:val="20"/>
                <w:szCs w:val="20"/>
                <w:color w:val="auto"/>
              </w:rPr>
            </w:pPr>
            <w:r>
              <w:rPr>
                <w:rFonts w:ascii="Arial" w:cs="Arial" w:eastAsia="Arial" w:hAnsi="Arial"/>
                <w:sz w:val="17"/>
                <w:szCs w:val="17"/>
                <w:color w:val="auto"/>
              </w:rPr>
              <w:t>5,496</w:t>
            </w:r>
            <w:r>
              <w:rPr>
                <w:rFonts w:ascii="Arial" w:cs="Arial" w:eastAsia="Arial" w:hAnsi="Arial"/>
                <w:sz w:val="19"/>
                <w:szCs w:val="19"/>
                <w:color w:val="auto"/>
                <w:vertAlign w:val="superscript"/>
              </w:rPr>
              <w:t>(16)</w:t>
            </w:r>
          </w:p>
        </w:tc>
        <w:tc>
          <w:tcPr>
            <w:tcW w:w="3780" w:type="dxa"/>
            <w:vAlign w:val="bottom"/>
            <w:tcBorders>
              <w:bottom w:val="single" w:sz="8" w:color="ECF1F5"/>
            </w:tcBorders>
            <w:shd w:val="clear" w:color="auto" w:fill="ECF1F5"/>
          </w:tcPr>
          <w:p>
            <w:pPr>
              <w:jc w:val="right"/>
              <w:ind w:right="2759"/>
              <w:spacing w:after="0"/>
              <w:rPr>
                <w:sz w:val="20"/>
                <w:szCs w:val="20"/>
                <w:color w:val="auto"/>
              </w:rPr>
            </w:pPr>
            <w:r>
              <w:rPr>
                <w:rFonts w:ascii="Arial" w:cs="Arial" w:eastAsia="Arial" w:hAnsi="Arial"/>
                <w:sz w:val="17"/>
                <w:szCs w:val="17"/>
                <w:color w:val="auto"/>
              </w:rPr>
              <w:t>6,870</w:t>
            </w:r>
            <w:r>
              <w:rPr>
                <w:rFonts w:ascii="Arial" w:cs="Arial" w:eastAsia="Arial" w:hAnsi="Arial"/>
                <w:sz w:val="19"/>
                <w:szCs w:val="19"/>
                <w:color w:val="auto"/>
                <w:vertAlign w:val="superscript"/>
              </w:rPr>
              <w:t>(16)</w:t>
            </w:r>
          </w:p>
        </w:tc>
        <w:tc>
          <w:tcPr>
            <w:tcW w:w="1880" w:type="dxa"/>
            <w:vAlign w:val="bottom"/>
            <w:tcBorders>
              <w:bottom w:val="single" w:sz="8" w:color="ECF1F5"/>
            </w:tcBorders>
            <w:shd w:val="clear" w:color="auto" w:fill="ECF1F5"/>
          </w:tcPr>
          <w:p>
            <w:pPr>
              <w:spacing w:after="0"/>
              <w:rPr>
                <w:sz w:val="24"/>
                <w:szCs w:val="24"/>
                <w:color w:val="auto"/>
              </w:rPr>
            </w:pPr>
          </w:p>
        </w:tc>
        <w:tc>
          <w:tcPr>
            <w:tcW w:w="1500" w:type="dxa"/>
            <w:vAlign w:val="bottom"/>
            <w:tcBorders>
              <w:bottom w:val="single" w:sz="8" w:color="ECF1F5"/>
            </w:tcBorders>
            <w:shd w:val="clear" w:color="auto" w:fill="ECF1F5"/>
          </w:tcPr>
          <w:p>
            <w:pPr>
              <w:spacing w:after="0"/>
              <w:rPr>
                <w:sz w:val="24"/>
                <w:szCs w:val="24"/>
                <w:color w:val="auto"/>
              </w:rPr>
            </w:pPr>
          </w:p>
        </w:tc>
        <w:tc>
          <w:tcPr>
            <w:tcW w:w="1400" w:type="dxa"/>
            <w:vAlign w:val="bottom"/>
            <w:tcBorders>
              <w:bottom w:val="single" w:sz="8" w:color="ECF1F5"/>
            </w:tcBorders>
            <w:gridSpan w:val="2"/>
            <w:shd w:val="clear" w:color="auto" w:fill="ECF1F5"/>
          </w:tcPr>
          <w:p>
            <w:pPr>
              <w:jc w:val="right"/>
              <w:ind w:right="2"/>
              <w:spacing w:after="0"/>
              <w:rPr>
                <w:sz w:val="20"/>
                <w:szCs w:val="20"/>
                <w:color w:val="auto"/>
              </w:rPr>
            </w:pPr>
            <w:r>
              <w:rPr>
                <w:rFonts w:ascii="Arial" w:cs="Arial" w:eastAsia="Arial" w:hAnsi="Arial"/>
                <w:sz w:val="17"/>
                <w:szCs w:val="17"/>
                <w:color w:val="auto"/>
              </w:rPr>
              <w:t>365,209</w:t>
            </w:r>
            <w:r>
              <w:rPr>
                <w:rFonts w:ascii="Arial" w:cs="Arial" w:eastAsia="Arial" w:hAnsi="Arial"/>
                <w:sz w:val="19"/>
                <w:szCs w:val="19"/>
                <w:color w:val="auto"/>
                <w:vertAlign w:val="superscript"/>
              </w:rPr>
              <w:t>(16)</w:t>
            </w:r>
          </w:p>
        </w:tc>
      </w:tr>
      <w:tr>
        <w:trPr>
          <w:trHeight w:val="252"/>
        </w:trPr>
        <w:tc>
          <w:tcPr>
            <w:tcW w:w="1740" w:type="dxa"/>
            <w:vAlign w:val="bottom"/>
          </w:tcPr>
          <w:p>
            <w:pPr>
              <w:jc w:val="right"/>
              <w:ind w:right="240"/>
              <w:spacing w:after="0"/>
              <w:rPr>
                <w:sz w:val="20"/>
                <w:szCs w:val="20"/>
                <w:color w:val="auto"/>
              </w:rPr>
            </w:pPr>
            <w:r>
              <w:rPr>
                <w:rFonts w:ascii="Arial" w:cs="Arial" w:eastAsia="Arial" w:hAnsi="Arial"/>
                <w:sz w:val="17"/>
                <w:szCs w:val="17"/>
                <w:color w:val="auto"/>
              </w:rPr>
              <w:t>5,496</w:t>
            </w:r>
            <w:r>
              <w:rPr>
                <w:rFonts w:ascii="Arial" w:cs="Arial" w:eastAsia="Arial" w:hAnsi="Arial"/>
                <w:sz w:val="19"/>
                <w:szCs w:val="19"/>
                <w:color w:val="auto"/>
                <w:vertAlign w:val="superscript"/>
              </w:rPr>
              <w:t>(17)</w:t>
            </w:r>
          </w:p>
        </w:tc>
        <w:tc>
          <w:tcPr>
            <w:tcW w:w="960" w:type="dxa"/>
            <w:vAlign w:val="bottom"/>
          </w:tcPr>
          <w:p>
            <w:pPr>
              <w:jc w:val="right"/>
              <w:ind w:right="200"/>
              <w:spacing w:after="0"/>
              <w:rPr>
                <w:sz w:val="20"/>
                <w:szCs w:val="20"/>
                <w:color w:val="auto"/>
              </w:rPr>
            </w:pPr>
            <w:r>
              <w:rPr>
                <w:rFonts w:ascii="Arial" w:cs="Arial" w:eastAsia="Arial" w:hAnsi="Arial"/>
                <w:sz w:val="17"/>
                <w:szCs w:val="17"/>
                <w:color w:val="auto"/>
                <w:w w:val="88"/>
              </w:rPr>
              <w:t>10,992</w:t>
            </w:r>
            <w:r>
              <w:rPr>
                <w:rFonts w:ascii="Arial" w:cs="Arial" w:eastAsia="Arial" w:hAnsi="Arial"/>
                <w:sz w:val="19"/>
                <w:szCs w:val="19"/>
                <w:color w:val="auto"/>
                <w:w w:val="88"/>
                <w:vertAlign w:val="superscript"/>
              </w:rPr>
              <w:t>(17)</w:t>
            </w:r>
          </w:p>
        </w:tc>
        <w:tc>
          <w:tcPr>
            <w:tcW w:w="3780" w:type="dxa"/>
            <w:vAlign w:val="bottom"/>
          </w:tcPr>
          <w:p>
            <w:pPr>
              <w:jc w:val="right"/>
              <w:ind w:right="2759"/>
              <w:spacing w:after="0"/>
              <w:rPr>
                <w:sz w:val="20"/>
                <w:szCs w:val="20"/>
                <w:color w:val="auto"/>
              </w:rPr>
            </w:pPr>
            <w:r>
              <w:rPr>
                <w:rFonts w:ascii="Arial" w:cs="Arial" w:eastAsia="Arial" w:hAnsi="Arial"/>
                <w:sz w:val="17"/>
                <w:szCs w:val="17"/>
                <w:color w:val="auto"/>
              </w:rPr>
              <w:t>13,740</w:t>
            </w:r>
            <w:r>
              <w:rPr>
                <w:rFonts w:ascii="Arial" w:cs="Arial" w:eastAsia="Arial" w:hAnsi="Arial"/>
                <w:sz w:val="19"/>
                <w:szCs w:val="19"/>
                <w:color w:val="auto"/>
                <w:vertAlign w:val="superscript"/>
              </w:rPr>
              <w:t>(17)</w:t>
            </w:r>
          </w:p>
        </w:tc>
        <w:tc>
          <w:tcPr>
            <w:tcW w:w="18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0" w:type="dxa"/>
            <w:vAlign w:val="bottom"/>
            <w:gridSpan w:val="2"/>
          </w:tcPr>
          <w:p>
            <w:pPr>
              <w:jc w:val="right"/>
              <w:ind w:right="2"/>
              <w:spacing w:after="0"/>
              <w:rPr>
                <w:sz w:val="20"/>
                <w:szCs w:val="20"/>
                <w:color w:val="auto"/>
              </w:rPr>
            </w:pPr>
            <w:r>
              <w:rPr>
                <w:rFonts w:ascii="Arial" w:cs="Arial" w:eastAsia="Arial" w:hAnsi="Arial"/>
                <w:sz w:val="17"/>
                <w:szCs w:val="17"/>
                <w:color w:val="auto"/>
              </w:rPr>
              <w:t>730,418</w:t>
            </w:r>
            <w:r>
              <w:rPr>
                <w:rFonts w:ascii="Arial" w:cs="Arial" w:eastAsia="Arial" w:hAnsi="Arial"/>
                <w:sz w:val="19"/>
                <w:szCs w:val="19"/>
                <w:color w:val="auto"/>
                <w:vertAlign w:val="superscript"/>
              </w:rPr>
              <w:t>(17)</w:t>
            </w:r>
          </w:p>
        </w:tc>
      </w:tr>
      <w:tr>
        <w:trPr>
          <w:trHeight w:val="21"/>
        </w:trPr>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277"/>
        </w:trPr>
        <w:tc>
          <w:tcPr>
            <w:tcW w:w="1740" w:type="dxa"/>
            <w:vAlign w:val="bottom"/>
            <w:tcBorders>
              <w:bottom w:val="single" w:sz="8" w:color="ECF1F5"/>
            </w:tcBorders>
            <w:shd w:val="clear" w:color="auto" w:fill="ECF1F5"/>
          </w:tcPr>
          <w:p>
            <w:pPr>
              <w:spacing w:after="0"/>
              <w:rPr>
                <w:sz w:val="24"/>
                <w:szCs w:val="24"/>
                <w:color w:val="auto"/>
              </w:rPr>
            </w:pPr>
          </w:p>
        </w:tc>
        <w:tc>
          <w:tcPr>
            <w:tcW w:w="960" w:type="dxa"/>
            <w:vAlign w:val="bottom"/>
            <w:tcBorders>
              <w:bottom w:val="single" w:sz="8" w:color="ECF1F5"/>
            </w:tcBorders>
            <w:shd w:val="clear" w:color="auto" w:fill="ECF1F5"/>
          </w:tcPr>
          <w:p>
            <w:pPr>
              <w:spacing w:after="0"/>
              <w:rPr>
                <w:sz w:val="24"/>
                <w:szCs w:val="24"/>
                <w:color w:val="auto"/>
              </w:rPr>
            </w:pPr>
          </w:p>
        </w:tc>
        <w:tc>
          <w:tcPr>
            <w:tcW w:w="3780" w:type="dxa"/>
            <w:vAlign w:val="bottom"/>
            <w:tcBorders>
              <w:bottom w:val="single" w:sz="8" w:color="ECF1F5"/>
            </w:tcBorders>
            <w:shd w:val="clear" w:color="auto" w:fill="ECF1F5"/>
          </w:tcPr>
          <w:p>
            <w:pPr>
              <w:jc w:val="right"/>
              <w:ind w:right="519"/>
              <w:spacing w:after="0"/>
              <w:rPr>
                <w:sz w:val="20"/>
                <w:szCs w:val="20"/>
                <w:color w:val="auto"/>
              </w:rPr>
            </w:pPr>
            <w:r>
              <w:rPr>
                <w:rFonts w:ascii="Arial" w:cs="Arial" w:eastAsia="Arial" w:hAnsi="Arial"/>
                <w:sz w:val="17"/>
                <w:szCs w:val="17"/>
                <w:color w:val="auto"/>
              </w:rPr>
              <w:t>10,749</w:t>
            </w:r>
            <w:r>
              <w:rPr>
                <w:rFonts w:ascii="Arial" w:cs="Arial" w:eastAsia="Arial" w:hAnsi="Arial"/>
                <w:sz w:val="19"/>
                <w:szCs w:val="19"/>
                <w:color w:val="auto"/>
                <w:vertAlign w:val="superscript"/>
              </w:rPr>
              <w:t>(18)</w:t>
            </w:r>
          </w:p>
        </w:tc>
        <w:tc>
          <w:tcPr>
            <w:tcW w:w="1880" w:type="dxa"/>
            <w:vAlign w:val="bottom"/>
            <w:tcBorders>
              <w:bottom w:val="single" w:sz="8" w:color="ECF1F5"/>
            </w:tcBorders>
            <w:shd w:val="clear" w:color="auto" w:fill="ECF1F5"/>
          </w:tcPr>
          <w:p>
            <w:pPr>
              <w:spacing w:after="0"/>
              <w:rPr>
                <w:sz w:val="24"/>
                <w:szCs w:val="24"/>
                <w:color w:val="auto"/>
              </w:rPr>
            </w:pPr>
          </w:p>
        </w:tc>
        <w:tc>
          <w:tcPr>
            <w:tcW w:w="1500" w:type="dxa"/>
            <w:vAlign w:val="bottom"/>
            <w:tcBorders>
              <w:bottom w:val="single" w:sz="8" w:color="ECF1F5"/>
            </w:tcBorders>
            <w:shd w:val="clear" w:color="auto" w:fill="ECF1F5"/>
          </w:tcPr>
          <w:p>
            <w:pPr>
              <w:spacing w:after="0"/>
              <w:rPr>
                <w:sz w:val="24"/>
                <w:szCs w:val="24"/>
                <w:color w:val="auto"/>
              </w:rPr>
            </w:pPr>
          </w:p>
        </w:tc>
        <w:tc>
          <w:tcPr>
            <w:tcW w:w="1400" w:type="dxa"/>
            <w:vAlign w:val="bottom"/>
            <w:tcBorders>
              <w:bottom w:val="single" w:sz="8" w:color="ECF1F5"/>
            </w:tcBorders>
            <w:gridSpan w:val="2"/>
            <w:shd w:val="clear" w:color="auto" w:fill="ECF1F5"/>
          </w:tcPr>
          <w:p>
            <w:pPr>
              <w:jc w:val="right"/>
              <w:ind w:right="2"/>
              <w:spacing w:after="0"/>
              <w:rPr>
                <w:sz w:val="20"/>
                <w:szCs w:val="20"/>
                <w:color w:val="auto"/>
              </w:rPr>
            </w:pPr>
            <w:r>
              <w:rPr>
                <w:rFonts w:ascii="Arial" w:cs="Arial" w:eastAsia="Arial" w:hAnsi="Arial"/>
                <w:sz w:val="17"/>
                <w:szCs w:val="17"/>
                <w:color w:val="auto"/>
              </w:rPr>
              <w:t>994,103</w:t>
            </w:r>
            <w:r>
              <w:rPr>
                <w:rFonts w:ascii="Arial" w:cs="Arial" w:eastAsia="Arial" w:hAnsi="Arial"/>
                <w:sz w:val="19"/>
                <w:szCs w:val="19"/>
                <w:color w:val="auto"/>
                <w:vertAlign w:val="superscript"/>
              </w:rPr>
              <w:t>(18)</w:t>
            </w:r>
          </w:p>
        </w:tc>
      </w:tr>
      <w:tr>
        <w:trPr>
          <w:trHeight w:val="265"/>
        </w:trPr>
        <w:tc>
          <w:tcPr>
            <w:tcW w:w="1740" w:type="dxa"/>
            <w:vAlign w:val="bottom"/>
            <w:tcBorders>
              <w:bottom w:val="single" w:sz="8" w:color="125288"/>
            </w:tcBorders>
          </w:tcPr>
          <w:p>
            <w:pPr>
              <w:spacing w:after="0"/>
              <w:rPr>
                <w:sz w:val="23"/>
                <w:szCs w:val="23"/>
                <w:color w:val="auto"/>
              </w:rPr>
            </w:pPr>
          </w:p>
        </w:tc>
        <w:tc>
          <w:tcPr>
            <w:tcW w:w="960" w:type="dxa"/>
            <w:vAlign w:val="bottom"/>
            <w:tcBorders>
              <w:bottom w:val="single" w:sz="8" w:color="125288"/>
            </w:tcBorders>
          </w:tcPr>
          <w:p>
            <w:pPr>
              <w:spacing w:after="0"/>
              <w:rPr>
                <w:sz w:val="23"/>
                <w:szCs w:val="23"/>
                <w:color w:val="auto"/>
              </w:rPr>
            </w:pPr>
          </w:p>
        </w:tc>
        <w:tc>
          <w:tcPr>
            <w:tcW w:w="3780" w:type="dxa"/>
            <w:vAlign w:val="bottom"/>
            <w:tcBorders>
              <w:bottom w:val="single" w:sz="8" w:color="125288"/>
            </w:tcBorders>
          </w:tcPr>
          <w:p>
            <w:pPr>
              <w:spacing w:after="0"/>
              <w:rPr>
                <w:sz w:val="23"/>
                <w:szCs w:val="23"/>
                <w:color w:val="auto"/>
              </w:rPr>
            </w:pPr>
          </w:p>
        </w:tc>
        <w:tc>
          <w:tcPr>
            <w:tcW w:w="1880" w:type="dxa"/>
            <w:vAlign w:val="bottom"/>
            <w:tcBorders>
              <w:bottom w:val="single" w:sz="8" w:color="125288"/>
            </w:tcBorders>
          </w:tcPr>
          <w:p>
            <w:pPr>
              <w:jc w:val="right"/>
              <w:ind w:right="423"/>
              <w:spacing w:after="0"/>
              <w:rPr>
                <w:sz w:val="20"/>
                <w:szCs w:val="20"/>
                <w:color w:val="auto"/>
              </w:rPr>
            </w:pPr>
            <w:r>
              <w:rPr>
                <w:rFonts w:ascii="Arial" w:cs="Arial" w:eastAsia="Arial" w:hAnsi="Arial"/>
                <w:sz w:val="17"/>
                <w:szCs w:val="17"/>
                <w:color w:val="auto"/>
              </w:rPr>
              <w:t>123,853</w:t>
            </w:r>
            <w:r>
              <w:rPr>
                <w:rFonts w:ascii="Arial" w:cs="Arial" w:eastAsia="Arial" w:hAnsi="Arial"/>
                <w:sz w:val="9"/>
                <w:szCs w:val="9"/>
                <w:color w:val="auto"/>
              </w:rPr>
              <w:t>(19)</w:t>
            </w:r>
          </w:p>
        </w:tc>
        <w:tc>
          <w:tcPr>
            <w:tcW w:w="1500" w:type="dxa"/>
            <w:vAlign w:val="bottom"/>
            <w:tcBorders>
              <w:bottom w:val="single" w:sz="8" w:color="125288"/>
            </w:tcBorders>
          </w:tcPr>
          <w:p>
            <w:pPr>
              <w:jc w:val="right"/>
              <w:ind w:right="357"/>
              <w:spacing w:after="0"/>
              <w:rPr>
                <w:sz w:val="20"/>
                <w:szCs w:val="20"/>
                <w:color w:val="auto"/>
              </w:rPr>
            </w:pPr>
            <w:r>
              <w:rPr>
                <w:rFonts w:ascii="Arial" w:cs="Arial" w:eastAsia="Arial" w:hAnsi="Arial"/>
                <w:sz w:val="17"/>
                <w:szCs w:val="17"/>
                <w:color w:val="auto"/>
              </w:rPr>
              <w:t>93.03</w:t>
            </w:r>
            <w:r>
              <w:rPr>
                <w:rFonts w:ascii="Arial" w:cs="Arial" w:eastAsia="Arial" w:hAnsi="Arial"/>
                <w:sz w:val="19"/>
                <w:szCs w:val="19"/>
                <w:color w:val="auto"/>
                <w:vertAlign w:val="superscript"/>
              </w:rPr>
              <w:t>(19)</w:t>
            </w:r>
          </w:p>
        </w:tc>
        <w:tc>
          <w:tcPr>
            <w:tcW w:w="1400" w:type="dxa"/>
            <w:vAlign w:val="bottom"/>
            <w:tcBorders>
              <w:bottom w:val="single" w:sz="8" w:color="125288"/>
            </w:tcBorders>
            <w:gridSpan w:val="2"/>
          </w:tcPr>
          <w:p>
            <w:pPr>
              <w:jc w:val="right"/>
              <w:ind w:right="2"/>
              <w:spacing w:after="0"/>
              <w:rPr>
                <w:sz w:val="20"/>
                <w:szCs w:val="20"/>
                <w:color w:val="auto"/>
              </w:rPr>
            </w:pPr>
            <w:r>
              <w:rPr>
                <w:rFonts w:ascii="Arial" w:cs="Arial" w:eastAsia="Arial" w:hAnsi="Arial"/>
                <w:sz w:val="17"/>
                <w:szCs w:val="17"/>
                <w:color w:val="auto"/>
              </w:rPr>
              <w:t>3,982,493</w:t>
            </w:r>
            <w:r>
              <w:rPr>
                <w:rFonts w:ascii="Arial" w:cs="Arial" w:eastAsia="Arial" w:hAnsi="Arial"/>
                <w:sz w:val="19"/>
                <w:szCs w:val="19"/>
                <w:color w:val="auto"/>
                <w:vertAlign w:val="superscript"/>
              </w:rPr>
              <w:t>(19)</w:t>
            </w:r>
          </w:p>
        </w:tc>
      </w:tr>
      <w:tr>
        <w:trPr>
          <w:trHeight w:val="285"/>
        </w:trPr>
        <w:tc>
          <w:tcPr>
            <w:tcW w:w="1740" w:type="dxa"/>
            <w:vAlign w:val="bottom"/>
            <w:shd w:val="clear" w:color="auto" w:fill="ECF1F5"/>
          </w:tcPr>
          <w:p>
            <w:pPr>
              <w:spacing w:after="0"/>
              <w:rPr>
                <w:sz w:val="24"/>
                <w:szCs w:val="24"/>
                <w:color w:val="auto"/>
              </w:rPr>
            </w:pPr>
          </w:p>
        </w:tc>
        <w:tc>
          <w:tcPr>
            <w:tcW w:w="960" w:type="dxa"/>
            <w:vAlign w:val="bottom"/>
            <w:shd w:val="clear" w:color="auto" w:fill="ECF1F5"/>
          </w:tcPr>
          <w:p>
            <w:pPr>
              <w:spacing w:after="0"/>
              <w:rPr>
                <w:sz w:val="24"/>
                <w:szCs w:val="24"/>
                <w:color w:val="auto"/>
              </w:rPr>
            </w:pPr>
          </w:p>
        </w:tc>
        <w:tc>
          <w:tcPr>
            <w:tcW w:w="3780" w:type="dxa"/>
            <w:vAlign w:val="bottom"/>
            <w:shd w:val="clear" w:color="auto" w:fill="ECF1F5"/>
          </w:tcPr>
          <w:p>
            <w:pPr>
              <w:spacing w:after="0"/>
              <w:rPr>
                <w:sz w:val="24"/>
                <w:szCs w:val="24"/>
                <w:color w:val="auto"/>
              </w:rPr>
            </w:pPr>
          </w:p>
        </w:tc>
        <w:tc>
          <w:tcPr>
            <w:tcW w:w="1880" w:type="dxa"/>
            <w:vAlign w:val="bottom"/>
            <w:shd w:val="clear" w:color="auto" w:fill="ECF1F5"/>
          </w:tcPr>
          <w:p>
            <w:pPr>
              <w:spacing w:after="0"/>
              <w:rPr>
                <w:sz w:val="24"/>
                <w:szCs w:val="24"/>
                <w:color w:val="auto"/>
              </w:rPr>
            </w:pPr>
          </w:p>
        </w:tc>
        <w:tc>
          <w:tcPr>
            <w:tcW w:w="1500" w:type="dxa"/>
            <w:vAlign w:val="bottom"/>
            <w:shd w:val="clear" w:color="auto" w:fill="ECF1F5"/>
          </w:tcPr>
          <w:p>
            <w:pPr>
              <w:spacing w:after="0"/>
              <w:rPr>
                <w:sz w:val="24"/>
                <w:szCs w:val="24"/>
                <w:color w:val="auto"/>
              </w:rPr>
            </w:pPr>
          </w:p>
        </w:tc>
        <w:tc>
          <w:tcPr>
            <w:tcW w:w="1400" w:type="dxa"/>
            <w:vAlign w:val="bottom"/>
            <w:gridSpan w:val="2"/>
            <w:shd w:val="clear" w:color="auto" w:fill="ECF1F5"/>
          </w:tcPr>
          <w:p>
            <w:pPr>
              <w:spacing w:after="0"/>
              <w:rPr>
                <w:sz w:val="24"/>
                <w:szCs w:val="24"/>
                <w:color w:val="auto"/>
              </w:rPr>
            </w:pPr>
          </w:p>
        </w:tc>
      </w:tr>
      <w:tr>
        <w:trPr>
          <w:trHeight w:val="252"/>
        </w:trPr>
        <w:tc>
          <w:tcPr>
            <w:tcW w:w="1740" w:type="dxa"/>
            <w:vAlign w:val="bottom"/>
          </w:tcPr>
          <w:p>
            <w:pPr>
              <w:jc w:val="right"/>
              <w:ind w:right="40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200"/>
              <w:spacing w:after="0"/>
              <w:rPr>
                <w:sz w:val="20"/>
                <w:szCs w:val="20"/>
                <w:color w:val="auto"/>
              </w:rPr>
            </w:pPr>
            <w:r>
              <w:rPr>
                <w:rFonts w:ascii="Arial" w:cs="Arial" w:eastAsia="Arial" w:hAnsi="Arial"/>
                <w:sz w:val="17"/>
                <w:szCs w:val="17"/>
                <w:color w:val="auto"/>
                <w:w w:val="88"/>
              </w:rPr>
              <w:t>41,040</w:t>
            </w:r>
            <w:r>
              <w:rPr>
                <w:rFonts w:ascii="Arial" w:cs="Arial" w:eastAsia="Arial" w:hAnsi="Arial"/>
                <w:sz w:val="19"/>
                <w:szCs w:val="19"/>
                <w:color w:val="auto"/>
                <w:w w:val="88"/>
                <w:vertAlign w:val="superscript"/>
              </w:rPr>
              <w:t>(21)</w:t>
            </w:r>
          </w:p>
        </w:tc>
        <w:tc>
          <w:tcPr>
            <w:tcW w:w="3780" w:type="dxa"/>
            <w:vAlign w:val="bottom"/>
          </w:tcPr>
          <w:p>
            <w:pPr>
              <w:jc w:val="right"/>
              <w:ind w:right="2919"/>
              <w:spacing w:after="0"/>
              <w:rPr>
                <w:sz w:val="20"/>
                <w:szCs w:val="20"/>
                <w:color w:val="auto"/>
              </w:rPr>
            </w:pPr>
            <w:r>
              <w:rPr>
                <w:rFonts w:ascii="Arial" w:cs="Arial" w:eastAsia="Arial" w:hAnsi="Arial"/>
                <w:sz w:val="17"/>
                <w:szCs w:val="17"/>
                <w:color w:val="auto"/>
              </w:rPr>
              <w:t>—</w:t>
            </w:r>
          </w:p>
        </w:tc>
        <w:tc>
          <w:tcPr>
            <w:tcW w:w="18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0" w:type="dxa"/>
            <w:vAlign w:val="bottom"/>
            <w:gridSpan w:val="2"/>
          </w:tcPr>
          <w:p>
            <w:pPr>
              <w:jc w:val="right"/>
              <w:ind w:right="2"/>
              <w:spacing w:after="0"/>
              <w:rPr>
                <w:sz w:val="20"/>
                <w:szCs w:val="20"/>
                <w:color w:val="auto"/>
              </w:rPr>
            </w:pPr>
            <w:r>
              <w:rPr>
                <w:rFonts w:ascii="Arial" w:cs="Arial" w:eastAsia="Arial" w:hAnsi="Arial"/>
                <w:sz w:val="17"/>
                <w:szCs w:val="17"/>
                <w:color w:val="auto"/>
              </w:rPr>
              <w:t>3,693,190</w:t>
            </w:r>
            <w:r>
              <w:rPr>
                <w:rFonts w:ascii="Arial" w:cs="Arial" w:eastAsia="Arial" w:hAnsi="Arial"/>
                <w:sz w:val="19"/>
                <w:szCs w:val="19"/>
                <w:color w:val="auto"/>
                <w:vertAlign w:val="superscript"/>
              </w:rPr>
              <w:t>(21)</w:t>
            </w:r>
          </w:p>
        </w:tc>
      </w:tr>
      <w:tr>
        <w:trPr>
          <w:trHeight w:val="21"/>
        </w:trPr>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277"/>
        </w:trPr>
        <w:tc>
          <w:tcPr>
            <w:tcW w:w="1740" w:type="dxa"/>
            <w:vAlign w:val="bottom"/>
            <w:tcBorders>
              <w:bottom w:val="single" w:sz="8" w:color="ECF1F5"/>
            </w:tcBorders>
            <w:shd w:val="clear" w:color="auto" w:fill="ECF1F5"/>
          </w:tcPr>
          <w:p>
            <w:pPr>
              <w:jc w:val="right"/>
              <w:ind w:right="40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ECF1F5"/>
            </w:tcBorders>
            <w:shd w:val="clear" w:color="auto" w:fill="ECF1F5"/>
          </w:tcPr>
          <w:p>
            <w:pPr>
              <w:jc w:val="right"/>
              <w:ind w:right="200"/>
              <w:spacing w:after="0"/>
              <w:rPr>
                <w:sz w:val="20"/>
                <w:szCs w:val="20"/>
                <w:color w:val="auto"/>
              </w:rPr>
            </w:pPr>
            <w:r>
              <w:rPr>
                <w:rFonts w:ascii="Arial" w:cs="Arial" w:eastAsia="Arial" w:hAnsi="Arial"/>
                <w:sz w:val="17"/>
                <w:szCs w:val="17"/>
                <w:color w:val="auto"/>
                <w:w w:val="88"/>
              </w:rPr>
              <w:t>32,723</w:t>
            </w:r>
            <w:r>
              <w:rPr>
                <w:rFonts w:ascii="Arial" w:cs="Arial" w:eastAsia="Arial" w:hAnsi="Arial"/>
                <w:sz w:val="19"/>
                <w:szCs w:val="19"/>
                <w:color w:val="auto"/>
                <w:w w:val="88"/>
                <w:vertAlign w:val="superscript"/>
              </w:rPr>
              <w:t>(22)</w:t>
            </w:r>
          </w:p>
        </w:tc>
        <w:tc>
          <w:tcPr>
            <w:tcW w:w="3780" w:type="dxa"/>
            <w:vAlign w:val="bottom"/>
            <w:tcBorders>
              <w:bottom w:val="single" w:sz="8" w:color="ECF1F5"/>
            </w:tcBorders>
            <w:shd w:val="clear" w:color="auto" w:fill="ECF1F5"/>
          </w:tcPr>
          <w:p>
            <w:pPr>
              <w:jc w:val="right"/>
              <w:ind w:right="2919"/>
              <w:spacing w:after="0"/>
              <w:rPr>
                <w:sz w:val="20"/>
                <w:szCs w:val="20"/>
                <w:color w:val="auto"/>
              </w:rPr>
            </w:pPr>
            <w:r>
              <w:rPr>
                <w:rFonts w:ascii="Arial" w:cs="Arial" w:eastAsia="Arial" w:hAnsi="Arial"/>
                <w:sz w:val="17"/>
                <w:szCs w:val="17"/>
                <w:color w:val="auto"/>
              </w:rPr>
              <w:t>—</w:t>
            </w:r>
          </w:p>
        </w:tc>
        <w:tc>
          <w:tcPr>
            <w:tcW w:w="1880" w:type="dxa"/>
            <w:vAlign w:val="bottom"/>
            <w:tcBorders>
              <w:bottom w:val="single" w:sz="8" w:color="ECF1F5"/>
            </w:tcBorders>
            <w:shd w:val="clear" w:color="auto" w:fill="ECF1F5"/>
          </w:tcPr>
          <w:p>
            <w:pPr>
              <w:spacing w:after="0"/>
              <w:rPr>
                <w:sz w:val="24"/>
                <w:szCs w:val="24"/>
                <w:color w:val="auto"/>
              </w:rPr>
            </w:pPr>
          </w:p>
        </w:tc>
        <w:tc>
          <w:tcPr>
            <w:tcW w:w="1500" w:type="dxa"/>
            <w:vAlign w:val="bottom"/>
            <w:tcBorders>
              <w:bottom w:val="single" w:sz="8" w:color="ECF1F5"/>
            </w:tcBorders>
            <w:shd w:val="clear" w:color="auto" w:fill="ECF1F5"/>
          </w:tcPr>
          <w:p>
            <w:pPr>
              <w:spacing w:after="0"/>
              <w:rPr>
                <w:sz w:val="24"/>
                <w:szCs w:val="24"/>
                <w:color w:val="auto"/>
              </w:rPr>
            </w:pPr>
          </w:p>
        </w:tc>
        <w:tc>
          <w:tcPr>
            <w:tcW w:w="1400" w:type="dxa"/>
            <w:vAlign w:val="bottom"/>
            <w:tcBorders>
              <w:bottom w:val="single" w:sz="8" w:color="ECF1F5"/>
            </w:tcBorders>
            <w:gridSpan w:val="2"/>
            <w:shd w:val="clear" w:color="auto" w:fill="ECF1F5"/>
          </w:tcPr>
          <w:p>
            <w:pPr>
              <w:jc w:val="right"/>
              <w:ind w:right="2"/>
              <w:spacing w:after="0"/>
              <w:rPr>
                <w:sz w:val="20"/>
                <w:szCs w:val="20"/>
                <w:color w:val="auto"/>
              </w:rPr>
            </w:pPr>
            <w:r>
              <w:rPr>
                <w:rFonts w:ascii="Arial" w:cs="Arial" w:eastAsia="Arial" w:hAnsi="Arial"/>
                <w:sz w:val="17"/>
                <w:szCs w:val="17"/>
                <w:color w:val="auto"/>
              </w:rPr>
              <w:t>2,962,740</w:t>
            </w:r>
            <w:r>
              <w:rPr>
                <w:rFonts w:ascii="Arial" w:cs="Arial" w:eastAsia="Arial" w:hAnsi="Arial"/>
                <w:sz w:val="19"/>
                <w:szCs w:val="19"/>
                <w:color w:val="auto"/>
                <w:vertAlign w:val="superscript"/>
              </w:rPr>
              <w:t>(22)</w:t>
            </w:r>
          </w:p>
        </w:tc>
      </w:tr>
      <w:tr>
        <w:trPr>
          <w:trHeight w:val="252"/>
        </w:trPr>
        <w:tc>
          <w:tcPr>
            <w:tcW w:w="1740" w:type="dxa"/>
            <w:vAlign w:val="bottom"/>
          </w:tcPr>
          <w:p>
            <w:pPr>
              <w:jc w:val="right"/>
              <w:ind w:right="240"/>
              <w:spacing w:after="0"/>
              <w:rPr>
                <w:sz w:val="20"/>
                <w:szCs w:val="20"/>
                <w:color w:val="auto"/>
              </w:rPr>
            </w:pPr>
            <w:r>
              <w:rPr>
                <w:rFonts w:ascii="Arial" w:cs="Arial" w:eastAsia="Arial" w:hAnsi="Arial"/>
                <w:sz w:val="17"/>
                <w:szCs w:val="17"/>
                <w:color w:val="auto"/>
              </w:rPr>
              <w:t>15,960</w:t>
            </w:r>
            <w:r>
              <w:rPr>
                <w:rFonts w:ascii="Arial" w:cs="Arial" w:eastAsia="Arial" w:hAnsi="Arial"/>
                <w:sz w:val="19"/>
                <w:szCs w:val="19"/>
                <w:color w:val="auto"/>
                <w:vertAlign w:val="superscript"/>
              </w:rPr>
              <w:t>(23)</w:t>
            </w:r>
          </w:p>
        </w:tc>
        <w:tc>
          <w:tcPr>
            <w:tcW w:w="960" w:type="dxa"/>
            <w:vAlign w:val="bottom"/>
          </w:tcPr>
          <w:p>
            <w:pPr>
              <w:jc w:val="right"/>
              <w:ind w:right="200"/>
              <w:spacing w:after="0"/>
              <w:rPr>
                <w:sz w:val="20"/>
                <w:szCs w:val="20"/>
                <w:color w:val="auto"/>
              </w:rPr>
            </w:pPr>
            <w:r>
              <w:rPr>
                <w:rFonts w:ascii="Arial" w:cs="Arial" w:eastAsia="Arial" w:hAnsi="Arial"/>
                <w:sz w:val="17"/>
                <w:szCs w:val="17"/>
                <w:color w:val="auto"/>
                <w:w w:val="88"/>
              </w:rPr>
              <w:t>31,920</w:t>
            </w:r>
            <w:r>
              <w:rPr>
                <w:rFonts w:ascii="Arial" w:cs="Arial" w:eastAsia="Arial" w:hAnsi="Arial"/>
                <w:sz w:val="19"/>
                <w:szCs w:val="19"/>
                <w:color w:val="auto"/>
                <w:w w:val="88"/>
                <w:vertAlign w:val="superscript"/>
              </w:rPr>
              <w:t>(23)</w:t>
            </w:r>
          </w:p>
        </w:tc>
        <w:tc>
          <w:tcPr>
            <w:tcW w:w="3780" w:type="dxa"/>
            <w:vAlign w:val="bottom"/>
          </w:tcPr>
          <w:p>
            <w:pPr>
              <w:jc w:val="right"/>
              <w:ind w:right="2759"/>
              <w:spacing w:after="0"/>
              <w:rPr>
                <w:sz w:val="20"/>
                <w:szCs w:val="20"/>
                <w:color w:val="auto"/>
              </w:rPr>
            </w:pPr>
            <w:r>
              <w:rPr>
                <w:rFonts w:ascii="Arial" w:cs="Arial" w:eastAsia="Arial" w:hAnsi="Arial"/>
                <w:sz w:val="17"/>
                <w:szCs w:val="17"/>
                <w:color w:val="auto"/>
              </w:rPr>
              <w:t>79,800</w:t>
            </w:r>
            <w:r>
              <w:rPr>
                <w:rFonts w:ascii="Arial" w:cs="Arial" w:eastAsia="Arial" w:hAnsi="Arial"/>
                <w:sz w:val="19"/>
                <w:szCs w:val="19"/>
                <w:color w:val="auto"/>
                <w:vertAlign w:val="superscript"/>
              </w:rPr>
              <w:t>(23)</w:t>
            </w:r>
          </w:p>
        </w:tc>
        <w:tc>
          <w:tcPr>
            <w:tcW w:w="18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0" w:type="dxa"/>
            <w:vAlign w:val="bottom"/>
            <w:gridSpan w:val="2"/>
          </w:tcPr>
          <w:p>
            <w:pPr>
              <w:jc w:val="right"/>
              <w:ind w:right="2"/>
              <w:spacing w:after="0"/>
              <w:rPr>
                <w:sz w:val="20"/>
                <w:szCs w:val="20"/>
                <w:color w:val="auto"/>
              </w:rPr>
            </w:pPr>
            <w:r>
              <w:rPr>
                <w:rFonts w:ascii="Arial" w:cs="Arial" w:eastAsia="Arial" w:hAnsi="Arial"/>
                <w:sz w:val="17"/>
                <w:szCs w:val="17"/>
                <w:color w:val="auto"/>
              </w:rPr>
              <w:t>2,939,513</w:t>
            </w:r>
            <w:r>
              <w:rPr>
                <w:rFonts w:ascii="Arial" w:cs="Arial" w:eastAsia="Arial" w:hAnsi="Arial"/>
                <w:sz w:val="19"/>
                <w:szCs w:val="19"/>
                <w:color w:val="auto"/>
                <w:vertAlign w:val="superscript"/>
              </w:rPr>
              <w:t>(23)</w:t>
            </w:r>
          </w:p>
        </w:tc>
      </w:tr>
      <w:tr>
        <w:trPr>
          <w:trHeight w:val="21"/>
        </w:trPr>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277"/>
        </w:trPr>
        <w:tc>
          <w:tcPr>
            <w:tcW w:w="1740" w:type="dxa"/>
            <w:vAlign w:val="bottom"/>
            <w:tcBorders>
              <w:bottom w:val="single" w:sz="8" w:color="ECF1F5"/>
            </w:tcBorders>
            <w:shd w:val="clear" w:color="auto" w:fill="ECF1F5"/>
          </w:tcPr>
          <w:p>
            <w:pPr>
              <w:jc w:val="right"/>
              <w:ind w:right="240"/>
              <w:spacing w:after="0"/>
              <w:rPr>
                <w:sz w:val="20"/>
                <w:szCs w:val="20"/>
                <w:color w:val="auto"/>
              </w:rPr>
            </w:pPr>
            <w:r>
              <w:rPr>
                <w:rFonts w:ascii="Arial" w:cs="Arial" w:eastAsia="Arial" w:hAnsi="Arial"/>
                <w:sz w:val="17"/>
                <w:szCs w:val="17"/>
                <w:color w:val="auto"/>
              </w:rPr>
              <w:t>9,120</w:t>
            </w:r>
            <w:r>
              <w:rPr>
                <w:rFonts w:ascii="Arial" w:cs="Arial" w:eastAsia="Arial" w:hAnsi="Arial"/>
                <w:sz w:val="19"/>
                <w:szCs w:val="19"/>
                <w:color w:val="auto"/>
                <w:vertAlign w:val="superscript"/>
              </w:rPr>
              <w:t>(24)</w:t>
            </w:r>
          </w:p>
        </w:tc>
        <w:tc>
          <w:tcPr>
            <w:tcW w:w="960" w:type="dxa"/>
            <w:vAlign w:val="bottom"/>
            <w:tcBorders>
              <w:bottom w:val="single" w:sz="8" w:color="ECF1F5"/>
            </w:tcBorders>
            <w:shd w:val="clear" w:color="auto" w:fill="ECF1F5"/>
          </w:tcPr>
          <w:p>
            <w:pPr>
              <w:jc w:val="right"/>
              <w:ind w:right="200"/>
              <w:spacing w:after="0"/>
              <w:rPr>
                <w:sz w:val="20"/>
                <w:szCs w:val="20"/>
                <w:color w:val="auto"/>
              </w:rPr>
            </w:pPr>
            <w:r>
              <w:rPr>
                <w:rFonts w:ascii="Arial" w:cs="Arial" w:eastAsia="Arial" w:hAnsi="Arial"/>
                <w:sz w:val="17"/>
                <w:szCs w:val="17"/>
                <w:color w:val="auto"/>
                <w:w w:val="88"/>
              </w:rPr>
              <w:t>18,240</w:t>
            </w:r>
            <w:r>
              <w:rPr>
                <w:rFonts w:ascii="Arial" w:cs="Arial" w:eastAsia="Arial" w:hAnsi="Arial"/>
                <w:sz w:val="19"/>
                <w:szCs w:val="19"/>
                <w:color w:val="auto"/>
                <w:w w:val="88"/>
                <w:vertAlign w:val="superscript"/>
              </w:rPr>
              <w:t>(24)</w:t>
            </w:r>
          </w:p>
        </w:tc>
        <w:tc>
          <w:tcPr>
            <w:tcW w:w="3780" w:type="dxa"/>
            <w:vAlign w:val="bottom"/>
            <w:tcBorders>
              <w:bottom w:val="single" w:sz="8" w:color="ECF1F5"/>
            </w:tcBorders>
            <w:shd w:val="clear" w:color="auto" w:fill="ECF1F5"/>
          </w:tcPr>
          <w:p>
            <w:pPr>
              <w:jc w:val="right"/>
              <w:ind w:right="2759"/>
              <w:spacing w:after="0"/>
              <w:rPr>
                <w:sz w:val="20"/>
                <w:szCs w:val="20"/>
                <w:color w:val="auto"/>
              </w:rPr>
            </w:pPr>
            <w:r>
              <w:rPr>
                <w:rFonts w:ascii="Arial" w:cs="Arial" w:eastAsia="Arial" w:hAnsi="Arial"/>
                <w:sz w:val="17"/>
                <w:szCs w:val="17"/>
                <w:color w:val="auto"/>
              </w:rPr>
              <w:t>36,480</w:t>
            </w:r>
            <w:r>
              <w:rPr>
                <w:rFonts w:ascii="Arial" w:cs="Arial" w:eastAsia="Arial" w:hAnsi="Arial"/>
                <w:sz w:val="19"/>
                <w:szCs w:val="19"/>
                <w:color w:val="auto"/>
                <w:vertAlign w:val="superscript"/>
              </w:rPr>
              <w:t>(24)</w:t>
            </w:r>
          </w:p>
        </w:tc>
        <w:tc>
          <w:tcPr>
            <w:tcW w:w="1880" w:type="dxa"/>
            <w:vAlign w:val="bottom"/>
            <w:tcBorders>
              <w:bottom w:val="single" w:sz="8" w:color="ECF1F5"/>
            </w:tcBorders>
            <w:shd w:val="clear" w:color="auto" w:fill="ECF1F5"/>
          </w:tcPr>
          <w:p>
            <w:pPr>
              <w:spacing w:after="0"/>
              <w:rPr>
                <w:sz w:val="24"/>
                <w:szCs w:val="24"/>
                <w:color w:val="auto"/>
              </w:rPr>
            </w:pPr>
          </w:p>
        </w:tc>
        <w:tc>
          <w:tcPr>
            <w:tcW w:w="1500" w:type="dxa"/>
            <w:vAlign w:val="bottom"/>
            <w:tcBorders>
              <w:bottom w:val="single" w:sz="8" w:color="ECF1F5"/>
            </w:tcBorders>
            <w:shd w:val="clear" w:color="auto" w:fill="ECF1F5"/>
          </w:tcPr>
          <w:p>
            <w:pPr>
              <w:spacing w:after="0"/>
              <w:rPr>
                <w:sz w:val="24"/>
                <w:szCs w:val="24"/>
                <w:color w:val="auto"/>
              </w:rPr>
            </w:pPr>
          </w:p>
        </w:tc>
        <w:tc>
          <w:tcPr>
            <w:tcW w:w="1400" w:type="dxa"/>
            <w:vAlign w:val="bottom"/>
            <w:tcBorders>
              <w:bottom w:val="single" w:sz="8" w:color="ECF1F5"/>
            </w:tcBorders>
            <w:gridSpan w:val="2"/>
            <w:shd w:val="clear" w:color="auto" w:fill="ECF1F5"/>
          </w:tcPr>
          <w:p>
            <w:pPr>
              <w:jc w:val="right"/>
              <w:ind w:right="2"/>
              <w:spacing w:after="0"/>
              <w:rPr>
                <w:sz w:val="20"/>
                <w:szCs w:val="20"/>
                <w:color w:val="auto"/>
              </w:rPr>
            </w:pPr>
            <w:r>
              <w:rPr>
                <w:rFonts w:ascii="Arial" w:cs="Arial" w:eastAsia="Arial" w:hAnsi="Arial"/>
                <w:sz w:val="17"/>
                <w:szCs w:val="17"/>
                <w:color w:val="auto"/>
              </w:rPr>
              <w:t>1,679,721</w:t>
            </w:r>
            <w:r>
              <w:rPr>
                <w:rFonts w:ascii="Arial" w:cs="Arial" w:eastAsia="Arial" w:hAnsi="Arial"/>
                <w:sz w:val="19"/>
                <w:szCs w:val="19"/>
                <w:color w:val="auto"/>
                <w:vertAlign w:val="superscript"/>
              </w:rPr>
              <w:t>(24)</w:t>
            </w:r>
          </w:p>
        </w:tc>
      </w:tr>
      <w:tr>
        <w:trPr>
          <w:trHeight w:val="252"/>
        </w:trPr>
        <w:tc>
          <w:tcPr>
            <w:tcW w:w="1740" w:type="dxa"/>
            <w:vAlign w:val="bottom"/>
          </w:tcPr>
          <w:p>
            <w:pPr>
              <w:jc w:val="right"/>
              <w:ind w:right="240"/>
              <w:spacing w:after="0"/>
              <w:rPr>
                <w:sz w:val="20"/>
                <w:szCs w:val="20"/>
                <w:color w:val="auto"/>
              </w:rPr>
            </w:pPr>
            <w:r>
              <w:rPr>
                <w:rFonts w:ascii="Arial" w:cs="Arial" w:eastAsia="Arial" w:hAnsi="Arial"/>
                <w:sz w:val="17"/>
                <w:szCs w:val="17"/>
                <w:color w:val="auto"/>
              </w:rPr>
              <w:t>33,377</w:t>
            </w:r>
            <w:r>
              <w:rPr>
                <w:rFonts w:ascii="Arial" w:cs="Arial" w:eastAsia="Arial" w:hAnsi="Arial"/>
                <w:sz w:val="19"/>
                <w:szCs w:val="19"/>
                <w:color w:val="auto"/>
                <w:vertAlign w:val="superscript"/>
              </w:rPr>
              <w:t>(25)</w:t>
            </w:r>
          </w:p>
        </w:tc>
        <w:tc>
          <w:tcPr>
            <w:tcW w:w="960" w:type="dxa"/>
            <w:vAlign w:val="bottom"/>
          </w:tcPr>
          <w:p>
            <w:pPr>
              <w:jc w:val="right"/>
              <w:ind w:right="200"/>
              <w:spacing w:after="0"/>
              <w:rPr>
                <w:sz w:val="20"/>
                <w:szCs w:val="20"/>
                <w:color w:val="auto"/>
              </w:rPr>
            </w:pPr>
            <w:r>
              <w:rPr>
                <w:rFonts w:ascii="Arial" w:cs="Arial" w:eastAsia="Arial" w:hAnsi="Arial"/>
                <w:sz w:val="17"/>
                <w:szCs w:val="17"/>
                <w:color w:val="auto"/>
                <w:w w:val="88"/>
              </w:rPr>
              <w:t>39,627</w:t>
            </w:r>
            <w:r>
              <w:rPr>
                <w:rFonts w:ascii="Arial" w:cs="Arial" w:eastAsia="Arial" w:hAnsi="Arial"/>
                <w:sz w:val="19"/>
                <w:szCs w:val="19"/>
                <w:color w:val="auto"/>
                <w:w w:val="88"/>
                <w:vertAlign w:val="superscript"/>
              </w:rPr>
              <w:t>(25)</w:t>
            </w:r>
          </w:p>
        </w:tc>
        <w:tc>
          <w:tcPr>
            <w:tcW w:w="3780" w:type="dxa"/>
            <w:vAlign w:val="bottom"/>
          </w:tcPr>
          <w:p>
            <w:pPr>
              <w:jc w:val="right"/>
              <w:ind w:right="2759"/>
              <w:spacing w:after="0"/>
              <w:rPr>
                <w:sz w:val="20"/>
                <w:szCs w:val="20"/>
                <w:color w:val="auto"/>
              </w:rPr>
            </w:pPr>
            <w:r>
              <w:rPr>
                <w:rFonts w:ascii="Arial" w:cs="Arial" w:eastAsia="Arial" w:hAnsi="Arial"/>
                <w:sz w:val="17"/>
                <w:szCs w:val="17"/>
                <w:color w:val="auto"/>
              </w:rPr>
              <w:t>49,084</w:t>
            </w:r>
            <w:r>
              <w:rPr>
                <w:rFonts w:ascii="Arial" w:cs="Arial" w:eastAsia="Arial" w:hAnsi="Arial"/>
                <w:sz w:val="19"/>
                <w:szCs w:val="19"/>
                <w:color w:val="auto"/>
                <w:vertAlign w:val="superscript"/>
              </w:rPr>
              <w:t>(25)</w:t>
            </w:r>
          </w:p>
        </w:tc>
        <w:tc>
          <w:tcPr>
            <w:tcW w:w="18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0" w:type="dxa"/>
            <w:vAlign w:val="bottom"/>
            <w:gridSpan w:val="2"/>
          </w:tcPr>
          <w:p>
            <w:pPr>
              <w:jc w:val="right"/>
              <w:ind w:right="2"/>
              <w:spacing w:after="0"/>
              <w:rPr>
                <w:sz w:val="20"/>
                <w:szCs w:val="20"/>
                <w:color w:val="auto"/>
              </w:rPr>
            </w:pPr>
            <w:r>
              <w:rPr>
                <w:rFonts w:ascii="Arial" w:cs="Arial" w:eastAsia="Arial" w:hAnsi="Arial"/>
                <w:sz w:val="17"/>
                <w:szCs w:val="17"/>
                <w:color w:val="auto"/>
              </w:rPr>
              <w:t>3,572,512</w:t>
            </w:r>
            <w:r>
              <w:rPr>
                <w:rFonts w:ascii="Arial" w:cs="Arial" w:eastAsia="Arial" w:hAnsi="Arial"/>
                <w:sz w:val="19"/>
                <w:szCs w:val="19"/>
                <w:color w:val="auto"/>
                <w:vertAlign w:val="superscript"/>
              </w:rPr>
              <w:t>(25)</w:t>
            </w:r>
          </w:p>
        </w:tc>
      </w:tr>
      <w:tr>
        <w:trPr>
          <w:trHeight w:val="21"/>
        </w:trPr>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277"/>
        </w:trPr>
        <w:tc>
          <w:tcPr>
            <w:tcW w:w="1740" w:type="dxa"/>
            <w:vAlign w:val="bottom"/>
            <w:tcBorders>
              <w:bottom w:val="single" w:sz="8" w:color="ECF1F5"/>
            </w:tcBorders>
            <w:shd w:val="clear" w:color="auto" w:fill="ECF1F5"/>
          </w:tcPr>
          <w:p>
            <w:pPr>
              <w:jc w:val="right"/>
              <w:ind w:right="40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ECF1F5"/>
            </w:tcBorders>
            <w:shd w:val="clear" w:color="auto" w:fill="ECF1F5"/>
          </w:tcPr>
          <w:p>
            <w:pPr>
              <w:jc w:val="right"/>
              <w:ind w:right="200"/>
              <w:spacing w:after="0"/>
              <w:rPr>
                <w:sz w:val="20"/>
                <w:szCs w:val="20"/>
                <w:color w:val="auto"/>
              </w:rPr>
            </w:pPr>
            <w:r>
              <w:rPr>
                <w:rFonts w:ascii="Arial" w:cs="Arial" w:eastAsia="Arial" w:hAnsi="Arial"/>
                <w:sz w:val="17"/>
                <w:szCs w:val="17"/>
                <w:color w:val="auto"/>
                <w:w w:val="88"/>
              </w:rPr>
              <w:t>68,939</w:t>
            </w:r>
            <w:r>
              <w:rPr>
                <w:rFonts w:ascii="Arial" w:cs="Arial" w:eastAsia="Arial" w:hAnsi="Arial"/>
                <w:sz w:val="19"/>
                <w:szCs w:val="19"/>
                <w:color w:val="auto"/>
                <w:w w:val="88"/>
                <w:vertAlign w:val="superscript"/>
              </w:rPr>
              <w:t>(26)</w:t>
            </w:r>
          </w:p>
        </w:tc>
        <w:tc>
          <w:tcPr>
            <w:tcW w:w="3780" w:type="dxa"/>
            <w:vAlign w:val="bottom"/>
            <w:tcBorders>
              <w:bottom w:val="single" w:sz="8" w:color="ECF1F5"/>
            </w:tcBorders>
            <w:shd w:val="clear" w:color="auto" w:fill="ECF1F5"/>
          </w:tcPr>
          <w:p>
            <w:pPr>
              <w:jc w:val="right"/>
              <w:ind w:right="2919"/>
              <w:spacing w:after="0"/>
              <w:rPr>
                <w:sz w:val="20"/>
                <w:szCs w:val="20"/>
                <w:color w:val="auto"/>
              </w:rPr>
            </w:pPr>
            <w:r>
              <w:rPr>
                <w:rFonts w:ascii="Arial" w:cs="Arial" w:eastAsia="Arial" w:hAnsi="Arial"/>
                <w:sz w:val="17"/>
                <w:szCs w:val="17"/>
                <w:color w:val="auto"/>
              </w:rPr>
              <w:t>—</w:t>
            </w:r>
          </w:p>
        </w:tc>
        <w:tc>
          <w:tcPr>
            <w:tcW w:w="1880" w:type="dxa"/>
            <w:vAlign w:val="bottom"/>
            <w:tcBorders>
              <w:bottom w:val="single" w:sz="8" w:color="ECF1F5"/>
            </w:tcBorders>
            <w:shd w:val="clear" w:color="auto" w:fill="ECF1F5"/>
          </w:tcPr>
          <w:p>
            <w:pPr>
              <w:spacing w:after="0"/>
              <w:rPr>
                <w:sz w:val="24"/>
                <w:szCs w:val="24"/>
                <w:color w:val="auto"/>
              </w:rPr>
            </w:pPr>
          </w:p>
        </w:tc>
        <w:tc>
          <w:tcPr>
            <w:tcW w:w="1500" w:type="dxa"/>
            <w:vAlign w:val="bottom"/>
            <w:tcBorders>
              <w:bottom w:val="single" w:sz="8" w:color="ECF1F5"/>
            </w:tcBorders>
            <w:shd w:val="clear" w:color="auto" w:fill="ECF1F5"/>
          </w:tcPr>
          <w:p>
            <w:pPr>
              <w:jc w:val="right"/>
              <w:ind w:right="357"/>
              <w:spacing w:after="0"/>
              <w:rPr>
                <w:sz w:val="20"/>
                <w:szCs w:val="20"/>
                <w:color w:val="auto"/>
              </w:rPr>
            </w:pPr>
            <w:r>
              <w:rPr>
                <w:rFonts w:ascii="Arial" w:cs="Arial" w:eastAsia="Arial" w:hAnsi="Arial"/>
                <w:sz w:val="17"/>
                <w:szCs w:val="17"/>
                <w:color w:val="auto"/>
              </w:rPr>
              <w:t>73.10</w:t>
            </w:r>
            <w:r>
              <w:rPr>
                <w:rFonts w:ascii="Arial" w:cs="Arial" w:eastAsia="Arial" w:hAnsi="Arial"/>
                <w:sz w:val="19"/>
                <w:szCs w:val="19"/>
                <w:color w:val="auto"/>
                <w:vertAlign w:val="superscript"/>
              </w:rPr>
              <w:t>(27)</w:t>
            </w:r>
          </w:p>
        </w:tc>
        <w:tc>
          <w:tcPr>
            <w:tcW w:w="1400" w:type="dxa"/>
            <w:vAlign w:val="bottom"/>
            <w:tcBorders>
              <w:bottom w:val="single" w:sz="8" w:color="ECF1F5"/>
            </w:tcBorders>
            <w:gridSpan w:val="2"/>
            <w:shd w:val="clear" w:color="auto" w:fill="ECF1F5"/>
          </w:tcPr>
          <w:p>
            <w:pPr>
              <w:jc w:val="right"/>
              <w:ind w:right="2"/>
              <w:spacing w:after="0"/>
              <w:rPr>
                <w:sz w:val="20"/>
                <w:szCs w:val="20"/>
                <w:color w:val="auto"/>
              </w:rPr>
            </w:pPr>
            <w:r>
              <w:rPr>
                <w:rFonts w:ascii="Arial" w:cs="Arial" w:eastAsia="Arial" w:hAnsi="Arial"/>
                <w:sz w:val="17"/>
                <w:szCs w:val="17"/>
                <w:color w:val="auto"/>
              </w:rPr>
              <w:t>2,444,577</w:t>
            </w:r>
            <w:r>
              <w:rPr>
                <w:rFonts w:ascii="Arial" w:cs="Arial" w:eastAsia="Arial" w:hAnsi="Arial"/>
                <w:sz w:val="19"/>
                <w:szCs w:val="19"/>
                <w:color w:val="auto"/>
                <w:vertAlign w:val="superscript"/>
              </w:rPr>
              <w:t>(27)</w:t>
            </w:r>
          </w:p>
        </w:tc>
      </w:tr>
      <w:tr>
        <w:trPr>
          <w:trHeight w:val="265"/>
        </w:trPr>
        <w:tc>
          <w:tcPr>
            <w:tcW w:w="1740" w:type="dxa"/>
            <w:vAlign w:val="bottom"/>
            <w:tcBorders>
              <w:bottom w:val="single" w:sz="8" w:color="125288"/>
            </w:tcBorders>
          </w:tcPr>
          <w:p>
            <w:pPr>
              <w:jc w:val="right"/>
              <w:ind w:right="240"/>
              <w:spacing w:after="0" w:line="261"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9"/>
                <w:szCs w:val="9"/>
                <w:color w:val="auto"/>
              </w:rPr>
              <w:t>(28)</w:t>
            </w:r>
          </w:p>
        </w:tc>
        <w:tc>
          <w:tcPr>
            <w:tcW w:w="960" w:type="dxa"/>
            <w:vAlign w:val="bottom"/>
            <w:tcBorders>
              <w:bottom w:val="single" w:sz="8" w:color="125288"/>
            </w:tcBorders>
          </w:tcPr>
          <w:p>
            <w:pPr>
              <w:jc w:val="right"/>
              <w:ind w:right="200"/>
              <w:spacing w:after="0" w:line="261"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9"/>
                <w:szCs w:val="9"/>
                <w:color w:val="auto"/>
              </w:rPr>
              <w:t>(28)</w:t>
            </w:r>
          </w:p>
        </w:tc>
        <w:tc>
          <w:tcPr>
            <w:tcW w:w="3780" w:type="dxa"/>
            <w:vAlign w:val="bottom"/>
            <w:tcBorders>
              <w:bottom w:val="single" w:sz="8" w:color="125288"/>
            </w:tcBorders>
          </w:tcPr>
          <w:p>
            <w:pPr>
              <w:jc w:val="right"/>
              <w:ind w:right="2759"/>
              <w:spacing w:after="0" w:line="261"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9"/>
                <w:szCs w:val="9"/>
                <w:color w:val="auto"/>
              </w:rPr>
              <w:t>(28)</w:t>
            </w:r>
          </w:p>
        </w:tc>
        <w:tc>
          <w:tcPr>
            <w:tcW w:w="1880" w:type="dxa"/>
            <w:vAlign w:val="bottom"/>
            <w:tcBorders>
              <w:bottom w:val="single" w:sz="8" w:color="125288"/>
            </w:tcBorders>
          </w:tcPr>
          <w:p>
            <w:pPr>
              <w:spacing w:after="0"/>
              <w:rPr>
                <w:sz w:val="23"/>
                <w:szCs w:val="23"/>
                <w:color w:val="auto"/>
              </w:rPr>
            </w:pPr>
          </w:p>
        </w:tc>
        <w:tc>
          <w:tcPr>
            <w:tcW w:w="1500" w:type="dxa"/>
            <w:vAlign w:val="bottom"/>
            <w:tcBorders>
              <w:bottom w:val="single" w:sz="8" w:color="125288"/>
            </w:tcBorders>
          </w:tcPr>
          <w:p>
            <w:pPr>
              <w:spacing w:after="0"/>
              <w:rPr>
                <w:sz w:val="23"/>
                <w:szCs w:val="23"/>
                <w:color w:val="auto"/>
              </w:rPr>
            </w:pPr>
          </w:p>
        </w:tc>
        <w:tc>
          <w:tcPr>
            <w:tcW w:w="980" w:type="dxa"/>
            <w:vAlign w:val="bottom"/>
            <w:tcBorders>
              <w:bottom w:val="single" w:sz="8" w:color="125288"/>
            </w:tcBorders>
          </w:tcPr>
          <w:p>
            <w:pPr>
              <w:spacing w:after="0"/>
              <w:rPr>
                <w:sz w:val="23"/>
                <w:szCs w:val="23"/>
                <w:color w:val="auto"/>
              </w:rPr>
            </w:pPr>
          </w:p>
        </w:tc>
        <w:tc>
          <w:tcPr>
            <w:tcW w:w="420" w:type="dxa"/>
            <w:vAlign w:val="bottom"/>
            <w:tcBorders>
              <w:bottom w:val="single" w:sz="8" w:color="125288"/>
            </w:tcBorders>
          </w:tcPr>
          <w:p>
            <w:pPr>
              <w:jc w:val="right"/>
              <w:ind w:right="2"/>
              <w:spacing w:after="0" w:line="261" w:lineRule="exact"/>
              <w:rPr>
                <w:sz w:val="20"/>
                <w:szCs w:val="20"/>
                <w:color w:val="auto"/>
              </w:rPr>
            </w:pPr>
            <w:r>
              <w:rPr>
                <w:rFonts w:ascii="Arial" w:cs="Arial" w:eastAsia="Arial" w:hAnsi="Arial"/>
                <w:sz w:val="30"/>
                <w:szCs w:val="30"/>
                <w:color w:val="auto"/>
                <w:w w:val="94"/>
                <w:vertAlign w:val="subscript"/>
              </w:rPr>
              <w:t>—</w:t>
            </w:r>
            <w:r>
              <w:rPr>
                <w:rFonts w:ascii="Arial" w:cs="Arial" w:eastAsia="Arial" w:hAnsi="Arial"/>
                <w:sz w:val="9"/>
                <w:szCs w:val="9"/>
                <w:color w:val="auto"/>
                <w:w w:val="94"/>
              </w:rPr>
              <w:t>(28)</w:t>
            </w:r>
          </w:p>
        </w:tc>
      </w:tr>
      <w:tr>
        <w:trPr>
          <w:trHeight w:val="285"/>
        </w:trPr>
        <w:tc>
          <w:tcPr>
            <w:tcW w:w="1740" w:type="dxa"/>
            <w:vAlign w:val="bottom"/>
            <w:shd w:val="clear" w:color="auto" w:fill="ECF1F5"/>
          </w:tcPr>
          <w:p>
            <w:pPr>
              <w:spacing w:after="0"/>
              <w:rPr>
                <w:sz w:val="24"/>
                <w:szCs w:val="24"/>
                <w:color w:val="auto"/>
              </w:rPr>
            </w:pPr>
          </w:p>
        </w:tc>
        <w:tc>
          <w:tcPr>
            <w:tcW w:w="960" w:type="dxa"/>
            <w:vAlign w:val="bottom"/>
            <w:shd w:val="clear" w:color="auto" w:fill="ECF1F5"/>
          </w:tcPr>
          <w:p>
            <w:pPr>
              <w:spacing w:after="0"/>
              <w:rPr>
                <w:sz w:val="24"/>
                <w:szCs w:val="24"/>
                <w:color w:val="auto"/>
              </w:rPr>
            </w:pPr>
          </w:p>
        </w:tc>
        <w:tc>
          <w:tcPr>
            <w:tcW w:w="3780" w:type="dxa"/>
            <w:vAlign w:val="bottom"/>
            <w:shd w:val="clear" w:color="auto" w:fill="ECF1F5"/>
          </w:tcPr>
          <w:p>
            <w:pPr>
              <w:spacing w:after="0"/>
              <w:rPr>
                <w:sz w:val="24"/>
                <w:szCs w:val="24"/>
                <w:color w:val="auto"/>
              </w:rPr>
            </w:pPr>
          </w:p>
        </w:tc>
        <w:tc>
          <w:tcPr>
            <w:tcW w:w="1880" w:type="dxa"/>
            <w:vAlign w:val="bottom"/>
            <w:shd w:val="clear" w:color="auto" w:fill="ECF1F5"/>
          </w:tcPr>
          <w:p>
            <w:pPr>
              <w:spacing w:after="0"/>
              <w:rPr>
                <w:sz w:val="24"/>
                <w:szCs w:val="24"/>
                <w:color w:val="auto"/>
              </w:rPr>
            </w:pPr>
          </w:p>
        </w:tc>
        <w:tc>
          <w:tcPr>
            <w:tcW w:w="1500" w:type="dxa"/>
            <w:vAlign w:val="bottom"/>
            <w:shd w:val="clear" w:color="auto" w:fill="ECF1F5"/>
          </w:tcPr>
          <w:p>
            <w:pPr>
              <w:spacing w:after="0"/>
              <w:rPr>
                <w:sz w:val="24"/>
                <w:szCs w:val="24"/>
                <w:color w:val="auto"/>
              </w:rPr>
            </w:pPr>
          </w:p>
        </w:tc>
        <w:tc>
          <w:tcPr>
            <w:tcW w:w="1400" w:type="dxa"/>
            <w:vAlign w:val="bottom"/>
            <w:gridSpan w:val="2"/>
            <w:shd w:val="clear" w:color="auto" w:fill="ECF1F5"/>
          </w:tcPr>
          <w:p>
            <w:pPr>
              <w:spacing w:after="0"/>
              <w:rPr>
                <w:sz w:val="24"/>
                <w:szCs w:val="24"/>
                <w:color w:val="auto"/>
              </w:rPr>
            </w:pPr>
          </w:p>
        </w:tc>
      </w:tr>
      <w:tr>
        <w:trPr>
          <w:trHeight w:val="252"/>
        </w:trPr>
        <w:tc>
          <w:tcPr>
            <w:tcW w:w="1740" w:type="dxa"/>
            <w:vAlign w:val="bottom"/>
          </w:tcPr>
          <w:p>
            <w:pPr>
              <w:jc w:val="right"/>
              <w:ind w:right="40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200"/>
              <w:spacing w:after="0"/>
              <w:rPr>
                <w:sz w:val="20"/>
                <w:szCs w:val="20"/>
                <w:color w:val="auto"/>
              </w:rPr>
            </w:pPr>
            <w:r>
              <w:rPr>
                <w:rFonts w:ascii="Arial" w:cs="Arial" w:eastAsia="Arial" w:hAnsi="Arial"/>
                <w:sz w:val="17"/>
                <w:szCs w:val="17"/>
                <w:color w:val="auto"/>
              </w:rPr>
              <w:t>7,207</w:t>
            </w:r>
            <w:r>
              <w:rPr>
                <w:rFonts w:ascii="Arial" w:cs="Arial" w:eastAsia="Arial" w:hAnsi="Arial"/>
                <w:sz w:val="19"/>
                <w:szCs w:val="19"/>
                <w:color w:val="auto"/>
                <w:vertAlign w:val="superscript"/>
              </w:rPr>
              <w:t>(29)</w:t>
            </w:r>
          </w:p>
        </w:tc>
        <w:tc>
          <w:tcPr>
            <w:tcW w:w="3780" w:type="dxa"/>
            <w:vAlign w:val="bottom"/>
          </w:tcPr>
          <w:p>
            <w:pPr>
              <w:jc w:val="right"/>
              <w:ind w:right="2919"/>
              <w:spacing w:after="0"/>
              <w:rPr>
                <w:sz w:val="20"/>
                <w:szCs w:val="20"/>
                <w:color w:val="auto"/>
              </w:rPr>
            </w:pPr>
            <w:r>
              <w:rPr>
                <w:rFonts w:ascii="Arial" w:cs="Arial" w:eastAsia="Arial" w:hAnsi="Arial"/>
                <w:sz w:val="17"/>
                <w:szCs w:val="17"/>
                <w:color w:val="auto"/>
              </w:rPr>
              <w:t>—</w:t>
            </w:r>
          </w:p>
        </w:tc>
        <w:tc>
          <w:tcPr>
            <w:tcW w:w="18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0" w:type="dxa"/>
            <w:vAlign w:val="bottom"/>
            <w:gridSpan w:val="2"/>
          </w:tcPr>
          <w:p>
            <w:pPr>
              <w:jc w:val="right"/>
              <w:ind w:right="2"/>
              <w:spacing w:after="0"/>
              <w:rPr>
                <w:sz w:val="20"/>
                <w:szCs w:val="20"/>
                <w:color w:val="auto"/>
              </w:rPr>
            </w:pPr>
            <w:r>
              <w:rPr>
                <w:rFonts w:ascii="Arial" w:cs="Arial" w:eastAsia="Arial" w:hAnsi="Arial"/>
                <w:sz w:val="17"/>
                <w:szCs w:val="17"/>
                <w:color w:val="auto"/>
              </w:rPr>
              <w:t>296,115</w:t>
            </w:r>
            <w:r>
              <w:rPr>
                <w:rFonts w:ascii="Arial" w:cs="Arial" w:eastAsia="Arial" w:hAnsi="Arial"/>
                <w:sz w:val="19"/>
                <w:szCs w:val="19"/>
                <w:color w:val="auto"/>
                <w:vertAlign w:val="superscript"/>
              </w:rPr>
              <w:t>(29)</w:t>
            </w:r>
          </w:p>
        </w:tc>
      </w:tr>
      <w:tr>
        <w:trPr>
          <w:trHeight w:val="21"/>
        </w:trPr>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277"/>
        </w:trPr>
        <w:tc>
          <w:tcPr>
            <w:tcW w:w="1740" w:type="dxa"/>
            <w:vAlign w:val="bottom"/>
            <w:tcBorders>
              <w:bottom w:val="single" w:sz="8" w:color="ECF1F5"/>
            </w:tcBorders>
            <w:shd w:val="clear" w:color="auto" w:fill="ECF1F5"/>
          </w:tcPr>
          <w:p>
            <w:pPr>
              <w:jc w:val="right"/>
              <w:ind w:right="240"/>
              <w:spacing w:after="0"/>
              <w:rPr>
                <w:sz w:val="20"/>
                <w:szCs w:val="20"/>
                <w:color w:val="auto"/>
              </w:rPr>
            </w:pPr>
            <w:r>
              <w:rPr>
                <w:rFonts w:ascii="Arial" w:cs="Arial" w:eastAsia="Arial" w:hAnsi="Arial"/>
                <w:sz w:val="17"/>
                <w:szCs w:val="17"/>
                <w:color w:val="auto"/>
              </w:rPr>
              <w:t>8,108</w:t>
            </w:r>
            <w:r>
              <w:rPr>
                <w:rFonts w:ascii="Arial" w:cs="Arial" w:eastAsia="Arial" w:hAnsi="Arial"/>
                <w:sz w:val="19"/>
                <w:szCs w:val="19"/>
                <w:color w:val="auto"/>
                <w:vertAlign w:val="superscript"/>
              </w:rPr>
              <w:t>(30)</w:t>
            </w:r>
          </w:p>
        </w:tc>
        <w:tc>
          <w:tcPr>
            <w:tcW w:w="960" w:type="dxa"/>
            <w:vAlign w:val="bottom"/>
            <w:tcBorders>
              <w:bottom w:val="single" w:sz="8" w:color="ECF1F5"/>
            </w:tcBorders>
            <w:shd w:val="clear" w:color="auto" w:fill="ECF1F5"/>
          </w:tcPr>
          <w:p>
            <w:pPr>
              <w:jc w:val="right"/>
              <w:ind w:right="200"/>
              <w:spacing w:after="0"/>
              <w:rPr>
                <w:sz w:val="20"/>
                <w:szCs w:val="20"/>
                <w:color w:val="auto"/>
              </w:rPr>
            </w:pPr>
            <w:r>
              <w:rPr>
                <w:rFonts w:ascii="Arial" w:cs="Arial" w:eastAsia="Arial" w:hAnsi="Arial"/>
                <w:sz w:val="17"/>
                <w:szCs w:val="17"/>
                <w:color w:val="auto"/>
              </w:rPr>
              <w:t>9,009</w:t>
            </w:r>
            <w:r>
              <w:rPr>
                <w:rFonts w:ascii="Arial" w:cs="Arial" w:eastAsia="Arial" w:hAnsi="Arial"/>
                <w:sz w:val="19"/>
                <w:szCs w:val="19"/>
                <w:color w:val="auto"/>
                <w:vertAlign w:val="superscript"/>
              </w:rPr>
              <w:t>(30)</w:t>
            </w:r>
          </w:p>
        </w:tc>
        <w:tc>
          <w:tcPr>
            <w:tcW w:w="3780" w:type="dxa"/>
            <w:vAlign w:val="bottom"/>
            <w:tcBorders>
              <w:bottom w:val="single" w:sz="8" w:color="ECF1F5"/>
            </w:tcBorders>
            <w:shd w:val="clear" w:color="auto" w:fill="ECF1F5"/>
          </w:tcPr>
          <w:p>
            <w:pPr>
              <w:jc w:val="right"/>
              <w:ind w:right="2759"/>
              <w:spacing w:after="0"/>
              <w:rPr>
                <w:sz w:val="20"/>
                <w:szCs w:val="20"/>
                <w:color w:val="auto"/>
              </w:rPr>
            </w:pPr>
            <w:r>
              <w:rPr>
                <w:rFonts w:ascii="Arial" w:cs="Arial" w:eastAsia="Arial" w:hAnsi="Arial"/>
                <w:sz w:val="17"/>
                <w:szCs w:val="17"/>
                <w:color w:val="auto"/>
              </w:rPr>
              <w:t>18,018</w:t>
            </w:r>
            <w:r>
              <w:rPr>
                <w:rFonts w:ascii="Arial" w:cs="Arial" w:eastAsia="Arial" w:hAnsi="Arial"/>
                <w:sz w:val="19"/>
                <w:szCs w:val="19"/>
                <w:color w:val="auto"/>
                <w:vertAlign w:val="superscript"/>
              </w:rPr>
              <w:t>(30)</w:t>
            </w:r>
          </w:p>
        </w:tc>
        <w:tc>
          <w:tcPr>
            <w:tcW w:w="1880" w:type="dxa"/>
            <w:vAlign w:val="bottom"/>
            <w:tcBorders>
              <w:bottom w:val="single" w:sz="8" w:color="ECF1F5"/>
            </w:tcBorders>
            <w:shd w:val="clear" w:color="auto" w:fill="ECF1F5"/>
          </w:tcPr>
          <w:p>
            <w:pPr>
              <w:spacing w:after="0"/>
              <w:rPr>
                <w:sz w:val="24"/>
                <w:szCs w:val="24"/>
                <w:color w:val="auto"/>
              </w:rPr>
            </w:pPr>
          </w:p>
        </w:tc>
        <w:tc>
          <w:tcPr>
            <w:tcW w:w="1500" w:type="dxa"/>
            <w:vAlign w:val="bottom"/>
            <w:tcBorders>
              <w:bottom w:val="single" w:sz="8" w:color="ECF1F5"/>
            </w:tcBorders>
            <w:shd w:val="clear" w:color="auto" w:fill="ECF1F5"/>
          </w:tcPr>
          <w:p>
            <w:pPr>
              <w:spacing w:after="0"/>
              <w:rPr>
                <w:sz w:val="24"/>
                <w:szCs w:val="24"/>
                <w:color w:val="auto"/>
              </w:rPr>
            </w:pPr>
          </w:p>
        </w:tc>
        <w:tc>
          <w:tcPr>
            <w:tcW w:w="1400" w:type="dxa"/>
            <w:vAlign w:val="bottom"/>
            <w:tcBorders>
              <w:bottom w:val="single" w:sz="8" w:color="ECF1F5"/>
            </w:tcBorders>
            <w:gridSpan w:val="2"/>
            <w:shd w:val="clear" w:color="auto" w:fill="ECF1F5"/>
          </w:tcPr>
          <w:p>
            <w:pPr>
              <w:jc w:val="right"/>
              <w:ind w:right="2"/>
              <w:spacing w:after="0"/>
              <w:rPr>
                <w:sz w:val="20"/>
                <w:szCs w:val="20"/>
                <w:color w:val="auto"/>
              </w:rPr>
            </w:pPr>
            <w:r>
              <w:rPr>
                <w:rFonts w:ascii="Arial" w:cs="Arial" w:eastAsia="Arial" w:hAnsi="Arial"/>
                <w:sz w:val="17"/>
                <w:szCs w:val="17"/>
                <w:color w:val="auto"/>
              </w:rPr>
              <w:t>829,639</w:t>
            </w:r>
            <w:r>
              <w:rPr>
                <w:rFonts w:ascii="Arial" w:cs="Arial" w:eastAsia="Arial" w:hAnsi="Arial"/>
                <w:sz w:val="19"/>
                <w:szCs w:val="19"/>
                <w:color w:val="auto"/>
                <w:vertAlign w:val="superscript"/>
              </w:rPr>
              <w:t>(30)</w:t>
            </w:r>
          </w:p>
        </w:tc>
      </w:tr>
      <w:tr>
        <w:trPr>
          <w:trHeight w:val="252"/>
        </w:trPr>
        <w:tc>
          <w:tcPr>
            <w:tcW w:w="1740" w:type="dxa"/>
            <w:vAlign w:val="bottom"/>
          </w:tcPr>
          <w:p>
            <w:pPr>
              <w:jc w:val="right"/>
              <w:ind w:right="40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200"/>
              <w:spacing w:after="0"/>
              <w:rPr>
                <w:sz w:val="20"/>
                <w:szCs w:val="20"/>
                <w:color w:val="auto"/>
              </w:rPr>
            </w:pPr>
            <w:r>
              <w:rPr>
                <w:rFonts w:ascii="Arial" w:cs="Arial" w:eastAsia="Arial" w:hAnsi="Arial"/>
                <w:sz w:val="17"/>
                <w:szCs w:val="17"/>
                <w:color w:val="auto"/>
              </w:rPr>
              <w:t>3,604</w:t>
            </w:r>
            <w:r>
              <w:rPr>
                <w:rFonts w:ascii="Arial" w:cs="Arial" w:eastAsia="Arial" w:hAnsi="Arial"/>
                <w:sz w:val="19"/>
                <w:szCs w:val="19"/>
                <w:color w:val="auto"/>
                <w:vertAlign w:val="superscript"/>
              </w:rPr>
              <w:t>(31)</w:t>
            </w:r>
          </w:p>
        </w:tc>
        <w:tc>
          <w:tcPr>
            <w:tcW w:w="3780" w:type="dxa"/>
            <w:vAlign w:val="bottom"/>
          </w:tcPr>
          <w:p>
            <w:pPr>
              <w:jc w:val="right"/>
              <w:ind w:right="2759"/>
              <w:spacing w:after="0"/>
              <w:rPr>
                <w:sz w:val="20"/>
                <w:szCs w:val="20"/>
                <w:color w:val="auto"/>
              </w:rPr>
            </w:pPr>
            <w:r>
              <w:rPr>
                <w:rFonts w:ascii="Arial" w:cs="Arial" w:eastAsia="Arial" w:hAnsi="Arial"/>
                <w:sz w:val="17"/>
                <w:szCs w:val="17"/>
                <w:color w:val="auto"/>
              </w:rPr>
              <w:t>7,208</w:t>
            </w:r>
            <w:r>
              <w:rPr>
                <w:rFonts w:ascii="Arial" w:cs="Arial" w:eastAsia="Arial" w:hAnsi="Arial"/>
                <w:sz w:val="19"/>
                <w:szCs w:val="19"/>
                <w:color w:val="auto"/>
                <w:vertAlign w:val="superscript"/>
              </w:rPr>
              <w:t>(31)</w:t>
            </w:r>
          </w:p>
        </w:tc>
        <w:tc>
          <w:tcPr>
            <w:tcW w:w="18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0" w:type="dxa"/>
            <w:vAlign w:val="bottom"/>
            <w:gridSpan w:val="2"/>
          </w:tcPr>
          <w:p>
            <w:pPr>
              <w:jc w:val="right"/>
              <w:ind w:right="2"/>
              <w:spacing w:after="0"/>
              <w:rPr>
                <w:sz w:val="20"/>
                <w:szCs w:val="20"/>
                <w:color w:val="auto"/>
              </w:rPr>
            </w:pPr>
            <w:r>
              <w:rPr>
                <w:rFonts w:ascii="Arial" w:cs="Arial" w:eastAsia="Arial" w:hAnsi="Arial"/>
                <w:sz w:val="17"/>
                <w:szCs w:val="17"/>
                <w:color w:val="auto"/>
              </w:rPr>
              <w:t>331,892</w:t>
            </w:r>
            <w:r>
              <w:rPr>
                <w:rFonts w:ascii="Arial" w:cs="Arial" w:eastAsia="Arial" w:hAnsi="Arial"/>
                <w:sz w:val="19"/>
                <w:szCs w:val="19"/>
                <w:color w:val="auto"/>
                <w:vertAlign w:val="superscript"/>
              </w:rPr>
              <w:t>(31)</w:t>
            </w:r>
          </w:p>
        </w:tc>
      </w:tr>
      <w:tr>
        <w:trPr>
          <w:trHeight w:val="21"/>
        </w:trPr>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277"/>
        </w:trPr>
        <w:tc>
          <w:tcPr>
            <w:tcW w:w="1740" w:type="dxa"/>
            <w:vAlign w:val="bottom"/>
            <w:tcBorders>
              <w:bottom w:val="single" w:sz="8" w:color="ECF1F5"/>
            </w:tcBorders>
            <w:shd w:val="clear" w:color="auto" w:fill="ECF1F5"/>
          </w:tcPr>
          <w:p>
            <w:pPr>
              <w:jc w:val="right"/>
              <w:ind w:right="240"/>
              <w:spacing w:after="0"/>
              <w:rPr>
                <w:sz w:val="20"/>
                <w:szCs w:val="20"/>
                <w:color w:val="auto"/>
              </w:rPr>
            </w:pPr>
            <w:r>
              <w:rPr>
                <w:rFonts w:ascii="Arial" w:cs="Arial" w:eastAsia="Arial" w:hAnsi="Arial"/>
                <w:sz w:val="17"/>
                <w:szCs w:val="17"/>
                <w:color w:val="auto"/>
              </w:rPr>
              <w:t>9,730</w:t>
            </w:r>
            <w:r>
              <w:rPr>
                <w:rFonts w:ascii="Arial" w:cs="Arial" w:eastAsia="Arial" w:hAnsi="Arial"/>
                <w:sz w:val="19"/>
                <w:szCs w:val="19"/>
                <w:color w:val="auto"/>
                <w:vertAlign w:val="superscript"/>
              </w:rPr>
              <w:t>(32)</w:t>
            </w:r>
          </w:p>
        </w:tc>
        <w:tc>
          <w:tcPr>
            <w:tcW w:w="960" w:type="dxa"/>
            <w:vAlign w:val="bottom"/>
            <w:tcBorders>
              <w:bottom w:val="single" w:sz="8" w:color="ECF1F5"/>
            </w:tcBorders>
            <w:shd w:val="clear" w:color="auto" w:fill="ECF1F5"/>
          </w:tcPr>
          <w:p>
            <w:pPr>
              <w:jc w:val="right"/>
              <w:ind w:right="200"/>
              <w:spacing w:after="0"/>
              <w:rPr>
                <w:sz w:val="20"/>
                <w:szCs w:val="20"/>
                <w:color w:val="auto"/>
              </w:rPr>
            </w:pPr>
            <w:r>
              <w:rPr>
                <w:rFonts w:ascii="Arial" w:cs="Arial" w:eastAsia="Arial" w:hAnsi="Arial"/>
                <w:sz w:val="17"/>
                <w:szCs w:val="17"/>
                <w:color w:val="auto"/>
                <w:w w:val="88"/>
              </w:rPr>
              <w:t>10,811</w:t>
            </w:r>
            <w:r>
              <w:rPr>
                <w:rFonts w:ascii="Arial" w:cs="Arial" w:eastAsia="Arial" w:hAnsi="Arial"/>
                <w:sz w:val="19"/>
                <w:szCs w:val="19"/>
                <w:color w:val="auto"/>
                <w:w w:val="88"/>
                <w:vertAlign w:val="superscript"/>
              </w:rPr>
              <w:t>(32)</w:t>
            </w:r>
          </w:p>
        </w:tc>
        <w:tc>
          <w:tcPr>
            <w:tcW w:w="3780" w:type="dxa"/>
            <w:vAlign w:val="bottom"/>
            <w:tcBorders>
              <w:bottom w:val="single" w:sz="8" w:color="ECF1F5"/>
            </w:tcBorders>
            <w:shd w:val="clear" w:color="auto" w:fill="ECF1F5"/>
          </w:tcPr>
          <w:p>
            <w:pPr>
              <w:jc w:val="right"/>
              <w:ind w:right="2759"/>
              <w:spacing w:after="0"/>
              <w:rPr>
                <w:sz w:val="20"/>
                <w:szCs w:val="20"/>
                <w:color w:val="auto"/>
              </w:rPr>
            </w:pPr>
            <w:r>
              <w:rPr>
                <w:rFonts w:ascii="Arial" w:cs="Arial" w:eastAsia="Arial" w:hAnsi="Arial"/>
                <w:sz w:val="17"/>
                <w:szCs w:val="17"/>
                <w:color w:val="auto"/>
              </w:rPr>
              <w:t>13,514</w:t>
            </w:r>
            <w:r>
              <w:rPr>
                <w:rFonts w:ascii="Arial" w:cs="Arial" w:eastAsia="Arial" w:hAnsi="Arial"/>
                <w:sz w:val="19"/>
                <w:szCs w:val="19"/>
                <w:color w:val="auto"/>
                <w:vertAlign w:val="superscript"/>
              </w:rPr>
              <w:t>(32)</w:t>
            </w:r>
          </w:p>
        </w:tc>
        <w:tc>
          <w:tcPr>
            <w:tcW w:w="1880" w:type="dxa"/>
            <w:vAlign w:val="bottom"/>
            <w:tcBorders>
              <w:bottom w:val="single" w:sz="8" w:color="ECF1F5"/>
            </w:tcBorders>
            <w:shd w:val="clear" w:color="auto" w:fill="ECF1F5"/>
          </w:tcPr>
          <w:p>
            <w:pPr>
              <w:spacing w:after="0"/>
              <w:rPr>
                <w:sz w:val="24"/>
                <w:szCs w:val="24"/>
                <w:color w:val="auto"/>
              </w:rPr>
            </w:pPr>
          </w:p>
        </w:tc>
        <w:tc>
          <w:tcPr>
            <w:tcW w:w="1500" w:type="dxa"/>
            <w:vAlign w:val="bottom"/>
            <w:tcBorders>
              <w:bottom w:val="single" w:sz="8" w:color="ECF1F5"/>
            </w:tcBorders>
            <w:shd w:val="clear" w:color="auto" w:fill="ECF1F5"/>
          </w:tcPr>
          <w:p>
            <w:pPr>
              <w:spacing w:after="0"/>
              <w:rPr>
                <w:sz w:val="24"/>
                <w:szCs w:val="24"/>
                <w:color w:val="auto"/>
              </w:rPr>
            </w:pPr>
          </w:p>
        </w:tc>
        <w:tc>
          <w:tcPr>
            <w:tcW w:w="1400" w:type="dxa"/>
            <w:vAlign w:val="bottom"/>
            <w:tcBorders>
              <w:bottom w:val="single" w:sz="8" w:color="ECF1F5"/>
            </w:tcBorders>
            <w:gridSpan w:val="2"/>
            <w:shd w:val="clear" w:color="auto" w:fill="ECF1F5"/>
          </w:tcPr>
          <w:p>
            <w:pPr>
              <w:jc w:val="right"/>
              <w:ind w:right="2"/>
              <w:spacing w:after="0"/>
              <w:rPr>
                <w:sz w:val="20"/>
                <w:szCs w:val="20"/>
                <w:color w:val="auto"/>
              </w:rPr>
            </w:pPr>
            <w:r>
              <w:rPr>
                <w:rFonts w:ascii="Arial" w:cs="Arial" w:eastAsia="Arial" w:hAnsi="Arial"/>
                <w:sz w:val="17"/>
                <w:szCs w:val="17"/>
                <w:color w:val="auto"/>
              </w:rPr>
              <w:t>983,585</w:t>
            </w:r>
            <w:r>
              <w:rPr>
                <w:rFonts w:ascii="Arial" w:cs="Arial" w:eastAsia="Arial" w:hAnsi="Arial"/>
                <w:sz w:val="19"/>
                <w:szCs w:val="19"/>
                <w:color w:val="auto"/>
                <w:vertAlign w:val="superscript"/>
              </w:rPr>
              <w:t>(32)</w:t>
            </w:r>
          </w:p>
        </w:tc>
      </w:tr>
      <w:tr>
        <w:trPr>
          <w:trHeight w:val="252"/>
        </w:trPr>
        <w:tc>
          <w:tcPr>
            <w:tcW w:w="1740" w:type="dxa"/>
            <w:vAlign w:val="bottom"/>
          </w:tcPr>
          <w:p>
            <w:pPr>
              <w:jc w:val="right"/>
              <w:ind w:right="240"/>
              <w:spacing w:after="0"/>
              <w:rPr>
                <w:sz w:val="20"/>
                <w:szCs w:val="20"/>
                <w:color w:val="auto"/>
              </w:rPr>
            </w:pPr>
            <w:r>
              <w:rPr>
                <w:rFonts w:ascii="Arial" w:cs="Arial" w:eastAsia="Arial" w:hAnsi="Arial"/>
                <w:sz w:val="17"/>
                <w:szCs w:val="17"/>
                <w:color w:val="auto"/>
              </w:rPr>
              <w:t>7,328</w:t>
            </w:r>
            <w:r>
              <w:rPr>
                <w:rFonts w:ascii="Arial" w:cs="Arial" w:eastAsia="Arial" w:hAnsi="Arial"/>
                <w:sz w:val="19"/>
                <w:szCs w:val="19"/>
                <w:color w:val="auto"/>
                <w:vertAlign w:val="superscript"/>
              </w:rPr>
              <w:t>(33)</w:t>
            </w:r>
          </w:p>
        </w:tc>
        <w:tc>
          <w:tcPr>
            <w:tcW w:w="960" w:type="dxa"/>
            <w:vAlign w:val="bottom"/>
          </w:tcPr>
          <w:p>
            <w:pPr>
              <w:jc w:val="right"/>
              <w:ind w:right="200"/>
              <w:spacing w:after="0"/>
              <w:rPr>
                <w:sz w:val="20"/>
                <w:szCs w:val="20"/>
                <w:color w:val="auto"/>
              </w:rPr>
            </w:pPr>
            <w:r>
              <w:rPr>
                <w:rFonts w:ascii="Arial" w:cs="Arial" w:eastAsia="Arial" w:hAnsi="Arial"/>
                <w:sz w:val="17"/>
                <w:szCs w:val="17"/>
                <w:color w:val="auto"/>
                <w:w w:val="88"/>
              </w:rPr>
              <w:t>14,656</w:t>
            </w:r>
            <w:r>
              <w:rPr>
                <w:rFonts w:ascii="Arial" w:cs="Arial" w:eastAsia="Arial" w:hAnsi="Arial"/>
                <w:sz w:val="19"/>
                <w:szCs w:val="19"/>
                <w:color w:val="auto"/>
                <w:w w:val="88"/>
                <w:vertAlign w:val="superscript"/>
              </w:rPr>
              <w:t>(33)</w:t>
            </w:r>
          </w:p>
        </w:tc>
        <w:tc>
          <w:tcPr>
            <w:tcW w:w="3780" w:type="dxa"/>
            <w:vAlign w:val="bottom"/>
          </w:tcPr>
          <w:p>
            <w:pPr>
              <w:jc w:val="right"/>
              <w:ind w:right="2759"/>
              <w:spacing w:after="0"/>
              <w:rPr>
                <w:sz w:val="20"/>
                <w:szCs w:val="20"/>
                <w:color w:val="auto"/>
              </w:rPr>
            </w:pPr>
            <w:r>
              <w:rPr>
                <w:rFonts w:ascii="Arial" w:cs="Arial" w:eastAsia="Arial" w:hAnsi="Arial"/>
                <w:sz w:val="17"/>
                <w:szCs w:val="17"/>
                <w:color w:val="auto"/>
              </w:rPr>
              <w:t>18,320</w:t>
            </w:r>
            <w:r>
              <w:rPr>
                <w:rFonts w:ascii="Arial" w:cs="Arial" w:eastAsia="Arial" w:hAnsi="Arial"/>
                <w:sz w:val="19"/>
                <w:szCs w:val="19"/>
                <w:color w:val="auto"/>
                <w:vertAlign w:val="superscript"/>
              </w:rPr>
              <w:t>(33)</w:t>
            </w:r>
          </w:p>
        </w:tc>
        <w:tc>
          <w:tcPr>
            <w:tcW w:w="18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0" w:type="dxa"/>
            <w:vAlign w:val="bottom"/>
            <w:gridSpan w:val="2"/>
          </w:tcPr>
          <w:p>
            <w:pPr>
              <w:jc w:val="right"/>
              <w:ind w:right="2"/>
              <w:spacing w:after="0"/>
              <w:rPr>
                <w:sz w:val="20"/>
                <w:szCs w:val="20"/>
                <w:color w:val="auto"/>
              </w:rPr>
            </w:pPr>
            <w:r>
              <w:rPr>
                <w:rFonts w:ascii="Arial" w:cs="Arial" w:eastAsia="Arial" w:hAnsi="Arial"/>
                <w:sz w:val="17"/>
                <w:szCs w:val="17"/>
                <w:color w:val="auto"/>
              </w:rPr>
              <w:t>973,891</w:t>
            </w:r>
            <w:r>
              <w:rPr>
                <w:rFonts w:ascii="Arial" w:cs="Arial" w:eastAsia="Arial" w:hAnsi="Arial"/>
                <w:sz w:val="19"/>
                <w:szCs w:val="19"/>
                <w:color w:val="auto"/>
                <w:vertAlign w:val="superscript"/>
              </w:rPr>
              <w:t>(33)</w:t>
            </w:r>
          </w:p>
        </w:tc>
      </w:tr>
      <w:tr>
        <w:trPr>
          <w:trHeight w:val="21"/>
        </w:trPr>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277"/>
        </w:trPr>
        <w:tc>
          <w:tcPr>
            <w:tcW w:w="1740" w:type="dxa"/>
            <w:vAlign w:val="bottom"/>
            <w:tcBorders>
              <w:bottom w:val="single" w:sz="8" w:color="125288"/>
            </w:tcBorders>
            <w:shd w:val="clear" w:color="auto" w:fill="ECF1F5"/>
          </w:tcPr>
          <w:p>
            <w:pPr>
              <w:jc w:val="right"/>
              <w:ind w:right="40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125288"/>
            </w:tcBorders>
            <w:shd w:val="clear" w:color="auto" w:fill="ECF1F5"/>
          </w:tcPr>
          <w:p>
            <w:pPr>
              <w:jc w:val="right"/>
              <w:ind w:right="200"/>
              <w:spacing w:after="0"/>
              <w:rPr>
                <w:sz w:val="20"/>
                <w:szCs w:val="20"/>
                <w:color w:val="auto"/>
              </w:rPr>
            </w:pPr>
            <w:r>
              <w:rPr>
                <w:rFonts w:ascii="Arial" w:cs="Arial" w:eastAsia="Arial" w:hAnsi="Arial"/>
                <w:sz w:val="17"/>
                <w:szCs w:val="17"/>
                <w:color w:val="auto"/>
                <w:w w:val="88"/>
              </w:rPr>
              <w:t>15,747</w:t>
            </w:r>
            <w:r>
              <w:rPr>
                <w:rFonts w:ascii="Arial" w:cs="Arial" w:eastAsia="Arial" w:hAnsi="Arial"/>
                <w:sz w:val="19"/>
                <w:szCs w:val="19"/>
                <w:color w:val="auto"/>
                <w:w w:val="88"/>
                <w:vertAlign w:val="superscript"/>
              </w:rPr>
              <w:t>(34)</w:t>
            </w:r>
          </w:p>
        </w:tc>
        <w:tc>
          <w:tcPr>
            <w:tcW w:w="3780" w:type="dxa"/>
            <w:vAlign w:val="bottom"/>
            <w:tcBorders>
              <w:bottom w:val="single" w:sz="8" w:color="125288"/>
            </w:tcBorders>
            <w:shd w:val="clear" w:color="auto" w:fill="ECF1F5"/>
          </w:tcPr>
          <w:p>
            <w:pPr>
              <w:jc w:val="right"/>
              <w:ind w:right="2919"/>
              <w:spacing w:after="0"/>
              <w:rPr>
                <w:sz w:val="20"/>
                <w:szCs w:val="20"/>
                <w:color w:val="auto"/>
              </w:rPr>
            </w:pPr>
            <w:r>
              <w:rPr>
                <w:rFonts w:ascii="Arial" w:cs="Arial" w:eastAsia="Arial" w:hAnsi="Arial"/>
                <w:sz w:val="17"/>
                <w:szCs w:val="17"/>
                <w:color w:val="auto"/>
              </w:rPr>
              <w:t>—</w:t>
            </w:r>
          </w:p>
        </w:tc>
        <w:tc>
          <w:tcPr>
            <w:tcW w:w="1880" w:type="dxa"/>
            <w:vAlign w:val="bottom"/>
            <w:tcBorders>
              <w:bottom w:val="single" w:sz="8" w:color="125288"/>
            </w:tcBorders>
            <w:shd w:val="clear" w:color="auto" w:fill="ECF1F5"/>
          </w:tcPr>
          <w:p>
            <w:pPr>
              <w:spacing w:after="0"/>
              <w:rPr>
                <w:sz w:val="24"/>
                <w:szCs w:val="24"/>
                <w:color w:val="auto"/>
              </w:rPr>
            </w:pPr>
          </w:p>
        </w:tc>
        <w:tc>
          <w:tcPr>
            <w:tcW w:w="1500" w:type="dxa"/>
            <w:vAlign w:val="bottom"/>
            <w:tcBorders>
              <w:bottom w:val="single" w:sz="8" w:color="125288"/>
            </w:tcBorders>
            <w:shd w:val="clear" w:color="auto" w:fill="ECF1F5"/>
          </w:tcPr>
          <w:p>
            <w:pPr>
              <w:jc w:val="right"/>
              <w:ind w:right="357"/>
              <w:spacing w:after="0"/>
              <w:rPr>
                <w:sz w:val="20"/>
                <w:szCs w:val="20"/>
                <w:color w:val="auto"/>
              </w:rPr>
            </w:pPr>
            <w:r>
              <w:rPr>
                <w:rFonts w:ascii="Arial" w:cs="Arial" w:eastAsia="Arial" w:hAnsi="Arial"/>
                <w:sz w:val="17"/>
                <w:szCs w:val="17"/>
                <w:color w:val="auto"/>
              </w:rPr>
              <w:t>92.50</w:t>
            </w:r>
            <w:r>
              <w:rPr>
                <w:rFonts w:ascii="Arial" w:cs="Arial" w:eastAsia="Arial" w:hAnsi="Arial"/>
                <w:sz w:val="19"/>
                <w:szCs w:val="19"/>
                <w:color w:val="auto"/>
                <w:vertAlign w:val="superscript"/>
              </w:rPr>
              <w:t>(34)</w:t>
            </w:r>
          </w:p>
        </w:tc>
        <w:tc>
          <w:tcPr>
            <w:tcW w:w="1400" w:type="dxa"/>
            <w:vAlign w:val="bottom"/>
            <w:tcBorders>
              <w:bottom w:val="single" w:sz="8" w:color="125288"/>
            </w:tcBorders>
            <w:gridSpan w:val="2"/>
            <w:shd w:val="clear" w:color="auto" w:fill="ECF1F5"/>
          </w:tcPr>
          <w:p>
            <w:pPr>
              <w:jc w:val="right"/>
              <w:ind w:right="2"/>
              <w:spacing w:after="0"/>
              <w:rPr>
                <w:sz w:val="20"/>
                <w:szCs w:val="20"/>
                <w:color w:val="auto"/>
              </w:rPr>
            </w:pPr>
            <w:r>
              <w:rPr>
                <w:rFonts w:ascii="Arial" w:cs="Arial" w:eastAsia="Arial" w:hAnsi="Arial"/>
                <w:sz w:val="17"/>
                <w:szCs w:val="17"/>
                <w:color w:val="auto"/>
              </w:rPr>
              <w:t>463,277</w:t>
            </w:r>
            <w:r>
              <w:rPr>
                <w:rFonts w:ascii="Arial" w:cs="Arial" w:eastAsia="Arial" w:hAnsi="Arial"/>
                <w:sz w:val="19"/>
                <w:szCs w:val="19"/>
                <w:color w:val="auto"/>
                <w:vertAlign w:val="superscript"/>
              </w:rPr>
              <w:t>(34)</w:t>
            </w:r>
          </w:p>
        </w:tc>
      </w:tr>
      <w:tr>
        <w:trPr>
          <w:trHeight w:val="273"/>
        </w:trPr>
        <w:tc>
          <w:tcPr>
            <w:tcW w:w="1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7"/>
        </w:trPr>
        <w:tc>
          <w:tcPr>
            <w:tcW w:w="1740" w:type="dxa"/>
            <w:vAlign w:val="bottom"/>
            <w:tcBorders>
              <w:bottom w:val="single" w:sz="8" w:color="ECF1F5"/>
            </w:tcBorders>
            <w:shd w:val="clear" w:color="auto" w:fill="ECF1F5"/>
          </w:tcPr>
          <w:p>
            <w:pPr>
              <w:jc w:val="right"/>
              <w:ind w:right="240"/>
              <w:spacing w:after="0"/>
              <w:rPr>
                <w:sz w:val="20"/>
                <w:szCs w:val="20"/>
                <w:color w:val="auto"/>
              </w:rPr>
            </w:pPr>
            <w:r>
              <w:rPr>
                <w:rFonts w:ascii="Arial" w:cs="Arial" w:eastAsia="Arial" w:hAnsi="Arial"/>
                <w:sz w:val="17"/>
                <w:szCs w:val="17"/>
                <w:color w:val="auto"/>
              </w:rPr>
              <w:t>6,226</w:t>
            </w:r>
            <w:r>
              <w:rPr>
                <w:rFonts w:ascii="Arial" w:cs="Arial" w:eastAsia="Arial" w:hAnsi="Arial"/>
                <w:sz w:val="19"/>
                <w:szCs w:val="19"/>
                <w:color w:val="auto"/>
                <w:vertAlign w:val="superscript"/>
              </w:rPr>
              <w:t>(36)</w:t>
            </w:r>
          </w:p>
        </w:tc>
        <w:tc>
          <w:tcPr>
            <w:tcW w:w="960" w:type="dxa"/>
            <w:vAlign w:val="bottom"/>
            <w:tcBorders>
              <w:bottom w:val="single" w:sz="8" w:color="ECF1F5"/>
            </w:tcBorders>
            <w:shd w:val="clear" w:color="auto" w:fill="ECF1F5"/>
          </w:tcPr>
          <w:p>
            <w:pPr>
              <w:jc w:val="right"/>
              <w:ind w:right="200"/>
              <w:spacing w:after="0"/>
              <w:rPr>
                <w:sz w:val="20"/>
                <w:szCs w:val="20"/>
                <w:color w:val="auto"/>
              </w:rPr>
            </w:pPr>
            <w:r>
              <w:rPr>
                <w:rFonts w:ascii="Arial" w:cs="Arial" w:eastAsia="Arial" w:hAnsi="Arial"/>
                <w:sz w:val="17"/>
                <w:szCs w:val="17"/>
                <w:color w:val="auto"/>
                <w:w w:val="88"/>
              </w:rPr>
              <w:t>12,451</w:t>
            </w:r>
            <w:r>
              <w:rPr>
                <w:rFonts w:ascii="Arial" w:cs="Arial" w:eastAsia="Arial" w:hAnsi="Arial"/>
                <w:sz w:val="19"/>
                <w:szCs w:val="19"/>
                <w:color w:val="auto"/>
                <w:w w:val="88"/>
                <w:vertAlign w:val="superscript"/>
              </w:rPr>
              <w:t>(36)</w:t>
            </w:r>
          </w:p>
        </w:tc>
        <w:tc>
          <w:tcPr>
            <w:tcW w:w="3780" w:type="dxa"/>
            <w:vAlign w:val="bottom"/>
            <w:tcBorders>
              <w:bottom w:val="single" w:sz="8" w:color="ECF1F5"/>
            </w:tcBorders>
            <w:shd w:val="clear" w:color="auto" w:fill="ECF1F5"/>
          </w:tcPr>
          <w:p>
            <w:pPr>
              <w:jc w:val="right"/>
              <w:ind w:right="2759"/>
              <w:spacing w:after="0"/>
              <w:rPr>
                <w:sz w:val="20"/>
                <w:szCs w:val="20"/>
                <w:color w:val="auto"/>
              </w:rPr>
            </w:pPr>
            <w:r>
              <w:rPr>
                <w:rFonts w:ascii="Arial" w:cs="Arial" w:eastAsia="Arial" w:hAnsi="Arial"/>
                <w:sz w:val="17"/>
                <w:szCs w:val="17"/>
                <w:color w:val="auto"/>
              </w:rPr>
              <w:t>15,564</w:t>
            </w:r>
            <w:r>
              <w:rPr>
                <w:rFonts w:ascii="Arial" w:cs="Arial" w:eastAsia="Arial" w:hAnsi="Arial"/>
                <w:sz w:val="19"/>
                <w:szCs w:val="19"/>
                <w:color w:val="auto"/>
                <w:vertAlign w:val="superscript"/>
              </w:rPr>
              <w:t>(36)</w:t>
            </w:r>
          </w:p>
        </w:tc>
        <w:tc>
          <w:tcPr>
            <w:tcW w:w="1880" w:type="dxa"/>
            <w:vAlign w:val="bottom"/>
            <w:tcBorders>
              <w:bottom w:val="single" w:sz="8" w:color="ECF1F5"/>
            </w:tcBorders>
            <w:shd w:val="clear" w:color="auto" w:fill="ECF1F5"/>
          </w:tcPr>
          <w:p>
            <w:pPr>
              <w:spacing w:after="0"/>
              <w:rPr>
                <w:sz w:val="24"/>
                <w:szCs w:val="24"/>
                <w:color w:val="auto"/>
              </w:rPr>
            </w:pPr>
          </w:p>
        </w:tc>
        <w:tc>
          <w:tcPr>
            <w:tcW w:w="1500" w:type="dxa"/>
            <w:vAlign w:val="bottom"/>
            <w:tcBorders>
              <w:bottom w:val="single" w:sz="8" w:color="ECF1F5"/>
            </w:tcBorders>
            <w:shd w:val="clear" w:color="auto" w:fill="ECF1F5"/>
          </w:tcPr>
          <w:p>
            <w:pPr>
              <w:spacing w:after="0"/>
              <w:rPr>
                <w:sz w:val="24"/>
                <w:szCs w:val="24"/>
                <w:color w:val="auto"/>
              </w:rPr>
            </w:pPr>
          </w:p>
        </w:tc>
        <w:tc>
          <w:tcPr>
            <w:tcW w:w="1400" w:type="dxa"/>
            <w:vAlign w:val="bottom"/>
            <w:tcBorders>
              <w:bottom w:val="single" w:sz="8" w:color="ECF1F5"/>
            </w:tcBorders>
            <w:gridSpan w:val="2"/>
            <w:shd w:val="clear" w:color="auto" w:fill="ECF1F5"/>
          </w:tcPr>
          <w:p>
            <w:pPr>
              <w:jc w:val="right"/>
              <w:ind w:right="2"/>
              <w:spacing w:after="0"/>
              <w:rPr>
                <w:sz w:val="20"/>
                <w:szCs w:val="20"/>
                <w:color w:val="auto"/>
              </w:rPr>
            </w:pPr>
            <w:r>
              <w:rPr>
                <w:rFonts w:ascii="Arial" w:cs="Arial" w:eastAsia="Arial" w:hAnsi="Arial"/>
                <w:sz w:val="17"/>
                <w:szCs w:val="17"/>
                <w:color w:val="auto"/>
              </w:rPr>
              <w:t>993,465</w:t>
            </w:r>
            <w:r>
              <w:rPr>
                <w:rFonts w:ascii="Arial" w:cs="Arial" w:eastAsia="Arial" w:hAnsi="Arial"/>
                <w:sz w:val="19"/>
                <w:szCs w:val="19"/>
                <w:color w:val="auto"/>
                <w:vertAlign w:val="superscript"/>
              </w:rPr>
              <w:t>(36)</w:t>
            </w:r>
          </w:p>
        </w:tc>
      </w:tr>
      <w:tr>
        <w:trPr>
          <w:trHeight w:val="252"/>
        </w:trPr>
        <w:tc>
          <w:tcPr>
            <w:tcW w:w="1740" w:type="dxa"/>
            <w:vAlign w:val="bottom"/>
          </w:tcPr>
          <w:p>
            <w:pPr>
              <w:jc w:val="right"/>
              <w:ind w:right="240"/>
              <w:spacing w:after="0"/>
              <w:rPr>
                <w:sz w:val="20"/>
                <w:szCs w:val="20"/>
                <w:color w:val="auto"/>
              </w:rPr>
            </w:pPr>
            <w:r>
              <w:rPr>
                <w:rFonts w:ascii="Arial" w:cs="Arial" w:eastAsia="Arial" w:hAnsi="Arial"/>
                <w:sz w:val="17"/>
                <w:szCs w:val="17"/>
                <w:color w:val="auto"/>
              </w:rPr>
              <w:t>6,226</w:t>
            </w:r>
            <w:r>
              <w:rPr>
                <w:rFonts w:ascii="Arial" w:cs="Arial" w:eastAsia="Arial" w:hAnsi="Arial"/>
                <w:sz w:val="19"/>
                <w:szCs w:val="19"/>
                <w:color w:val="auto"/>
                <w:vertAlign w:val="superscript"/>
              </w:rPr>
              <w:t>(37)</w:t>
            </w:r>
          </w:p>
        </w:tc>
        <w:tc>
          <w:tcPr>
            <w:tcW w:w="960" w:type="dxa"/>
            <w:vAlign w:val="bottom"/>
          </w:tcPr>
          <w:p>
            <w:pPr>
              <w:jc w:val="right"/>
              <w:ind w:right="200"/>
              <w:spacing w:after="0"/>
              <w:rPr>
                <w:sz w:val="20"/>
                <w:szCs w:val="20"/>
                <w:color w:val="auto"/>
              </w:rPr>
            </w:pPr>
            <w:r>
              <w:rPr>
                <w:rFonts w:ascii="Arial" w:cs="Arial" w:eastAsia="Arial" w:hAnsi="Arial"/>
                <w:sz w:val="17"/>
                <w:szCs w:val="17"/>
                <w:color w:val="auto"/>
                <w:w w:val="88"/>
              </w:rPr>
              <w:t>12,451</w:t>
            </w:r>
            <w:r>
              <w:rPr>
                <w:rFonts w:ascii="Arial" w:cs="Arial" w:eastAsia="Arial" w:hAnsi="Arial"/>
                <w:sz w:val="19"/>
                <w:szCs w:val="19"/>
                <w:color w:val="auto"/>
                <w:w w:val="88"/>
                <w:vertAlign w:val="superscript"/>
              </w:rPr>
              <w:t>(37)</w:t>
            </w:r>
          </w:p>
        </w:tc>
        <w:tc>
          <w:tcPr>
            <w:tcW w:w="3780" w:type="dxa"/>
            <w:vAlign w:val="bottom"/>
          </w:tcPr>
          <w:p>
            <w:pPr>
              <w:jc w:val="right"/>
              <w:ind w:right="2759"/>
              <w:spacing w:after="0"/>
              <w:rPr>
                <w:sz w:val="20"/>
                <w:szCs w:val="20"/>
                <w:color w:val="auto"/>
              </w:rPr>
            </w:pPr>
            <w:r>
              <w:rPr>
                <w:rFonts w:ascii="Arial" w:cs="Arial" w:eastAsia="Arial" w:hAnsi="Arial"/>
                <w:sz w:val="17"/>
                <w:szCs w:val="17"/>
                <w:color w:val="auto"/>
              </w:rPr>
              <w:t>15,564</w:t>
            </w:r>
            <w:r>
              <w:rPr>
                <w:rFonts w:ascii="Arial" w:cs="Arial" w:eastAsia="Arial" w:hAnsi="Arial"/>
                <w:sz w:val="19"/>
                <w:szCs w:val="19"/>
                <w:color w:val="auto"/>
                <w:vertAlign w:val="superscript"/>
              </w:rPr>
              <w:t>(37)</w:t>
            </w:r>
          </w:p>
        </w:tc>
        <w:tc>
          <w:tcPr>
            <w:tcW w:w="18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0" w:type="dxa"/>
            <w:vAlign w:val="bottom"/>
            <w:gridSpan w:val="2"/>
          </w:tcPr>
          <w:p>
            <w:pPr>
              <w:jc w:val="right"/>
              <w:ind w:right="2"/>
              <w:spacing w:after="0"/>
              <w:rPr>
                <w:sz w:val="20"/>
                <w:szCs w:val="20"/>
                <w:color w:val="auto"/>
              </w:rPr>
            </w:pPr>
            <w:r>
              <w:rPr>
                <w:rFonts w:ascii="Arial" w:cs="Arial" w:eastAsia="Arial" w:hAnsi="Arial"/>
                <w:sz w:val="17"/>
                <w:szCs w:val="17"/>
                <w:color w:val="auto"/>
              </w:rPr>
              <w:t>993,465</w:t>
            </w:r>
            <w:r>
              <w:rPr>
                <w:rFonts w:ascii="Arial" w:cs="Arial" w:eastAsia="Arial" w:hAnsi="Arial"/>
                <w:sz w:val="19"/>
                <w:szCs w:val="19"/>
                <w:color w:val="auto"/>
                <w:vertAlign w:val="superscript"/>
              </w:rPr>
              <w:t>(37)</w:t>
            </w:r>
          </w:p>
        </w:tc>
      </w:tr>
      <w:tr>
        <w:trPr>
          <w:trHeight w:val="21"/>
        </w:trPr>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277"/>
        </w:trPr>
        <w:tc>
          <w:tcPr>
            <w:tcW w:w="1740" w:type="dxa"/>
            <w:vAlign w:val="bottom"/>
            <w:tcBorders>
              <w:bottom w:val="single" w:sz="8" w:color="ECF1F5"/>
            </w:tcBorders>
            <w:shd w:val="clear" w:color="auto" w:fill="ECF1F5"/>
          </w:tcPr>
          <w:p>
            <w:pPr>
              <w:jc w:val="right"/>
              <w:ind w:right="240"/>
              <w:spacing w:after="0"/>
              <w:rPr>
                <w:sz w:val="20"/>
                <w:szCs w:val="20"/>
                <w:color w:val="auto"/>
              </w:rPr>
            </w:pPr>
            <w:r>
              <w:rPr>
                <w:rFonts w:ascii="Arial" w:cs="Arial" w:eastAsia="Arial" w:hAnsi="Arial"/>
                <w:sz w:val="17"/>
                <w:szCs w:val="17"/>
                <w:color w:val="auto"/>
              </w:rPr>
              <w:t>6,225</w:t>
            </w:r>
            <w:r>
              <w:rPr>
                <w:rFonts w:ascii="Arial" w:cs="Arial" w:eastAsia="Arial" w:hAnsi="Arial"/>
                <w:sz w:val="19"/>
                <w:szCs w:val="19"/>
                <w:color w:val="auto"/>
                <w:vertAlign w:val="superscript"/>
              </w:rPr>
              <w:t>(38)</w:t>
            </w:r>
          </w:p>
        </w:tc>
        <w:tc>
          <w:tcPr>
            <w:tcW w:w="960" w:type="dxa"/>
            <w:vAlign w:val="bottom"/>
            <w:tcBorders>
              <w:bottom w:val="single" w:sz="8" w:color="ECF1F5"/>
            </w:tcBorders>
            <w:shd w:val="clear" w:color="auto" w:fill="ECF1F5"/>
          </w:tcPr>
          <w:p>
            <w:pPr>
              <w:jc w:val="right"/>
              <w:ind w:right="200"/>
              <w:spacing w:after="0"/>
              <w:rPr>
                <w:sz w:val="20"/>
                <w:szCs w:val="20"/>
                <w:color w:val="auto"/>
              </w:rPr>
            </w:pPr>
            <w:r>
              <w:rPr>
                <w:rFonts w:ascii="Arial" w:cs="Arial" w:eastAsia="Arial" w:hAnsi="Arial"/>
                <w:sz w:val="17"/>
                <w:szCs w:val="17"/>
                <w:color w:val="auto"/>
                <w:w w:val="88"/>
              </w:rPr>
              <w:t>12,450</w:t>
            </w:r>
            <w:r>
              <w:rPr>
                <w:rFonts w:ascii="Arial" w:cs="Arial" w:eastAsia="Arial" w:hAnsi="Arial"/>
                <w:sz w:val="19"/>
                <w:szCs w:val="19"/>
                <w:color w:val="auto"/>
                <w:w w:val="88"/>
                <w:vertAlign w:val="superscript"/>
              </w:rPr>
              <w:t>(38)</w:t>
            </w:r>
          </w:p>
        </w:tc>
        <w:tc>
          <w:tcPr>
            <w:tcW w:w="3780" w:type="dxa"/>
            <w:vAlign w:val="bottom"/>
            <w:tcBorders>
              <w:bottom w:val="single" w:sz="8" w:color="ECF1F5"/>
            </w:tcBorders>
            <w:shd w:val="clear" w:color="auto" w:fill="ECF1F5"/>
          </w:tcPr>
          <w:p>
            <w:pPr>
              <w:jc w:val="right"/>
              <w:ind w:right="2759"/>
              <w:spacing w:after="0"/>
              <w:rPr>
                <w:sz w:val="20"/>
                <w:szCs w:val="20"/>
                <w:color w:val="auto"/>
              </w:rPr>
            </w:pPr>
            <w:r>
              <w:rPr>
                <w:rFonts w:ascii="Arial" w:cs="Arial" w:eastAsia="Arial" w:hAnsi="Arial"/>
                <w:sz w:val="17"/>
                <w:szCs w:val="17"/>
                <w:color w:val="auto"/>
              </w:rPr>
              <w:t>15,563</w:t>
            </w:r>
            <w:r>
              <w:rPr>
                <w:rFonts w:ascii="Arial" w:cs="Arial" w:eastAsia="Arial" w:hAnsi="Arial"/>
                <w:sz w:val="19"/>
                <w:szCs w:val="19"/>
                <w:color w:val="auto"/>
                <w:vertAlign w:val="superscript"/>
              </w:rPr>
              <w:t>(38)</w:t>
            </w:r>
          </w:p>
        </w:tc>
        <w:tc>
          <w:tcPr>
            <w:tcW w:w="1880" w:type="dxa"/>
            <w:vAlign w:val="bottom"/>
            <w:tcBorders>
              <w:bottom w:val="single" w:sz="8" w:color="ECF1F5"/>
            </w:tcBorders>
            <w:shd w:val="clear" w:color="auto" w:fill="ECF1F5"/>
          </w:tcPr>
          <w:p>
            <w:pPr>
              <w:spacing w:after="0"/>
              <w:rPr>
                <w:sz w:val="24"/>
                <w:szCs w:val="24"/>
                <w:color w:val="auto"/>
              </w:rPr>
            </w:pPr>
          </w:p>
        </w:tc>
        <w:tc>
          <w:tcPr>
            <w:tcW w:w="1500" w:type="dxa"/>
            <w:vAlign w:val="bottom"/>
            <w:tcBorders>
              <w:bottom w:val="single" w:sz="8" w:color="ECF1F5"/>
            </w:tcBorders>
            <w:shd w:val="clear" w:color="auto" w:fill="ECF1F5"/>
          </w:tcPr>
          <w:p>
            <w:pPr>
              <w:spacing w:after="0"/>
              <w:rPr>
                <w:sz w:val="24"/>
                <w:szCs w:val="24"/>
                <w:color w:val="auto"/>
              </w:rPr>
            </w:pPr>
          </w:p>
        </w:tc>
        <w:tc>
          <w:tcPr>
            <w:tcW w:w="1400" w:type="dxa"/>
            <w:vAlign w:val="bottom"/>
            <w:tcBorders>
              <w:bottom w:val="single" w:sz="8" w:color="ECF1F5"/>
            </w:tcBorders>
            <w:gridSpan w:val="2"/>
            <w:shd w:val="clear" w:color="auto" w:fill="ECF1F5"/>
          </w:tcPr>
          <w:p>
            <w:pPr>
              <w:jc w:val="right"/>
              <w:ind w:right="2"/>
              <w:spacing w:after="0"/>
              <w:rPr>
                <w:sz w:val="20"/>
                <w:szCs w:val="20"/>
                <w:color w:val="auto"/>
              </w:rPr>
            </w:pPr>
            <w:r>
              <w:rPr>
                <w:rFonts w:ascii="Arial" w:cs="Arial" w:eastAsia="Arial" w:hAnsi="Arial"/>
                <w:sz w:val="17"/>
                <w:szCs w:val="17"/>
                <w:color w:val="auto"/>
              </w:rPr>
              <w:t>977,948</w:t>
            </w:r>
            <w:r>
              <w:rPr>
                <w:rFonts w:ascii="Arial" w:cs="Arial" w:eastAsia="Arial" w:hAnsi="Arial"/>
                <w:sz w:val="19"/>
                <w:szCs w:val="19"/>
                <w:color w:val="auto"/>
                <w:vertAlign w:val="superscript"/>
              </w:rPr>
              <w:t>(38)</w:t>
            </w:r>
          </w:p>
        </w:tc>
      </w:tr>
      <w:tr>
        <w:trPr>
          <w:trHeight w:val="252"/>
        </w:trPr>
        <w:tc>
          <w:tcPr>
            <w:tcW w:w="1740" w:type="dxa"/>
            <w:vAlign w:val="bottom"/>
          </w:tcPr>
          <w:p>
            <w:pPr>
              <w:jc w:val="right"/>
              <w:ind w:right="240"/>
              <w:spacing w:after="0"/>
              <w:rPr>
                <w:sz w:val="20"/>
                <w:szCs w:val="20"/>
                <w:color w:val="auto"/>
              </w:rPr>
            </w:pPr>
            <w:r>
              <w:rPr>
                <w:rFonts w:ascii="Arial" w:cs="Arial" w:eastAsia="Arial" w:hAnsi="Arial"/>
                <w:sz w:val="17"/>
                <w:szCs w:val="17"/>
                <w:color w:val="auto"/>
              </w:rPr>
              <w:t>7,328</w:t>
            </w:r>
            <w:r>
              <w:rPr>
                <w:rFonts w:ascii="Arial" w:cs="Arial" w:eastAsia="Arial" w:hAnsi="Arial"/>
                <w:sz w:val="19"/>
                <w:szCs w:val="19"/>
                <w:color w:val="auto"/>
                <w:vertAlign w:val="superscript"/>
              </w:rPr>
              <w:t>(39)</w:t>
            </w:r>
          </w:p>
        </w:tc>
        <w:tc>
          <w:tcPr>
            <w:tcW w:w="960" w:type="dxa"/>
            <w:vAlign w:val="bottom"/>
          </w:tcPr>
          <w:p>
            <w:pPr>
              <w:jc w:val="right"/>
              <w:ind w:right="200"/>
              <w:spacing w:after="0"/>
              <w:rPr>
                <w:sz w:val="20"/>
                <w:szCs w:val="20"/>
                <w:color w:val="auto"/>
              </w:rPr>
            </w:pPr>
            <w:r>
              <w:rPr>
                <w:rFonts w:ascii="Arial" w:cs="Arial" w:eastAsia="Arial" w:hAnsi="Arial"/>
                <w:sz w:val="17"/>
                <w:szCs w:val="17"/>
                <w:color w:val="auto"/>
                <w:w w:val="88"/>
              </w:rPr>
              <w:t>14,656</w:t>
            </w:r>
            <w:r>
              <w:rPr>
                <w:rFonts w:ascii="Arial" w:cs="Arial" w:eastAsia="Arial" w:hAnsi="Arial"/>
                <w:sz w:val="19"/>
                <w:szCs w:val="19"/>
                <w:color w:val="auto"/>
                <w:w w:val="88"/>
                <w:vertAlign w:val="superscript"/>
              </w:rPr>
              <w:t>(39)</w:t>
            </w:r>
          </w:p>
        </w:tc>
        <w:tc>
          <w:tcPr>
            <w:tcW w:w="3780" w:type="dxa"/>
            <w:vAlign w:val="bottom"/>
          </w:tcPr>
          <w:p>
            <w:pPr>
              <w:jc w:val="right"/>
              <w:ind w:right="2759"/>
              <w:spacing w:after="0"/>
              <w:rPr>
                <w:sz w:val="20"/>
                <w:szCs w:val="20"/>
                <w:color w:val="auto"/>
              </w:rPr>
            </w:pPr>
            <w:r>
              <w:rPr>
                <w:rFonts w:ascii="Arial" w:cs="Arial" w:eastAsia="Arial" w:hAnsi="Arial"/>
                <w:sz w:val="17"/>
                <w:szCs w:val="17"/>
                <w:color w:val="auto"/>
              </w:rPr>
              <w:t>18,320</w:t>
            </w:r>
            <w:r>
              <w:rPr>
                <w:rFonts w:ascii="Arial" w:cs="Arial" w:eastAsia="Arial" w:hAnsi="Arial"/>
                <w:sz w:val="19"/>
                <w:szCs w:val="19"/>
                <w:color w:val="auto"/>
                <w:vertAlign w:val="superscript"/>
              </w:rPr>
              <w:t>(39)</w:t>
            </w:r>
          </w:p>
        </w:tc>
        <w:tc>
          <w:tcPr>
            <w:tcW w:w="18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0" w:type="dxa"/>
            <w:vAlign w:val="bottom"/>
            <w:gridSpan w:val="2"/>
          </w:tcPr>
          <w:p>
            <w:pPr>
              <w:jc w:val="right"/>
              <w:ind w:right="2"/>
              <w:spacing w:after="0"/>
              <w:rPr>
                <w:sz w:val="20"/>
                <w:szCs w:val="20"/>
                <w:color w:val="auto"/>
              </w:rPr>
            </w:pPr>
            <w:r>
              <w:rPr>
                <w:rFonts w:ascii="Arial" w:cs="Arial" w:eastAsia="Arial" w:hAnsi="Arial"/>
                <w:sz w:val="17"/>
                <w:szCs w:val="17"/>
                <w:color w:val="auto"/>
              </w:rPr>
              <w:t>973,891</w:t>
            </w:r>
            <w:r>
              <w:rPr>
                <w:rFonts w:ascii="Arial" w:cs="Arial" w:eastAsia="Arial" w:hAnsi="Arial"/>
                <w:sz w:val="19"/>
                <w:szCs w:val="19"/>
                <w:color w:val="auto"/>
                <w:vertAlign w:val="superscript"/>
              </w:rPr>
              <w:t>(39)</w:t>
            </w:r>
          </w:p>
        </w:tc>
      </w:tr>
      <w:tr>
        <w:trPr>
          <w:trHeight w:val="21"/>
        </w:trPr>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277"/>
        </w:trPr>
        <w:tc>
          <w:tcPr>
            <w:tcW w:w="1740" w:type="dxa"/>
            <w:vAlign w:val="bottom"/>
            <w:tcBorders>
              <w:bottom w:val="single" w:sz="8" w:color="125288"/>
            </w:tcBorders>
            <w:shd w:val="clear" w:color="auto" w:fill="ECF1F5"/>
          </w:tcPr>
          <w:p>
            <w:pPr>
              <w:spacing w:after="0"/>
              <w:rPr>
                <w:sz w:val="24"/>
                <w:szCs w:val="24"/>
                <w:color w:val="auto"/>
              </w:rPr>
            </w:pPr>
          </w:p>
        </w:tc>
        <w:tc>
          <w:tcPr>
            <w:tcW w:w="960" w:type="dxa"/>
            <w:vAlign w:val="bottom"/>
            <w:tcBorders>
              <w:bottom w:val="single" w:sz="8" w:color="125288"/>
            </w:tcBorders>
            <w:shd w:val="clear" w:color="auto" w:fill="ECF1F5"/>
          </w:tcPr>
          <w:p>
            <w:pPr>
              <w:spacing w:after="0"/>
              <w:rPr>
                <w:sz w:val="24"/>
                <w:szCs w:val="24"/>
                <w:color w:val="auto"/>
              </w:rPr>
            </w:pPr>
          </w:p>
        </w:tc>
        <w:tc>
          <w:tcPr>
            <w:tcW w:w="3780" w:type="dxa"/>
            <w:vAlign w:val="bottom"/>
            <w:tcBorders>
              <w:bottom w:val="single" w:sz="8" w:color="125288"/>
            </w:tcBorders>
            <w:shd w:val="clear" w:color="auto" w:fill="ECF1F5"/>
          </w:tcPr>
          <w:p>
            <w:pPr>
              <w:jc w:val="right"/>
              <w:ind w:right="519"/>
              <w:spacing w:after="0"/>
              <w:rPr>
                <w:sz w:val="20"/>
                <w:szCs w:val="20"/>
                <w:color w:val="auto"/>
              </w:rPr>
            </w:pPr>
            <w:r>
              <w:rPr>
                <w:rFonts w:ascii="Arial" w:cs="Arial" w:eastAsia="Arial" w:hAnsi="Arial"/>
                <w:sz w:val="17"/>
                <w:szCs w:val="17"/>
                <w:color w:val="auto"/>
              </w:rPr>
              <w:t>24,900</w:t>
            </w:r>
            <w:r>
              <w:rPr>
                <w:rFonts w:ascii="Arial" w:cs="Arial" w:eastAsia="Arial" w:hAnsi="Arial"/>
                <w:sz w:val="19"/>
                <w:szCs w:val="19"/>
                <w:color w:val="auto"/>
                <w:vertAlign w:val="superscript"/>
              </w:rPr>
              <w:t>(40)</w:t>
            </w:r>
          </w:p>
        </w:tc>
        <w:tc>
          <w:tcPr>
            <w:tcW w:w="1880" w:type="dxa"/>
            <w:vAlign w:val="bottom"/>
            <w:tcBorders>
              <w:bottom w:val="single" w:sz="8" w:color="125288"/>
            </w:tcBorders>
            <w:shd w:val="clear" w:color="auto" w:fill="ECF1F5"/>
          </w:tcPr>
          <w:p>
            <w:pPr>
              <w:spacing w:after="0"/>
              <w:rPr>
                <w:sz w:val="24"/>
                <w:szCs w:val="24"/>
                <w:color w:val="auto"/>
              </w:rPr>
            </w:pPr>
          </w:p>
        </w:tc>
        <w:tc>
          <w:tcPr>
            <w:tcW w:w="1500" w:type="dxa"/>
            <w:vAlign w:val="bottom"/>
            <w:tcBorders>
              <w:bottom w:val="single" w:sz="8" w:color="125288"/>
            </w:tcBorders>
            <w:shd w:val="clear" w:color="auto" w:fill="ECF1F5"/>
          </w:tcPr>
          <w:p>
            <w:pPr>
              <w:spacing w:after="0"/>
              <w:rPr>
                <w:sz w:val="24"/>
                <w:szCs w:val="24"/>
                <w:color w:val="auto"/>
              </w:rPr>
            </w:pPr>
          </w:p>
        </w:tc>
        <w:tc>
          <w:tcPr>
            <w:tcW w:w="1400" w:type="dxa"/>
            <w:vAlign w:val="bottom"/>
            <w:tcBorders>
              <w:bottom w:val="single" w:sz="8" w:color="125288"/>
            </w:tcBorders>
            <w:gridSpan w:val="2"/>
            <w:shd w:val="clear" w:color="auto" w:fill="ECF1F5"/>
          </w:tcPr>
          <w:p>
            <w:pPr>
              <w:jc w:val="right"/>
              <w:ind w:right="2"/>
              <w:spacing w:after="0"/>
              <w:rPr>
                <w:sz w:val="20"/>
                <w:szCs w:val="20"/>
                <w:color w:val="auto"/>
              </w:rPr>
            </w:pPr>
            <w:r>
              <w:rPr>
                <w:rFonts w:ascii="Arial" w:cs="Arial" w:eastAsia="Arial" w:hAnsi="Arial"/>
                <w:sz w:val="17"/>
                <w:szCs w:val="17"/>
                <w:color w:val="auto"/>
              </w:rPr>
              <w:t>1,955,895</w:t>
            </w:r>
            <w:r>
              <w:rPr>
                <w:rFonts w:ascii="Arial" w:cs="Arial" w:eastAsia="Arial" w:hAnsi="Arial"/>
                <w:sz w:val="19"/>
                <w:szCs w:val="19"/>
                <w:color w:val="auto"/>
                <w:vertAlign w:val="superscript"/>
              </w:rPr>
              <w:t>(40)</w:t>
            </w:r>
          </w:p>
        </w:tc>
      </w:tr>
      <w:tr>
        <w:trPr>
          <w:trHeight w:val="506"/>
        </w:trPr>
        <w:tc>
          <w:tcPr>
            <w:tcW w:w="1740" w:type="dxa"/>
            <w:vAlign w:val="bottom"/>
          </w:tcPr>
          <w:p>
            <w:pPr>
              <w:jc w:val="right"/>
              <w:spacing w:after="0"/>
              <w:rPr>
                <w:sz w:val="20"/>
                <w:szCs w:val="20"/>
                <w:color w:val="auto"/>
              </w:rPr>
            </w:pPr>
            <w:r>
              <w:rPr>
                <w:rFonts w:ascii="Arial" w:cs="Arial" w:eastAsia="Arial" w:hAnsi="Arial"/>
                <w:sz w:val="14"/>
                <w:szCs w:val="14"/>
                <w:color w:val="706F6F"/>
                <w:w w:val="99"/>
              </w:rPr>
              <w:t>www.activisionblizzard.com</w:t>
            </w:r>
          </w:p>
        </w:tc>
        <w:tc>
          <w:tcPr>
            <w:tcW w:w="9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360" w:type="dxa"/>
            <w:vAlign w:val="bottom"/>
            <w:gridSpan w:val="3"/>
          </w:tcPr>
          <w:p>
            <w:pPr>
              <w:ind w:left="900"/>
              <w:spacing w:after="0"/>
              <w:rPr>
                <w:sz w:val="20"/>
                <w:szCs w:val="20"/>
                <w:color w:val="auto"/>
              </w:rPr>
            </w:pPr>
            <w:r>
              <w:rPr>
                <w:rFonts w:ascii="Arial" w:cs="Arial" w:eastAsia="Arial" w:hAnsi="Arial"/>
                <w:sz w:val="14"/>
                <w:szCs w:val="14"/>
                <w:color w:val="706F6F"/>
              </w:rPr>
              <w:t>ACTIVISION BLIZZARD, INC.  2022 Proxy Statement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706F6F"/>
              </w:rPr>
              <w:t>91</w:t>
            </w:r>
          </w:p>
        </w:tc>
      </w:tr>
      <w:tr>
        <w:trPr>
          <w:trHeight w:val="93"/>
        </w:trPr>
        <w:tc>
          <w:tcPr>
            <w:tcW w:w="17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3780" w:type="dxa"/>
            <w:vAlign w:val="bottom"/>
            <w:tcBorders>
              <w:bottom w:val="single" w:sz="8" w:color="808080"/>
            </w:tcBorders>
          </w:tcPr>
          <w:p>
            <w:pPr>
              <w:spacing w:after="0"/>
              <w:rPr>
                <w:sz w:val="8"/>
                <w:szCs w:val="8"/>
                <w:color w:val="auto"/>
              </w:rPr>
            </w:pPr>
          </w:p>
        </w:tc>
        <w:tc>
          <w:tcPr>
            <w:tcW w:w="188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-588010</wp:posOffset>
            </wp:positionV>
            <wp:extent cx="7148830" cy="152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-950595</wp:posOffset>
            </wp:positionV>
            <wp:extent cx="7148830" cy="152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-1312545</wp:posOffset>
            </wp:positionV>
            <wp:extent cx="7148830" cy="152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-1675130</wp:posOffset>
            </wp:positionV>
            <wp:extent cx="7148830" cy="152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-2037715</wp:posOffset>
            </wp:positionV>
            <wp:extent cx="7148830" cy="152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-2399665</wp:posOffset>
            </wp:positionV>
            <wp:extent cx="7148830" cy="152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-3124835</wp:posOffset>
            </wp:positionV>
            <wp:extent cx="7148830" cy="152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-3486785</wp:posOffset>
            </wp:positionV>
            <wp:extent cx="7148830" cy="152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-3849370</wp:posOffset>
            </wp:positionV>
            <wp:extent cx="7148830" cy="152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-4573905</wp:posOffset>
            </wp:positionV>
            <wp:extent cx="7148830" cy="152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-4936490</wp:posOffset>
            </wp:positionV>
            <wp:extent cx="7148830" cy="152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-5298440</wp:posOffset>
            </wp:positionV>
            <wp:extent cx="7148830" cy="152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-5661025</wp:posOffset>
            </wp:positionV>
            <wp:extent cx="7148830" cy="152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-6023610</wp:posOffset>
            </wp:positionV>
            <wp:extent cx="7148830" cy="152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94" w:name="page95"/>
    <w:bookmarkEnd w:id="94"/>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55" w:lineRule="exact"/>
        <w:rPr>
          <w:sz w:val="20"/>
          <w:szCs w:val="20"/>
          <w:color w:val="auto"/>
        </w:rPr>
      </w:pPr>
    </w:p>
    <w:p>
      <w:pPr>
        <w:ind w:left="340" w:right="100" w:hanging="285"/>
        <w:spacing w:after="0" w:line="266" w:lineRule="auto"/>
        <w:tabs>
          <w:tab w:leader="none" w:pos="34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Reflects the date on which the Compensation Committee approved the grant of an equity award or, if later in the case of a performance-vesting award, the date on which the Compensation Committee established the performance metric underlying such award or a component thereof.</w:t>
      </w:r>
    </w:p>
    <w:p>
      <w:pPr>
        <w:spacing w:after="0" w:line="9" w:lineRule="exact"/>
        <w:rPr>
          <w:rFonts w:ascii="Arial" w:cs="Arial" w:eastAsia="Arial" w:hAnsi="Arial"/>
          <w:sz w:val="15"/>
          <w:szCs w:val="15"/>
          <w:color w:val="auto"/>
        </w:rPr>
      </w:pPr>
    </w:p>
    <w:p>
      <w:pPr>
        <w:jc w:val="both"/>
        <w:ind w:left="340" w:right="100" w:hanging="285"/>
        <w:spacing w:after="0" w:line="257" w:lineRule="auto"/>
        <w:tabs>
          <w:tab w:leader="none" w:pos="34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The grant date fair value of the stock and option awards is computed in accordance with ASC Topic 718. Please see footnote (2) to the Summary Compensation Table for information about the assumptions and key variables used in the calculation of the grant date fair values. All stock options awarded have an exercise price equal to the fair market value of a share of our Common Stock on the date of grant.</w:t>
      </w:r>
    </w:p>
    <w:p>
      <w:pPr>
        <w:spacing w:after="0" w:line="16" w:lineRule="exact"/>
        <w:rPr>
          <w:rFonts w:ascii="Arial" w:cs="Arial" w:eastAsia="Arial" w:hAnsi="Arial"/>
          <w:sz w:val="15"/>
          <w:szCs w:val="15"/>
          <w:color w:val="auto"/>
        </w:rPr>
      </w:pPr>
    </w:p>
    <w:p>
      <w:pPr>
        <w:jc w:val="both"/>
        <w:ind w:left="340" w:right="100" w:hanging="285"/>
        <w:spacing w:after="0" w:line="249" w:lineRule="auto"/>
        <w:tabs>
          <w:tab w:leader="none" w:pos="34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Each of our NEOs except for Mr. Durkin had an opportunity to earn a CAIP bonus for their 2021 performance. None were entitled to a minimum amount thereunder, and none would have been entitled to any bonus if the 2021 AB Adjusted OI was not at least 90% of the AB Adjusted OI objective set forth in our 2021 AOP. Except as set forth in footnotes (5) and (33), the threshold, target, and maximum bonus opportunity for each NEO participating in the CAIP was based on their base salary in effect at the time the opportunity was approved by our Compensation Committee. The threshold opportunity for each assumes 90% achievement of the AB Adjusting OI objective set forth in the 2021 AOP and the other financial objectives established for them under the CAIP and 0% achievement of their strategic objectives. The target bonus for each assumes 100% achievement of the financial and strategic objectives established for them under the CAIP. The maximum bonus opportunity for each assumes either 150% or 200% achievement of their financial objectives, depending on the objective, and 120% achievement of their strategic objectives. Actual payments under the CAIP vary for each participating executive based on their actual base salary, their target opportunity, their financial and strategic objectives (including the relative weighting with respect to each), and their and the Company’s performance measured against those objectives. For more information about the CAIP and the opportunities for each of our participating NEOs thereunder, including the maximum bonus opportunity for each and the actual payouts, please see “—Compensation Discussion and Analysis—Elements of Our Executive Compensation Program for 2021—Corporate Annual Incentive Plan (CAIP) Bonuses” above.</w:t>
      </w:r>
    </w:p>
    <w:p>
      <w:pPr>
        <w:spacing w:after="0" w:line="28" w:lineRule="exact"/>
        <w:rPr>
          <w:rFonts w:ascii="Arial" w:cs="Arial" w:eastAsia="Arial" w:hAnsi="Arial"/>
          <w:sz w:val="15"/>
          <w:szCs w:val="15"/>
          <w:color w:val="auto"/>
        </w:rPr>
      </w:pPr>
    </w:p>
    <w:p>
      <w:pPr>
        <w:jc w:val="both"/>
        <w:ind w:left="340" w:right="100" w:hanging="285"/>
        <w:spacing w:after="0" w:line="254" w:lineRule="auto"/>
        <w:tabs>
          <w:tab w:leader="none" w:pos="34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In October 2021, Mr. Kotick requested that his total compensation be reduced to the lowest amount permitted to be paid to exempt employees under California law until the Company has made appropriate progress toward the achievement of the Transformational Goals (see “Corporate Governance Matters— Workplace and Culture—Transformational Gender-Related Goals and Other Commitments”). As part of that reduction, Mr. Kotick asked not to receive a bonus under the CAIP for 2021.</w:t>
      </w:r>
    </w:p>
    <w:p>
      <w:pPr>
        <w:spacing w:after="0" w:line="18" w:lineRule="exact"/>
        <w:rPr>
          <w:rFonts w:ascii="Arial" w:cs="Arial" w:eastAsia="Arial" w:hAnsi="Arial"/>
          <w:sz w:val="15"/>
          <w:szCs w:val="15"/>
          <w:color w:val="auto"/>
        </w:rPr>
      </w:pPr>
    </w:p>
    <w:p>
      <w:pPr>
        <w:jc w:val="both"/>
        <w:ind w:left="340" w:right="100" w:hanging="285"/>
        <w:spacing w:after="0" w:line="257" w:lineRule="auto"/>
        <w:tabs>
          <w:tab w:leader="none" w:pos="34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Mr. Zerza’s threshold, target, and maximum bonus amounts under the CAIP for 2021 reflect the adjustment made to his base salary rate and target bonus opportunity in connection with his election as our Chief Financial Officer, pursuant to his employment agreement with us, dated as of April 1, 2021, and corrected as of August 13, 2021 (the “Zerza Employment Agreement”).</w:t>
      </w:r>
    </w:p>
    <w:p>
      <w:pPr>
        <w:spacing w:after="0" w:line="16" w:lineRule="exact"/>
        <w:rPr>
          <w:rFonts w:ascii="Arial" w:cs="Arial" w:eastAsia="Arial" w:hAnsi="Arial"/>
          <w:sz w:val="15"/>
          <w:szCs w:val="15"/>
          <w:color w:val="auto"/>
        </w:rPr>
      </w:pPr>
    </w:p>
    <w:p>
      <w:pPr>
        <w:jc w:val="both"/>
        <w:ind w:left="340" w:right="100" w:hanging="285"/>
        <w:spacing w:after="0" w:line="250" w:lineRule="auto"/>
        <w:tabs>
          <w:tab w:leader="none" w:pos="34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Before he was elected as our Chief Financial Officer on April 1, 2021, Mr. Zerza was party to an employment agreement with us, dated as of July 6, 2015, and amended on each of November 17, 2017, and October 1, 2018, pursuant to which he served as our Chief Commercial Officer and the Chief Operating Officer of Blizzard (the “Prior Zerza Employment Agreement”). Pursuant to the Prior Zerza Employment Agreement, Mr. Zerza participated in the BPSA (see “— Employment Agreements—Armin Zerza— Prior Zerza Employment Agreement” below). In accordance therewith, he was eligible to share in an annual profit sharing pool for employees of Blizzard, the aggregate amount of which depends upon Blizzard’s earnings for that year. While Mr. Zerza was eligible to receive an amount equal to up to 2.3% of the pool, because the amount of the pool cannot be known at the beginning of a year, no target amount is determinable, and the target amount shown is a representative amount equal to the amount Mr. Zerza received under the Blizzard Profit Sharing Plan with respect to 2020. Further, while Mr. Zerza had a target bonus amount equal to 1.7% of that pool, because there is no certainty there will be a pool, there is no minimum or maximum amount to which he is entitled.</w:t>
      </w:r>
    </w:p>
    <w:p>
      <w:pPr>
        <w:spacing w:after="0" w:line="23" w:lineRule="exact"/>
        <w:rPr>
          <w:rFonts w:ascii="Arial" w:cs="Arial" w:eastAsia="Arial" w:hAnsi="Arial"/>
          <w:sz w:val="15"/>
          <w:szCs w:val="15"/>
          <w:color w:val="auto"/>
        </w:rPr>
      </w:pPr>
    </w:p>
    <w:p>
      <w:pPr>
        <w:jc w:val="both"/>
        <w:ind w:left="340" w:right="100" w:hanging="285"/>
        <w:spacing w:after="0" w:line="251" w:lineRule="auto"/>
        <w:tabs>
          <w:tab w:leader="none" w:pos="34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On March 14, 2018, pursuant to the Prior Zerza Employment Agreement, the Compensation Committee awarded Mr. Zerza PSUs. In accordance with ASC Topic 718, only the portion of the award for which the performance metrics were established during 2021 (i.e., one-fifth of the award) is reflected in this table. The PSUs reflected in this table vest on March 30, 2023, subject to Mr. Zerza’s continued employment through that date, by reference to the AB Adjusted OI objective set forth in our 2021 AOP as follows: (a) if actual performance is below 85% of the objective, no PSUs vest; (b) if actual performance falls between 85% and 125% of the objective, the number of PSUs that vest is between 85% and 125% of the target, determined using straight-line interpolation; and (c) if actual performance is 125% or more of the objective, 125% of the target number of PSUs vest. For more information on this award, see “—Outstanding Equity Awards” below.</w:t>
      </w:r>
    </w:p>
    <w:p>
      <w:pPr>
        <w:spacing w:after="0" w:line="201" w:lineRule="exact"/>
        <w:rPr>
          <w:rFonts w:ascii="Arial" w:cs="Arial" w:eastAsia="Arial" w:hAnsi="Arial"/>
          <w:sz w:val="15"/>
          <w:szCs w:val="15"/>
          <w:color w:val="auto"/>
        </w:rPr>
      </w:pPr>
    </w:p>
    <w:p>
      <w:pPr>
        <w:jc w:val="both"/>
        <w:ind w:left="340" w:right="100" w:hanging="285"/>
        <w:spacing w:after="0" w:line="251" w:lineRule="auto"/>
        <w:tabs>
          <w:tab w:leader="none" w:pos="34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On November 12, 2018, pursuant to the Prior Zerza Employment Agreement, the Compensation Committee awarded Mr. Zerza PSUs. In accordance with ASC Topic 718, only the portion of the award for which the performance metrics were established during 2021 (i.e., one-third of the award) is reflected in this table. The PSUs reflected in this table vest on March 30, 2022, subject to Mr. Zerza’s continued employment through that date, by reference to the AB Adjusted OI objective set forth in our 2021 AOP as follows: (a) if actual performance is below 85% of the objective, no PSUs vest; (b) if actual performance falls between 85% and 125% of the objective, the number of PSUs that vest is between 85% and 125% of the target, determined using straight-line interpolation; and (c) if actual performance is 125% or more of the objective, 125% of the target number of PSUs vest. For more information on this award, see “—Outstanding Equity Awards” below.</w:t>
      </w:r>
    </w:p>
    <w:p>
      <w:pPr>
        <w:spacing w:after="0" w:line="201" w:lineRule="exact"/>
        <w:rPr>
          <w:rFonts w:ascii="Arial" w:cs="Arial" w:eastAsia="Arial" w:hAnsi="Arial"/>
          <w:sz w:val="15"/>
          <w:szCs w:val="15"/>
          <w:color w:val="auto"/>
        </w:rPr>
      </w:pPr>
    </w:p>
    <w:p>
      <w:pPr>
        <w:jc w:val="both"/>
        <w:ind w:left="340" w:right="100" w:hanging="285"/>
        <w:spacing w:after="0" w:line="251" w:lineRule="auto"/>
        <w:tabs>
          <w:tab w:leader="none" w:pos="34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On November 11, 2019, pursuant to the Prior Zerza Employment Agreement, the Compensation Committee awarded Mr. Zerza PSUs. In accordance with ASC Topic 718, only the portion of the award for which the performance metrics were established during 2021 (i.e., one-third of the award) is reflected in this table. The PSUs reflected in this table vest on March 30, 2023, subject to Mr. Zerza’s continued employment through that date, by reference to the AB Adjusted OI objective set forth in our 2021 AOP as follows: (a) if actual performance is below 85% of the objective, no PSUs vest; (b) if actual performance falls between 85% and 125% of the objective, the number of PSUs that vest is between 85% and 125% of the target, determined using straight-line interpolation; and (c) if actual performance is 125% or more of the objective, 125% of the target number of PSUs vest. For more information on this award, see “—Outstanding Equity Awards” below.</w:t>
      </w:r>
    </w:p>
    <w:p>
      <w:pPr>
        <w:spacing w:after="0" w:line="201" w:lineRule="exact"/>
        <w:rPr>
          <w:rFonts w:ascii="Arial" w:cs="Arial" w:eastAsia="Arial" w:hAnsi="Arial"/>
          <w:sz w:val="15"/>
          <w:szCs w:val="15"/>
          <w:color w:val="auto"/>
        </w:rPr>
      </w:pPr>
    </w:p>
    <w:p>
      <w:pPr>
        <w:jc w:val="both"/>
        <w:ind w:left="340" w:right="100" w:hanging="285"/>
        <w:spacing w:after="0" w:line="251" w:lineRule="auto"/>
        <w:tabs>
          <w:tab w:leader="none" w:pos="353" w:val="left"/>
        </w:tabs>
        <w:numPr>
          <w:ilvl w:val="0"/>
          <w:numId w:val="108"/>
        </w:numPr>
        <w:rPr>
          <w:rFonts w:ascii="Arial" w:cs="Arial" w:eastAsia="Arial" w:hAnsi="Arial"/>
          <w:sz w:val="15"/>
          <w:szCs w:val="15"/>
          <w:color w:val="auto"/>
        </w:rPr>
      </w:pPr>
      <w:r>
        <w:rPr>
          <w:rFonts w:ascii="Arial" w:cs="Arial" w:eastAsia="Arial" w:hAnsi="Arial"/>
          <w:sz w:val="15"/>
          <w:szCs w:val="15"/>
          <w:color w:val="auto"/>
        </w:rPr>
        <w:t>On November 20, 2020, pursuant to the Prior Zerza Employment Agreement, the Compensation Committee awarded Mr. Zerza PSUs. These PSUs vest on March 30, 2024, subject to Mr. Zerza’s continued employment through that date, by reference to the cumulative AB Adjusted OI objective for 2021–2023 established by the Compensation Committee as follows: (a) if actual performance is below 85% of the objective, no PSUs vest; (b) if actual performance falls between 85% and 125% of the objective, the number of PSUs that vest is between 85% and 125% of the target, determined using straight-line interpolation; and (c) if actual performance is 125% or more of the objective, 125% of the target number of PSUs vest. For more information on this award, see “— Outstanding Equity Awards” below.</w:t>
      </w:r>
    </w:p>
    <w:p>
      <w:pPr>
        <w:spacing w:after="0" w:line="23" w:lineRule="exact"/>
        <w:rPr>
          <w:rFonts w:ascii="Arial" w:cs="Arial" w:eastAsia="Arial" w:hAnsi="Arial"/>
          <w:sz w:val="15"/>
          <w:szCs w:val="15"/>
          <w:color w:val="auto"/>
        </w:rPr>
      </w:pPr>
    </w:p>
    <w:p>
      <w:pPr>
        <w:jc w:val="both"/>
        <w:ind w:left="340" w:right="100" w:hanging="285"/>
        <w:spacing w:after="0" w:line="250" w:lineRule="auto"/>
        <w:tabs>
          <w:tab w:leader="none" w:pos="353" w:val="left"/>
        </w:tabs>
        <w:numPr>
          <w:ilvl w:val="0"/>
          <w:numId w:val="108"/>
        </w:numPr>
        <w:rPr>
          <w:rFonts w:ascii="Arial" w:cs="Arial" w:eastAsia="Arial" w:hAnsi="Arial"/>
          <w:sz w:val="15"/>
          <w:szCs w:val="15"/>
          <w:color w:val="auto"/>
        </w:rPr>
      </w:pPr>
      <w:r>
        <w:rPr>
          <w:rFonts w:ascii="Arial" w:cs="Arial" w:eastAsia="Arial" w:hAnsi="Arial"/>
          <w:sz w:val="15"/>
          <w:szCs w:val="15"/>
          <w:color w:val="auto"/>
        </w:rPr>
        <w:t>On December 9, 2020, pursuant to the Prior Zerza Employment Agreement, the Compensation Committee awarded Mr. Zerza PSUs. In accordance with ASC Topic 718, only the portion of the award for which the performance metrics were established during 2021 (i.e., one-third of the award) is reflected in this table. The PSUs reflected in this table vest on March 30, 2024, subject to Mr. Zerza’s continued employment through that date, by reference to the AB Adjusted OI objective set forth in our 2021 AOP as follows: (a) if actual performance is below 90% of the objective, no PSUs vest; (b) if actual performance falls between 90% and 100% of the objective, the number of PSUs that vest is between 50% and 100% of the target, determined using straight-line interpolation; (c) if actual performance is 100% of the objective, 100% of the target number of PSUs vest; (d) if actual performance falls between 100% and 125% of the objective, the number of PSUs that vest is between 100% and 125% of the target, determined using straight-line interpolation; and (c) if actual performance is 125% or more of the objective, 125% of the target number of PSUs vest. For more information on this award, see “—Outstanding Equity Awards” below.</w:t>
      </w:r>
    </w:p>
    <w:p>
      <w:pPr>
        <w:sectPr>
          <w:pgSz w:w="11900" w:h="16838" w:orient="portrait"/>
          <w:cols w:equalWidth="0" w:num="1">
            <w:col w:w="11260"/>
          </w:cols>
          <w:pgMar w:left="320" w:top="144" w:right="319" w:bottom="1440" w:gutter="0" w:footer="0" w:header="0"/>
        </w:sectPr>
      </w:pPr>
    </w:p>
    <w:p>
      <w:pPr>
        <w:spacing w:after="0" w:line="303"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type w:val="continuous"/>
        </w:sectPr>
      </w:pPr>
    </w:p>
    <w:bookmarkStart w:id="95" w:name="page96"/>
    <w:bookmarkEnd w:id="95"/>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55" w:lineRule="exact"/>
        <w:rPr>
          <w:sz w:val="20"/>
          <w:szCs w:val="20"/>
          <w:color w:val="auto"/>
        </w:rPr>
      </w:pPr>
    </w:p>
    <w:p>
      <w:pPr>
        <w:jc w:val="both"/>
        <w:ind w:left="340" w:right="100" w:hanging="285"/>
        <w:spacing w:after="0" w:line="257" w:lineRule="auto"/>
        <w:tabs>
          <w:tab w:leader="none" w:pos="353" w:val="left"/>
        </w:tabs>
        <w:numPr>
          <w:ilvl w:val="0"/>
          <w:numId w:val="109"/>
        </w:numPr>
        <w:rPr>
          <w:rFonts w:ascii="Arial" w:cs="Arial" w:eastAsia="Arial" w:hAnsi="Arial"/>
          <w:sz w:val="15"/>
          <w:szCs w:val="15"/>
          <w:color w:val="auto"/>
        </w:rPr>
      </w:pPr>
      <w:r>
        <w:rPr>
          <w:rFonts w:ascii="Arial" w:cs="Arial" w:eastAsia="Arial" w:hAnsi="Arial"/>
          <w:sz w:val="15"/>
          <w:szCs w:val="15"/>
          <w:color w:val="auto"/>
        </w:rPr>
        <w:t>These equity awards were approved during a “trading blackout,” as described in our insider trading and pre-clearance policies, so, in accordance with our equity awarding procedures, the grant date of the awards was the first trading day after that trading blackout period was no longer in effect. See “— Compensation Discussion and Analysis—Additional Information—Equity Award Granting Policy” above.</w:t>
      </w:r>
    </w:p>
    <w:p>
      <w:pPr>
        <w:spacing w:after="0" w:line="16" w:lineRule="exact"/>
        <w:rPr>
          <w:rFonts w:ascii="Arial" w:cs="Arial" w:eastAsia="Arial" w:hAnsi="Arial"/>
          <w:sz w:val="15"/>
          <w:szCs w:val="15"/>
          <w:color w:val="auto"/>
        </w:rPr>
      </w:pPr>
    </w:p>
    <w:p>
      <w:pPr>
        <w:jc w:val="both"/>
        <w:ind w:left="340" w:right="100" w:hanging="285"/>
        <w:spacing w:after="0" w:line="252" w:lineRule="auto"/>
        <w:tabs>
          <w:tab w:leader="none" w:pos="353" w:val="left"/>
        </w:tabs>
        <w:numPr>
          <w:ilvl w:val="0"/>
          <w:numId w:val="109"/>
        </w:numPr>
        <w:rPr>
          <w:rFonts w:ascii="Arial" w:cs="Arial" w:eastAsia="Arial" w:hAnsi="Arial"/>
          <w:sz w:val="15"/>
          <w:szCs w:val="15"/>
          <w:color w:val="auto"/>
        </w:rPr>
      </w:pPr>
      <w:r>
        <w:rPr>
          <w:rFonts w:ascii="Arial" w:cs="Arial" w:eastAsia="Arial" w:hAnsi="Arial"/>
          <w:sz w:val="15"/>
          <w:szCs w:val="15"/>
          <w:color w:val="auto"/>
        </w:rPr>
        <w:t>On May 6, 2021, pursuant to the Zerza Employment Agreement, the Compensation Committee awarded Mr. Zerza PSUs. In accordance with ASC Topic 718, only the portion of the award for which the performance metrics were established during 2021 (i.e., one-half of the award) is reflected in this row of the table. These PSUs vest on March 31, 2024, subject to Mr. Zerza’s continued employment through that date, by reference to the cumulative AB Adjusted OI objective for 2021–2023 established by the Compensation Committee. For more information on this award see “—Employment Agreements—Armin Zerza—Contract Inducement—PSUs (AB Adjusted OI)” and “—Outstanding Equity Awards” below.</w:t>
      </w:r>
    </w:p>
    <w:p>
      <w:pPr>
        <w:spacing w:after="0" w:line="21" w:lineRule="exact"/>
        <w:rPr>
          <w:rFonts w:ascii="Arial" w:cs="Arial" w:eastAsia="Arial" w:hAnsi="Arial"/>
          <w:sz w:val="15"/>
          <w:szCs w:val="15"/>
          <w:color w:val="auto"/>
        </w:rPr>
      </w:pPr>
    </w:p>
    <w:p>
      <w:pPr>
        <w:jc w:val="both"/>
        <w:ind w:left="340" w:right="100" w:hanging="285"/>
        <w:spacing w:after="0" w:line="252" w:lineRule="auto"/>
        <w:tabs>
          <w:tab w:leader="none" w:pos="353" w:val="left"/>
        </w:tabs>
        <w:numPr>
          <w:ilvl w:val="0"/>
          <w:numId w:val="109"/>
        </w:numPr>
        <w:rPr>
          <w:rFonts w:ascii="Arial" w:cs="Arial" w:eastAsia="Arial" w:hAnsi="Arial"/>
          <w:sz w:val="15"/>
          <w:szCs w:val="15"/>
          <w:color w:val="auto"/>
        </w:rPr>
      </w:pPr>
      <w:r>
        <w:rPr>
          <w:rFonts w:ascii="Arial" w:cs="Arial" w:eastAsia="Arial" w:hAnsi="Arial"/>
          <w:sz w:val="15"/>
          <w:szCs w:val="15"/>
          <w:color w:val="auto"/>
        </w:rPr>
        <w:t>On May 6, 2021, pursuant to the Zerza Employment Agreement, the Compensation Committee awarded Mr. Zerza PSUs. In accordance with ASC Topic 718, only the portion of the award for which the performance metrics were established during 2021 (i.e., one-half of the award) is reflected in this row of the table. These PSUs vest on March 31, 2025, subject to Mr. Zerza’s continued employment through that date, by reference to the cumulative AB Adjusted OI objective for 2022–2024 established by the Compensation Committee. For more information on this award see “—Employment Agreements—Armin Zerza—Contract Inducement—PSUs (AB Adjusted OI)” and “—Outstanding Equity Awards” below.</w:t>
      </w:r>
    </w:p>
    <w:p>
      <w:pPr>
        <w:spacing w:after="0" w:line="21" w:lineRule="exact"/>
        <w:rPr>
          <w:rFonts w:ascii="Arial" w:cs="Arial" w:eastAsia="Arial" w:hAnsi="Arial"/>
          <w:sz w:val="15"/>
          <w:szCs w:val="15"/>
          <w:color w:val="auto"/>
        </w:rPr>
      </w:pPr>
    </w:p>
    <w:p>
      <w:pPr>
        <w:jc w:val="both"/>
        <w:ind w:left="340" w:right="100" w:hanging="285"/>
        <w:spacing w:after="0" w:line="252" w:lineRule="auto"/>
        <w:tabs>
          <w:tab w:leader="none" w:pos="353" w:val="left"/>
        </w:tabs>
        <w:numPr>
          <w:ilvl w:val="0"/>
          <w:numId w:val="109"/>
        </w:numPr>
        <w:rPr>
          <w:rFonts w:ascii="Arial" w:cs="Arial" w:eastAsia="Arial" w:hAnsi="Arial"/>
          <w:sz w:val="15"/>
          <w:szCs w:val="15"/>
          <w:color w:val="auto"/>
        </w:rPr>
      </w:pPr>
      <w:r>
        <w:rPr>
          <w:rFonts w:ascii="Arial" w:cs="Arial" w:eastAsia="Arial" w:hAnsi="Arial"/>
          <w:sz w:val="15"/>
          <w:szCs w:val="15"/>
          <w:color w:val="auto"/>
        </w:rPr>
        <w:t>On May 6, 2021, pursuant to the Zerza Employment Agreement, the Compensation Committee awarded Mr. Zerza PSUs. In accordance with ASC Topic 718, only the portion of the award for which the performance metrics were established during 2021 (i.e., one-half of the award) is reflected in this table. The PSUs vest on March 31, 2024, by reference to our cumulative TSR as compared to the rate of return of the S&amp;P 500 Total Return Index for the period from January 1, 2021, through December 31, 2023. For more information on this award see “—Employment Agreements—Armin Zerza—Contract Inducement—PSUs (Relative TSR)” and “—Outstanding Equity Awards” below.</w:t>
      </w:r>
    </w:p>
    <w:p>
      <w:pPr>
        <w:spacing w:after="0" w:line="21" w:lineRule="exact"/>
        <w:rPr>
          <w:rFonts w:ascii="Arial" w:cs="Arial" w:eastAsia="Arial" w:hAnsi="Arial"/>
          <w:sz w:val="15"/>
          <w:szCs w:val="15"/>
          <w:color w:val="auto"/>
        </w:rPr>
      </w:pPr>
    </w:p>
    <w:p>
      <w:pPr>
        <w:jc w:val="both"/>
        <w:ind w:left="340" w:right="100" w:hanging="285"/>
        <w:spacing w:after="0" w:line="254" w:lineRule="auto"/>
        <w:tabs>
          <w:tab w:leader="none" w:pos="353" w:val="left"/>
        </w:tabs>
        <w:numPr>
          <w:ilvl w:val="0"/>
          <w:numId w:val="109"/>
        </w:numPr>
        <w:rPr>
          <w:rFonts w:ascii="Arial" w:cs="Arial" w:eastAsia="Arial" w:hAnsi="Arial"/>
          <w:sz w:val="15"/>
          <w:szCs w:val="15"/>
          <w:color w:val="auto"/>
        </w:rPr>
      </w:pPr>
      <w:r>
        <w:rPr>
          <w:rFonts w:ascii="Arial" w:cs="Arial" w:eastAsia="Arial" w:hAnsi="Arial"/>
          <w:sz w:val="15"/>
          <w:szCs w:val="15"/>
          <w:color w:val="auto"/>
        </w:rPr>
        <w:t>On November 4, 2021, pursuant to the Zerza Employment Agreement, the Compensation Committee awarded Mr. Zerza PSUs. These PSUs vest on March 30, 2025, subject to Mr. Zerza’s continued employment through that date, by reference to the cumulative AB Adjusted OI objective for 2022–2024 established by the Compensation Committee. For more information on this award see “—Employment Agreements—Armin Zerza—Annual Equity Awards (Three-Year Performance)” and “—Outstanding Equity Awards” below.</w:t>
      </w:r>
    </w:p>
    <w:p>
      <w:pPr>
        <w:spacing w:after="0" w:line="18" w:lineRule="exact"/>
        <w:rPr>
          <w:rFonts w:ascii="Arial" w:cs="Arial" w:eastAsia="Arial" w:hAnsi="Arial"/>
          <w:sz w:val="15"/>
          <w:szCs w:val="15"/>
          <w:color w:val="auto"/>
        </w:rPr>
      </w:pPr>
    </w:p>
    <w:p>
      <w:pPr>
        <w:jc w:val="both"/>
        <w:ind w:left="340" w:right="100" w:hanging="285"/>
        <w:spacing w:after="0" w:line="254" w:lineRule="auto"/>
        <w:tabs>
          <w:tab w:leader="none" w:pos="353" w:val="left"/>
        </w:tabs>
        <w:numPr>
          <w:ilvl w:val="0"/>
          <w:numId w:val="109"/>
        </w:numPr>
        <w:rPr>
          <w:rFonts w:ascii="Arial" w:cs="Arial" w:eastAsia="Arial" w:hAnsi="Arial"/>
          <w:sz w:val="15"/>
          <w:szCs w:val="15"/>
          <w:color w:val="auto"/>
        </w:rPr>
      </w:pPr>
      <w:r>
        <w:rPr>
          <w:rFonts w:ascii="Arial" w:cs="Arial" w:eastAsia="Arial" w:hAnsi="Arial"/>
          <w:sz w:val="15"/>
          <w:szCs w:val="15"/>
          <w:color w:val="auto"/>
        </w:rPr>
        <w:t>On November 4, 2021, pursuant to the Zerza Employment Agreement, the Compensation Committee awarded Mr. Zerza PSUs. These PSUs vest on March 30, 2025, subject to Mr. Zerza’s continued employment through that date, by reference to the cumulative AB Adjusted EPS objective for 2022–2024 established by the Compensation Committee. For more information on this award see “—Employment Agreements—Armin Zerza—Annual Equity Awards (Three-Year Performance)” and “—Outstanding Equity Awards” below.</w:t>
      </w:r>
    </w:p>
    <w:p>
      <w:pPr>
        <w:spacing w:after="0" w:line="18" w:lineRule="exact"/>
        <w:rPr>
          <w:rFonts w:ascii="Arial" w:cs="Arial" w:eastAsia="Arial" w:hAnsi="Arial"/>
          <w:sz w:val="15"/>
          <w:szCs w:val="15"/>
          <w:color w:val="auto"/>
        </w:rPr>
      </w:pPr>
    </w:p>
    <w:p>
      <w:pPr>
        <w:jc w:val="both"/>
        <w:ind w:left="340" w:right="100" w:hanging="285"/>
        <w:spacing w:after="0" w:line="257" w:lineRule="auto"/>
        <w:tabs>
          <w:tab w:leader="none" w:pos="353" w:val="left"/>
        </w:tabs>
        <w:numPr>
          <w:ilvl w:val="0"/>
          <w:numId w:val="109"/>
        </w:numPr>
        <w:rPr>
          <w:rFonts w:ascii="Arial" w:cs="Arial" w:eastAsia="Arial" w:hAnsi="Arial"/>
          <w:sz w:val="15"/>
          <w:szCs w:val="15"/>
          <w:color w:val="auto"/>
        </w:rPr>
      </w:pPr>
      <w:r>
        <w:rPr>
          <w:rFonts w:ascii="Arial" w:cs="Arial" w:eastAsia="Arial" w:hAnsi="Arial"/>
          <w:sz w:val="15"/>
          <w:szCs w:val="15"/>
          <w:color w:val="auto"/>
        </w:rPr>
        <w:t>On May 6, 2021, pursuant to the Zerza Employment Agreement, the Compensation Committee awarded Mr. Zerza RSUs, which vest in three equal installments on March 31, 2022, 2023, and 2024, subject to Mr. Zerza’s continued employment through the relevant vesting date. For more information on this award see “—Employment Agreements—Armin Zerza—Contract Inducement—Restricted Share Units” and “—Outstanding Equity Awards” below.</w:t>
      </w:r>
    </w:p>
    <w:p>
      <w:pPr>
        <w:spacing w:after="0" w:line="16" w:lineRule="exact"/>
        <w:rPr>
          <w:rFonts w:ascii="Arial" w:cs="Arial" w:eastAsia="Arial" w:hAnsi="Arial"/>
          <w:sz w:val="15"/>
          <w:szCs w:val="15"/>
          <w:color w:val="auto"/>
        </w:rPr>
      </w:pPr>
    </w:p>
    <w:p>
      <w:pPr>
        <w:jc w:val="both"/>
        <w:ind w:left="340" w:right="100" w:hanging="285"/>
        <w:spacing w:after="0" w:line="257" w:lineRule="auto"/>
        <w:tabs>
          <w:tab w:leader="none" w:pos="353" w:val="left"/>
        </w:tabs>
        <w:numPr>
          <w:ilvl w:val="0"/>
          <w:numId w:val="109"/>
        </w:numPr>
        <w:rPr>
          <w:rFonts w:ascii="Arial" w:cs="Arial" w:eastAsia="Arial" w:hAnsi="Arial"/>
          <w:sz w:val="15"/>
          <w:szCs w:val="15"/>
          <w:color w:val="auto"/>
        </w:rPr>
      </w:pPr>
      <w:r>
        <w:rPr>
          <w:rFonts w:ascii="Arial" w:cs="Arial" w:eastAsia="Arial" w:hAnsi="Arial"/>
          <w:sz w:val="15"/>
          <w:szCs w:val="15"/>
          <w:color w:val="auto"/>
        </w:rPr>
        <w:t>On May 6, 2021, pursuant to the Zerza Employment Agreement, the Compensation Committee awarded Mr. Zerza 123,853 stock options, which vest in two equal installments on March 31, 2024, and 2025, subject to Mr. Zerza’s continued employment through the relevant vesting date. For more information on this award see “—Employment Agreements—Armin Zerza—Contract Inducement—Stock Options” and “—Outstanding Equity Awards” below.</w:t>
      </w:r>
    </w:p>
    <w:p>
      <w:pPr>
        <w:spacing w:after="0" w:line="16" w:lineRule="exact"/>
        <w:rPr>
          <w:rFonts w:ascii="Arial" w:cs="Arial" w:eastAsia="Arial" w:hAnsi="Arial"/>
          <w:sz w:val="15"/>
          <w:szCs w:val="15"/>
          <w:color w:val="auto"/>
        </w:rPr>
      </w:pPr>
    </w:p>
    <w:p>
      <w:pPr>
        <w:jc w:val="both"/>
        <w:ind w:left="340" w:right="100" w:hanging="285"/>
        <w:spacing w:after="0" w:line="254" w:lineRule="auto"/>
        <w:tabs>
          <w:tab w:leader="none" w:pos="353" w:val="left"/>
        </w:tabs>
        <w:numPr>
          <w:ilvl w:val="0"/>
          <w:numId w:val="109"/>
        </w:numPr>
        <w:rPr>
          <w:rFonts w:ascii="Arial" w:cs="Arial" w:eastAsia="Arial" w:hAnsi="Arial"/>
          <w:sz w:val="15"/>
          <w:szCs w:val="15"/>
          <w:color w:val="auto"/>
        </w:rPr>
      </w:pPr>
      <w:r>
        <w:rPr>
          <w:rFonts w:ascii="Arial" w:cs="Arial" w:eastAsia="Arial" w:hAnsi="Arial"/>
          <w:sz w:val="15"/>
          <w:szCs w:val="15"/>
          <w:color w:val="auto"/>
        </w:rPr>
        <w:t>Mr. Alegre has an opportunity to receive a bonus with a target amount of 100% of his base salary (which is reflected in the target column of this table). This target is increased by up to 100% of his base salary for each year in which AB Adjusted EPS is at least 10% greater than the EPS Objective. This additional opportunity is included in the maximum column of this table. For more information on Mr. Alegre’s bonus opportunity under the CAIP, see “—Employment Agreements—Daniel Alegre—Annual Bonus” below.</w:t>
      </w:r>
    </w:p>
    <w:p>
      <w:pPr>
        <w:spacing w:after="0" w:line="18" w:lineRule="exact"/>
        <w:rPr>
          <w:rFonts w:ascii="Arial" w:cs="Arial" w:eastAsia="Arial" w:hAnsi="Arial"/>
          <w:sz w:val="15"/>
          <w:szCs w:val="15"/>
          <w:color w:val="auto"/>
        </w:rPr>
      </w:pPr>
    </w:p>
    <w:p>
      <w:pPr>
        <w:jc w:val="both"/>
        <w:ind w:left="340" w:right="100" w:hanging="285"/>
        <w:spacing w:after="0" w:line="263" w:lineRule="auto"/>
        <w:tabs>
          <w:tab w:leader="none" w:pos="353" w:val="left"/>
        </w:tabs>
        <w:numPr>
          <w:ilvl w:val="0"/>
          <w:numId w:val="109"/>
        </w:numPr>
        <w:rPr>
          <w:rFonts w:ascii="Arial" w:cs="Arial" w:eastAsia="Arial" w:hAnsi="Arial"/>
          <w:sz w:val="15"/>
          <w:szCs w:val="15"/>
          <w:color w:val="auto"/>
        </w:rPr>
      </w:pPr>
      <w:r>
        <w:rPr>
          <w:rFonts w:ascii="Arial" w:cs="Arial" w:eastAsia="Arial" w:hAnsi="Arial"/>
          <w:sz w:val="15"/>
          <w:szCs w:val="15"/>
          <w:color w:val="auto"/>
        </w:rPr>
        <w:t>On May 7, 2020, pursuant to the Alegre Employment Agreement, the Compensation Committee awarded Mr. Alegre PSUs. These PSUs vested on January 15, 2021, after the Compensation Committee determined that Mr. Alegre satisfied the strategic objectives established for him for 2020 by our Chief Executive Officer.</w:t>
      </w:r>
    </w:p>
    <w:p>
      <w:pPr>
        <w:spacing w:after="0" w:line="192" w:lineRule="exact"/>
        <w:rPr>
          <w:rFonts w:ascii="Arial" w:cs="Arial" w:eastAsia="Arial" w:hAnsi="Arial"/>
          <w:sz w:val="15"/>
          <w:szCs w:val="15"/>
          <w:color w:val="auto"/>
        </w:rPr>
      </w:pPr>
    </w:p>
    <w:p>
      <w:pPr>
        <w:jc w:val="both"/>
        <w:ind w:left="340" w:right="100" w:hanging="285"/>
        <w:spacing w:after="0" w:line="249" w:lineRule="auto"/>
        <w:tabs>
          <w:tab w:leader="none" w:pos="353" w:val="left"/>
        </w:tabs>
        <w:numPr>
          <w:ilvl w:val="0"/>
          <w:numId w:val="109"/>
        </w:numPr>
        <w:rPr>
          <w:rFonts w:ascii="Arial" w:cs="Arial" w:eastAsia="Arial" w:hAnsi="Arial"/>
          <w:sz w:val="15"/>
          <w:szCs w:val="15"/>
          <w:color w:val="auto"/>
        </w:rPr>
      </w:pPr>
      <w:r>
        <w:rPr>
          <w:rFonts w:ascii="Arial" w:cs="Arial" w:eastAsia="Arial" w:hAnsi="Arial"/>
          <w:sz w:val="15"/>
          <w:szCs w:val="15"/>
          <w:color w:val="auto"/>
        </w:rPr>
        <w:t>On November 2, 2020, pursuant to the Alegre Employment Agreement, the Compensation Committee awarded Mr. Alegre PSUs. These PSUs vest on March 30, 2023, subject to Mr. Alegre’s continued employment through that date, by reference to AB Adjusted EPS for 2020 as compared to the EPS Objective for 2020 as follows: (a) if actual performance is less than 110% of the objective, no PSUs vest; (b) if actual performance is between 110% and 112% of the objective, the number of PSUs that vest is between 0% and 20% of the target, determined using straight-line interpolation; (c) if actual performance is 112% of the objective, 20% of the target number of PSUs vest; (d) if actual performance is between 112% and 114% of the objective, the number of PSUs that vest is between 20% and 40% of the target, determined using straight-line interpolation; (e) if actual performance is 114% of the objective, 40% of the target number of PSUs vest; (f) if actual performance is between 114% and 116% of the objective, the number of PSUs that vest is between 40% and 60% of the target, determined using straight-line interpolation; (g) if actual performance is 116% of the objective, 60% of the target number of PSUs vest; (h) if actual performance is between 116% and 118% of the objective, the number of PSUs that vest is between 60% and 80% of the target, determined using straight-line interpolation; (i) if actual performance is 118% of the objective, 80% of the target number of PSUs vest; (j) if actual performance is between 118% and 120% of the objective, the number of PSUs that vest is between 80% and 100% of the target, determined using straight-line interpolation; and (k) if actual performance is 120% or more of the objective, 100% of the target number of PSUs vest. For more information on this award see “—Outstanding Equity Awards” below.</w:t>
      </w:r>
    </w:p>
    <w:p>
      <w:pPr>
        <w:spacing w:after="0" w:line="206" w:lineRule="exact"/>
        <w:rPr>
          <w:rFonts w:ascii="Arial" w:cs="Arial" w:eastAsia="Arial" w:hAnsi="Arial"/>
          <w:sz w:val="15"/>
          <w:szCs w:val="15"/>
          <w:color w:val="auto"/>
        </w:rPr>
      </w:pPr>
    </w:p>
    <w:p>
      <w:pPr>
        <w:jc w:val="both"/>
        <w:ind w:left="340" w:right="100" w:hanging="285"/>
        <w:spacing w:after="0" w:line="251" w:lineRule="auto"/>
        <w:tabs>
          <w:tab w:leader="none" w:pos="353" w:val="left"/>
        </w:tabs>
        <w:numPr>
          <w:ilvl w:val="0"/>
          <w:numId w:val="109"/>
        </w:numPr>
        <w:rPr>
          <w:rFonts w:ascii="Arial" w:cs="Arial" w:eastAsia="Arial" w:hAnsi="Arial"/>
          <w:sz w:val="15"/>
          <w:szCs w:val="15"/>
          <w:color w:val="auto"/>
        </w:rPr>
      </w:pPr>
      <w:r>
        <w:rPr>
          <w:rFonts w:ascii="Arial" w:cs="Arial" w:eastAsia="Arial" w:hAnsi="Arial"/>
          <w:sz w:val="15"/>
          <w:szCs w:val="15"/>
          <w:color w:val="auto"/>
        </w:rPr>
        <w:t>On May 7, 2020, pursuant to the Alegre Employment Agreement, the Compensation Committee awarded Mr. Alegre PSUs. In accordance with ASC Topic 718, only the portion of the award for which the performance metrics were established during 2021 (i.e., one-third of the award) is reflected in this table. The PSUs reflected in this table vest on March 30, 2022, subject to Mr. Alegre’s continued employment through that date, by reference to the AB Adjusted OI objective set forth in our 2020 AOP as follows: (a) if actual performance is below 85% of the objective, no PSUs vest; (b) if actual performance falls between 85% and 88.99% of the objective, 50% of the target number of PSUs vest; (c) if actual performance is between 90% and 250% of the target, the number of PSUs that vest is between 90% and 250% of the target, determined using straight-line interpolation; and (c) if actual performance is 250% or more of the objective, 250% of the target number of PSUs vest. For more information on this award see “—Outstanding Equity Awards” below.</w:t>
      </w:r>
    </w:p>
    <w:p>
      <w:pPr>
        <w:spacing w:after="0" w:line="299"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96" w:name="page97"/>
    <w:bookmarkEnd w:id="96"/>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55" w:lineRule="exact"/>
        <w:rPr>
          <w:sz w:val="20"/>
          <w:szCs w:val="20"/>
          <w:color w:val="auto"/>
        </w:rPr>
      </w:pPr>
    </w:p>
    <w:p>
      <w:pPr>
        <w:jc w:val="both"/>
        <w:ind w:left="340" w:right="100" w:hanging="285"/>
        <w:spacing w:after="0" w:line="251" w:lineRule="auto"/>
        <w:tabs>
          <w:tab w:leader="none" w:pos="353" w:val="left"/>
        </w:tabs>
        <w:numPr>
          <w:ilvl w:val="0"/>
          <w:numId w:val="110"/>
        </w:numPr>
        <w:rPr>
          <w:rFonts w:ascii="Arial" w:cs="Arial" w:eastAsia="Arial" w:hAnsi="Arial"/>
          <w:sz w:val="15"/>
          <w:szCs w:val="15"/>
          <w:color w:val="auto"/>
        </w:rPr>
      </w:pPr>
      <w:r>
        <w:rPr>
          <w:rFonts w:ascii="Arial" w:cs="Arial" w:eastAsia="Arial" w:hAnsi="Arial"/>
          <w:sz w:val="15"/>
          <w:szCs w:val="15"/>
          <w:color w:val="auto"/>
        </w:rPr>
        <w:t>On May 7, 2020, pursuant to the Alegre Employment Agreement, the Compensation Committee awarded Mr. Alegre PSUs. In accordance with ASC Topic 718, only the portion of the award for which the performance metrics were established during 2021 (i.e., one-third of the award) is reflected in this table. The PSUs reflected in this table vest on March 30, 2022, subject to Mr. Alegre’s continued employment through that date, by reference to the AB Adjusted EPS objective set forth in our 2021 AOP as follows: (a) if actual performance is below 85% of the objective, no PSUs vest; (b) if actual performance falls between 85% and 88.99% of the objective, 50% of the target number of PSUs vest; (c) if actual performance is between 90% and 200% of the target, the number of PSUs that vest is between 90% and 200% of the target, determined using straight-line interpolation; and (c) if actual performance is 200% or more of the objective, 200% of the target number of PSUs vest. For more information on this award see “—Outstanding Equity Awards” below.</w:t>
      </w:r>
    </w:p>
    <w:p>
      <w:pPr>
        <w:spacing w:after="0" w:line="21" w:lineRule="exact"/>
        <w:rPr>
          <w:rFonts w:ascii="Arial" w:cs="Arial" w:eastAsia="Arial" w:hAnsi="Arial"/>
          <w:sz w:val="15"/>
          <w:szCs w:val="15"/>
          <w:color w:val="auto"/>
        </w:rPr>
      </w:pPr>
    </w:p>
    <w:p>
      <w:pPr>
        <w:jc w:val="both"/>
        <w:ind w:left="340" w:right="100" w:hanging="285"/>
        <w:spacing w:after="0" w:line="252" w:lineRule="auto"/>
        <w:tabs>
          <w:tab w:leader="none" w:pos="353" w:val="left"/>
        </w:tabs>
        <w:numPr>
          <w:ilvl w:val="0"/>
          <w:numId w:val="110"/>
        </w:numPr>
        <w:rPr>
          <w:rFonts w:ascii="Arial" w:cs="Arial" w:eastAsia="Arial" w:hAnsi="Arial"/>
          <w:sz w:val="15"/>
          <w:szCs w:val="15"/>
          <w:color w:val="auto"/>
        </w:rPr>
      </w:pPr>
      <w:r>
        <w:rPr>
          <w:rFonts w:ascii="Arial" w:cs="Arial" w:eastAsia="Arial" w:hAnsi="Arial"/>
          <w:sz w:val="15"/>
          <w:szCs w:val="15"/>
          <w:color w:val="auto"/>
        </w:rPr>
        <w:t>On November 2, 2020, pursuant to the Alegre Employment Agreement, the Compensation Committee awarded Mr. Alegre PSUs. These PSUs vest on March 30, 2024, subject to Mr. Alegre’s continued employment through that date, by reference to the cumulative AB Adjusted OI objective for 2021–2023 established by the Compensation Committee as follows: (a) if actual performance is below 85% of the objective, no PSUs vest; (b) if actual performance falls between 85% and 125% of the objective, the number of PSUs that vest is between 85% and 125% of the target, determined using straight-line interpolation; and (c) if actual performance is 125% or more of the objective, 125% of the target number of PSUs vest. For more information on this award see “—Outstanding Equity Awards” below.</w:t>
      </w:r>
    </w:p>
    <w:p>
      <w:pPr>
        <w:spacing w:after="0" w:line="200" w:lineRule="exact"/>
        <w:rPr>
          <w:rFonts w:ascii="Arial" w:cs="Arial" w:eastAsia="Arial" w:hAnsi="Arial"/>
          <w:sz w:val="15"/>
          <w:szCs w:val="15"/>
          <w:color w:val="auto"/>
        </w:rPr>
      </w:pPr>
    </w:p>
    <w:p>
      <w:pPr>
        <w:jc w:val="both"/>
        <w:ind w:left="340" w:right="100" w:hanging="285"/>
        <w:spacing w:after="0" w:line="252" w:lineRule="auto"/>
        <w:tabs>
          <w:tab w:leader="none" w:pos="353" w:val="left"/>
        </w:tabs>
        <w:numPr>
          <w:ilvl w:val="0"/>
          <w:numId w:val="110"/>
        </w:numPr>
        <w:rPr>
          <w:rFonts w:ascii="Arial" w:cs="Arial" w:eastAsia="Arial" w:hAnsi="Arial"/>
          <w:sz w:val="15"/>
          <w:szCs w:val="15"/>
          <w:color w:val="auto"/>
        </w:rPr>
      </w:pPr>
      <w:r>
        <w:rPr>
          <w:rFonts w:ascii="Arial" w:cs="Arial" w:eastAsia="Arial" w:hAnsi="Arial"/>
          <w:sz w:val="15"/>
          <w:szCs w:val="15"/>
          <w:color w:val="auto"/>
        </w:rPr>
        <w:t>On May 7, 2020, pursuant to the Alegre Employment Agreement, the Compensation Committee awarded Mr. Alegre performance-vesting stock options to purchase shares of our Common Stock. In accordance with ASC Topic 718, only the portion of the award for which the performance metrics were established during 2021 (i.e., one-third of the award) is reflected in this table. The options vest on March 30, 2022, subject to Mr. Alegre’s continued employment through that date, if AB Adjusted OI for 2021 is at least 50% of target objective set forth in our 2021 AOP. For more information on this award see “—Outstanding Equity Awards” below.</w:t>
      </w:r>
    </w:p>
    <w:p>
      <w:pPr>
        <w:spacing w:after="0" w:line="21" w:lineRule="exact"/>
        <w:rPr>
          <w:rFonts w:ascii="Arial" w:cs="Arial" w:eastAsia="Arial" w:hAnsi="Arial"/>
          <w:sz w:val="15"/>
          <w:szCs w:val="15"/>
          <w:color w:val="auto"/>
        </w:rPr>
      </w:pPr>
    </w:p>
    <w:p>
      <w:pPr>
        <w:jc w:val="both"/>
        <w:ind w:left="340" w:right="100" w:hanging="285"/>
        <w:spacing w:after="0" w:line="252" w:lineRule="auto"/>
        <w:tabs>
          <w:tab w:leader="none" w:pos="353" w:val="left"/>
        </w:tabs>
        <w:numPr>
          <w:ilvl w:val="0"/>
          <w:numId w:val="110"/>
        </w:numPr>
        <w:rPr>
          <w:rFonts w:ascii="Arial" w:cs="Arial" w:eastAsia="Arial" w:hAnsi="Arial"/>
          <w:sz w:val="15"/>
          <w:szCs w:val="15"/>
          <w:color w:val="auto"/>
        </w:rPr>
      </w:pPr>
      <w:r>
        <w:rPr>
          <w:rFonts w:ascii="Arial" w:cs="Arial" w:eastAsia="Arial" w:hAnsi="Arial"/>
          <w:sz w:val="15"/>
          <w:szCs w:val="15"/>
          <w:color w:val="auto"/>
        </w:rPr>
        <w:t>On October 29, 2021, pursuant to the Alegre Employment Agreement, the Compensation Committee awarded Mr. Alegre PSUs. Mr. Alegre renounced those awards when he was notified that they had been granted, and he did not receive any other form of compensation in lieu thereof and no amounts in respect thereof are shown in this table. The awards consisted of two grants—one for 43,969 PSUs, which would have vested on March 30, 2025, and another for 36,641 PSUs, which would have vested on March 30, 2024, both subject to Mr. Alegre’s continued employment through the applicable vesting date and satisfaction of certain performance conditions. For more information on these awards see “—Employment Agreements—Daniel Alegre—Annual Equity Awards” below.</w:t>
      </w:r>
    </w:p>
    <w:p>
      <w:pPr>
        <w:spacing w:after="0" w:line="200" w:lineRule="exact"/>
        <w:rPr>
          <w:rFonts w:ascii="Arial" w:cs="Arial" w:eastAsia="Arial" w:hAnsi="Arial"/>
          <w:sz w:val="15"/>
          <w:szCs w:val="15"/>
          <w:color w:val="auto"/>
        </w:rPr>
      </w:pPr>
    </w:p>
    <w:p>
      <w:pPr>
        <w:ind w:left="340" w:right="100" w:hanging="285"/>
        <w:spacing w:after="0" w:line="266" w:lineRule="auto"/>
        <w:tabs>
          <w:tab w:leader="none" w:pos="353" w:val="left"/>
        </w:tabs>
        <w:numPr>
          <w:ilvl w:val="0"/>
          <w:numId w:val="110"/>
        </w:numPr>
        <w:rPr>
          <w:rFonts w:ascii="Arial" w:cs="Arial" w:eastAsia="Arial" w:hAnsi="Arial"/>
          <w:sz w:val="15"/>
          <w:szCs w:val="15"/>
          <w:color w:val="auto"/>
        </w:rPr>
      </w:pPr>
      <w:r>
        <w:rPr>
          <w:rFonts w:ascii="Arial" w:cs="Arial" w:eastAsia="Arial" w:hAnsi="Arial"/>
          <w:sz w:val="15"/>
          <w:szCs w:val="15"/>
          <w:color w:val="auto"/>
        </w:rPr>
        <w:t>Mr. Bulatao’s employment with us began on February 1, 2021, and his threshold, target, and maximum bonus amounts under the CAIP for 2021 were based, in part, on the portion of time for which he was our employee during the year.</w:t>
      </w:r>
    </w:p>
    <w:p>
      <w:pPr>
        <w:spacing w:after="0" w:line="9" w:lineRule="exact"/>
        <w:rPr>
          <w:rFonts w:ascii="Arial" w:cs="Arial" w:eastAsia="Arial" w:hAnsi="Arial"/>
          <w:sz w:val="15"/>
          <w:szCs w:val="15"/>
          <w:color w:val="auto"/>
        </w:rPr>
      </w:pPr>
    </w:p>
    <w:p>
      <w:pPr>
        <w:jc w:val="both"/>
        <w:ind w:left="340" w:right="100" w:hanging="285"/>
        <w:spacing w:after="0" w:line="251" w:lineRule="auto"/>
        <w:tabs>
          <w:tab w:leader="none" w:pos="353" w:val="left"/>
        </w:tabs>
        <w:numPr>
          <w:ilvl w:val="0"/>
          <w:numId w:val="110"/>
        </w:numPr>
        <w:rPr>
          <w:rFonts w:ascii="Arial" w:cs="Arial" w:eastAsia="Arial" w:hAnsi="Arial"/>
          <w:sz w:val="15"/>
          <w:szCs w:val="15"/>
          <w:color w:val="auto"/>
        </w:rPr>
      </w:pPr>
      <w:r>
        <w:rPr>
          <w:rFonts w:ascii="Arial" w:cs="Arial" w:eastAsia="Arial" w:hAnsi="Arial"/>
          <w:sz w:val="15"/>
          <w:szCs w:val="15"/>
          <w:color w:val="auto"/>
        </w:rPr>
        <w:t>On March 9, 2021, pursuant to the Bulatao Employment Agreement, the Compensation Committee awarded Mr. Bulatao PSUs. In accordance with ASC Topic 718, only the portion of the award for which the performance metrics were established during 2021 (i.e., two-thirds of the award) is reflected in this table. One-quarter of the PSUs reflected in this table vest on March 30, 2022, by reference to our cumulative TSR as compared to the rate of return of the S&amp;P 500 Total Return Index for the period from February 1, 2021, through December 31, 2021. Three-quarters of the PSUs reflected in this table vest on March 30, 2024, by reference to our cumulative TSR as compared to the rate of return of the S&amp;P 500 Total Return Index for the period from February 1, 2021 through December 31, 2023. For more information on this award see “—Employment Agreements—Brian Bulatao—Contract Inducement—PSUs (Relative TSR)” and “— Outstanding Equity Awards” below.</w:t>
      </w:r>
    </w:p>
    <w:p>
      <w:pPr>
        <w:spacing w:after="0" w:line="21" w:lineRule="exact"/>
        <w:rPr>
          <w:rFonts w:ascii="Arial" w:cs="Arial" w:eastAsia="Arial" w:hAnsi="Arial"/>
          <w:sz w:val="15"/>
          <w:szCs w:val="15"/>
          <w:color w:val="auto"/>
        </w:rPr>
      </w:pPr>
    </w:p>
    <w:p>
      <w:pPr>
        <w:jc w:val="both"/>
        <w:ind w:left="340" w:right="100" w:hanging="285"/>
        <w:spacing w:after="0" w:line="252" w:lineRule="auto"/>
        <w:tabs>
          <w:tab w:leader="none" w:pos="353" w:val="left"/>
        </w:tabs>
        <w:numPr>
          <w:ilvl w:val="0"/>
          <w:numId w:val="110"/>
        </w:numPr>
        <w:rPr>
          <w:rFonts w:ascii="Arial" w:cs="Arial" w:eastAsia="Arial" w:hAnsi="Arial"/>
          <w:sz w:val="15"/>
          <w:szCs w:val="15"/>
          <w:color w:val="auto"/>
        </w:rPr>
      </w:pPr>
      <w:r>
        <w:rPr>
          <w:rFonts w:ascii="Arial" w:cs="Arial" w:eastAsia="Arial" w:hAnsi="Arial"/>
          <w:sz w:val="15"/>
          <w:szCs w:val="15"/>
          <w:color w:val="auto"/>
        </w:rPr>
        <w:t>On March 9, 2021, pursuant to the Bulatao Employment Agreement, the Compensation Committee awarded Mr. Bulatao PSUs. In accordance with ASC Topic 718, only the portion of the award for which the performance metrics were established during 2021 (i.e., one-third of the award) is reflected in this table. The PSUs reflected in this table vest on March 30, 2022, based on the level of the Company’s performance measured by reference to the AB Adjusted OI objective set forth in 2021 AOP. For more information on this award see “—Employment Agreements—Brian Bulatao—Contract Inducement—PSUs (AB Adjusted OI)” and “—Outstanding Equity Awards” below.</w:t>
      </w:r>
    </w:p>
    <w:p>
      <w:pPr>
        <w:spacing w:after="0" w:line="21" w:lineRule="exact"/>
        <w:rPr>
          <w:rFonts w:ascii="Arial" w:cs="Arial" w:eastAsia="Arial" w:hAnsi="Arial"/>
          <w:sz w:val="15"/>
          <w:szCs w:val="15"/>
          <w:color w:val="auto"/>
        </w:rPr>
      </w:pPr>
    </w:p>
    <w:p>
      <w:pPr>
        <w:jc w:val="both"/>
        <w:ind w:left="340" w:right="100" w:hanging="285"/>
        <w:spacing w:after="0" w:line="252" w:lineRule="auto"/>
        <w:tabs>
          <w:tab w:leader="none" w:pos="353" w:val="left"/>
        </w:tabs>
        <w:numPr>
          <w:ilvl w:val="0"/>
          <w:numId w:val="110"/>
        </w:numPr>
        <w:rPr>
          <w:rFonts w:ascii="Arial" w:cs="Arial" w:eastAsia="Arial" w:hAnsi="Arial"/>
          <w:sz w:val="15"/>
          <w:szCs w:val="15"/>
          <w:color w:val="auto"/>
        </w:rPr>
      </w:pPr>
      <w:r>
        <w:rPr>
          <w:rFonts w:ascii="Arial" w:cs="Arial" w:eastAsia="Arial" w:hAnsi="Arial"/>
          <w:sz w:val="15"/>
          <w:szCs w:val="15"/>
          <w:color w:val="auto"/>
        </w:rPr>
        <w:t>On March 9, 2021, pursuant to the Bulatao Employment Agreement, the Compensation Committee awarded Mr. Bulatao PSUs. In accordance with ASC Topic 718, only the portion of the award for which the performance metrics were established during 2021 (i.e., one-third of the award) is reflected in this table. The PSUs reflected in this table vest on March 30, 2022, based on the level of the Company’s performance measured by reference to the AB Adjusted EPS objective set forth in 2021 AOP. For more information on this award see “—Employment Agreements—Brian Bulatao—Contract Inducement—PSUs (AB Adjusted EPS)” and “—Outstanding Equity Awards” below.</w:t>
      </w:r>
    </w:p>
    <w:p>
      <w:pPr>
        <w:spacing w:after="0" w:line="21" w:lineRule="exact"/>
        <w:rPr>
          <w:rFonts w:ascii="Arial" w:cs="Arial" w:eastAsia="Arial" w:hAnsi="Arial"/>
          <w:sz w:val="15"/>
          <w:szCs w:val="15"/>
          <w:color w:val="auto"/>
        </w:rPr>
      </w:pPr>
    </w:p>
    <w:p>
      <w:pPr>
        <w:jc w:val="both"/>
        <w:ind w:left="340" w:right="100" w:hanging="285"/>
        <w:spacing w:after="0" w:line="254" w:lineRule="auto"/>
        <w:tabs>
          <w:tab w:leader="none" w:pos="353" w:val="left"/>
        </w:tabs>
        <w:numPr>
          <w:ilvl w:val="0"/>
          <w:numId w:val="110"/>
        </w:numPr>
        <w:rPr>
          <w:rFonts w:ascii="Arial" w:cs="Arial" w:eastAsia="Arial" w:hAnsi="Arial"/>
          <w:sz w:val="15"/>
          <w:szCs w:val="15"/>
          <w:color w:val="auto"/>
        </w:rPr>
      </w:pPr>
      <w:r>
        <w:rPr>
          <w:rFonts w:ascii="Arial" w:cs="Arial" w:eastAsia="Arial" w:hAnsi="Arial"/>
          <w:sz w:val="15"/>
          <w:szCs w:val="15"/>
          <w:color w:val="auto"/>
        </w:rPr>
        <w:t>On March 9, 2021, pursuant to the Bulatao Employment Agreement, the Compensation Committee awarded Mr. Bulatao PSUs. These PSUs a vest on March 30, 2024, subject to Mr. Bulatao’s continued employment through that date, by reference to the cumulative AB Adjusted OI objective for 2021–2023 established by the Compensation Committee. For more information on this award see “—Employment Agreements—Brian Bulatao—Annual Equity Awards” and “—Outstanding Equity Awards” below.</w:t>
      </w:r>
    </w:p>
    <w:p>
      <w:pPr>
        <w:spacing w:after="0" w:line="18" w:lineRule="exact"/>
        <w:rPr>
          <w:rFonts w:ascii="Arial" w:cs="Arial" w:eastAsia="Arial" w:hAnsi="Arial"/>
          <w:sz w:val="15"/>
          <w:szCs w:val="15"/>
          <w:color w:val="auto"/>
        </w:rPr>
      </w:pPr>
    </w:p>
    <w:p>
      <w:pPr>
        <w:jc w:val="both"/>
        <w:ind w:left="340" w:right="100" w:hanging="285"/>
        <w:spacing w:after="0" w:line="254" w:lineRule="auto"/>
        <w:tabs>
          <w:tab w:leader="none" w:pos="353" w:val="left"/>
        </w:tabs>
        <w:numPr>
          <w:ilvl w:val="0"/>
          <w:numId w:val="110"/>
        </w:numPr>
        <w:rPr>
          <w:rFonts w:ascii="Arial" w:cs="Arial" w:eastAsia="Arial" w:hAnsi="Arial"/>
          <w:sz w:val="15"/>
          <w:szCs w:val="15"/>
          <w:color w:val="auto"/>
        </w:rPr>
      </w:pPr>
      <w:r>
        <w:rPr>
          <w:rFonts w:ascii="Arial" w:cs="Arial" w:eastAsia="Arial" w:hAnsi="Arial"/>
          <w:sz w:val="15"/>
          <w:szCs w:val="15"/>
          <w:color w:val="auto"/>
        </w:rPr>
        <w:t>On November 4, 2021, pursuant to the Bulatao Employment Agreement, the Compensation Committee awarded Mr. Bulatao PSUs. These PSUs vest on March 30, 2025, subject to Mr. Bulatao’s continued employment through that date, by reference to the cumulative AB Adjusted OI objective for 2022–2024 established by the Compensation Committee. For more information on this award see “—Employment Agreements—Brian Bulatao—Annual Equity Awards” and “—Outstanding Equity Awards” below.</w:t>
      </w:r>
    </w:p>
    <w:p>
      <w:pPr>
        <w:spacing w:after="0" w:line="18" w:lineRule="exact"/>
        <w:rPr>
          <w:rFonts w:ascii="Arial" w:cs="Arial" w:eastAsia="Arial" w:hAnsi="Arial"/>
          <w:sz w:val="15"/>
          <w:szCs w:val="15"/>
          <w:color w:val="auto"/>
        </w:rPr>
      </w:pPr>
    </w:p>
    <w:p>
      <w:pPr>
        <w:jc w:val="both"/>
        <w:ind w:left="340" w:right="100" w:hanging="285"/>
        <w:spacing w:after="0" w:line="251" w:lineRule="auto"/>
        <w:tabs>
          <w:tab w:leader="none" w:pos="353" w:val="left"/>
        </w:tabs>
        <w:numPr>
          <w:ilvl w:val="0"/>
          <w:numId w:val="110"/>
        </w:numPr>
        <w:rPr>
          <w:rFonts w:ascii="Arial" w:cs="Arial" w:eastAsia="Arial" w:hAnsi="Arial"/>
          <w:sz w:val="15"/>
          <w:szCs w:val="15"/>
          <w:color w:val="auto"/>
        </w:rPr>
      </w:pPr>
      <w:r>
        <w:rPr>
          <w:rFonts w:ascii="Arial" w:cs="Arial" w:eastAsia="Arial" w:hAnsi="Arial"/>
          <w:sz w:val="15"/>
          <w:szCs w:val="15"/>
          <w:color w:val="auto"/>
        </w:rPr>
        <w:t>On March 9, 2021, pursuant to the Bulatao Employment Agreement, the Compensation Committee awarded Mr. Bulatao performance-vesting stock options, one-third of which vest on each of March 30, 2022, 2023, and 2024, in each case if the AB Adjusted OI for the year immediately preceding such vesting date is 50% or more of the AB Adjusted OI objective set forth in our AOP for that year and subject to Mr. Bulatao’s continued employment through the relevant vesting date. In accordance with ASC Topic 718, only the portion of the award for which the performance metrics were established during 2021 (i.e., one-third of the award) is reflected in this table. For more information on this award see “—Employment Agreements—Brian Bulatao—Contract Inducement— Performance-Vesting Stock Options” and “—Outstanding Equity Awards” below.</w:t>
      </w:r>
    </w:p>
    <w:p>
      <w:pPr>
        <w:spacing w:after="0" w:line="23" w:lineRule="exact"/>
        <w:rPr>
          <w:rFonts w:ascii="Arial" w:cs="Arial" w:eastAsia="Arial" w:hAnsi="Arial"/>
          <w:sz w:val="15"/>
          <w:szCs w:val="15"/>
          <w:color w:val="auto"/>
        </w:rPr>
      </w:pPr>
    </w:p>
    <w:p>
      <w:pPr>
        <w:ind w:left="340" w:right="100" w:hanging="285"/>
        <w:spacing w:after="0" w:line="266" w:lineRule="auto"/>
        <w:tabs>
          <w:tab w:leader="none" w:pos="353" w:val="left"/>
        </w:tabs>
        <w:numPr>
          <w:ilvl w:val="0"/>
          <w:numId w:val="110"/>
        </w:numPr>
        <w:rPr>
          <w:rFonts w:ascii="Arial" w:cs="Arial" w:eastAsia="Arial" w:hAnsi="Arial"/>
          <w:sz w:val="15"/>
          <w:szCs w:val="15"/>
          <w:color w:val="auto"/>
        </w:rPr>
      </w:pPr>
      <w:r>
        <w:rPr>
          <w:rFonts w:ascii="Arial" w:cs="Arial" w:eastAsia="Arial" w:hAnsi="Arial"/>
          <w:sz w:val="15"/>
          <w:szCs w:val="15"/>
          <w:color w:val="auto"/>
        </w:rPr>
        <w:t>Mr. Dixton’s employment with us began on June 14, 2021, and his threshold, target, and maximum bonus amounts under the CAIP for 2021 were based, in part, on the portion of time for which he was our employee during the year.</w:t>
      </w:r>
    </w:p>
    <w:p>
      <w:pPr>
        <w:spacing w:after="0" w:line="9" w:lineRule="exact"/>
        <w:rPr>
          <w:rFonts w:ascii="Arial" w:cs="Arial" w:eastAsia="Arial" w:hAnsi="Arial"/>
          <w:sz w:val="15"/>
          <w:szCs w:val="15"/>
          <w:color w:val="auto"/>
        </w:rPr>
      </w:pPr>
    </w:p>
    <w:p>
      <w:pPr>
        <w:jc w:val="both"/>
        <w:ind w:left="340" w:right="100" w:hanging="285"/>
        <w:spacing w:after="0" w:line="252" w:lineRule="auto"/>
        <w:tabs>
          <w:tab w:leader="none" w:pos="353" w:val="left"/>
        </w:tabs>
        <w:numPr>
          <w:ilvl w:val="0"/>
          <w:numId w:val="110"/>
        </w:numPr>
        <w:rPr>
          <w:rFonts w:ascii="Arial" w:cs="Arial" w:eastAsia="Arial" w:hAnsi="Arial"/>
          <w:sz w:val="15"/>
          <w:szCs w:val="15"/>
          <w:color w:val="auto"/>
        </w:rPr>
      </w:pPr>
      <w:r>
        <w:rPr>
          <w:rFonts w:ascii="Arial" w:cs="Arial" w:eastAsia="Arial" w:hAnsi="Arial"/>
          <w:sz w:val="15"/>
          <w:szCs w:val="15"/>
          <w:color w:val="auto"/>
        </w:rPr>
        <w:t>On August 5, 2021, pursuant to the Dixton Employment Agreement, the Compensation Committee awarded Mr. Dixton PSUs. In accordance with ASC Topic 718, only the portion of the award for which the performance metrics were established during 2021 (i.e., one-third of the award) is reflected in this table. The PSUs reflected in this table vest on June 29, 2022, based on the level of the Company’s performance measured by reference to the AB Adjusted OI objective set forth in 2021 AOP. For more information on this award see “—Employment Agreements—Grant Dixton—Contract Inducement—PSUs (AB Adjusted OI)” and “—Outstanding Equity Awards” below.</w:t>
      </w:r>
    </w:p>
    <w:p>
      <w:pPr>
        <w:spacing w:after="0" w:line="300"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97" w:name="page98"/>
    <w:bookmarkEnd w:id="97"/>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55" w:lineRule="exact"/>
        <w:rPr>
          <w:sz w:val="20"/>
          <w:szCs w:val="20"/>
          <w:color w:val="auto"/>
        </w:rPr>
      </w:pPr>
    </w:p>
    <w:p>
      <w:pPr>
        <w:jc w:val="both"/>
        <w:ind w:left="340" w:right="100" w:hanging="285"/>
        <w:spacing w:after="0" w:line="252" w:lineRule="auto"/>
        <w:tabs>
          <w:tab w:leader="none" w:pos="353" w:val="left"/>
        </w:tabs>
        <w:numPr>
          <w:ilvl w:val="0"/>
          <w:numId w:val="111"/>
        </w:numPr>
        <w:rPr>
          <w:rFonts w:ascii="Arial" w:cs="Arial" w:eastAsia="Arial" w:hAnsi="Arial"/>
          <w:sz w:val="15"/>
          <w:szCs w:val="15"/>
          <w:color w:val="auto"/>
        </w:rPr>
      </w:pPr>
      <w:r>
        <w:rPr>
          <w:rFonts w:ascii="Arial" w:cs="Arial" w:eastAsia="Arial" w:hAnsi="Arial"/>
          <w:sz w:val="15"/>
          <w:szCs w:val="15"/>
          <w:color w:val="auto"/>
        </w:rPr>
        <w:t>On August 5, 2021, pursuant to the Dixton Employment Agreement, the Compensation Committee awarded Mr. Dixton PSUs. In accordance with ASC Topic 718, only the portion of the award for which the performance metrics were established during 2021 (i.e., one-third of the award) is reflected in this table. The PSUs reflected in this table vest on June 29, 2022, based on the level of the Company’s performance measured by reference to the AB Adjusted EPS objective set forth in 2021 AOP. For more information on this award see “—Employment Agreements—Grant Dixton—Contract Inducement—PSUs (AB Adjusted EPS)” and “—Outstanding Equity Awards” below.</w:t>
      </w:r>
    </w:p>
    <w:p>
      <w:pPr>
        <w:spacing w:after="0" w:line="21" w:lineRule="exact"/>
        <w:rPr>
          <w:rFonts w:ascii="Arial" w:cs="Arial" w:eastAsia="Arial" w:hAnsi="Arial"/>
          <w:sz w:val="15"/>
          <w:szCs w:val="15"/>
          <w:color w:val="auto"/>
        </w:rPr>
      </w:pPr>
    </w:p>
    <w:p>
      <w:pPr>
        <w:jc w:val="both"/>
        <w:ind w:left="340" w:right="100" w:hanging="285"/>
        <w:spacing w:after="0" w:line="254" w:lineRule="auto"/>
        <w:tabs>
          <w:tab w:leader="none" w:pos="353" w:val="left"/>
        </w:tabs>
        <w:numPr>
          <w:ilvl w:val="0"/>
          <w:numId w:val="111"/>
        </w:numPr>
        <w:rPr>
          <w:rFonts w:ascii="Arial" w:cs="Arial" w:eastAsia="Arial" w:hAnsi="Arial"/>
          <w:sz w:val="15"/>
          <w:szCs w:val="15"/>
          <w:color w:val="auto"/>
        </w:rPr>
      </w:pPr>
      <w:r>
        <w:rPr>
          <w:rFonts w:ascii="Arial" w:cs="Arial" w:eastAsia="Arial" w:hAnsi="Arial"/>
          <w:sz w:val="15"/>
          <w:szCs w:val="15"/>
          <w:color w:val="auto"/>
        </w:rPr>
        <w:t>On August 5, 2021, pursuant to the Dixton Employment Agreement, the Compensation Committee awarded Mr. Dixton PSUs. These PSUs vest on June 29, 2024, subject to Mr. Dixton’s continued employment through that date, by reference to the cumulative AB Adjusted OI objective for 2021–2023 established by the Compensation Committee. For more information on this award see “—Employment Agreements—Grant Dixton—Annual Equity Awards” and “— Outstanding Equity Awards” below.</w:t>
      </w:r>
    </w:p>
    <w:p>
      <w:pPr>
        <w:spacing w:after="0" w:line="18" w:lineRule="exact"/>
        <w:rPr>
          <w:rFonts w:ascii="Arial" w:cs="Arial" w:eastAsia="Arial" w:hAnsi="Arial"/>
          <w:sz w:val="15"/>
          <w:szCs w:val="15"/>
          <w:color w:val="auto"/>
        </w:rPr>
      </w:pPr>
    </w:p>
    <w:p>
      <w:pPr>
        <w:jc w:val="both"/>
        <w:ind w:left="340" w:right="100" w:hanging="285"/>
        <w:spacing w:after="0" w:line="254" w:lineRule="auto"/>
        <w:tabs>
          <w:tab w:leader="none" w:pos="353" w:val="left"/>
        </w:tabs>
        <w:numPr>
          <w:ilvl w:val="0"/>
          <w:numId w:val="111"/>
        </w:numPr>
        <w:rPr>
          <w:rFonts w:ascii="Arial" w:cs="Arial" w:eastAsia="Arial" w:hAnsi="Arial"/>
          <w:sz w:val="15"/>
          <w:szCs w:val="15"/>
          <w:color w:val="auto"/>
        </w:rPr>
      </w:pPr>
      <w:r>
        <w:rPr>
          <w:rFonts w:ascii="Arial" w:cs="Arial" w:eastAsia="Arial" w:hAnsi="Arial"/>
          <w:sz w:val="15"/>
          <w:szCs w:val="15"/>
          <w:color w:val="auto"/>
        </w:rPr>
        <w:t>On November 4, 2021, pursuant to the Dixton Employment Agreement, the Compensation Committee awarded Mr. Dixton PSUs. These PSUs vest on March 30, 2025, subject to Mr. Dixton’s continued employment through that date, by reference to the cumulative AB Adjusted OI objective for 2022–2024 established by the Compensation Committee. For more information on this award see “—Employment Agreements—Grant Dixton— Annual Equity Awards” and “— Outstanding Equity Awards” below.</w:t>
      </w:r>
    </w:p>
    <w:p>
      <w:pPr>
        <w:spacing w:after="0" w:line="18" w:lineRule="exact"/>
        <w:rPr>
          <w:rFonts w:ascii="Arial" w:cs="Arial" w:eastAsia="Arial" w:hAnsi="Arial"/>
          <w:sz w:val="15"/>
          <w:szCs w:val="15"/>
          <w:color w:val="auto"/>
        </w:rPr>
      </w:pPr>
    </w:p>
    <w:p>
      <w:pPr>
        <w:jc w:val="both"/>
        <w:ind w:left="340" w:right="100" w:hanging="285"/>
        <w:spacing w:after="0" w:line="257" w:lineRule="auto"/>
        <w:tabs>
          <w:tab w:leader="none" w:pos="353" w:val="left"/>
        </w:tabs>
        <w:numPr>
          <w:ilvl w:val="0"/>
          <w:numId w:val="111"/>
        </w:numPr>
        <w:rPr>
          <w:rFonts w:ascii="Arial" w:cs="Arial" w:eastAsia="Arial" w:hAnsi="Arial"/>
          <w:sz w:val="15"/>
          <w:szCs w:val="15"/>
          <w:color w:val="auto"/>
        </w:rPr>
      </w:pPr>
      <w:r>
        <w:rPr>
          <w:rFonts w:ascii="Arial" w:cs="Arial" w:eastAsia="Arial" w:hAnsi="Arial"/>
          <w:sz w:val="15"/>
          <w:szCs w:val="15"/>
          <w:color w:val="auto"/>
        </w:rPr>
        <w:t>On August 5, 2021, pursuant to the Dixton Employment Agreement, the Compensation Committee awarded Mr. Dixton RSUs. These RSUs vest in full on June 29, 2024, subject to Mr. Dixton’s continued employment through that date. For more information on this award see “—Employment Agreements—Grant Dixton—Contract Inducement—Restricted Share Units” and “—Outstanding Equity Awards” below.</w:t>
      </w:r>
    </w:p>
    <w:p>
      <w:pPr>
        <w:spacing w:after="0" w:line="295"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98" w:name="page99"/>
    <w:bookmarkEnd w:id="98"/>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OUTSTANDING EQUITY AWARDS AT DECEMBER 31, 2021</w:t>
      </w:r>
    </w:p>
    <w:p>
      <w:pPr>
        <w:spacing w:after="0" w:line="309"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The table below sets forth the outstanding equity awards for our NEOs as of December 31, 2021. Mr. Durkin is excluded from the tables below, as his employment ended on May 31, 2021, and any outstanding equity awards he held on that date were canceled in connection with his retirement.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tcBorders>
              <w:bottom w:val="single" w:sz="8" w:color="125288"/>
            </w:tcBorders>
          </w:tcPr>
          <w:p>
            <w:pPr>
              <w:spacing w:after="0"/>
              <w:rPr>
                <w:sz w:val="12"/>
                <w:szCs w:val="12"/>
                <w:color w:val="auto"/>
              </w:rPr>
            </w:pPr>
          </w:p>
        </w:tc>
        <w:tc>
          <w:tcPr>
            <w:tcW w:w="2460" w:type="dxa"/>
            <w:vAlign w:val="bottom"/>
            <w:tcBorders>
              <w:bottom w:val="single" w:sz="8" w:color="125288"/>
            </w:tcBorders>
            <w:gridSpan w:val="2"/>
          </w:tcPr>
          <w:p>
            <w:pPr>
              <w:jc w:val="right"/>
              <w:ind w:right="741"/>
              <w:spacing w:after="0"/>
              <w:rPr>
                <w:sz w:val="20"/>
                <w:szCs w:val="20"/>
                <w:color w:val="auto"/>
              </w:rPr>
            </w:pPr>
            <w:r>
              <w:rPr>
                <w:rFonts w:ascii="Arial" w:cs="Arial" w:eastAsia="Arial" w:hAnsi="Arial"/>
                <w:sz w:val="12"/>
                <w:szCs w:val="12"/>
                <w:b w:val="1"/>
                <w:bCs w:val="1"/>
                <w:color w:val="125288"/>
              </w:rPr>
              <w:t>Option Awards</w:t>
            </w:r>
          </w:p>
        </w:tc>
        <w:tc>
          <w:tcPr>
            <w:tcW w:w="760" w:type="dxa"/>
            <w:vAlign w:val="bottom"/>
            <w:tcBorders>
              <w:bottom w:val="single" w:sz="8" w:color="125288"/>
            </w:tcBorders>
          </w:tcPr>
          <w:p>
            <w:pPr>
              <w:spacing w:after="0"/>
              <w:rPr>
                <w:sz w:val="12"/>
                <w:szCs w:val="12"/>
                <w:color w:val="auto"/>
              </w:rPr>
            </w:pPr>
          </w:p>
        </w:tc>
        <w:tc>
          <w:tcPr>
            <w:tcW w:w="780" w:type="dxa"/>
            <w:vAlign w:val="bottom"/>
            <w:tcBorders>
              <w:bottom w:val="single" w:sz="8" w:color="125288"/>
            </w:tcBorders>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bottom w:val="single" w:sz="8" w:color="125288"/>
            </w:tcBorders>
          </w:tcPr>
          <w:p>
            <w:pPr>
              <w:spacing w:after="0"/>
              <w:rPr>
                <w:sz w:val="12"/>
                <w:szCs w:val="12"/>
                <w:color w:val="auto"/>
              </w:rPr>
            </w:pPr>
          </w:p>
        </w:tc>
        <w:tc>
          <w:tcPr>
            <w:tcW w:w="820" w:type="dxa"/>
            <w:vAlign w:val="bottom"/>
            <w:tcBorders>
              <w:bottom w:val="single" w:sz="8" w:color="125288"/>
            </w:tcBorders>
          </w:tcPr>
          <w:p>
            <w:pPr>
              <w:spacing w:after="0"/>
              <w:rPr>
                <w:sz w:val="12"/>
                <w:szCs w:val="12"/>
                <w:color w:val="auto"/>
              </w:rPr>
            </w:pPr>
          </w:p>
        </w:tc>
        <w:tc>
          <w:tcPr>
            <w:tcW w:w="1440" w:type="dxa"/>
            <w:vAlign w:val="bottom"/>
            <w:tcBorders>
              <w:bottom w:val="single" w:sz="8" w:color="125288"/>
            </w:tcBorders>
          </w:tcPr>
          <w:p>
            <w:pPr>
              <w:jc w:val="right"/>
              <w:ind w:right="521"/>
              <w:spacing w:after="0"/>
              <w:rPr>
                <w:sz w:val="20"/>
                <w:szCs w:val="20"/>
                <w:color w:val="auto"/>
              </w:rPr>
            </w:pPr>
            <w:r>
              <w:rPr>
                <w:rFonts w:ascii="Arial" w:cs="Arial" w:eastAsia="Arial" w:hAnsi="Arial"/>
                <w:sz w:val="12"/>
                <w:szCs w:val="12"/>
                <w:b w:val="1"/>
                <w:bCs w:val="1"/>
                <w:color w:val="125288"/>
              </w:rPr>
              <w:t>Stock Awards</w:t>
            </w:r>
          </w:p>
        </w:tc>
        <w:tc>
          <w:tcPr>
            <w:tcW w:w="1080" w:type="dxa"/>
            <w:vAlign w:val="bottom"/>
            <w:tcBorders>
              <w:bottom w:val="single" w:sz="8" w:color="125288"/>
            </w:tcBorders>
          </w:tcPr>
          <w:p>
            <w:pPr>
              <w:spacing w:after="0"/>
              <w:rPr>
                <w:sz w:val="12"/>
                <w:szCs w:val="12"/>
                <w:color w:val="auto"/>
              </w:rPr>
            </w:pPr>
          </w:p>
        </w:tc>
        <w:tc>
          <w:tcPr>
            <w:tcW w:w="180" w:type="dxa"/>
            <w:vAlign w:val="bottom"/>
            <w:tcBorders>
              <w:bottom w:val="single" w:sz="8" w:color="125288"/>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40" w:type="dxa"/>
            <w:vAlign w:val="bottom"/>
          </w:tcPr>
          <w:p>
            <w:pPr>
              <w:jc w:val="right"/>
              <w:ind w:right="261"/>
              <w:spacing w:after="0"/>
              <w:rPr>
                <w:sz w:val="20"/>
                <w:szCs w:val="20"/>
                <w:color w:val="auto"/>
              </w:rPr>
            </w:pPr>
            <w:r>
              <w:rPr>
                <w:rFonts w:ascii="Arial" w:cs="Arial" w:eastAsia="Arial" w:hAnsi="Arial"/>
                <w:sz w:val="12"/>
                <w:szCs w:val="12"/>
                <w:b w:val="1"/>
                <w:bCs w:val="1"/>
                <w:color w:val="125288"/>
              </w:rPr>
              <w:t>Equity</w:t>
            </w:r>
          </w:p>
        </w:tc>
        <w:tc>
          <w:tcPr>
            <w:tcW w:w="1080" w:type="dxa"/>
            <w:vAlign w:val="bottom"/>
          </w:tcPr>
          <w:p>
            <w:pPr>
              <w:jc w:val="right"/>
              <w:spacing w:after="0"/>
              <w:rPr>
                <w:sz w:val="20"/>
                <w:szCs w:val="20"/>
                <w:color w:val="auto"/>
              </w:rPr>
            </w:pPr>
            <w:r>
              <w:rPr>
                <w:rFonts w:ascii="Arial" w:cs="Arial" w:eastAsia="Arial" w:hAnsi="Arial"/>
                <w:sz w:val="12"/>
                <w:szCs w:val="12"/>
                <w:b w:val="1"/>
                <w:bCs w:val="1"/>
                <w:color w:val="125288"/>
              </w:rPr>
              <w:t>Equity Incentive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jc w:val="right"/>
              <w:ind w:right="201"/>
              <w:spacing w:after="0" w:line="131" w:lineRule="exact"/>
              <w:rPr>
                <w:sz w:val="20"/>
                <w:szCs w:val="20"/>
                <w:color w:val="auto"/>
              </w:rPr>
            </w:pPr>
            <w:r>
              <w:rPr>
                <w:rFonts w:ascii="Arial" w:cs="Arial" w:eastAsia="Arial" w:hAnsi="Arial"/>
                <w:sz w:val="12"/>
                <w:szCs w:val="12"/>
                <w:b w:val="1"/>
                <w:bCs w:val="1"/>
                <w:color w:val="125288"/>
              </w:rPr>
              <w:t>Equity</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40" w:type="dxa"/>
            <w:vAlign w:val="bottom"/>
          </w:tcPr>
          <w:p>
            <w:pPr>
              <w:jc w:val="right"/>
              <w:ind w:right="261"/>
              <w:spacing w:after="0" w:line="131" w:lineRule="exact"/>
              <w:rPr>
                <w:sz w:val="20"/>
                <w:szCs w:val="20"/>
                <w:color w:val="auto"/>
              </w:rPr>
            </w:pPr>
            <w:r>
              <w:rPr>
                <w:rFonts w:ascii="Arial" w:cs="Arial" w:eastAsia="Arial" w:hAnsi="Arial"/>
                <w:sz w:val="12"/>
                <w:szCs w:val="12"/>
                <w:b w:val="1"/>
                <w:bCs w:val="1"/>
                <w:color w:val="125288"/>
              </w:rPr>
              <w:t>Incentive Plan</w:t>
            </w:r>
          </w:p>
        </w:tc>
        <w:tc>
          <w:tcPr>
            <w:tcW w:w="1080" w:type="dxa"/>
            <w:vAlign w:val="bottom"/>
          </w:tcPr>
          <w:p>
            <w:pPr>
              <w:jc w:val="right"/>
              <w:spacing w:after="0" w:line="131" w:lineRule="exact"/>
              <w:rPr>
                <w:sz w:val="20"/>
                <w:szCs w:val="20"/>
                <w:color w:val="auto"/>
              </w:rPr>
            </w:pPr>
            <w:r>
              <w:rPr>
                <w:rFonts w:ascii="Arial" w:cs="Arial" w:eastAsia="Arial" w:hAnsi="Arial"/>
                <w:sz w:val="12"/>
                <w:szCs w:val="12"/>
                <w:b w:val="1"/>
                <w:bCs w:val="1"/>
                <w:color w:val="125288"/>
              </w:rPr>
              <w:t>Plan Awards:</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jc w:val="right"/>
              <w:ind w:right="201"/>
              <w:spacing w:after="0" w:line="131" w:lineRule="exact"/>
              <w:rPr>
                <w:sz w:val="20"/>
                <w:szCs w:val="20"/>
                <w:color w:val="auto"/>
              </w:rPr>
            </w:pPr>
            <w:r>
              <w:rPr>
                <w:rFonts w:ascii="Arial" w:cs="Arial" w:eastAsia="Arial" w:hAnsi="Arial"/>
                <w:sz w:val="12"/>
                <w:szCs w:val="12"/>
                <w:b w:val="1"/>
                <w:bCs w:val="1"/>
                <w:color w:val="125288"/>
              </w:rPr>
              <w:t>Incentive Plan</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241"/>
              <w:spacing w:after="0" w:line="131" w:lineRule="exact"/>
              <w:rPr>
                <w:sz w:val="20"/>
                <w:szCs w:val="20"/>
                <w:color w:val="auto"/>
              </w:rPr>
            </w:pPr>
            <w:r>
              <w:rPr>
                <w:rFonts w:ascii="Arial" w:cs="Arial" w:eastAsia="Arial" w:hAnsi="Arial"/>
                <w:sz w:val="12"/>
                <w:szCs w:val="12"/>
                <w:b w:val="1"/>
                <w:bCs w:val="1"/>
                <w:color w:val="125288"/>
              </w:rPr>
              <w:t>Number of</w:t>
            </w:r>
          </w:p>
        </w:tc>
        <w:tc>
          <w:tcPr>
            <w:tcW w:w="820" w:type="dxa"/>
            <w:vAlign w:val="bottom"/>
          </w:tcPr>
          <w:p>
            <w:pPr>
              <w:jc w:val="right"/>
              <w:ind w:right="21"/>
              <w:spacing w:after="0" w:line="131" w:lineRule="exact"/>
              <w:rPr>
                <w:sz w:val="20"/>
                <w:szCs w:val="20"/>
                <w:color w:val="auto"/>
              </w:rPr>
            </w:pPr>
            <w:r>
              <w:rPr>
                <w:rFonts w:ascii="Arial" w:cs="Arial" w:eastAsia="Arial" w:hAnsi="Arial"/>
                <w:sz w:val="12"/>
                <w:szCs w:val="12"/>
                <w:b w:val="1"/>
                <w:bCs w:val="1"/>
                <w:color w:val="125288"/>
              </w:rPr>
              <w:t>Market</w:t>
            </w:r>
          </w:p>
        </w:tc>
        <w:tc>
          <w:tcPr>
            <w:tcW w:w="1440" w:type="dxa"/>
            <w:vAlign w:val="bottom"/>
          </w:tcPr>
          <w:p>
            <w:pPr>
              <w:jc w:val="right"/>
              <w:ind w:right="261"/>
              <w:spacing w:after="0" w:line="131" w:lineRule="exact"/>
              <w:rPr>
                <w:sz w:val="20"/>
                <w:szCs w:val="20"/>
                <w:color w:val="auto"/>
              </w:rPr>
            </w:pPr>
            <w:r>
              <w:rPr>
                <w:rFonts w:ascii="Arial" w:cs="Arial" w:eastAsia="Arial" w:hAnsi="Arial"/>
                <w:sz w:val="12"/>
                <w:szCs w:val="12"/>
                <w:b w:val="1"/>
                <w:bCs w:val="1"/>
                <w:color w:val="125288"/>
              </w:rPr>
              <w:t>Awards:</w:t>
            </w:r>
          </w:p>
        </w:tc>
        <w:tc>
          <w:tcPr>
            <w:tcW w:w="1080" w:type="dxa"/>
            <w:vAlign w:val="bottom"/>
          </w:tcPr>
          <w:p>
            <w:pPr>
              <w:jc w:val="right"/>
              <w:spacing w:after="0" w:line="131" w:lineRule="exact"/>
              <w:rPr>
                <w:sz w:val="20"/>
                <w:szCs w:val="20"/>
                <w:color w:val="auto"/>
              </w:rPr>
            </w:pPr>
            <w:r>
              <w:rPr>
                <w:rFonts w:ascii="Arial" w:cs="Arial" w:eastAsia="Arial" w:hAnsi="Arial"/>
                <w:sz w:val="12"/>
                <w:szCs w:val="12"/>
                <w:b w:val="1"/>
                <w:bCs w:val="1"/>
                <w:color w:val="125288"/>
              </w:rPr>
              <w:t>Market or</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80" w:type="dxa"/>
            <w:vAlign w:val="bottom"/>
          </w:tcPr>
          <w:p>
            <w:pPr>
              <w:jc w:val="right"/>
              <w:ind w:right="261"/>
              <w:spacing w:after="0" w:line="131" w:lineRule="exact"/>
              <w:rPr>
                <w:sz w:val="20"/>
                <w:szCs w:val="20"/>
                <w:color w:val="auto"/>
              </w:rPr>
            </w:pPr>
            <w:r>
              <w:rPr>
                <w:rFonts w:ascii="Arial" w:cs="Arial" w:eastAsia="Arial" w:hAnsi="Arial"/>
                <w:sz w:val="12"/>
                <w:szCs w:val="12"/>
                <w:b w:val="1"/>
                <w:bCs w:val="1"/>
                <w:color w:val="125288"/>
              </w:rPr>
              <w:t>Number of</w:t>
            </w:r>
          </w:p>
        </w:tc>
        <w:tc>
          <w:tcPr>
            <w:tcW w:w="1260" w:type="dxa"/>
            <w:vAlign w:val="bottom"/>
          </w:tcPr>
          <w:p>
            <w:pPr>
              <w:jc w:val="right"/>
              <w:ind w:right="261"/>
              <w:spacing w:after="0" w:line="131" w:lineRule="exact"/>
              <w:rPr>
                <w:sz w:val="20"/>
                <w:szCs w:val="20"/>
                <w:color w:val="auto"/>
              </w:rPr>
            </w:pPr>
            <w:r>
              <w:rPr>
                <w:rFonts w:ascii="Arial" w:cs="Arial" w:eastAsia="Arial" w:hAnsi="Arial"/>
                <w:sz w:val="12"/>
                <w:szCs w:val="12"/>
                <w:b w:val="1"/>
                <w:bCs w:val="1"/>
                <w:color w:val="125288"/>
              </w:rPr>
              <w:t>Number of</w:t>
            </w:r>
          </w:p>
        </w:tc>
        <w:tc>
          <w:tcPr>
            <w:tcW w:w="1200" w:type="dxa"/>
            <w:vAlign w:val="bottom"/>
          </w:tcPr>
          <w:p>
            <w:pPr>
              <w:jc w:val="right"/>
              <w:ind w:right="201"/>
              <w:spacing w:after="0" w:line="131" w:lineRule="exact"/>
              <w:rPr>
                <w:sz w:val="20"/>
                <w:szCs w:val="20"/>
                <w:color w:val="auto"/>
              </w:rPr>
            </w:pPr>
            <w:r>
              <w:rPr>
                <w:rFonts w:ascii="Arial" w:cs="Arial" w:eastAsia="Arial" w:hAnsi="Arial"/>
                <w:sz w:val="12"/>
                <w:szCs w:val="12"/>
                <w:b w:val="1"/>
                <w:bCs w:val="1"/>
                <w:color w:val="125288"/>
              </w:rPr>
              <w:t>Awards: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241"/>
              <w:spacing w:after="0" w:line="131" w:lineRule="exact"/>
              <w:rPr>
                <w:sz w:val="20"/>
                <w:szCs w:val="20"/>
                <w:color w:val="auto"/>
              </w:rPr>
            </w:pPr>
            <w:r>
              <w:rPr>
                <w:rFonts w:ascii="Arial" w:cs="Arial" w:eastAsia="Arial" w:hAnsi="Arial"/>
                <w:sz w:val="12"/>
                <w:szCs w:val="12"/>
                <w:b w:val="1"/>
                <w:bCs w:val="1"/>
                <w:color w:val="125288"/>
              </w:rPr>
              <w:t>Shares</w:t>
            </w:r>
          </w:p>
        </w:tc>
        <w:tc>
          <w:tcPr>
            <w:tcW w:w="820" w:type="dxa"/>
            <w:vAlign w:val="bottom"/>
          </w:tcPr>
          <w:p>
            <w:pPr>
              <w:jc w:val="right"/>
              <w:ind w:right="21"/>
              <w:spacing w:after="0" w:line="131" w:lineRule="exact"/>
              <w:rPr>
                <w:sz w:val="20"/>
                <w:szCs w:val="20"/>
                <w:color w:val="auto"/>
              </w:rPr>
            </w:pPr>
            <w:r>
              <w:rPr>
                <w:rFonts w:ascii="Arial" w:cs="Arial" w:eastAsia="Arial" w:hAnsi="Arial"/>
                <w:sz w:val="12"/>
                <w:szCs w:val="12"/>
                <w:b w:val="1"/>
                <w:bCs w:val="1"/>
                <w:color w:val="125288"/>
              </w:rPr>
              <w:t>Value of</w:t>
            </w:r>
          </w:p>
        </w:tc>
        <w:tc>
          <w:tcPr>
            <w:tcW w:w="1440" w:type="dxa"/>
            <w:vAlign w:val="bottom"/>
          </w:tcPr>
          <w:p>
            <w:pPr>
              <w:jc w:val="right"/>
              <w:ind w:right="261"/>
              <w:spacing w:after="0" w:line="131" w:lineRule="exact"/>
              <w:rPr>
                <w:sz w:val="20"/>
                <w:szCs w:val="20"/>
                <w:color w:val="auto"/>
              </w:rPr>
            </w:pPr>
            <w:r>
              <w:rPr>
                <w:rFonts w:ascii="Arial" w:cs="Arial" w:eastAsia="Arial" w:hAnsi="Arial"/>
                <w:sz w:val="12"/>
                <w:szCs w:val="12"/>
                <w:b w:val="1"/>
                <w:bCs w:val="1"/>
                <w:color w:val="125288"/>
              </w:rPr>
              <w:t>Number of</w:t>
            </w:r>
          </w:p>
        </w:tc>
        <w:tc>
          <w:tcPr>
            <w:tcW w:w="1080" w:type="dxa"/>
            <w:vAlign w:val="bottom"/>
          </w:tcPr>
          <w:p>
            <w:pPr>
              <w:jc w:val="right"/>
              <w:spacing w:after="0" w:line="131" w:lineRule="exact"/>
              <w:rPr>
                <w:sz w:val="20"/>
                <w:szCs w:val="20"/>
                <w:color w:val="auto"/>
              </w:rPr>
            </w:pPr>
            <w:r>
              <w:rPr>
                <w:rFonts w:ascii="Arial" w:cs="Arial" w:eastAsia="Arial" w:hAnsi="Arial"/>
                <w:sz w:val="12"/>
                <w:szCs w:val="12"/>
                <w:b w:val="1"/>
                <w:bCs w:val="1"/>
                <w:color w:val="125288"/>
              </w:rPr>
              <w:t>Payout Value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80" w:type="dxa"/>
            <w:vAlign w:val="bottom"/>
          </w:tcPr>
          <w:p>
            <w:pPr>
              <w:jc w:val="right"/>
              <w:ind w:right="261"/>
              <w:spacing w:after="0" w:line="131" w:lineRule="exact"/>
              <w:rPr>
                <w:sz w:val="20"/>
                <w:szCs w:val="20"/>
                <w:color w:val="auto"/>
              </w:rPr>
            </w:pPr>
            <w:r>
              <w:rPr>
                <w:rFonts w:ascii="Arial" w:cs="Arial" w:eastAsia="Arial" w:hAnsi="Arial"/>
                <w:sz w:val="12"/>
                <w:szCs w:val="12"/>
                <w:b w:val="1"/>
                <w:bCs w:val="1"/>
                <w:color w:val="125288"/>
              </w:rPr>
              <w:t>Securities</w:t>
            </w:r>
          </w:p>
        </w:tc>
        <w:tc>
          <w:tcPr>
            <w:tcW w:w="1260" w:type="dxa"/>
            <w:vAlign w:val="bottom"/>
          </w:tcPr>
          <w:p>
            <w:pPr>
              <w:jc w:val="right"/>
              <w:ind w:right="261"/>
              <w:spacing w:after="0" w:line="131" w:lineRule="exact"/>
              <w:rPr>
                <w:sz w:val="20"/>
                <w:szCs w:val="20"/>
                <w:color w:val="auto"/>
              </w:rPr>
            </w:pPr>
            <w:r>
              <w:rPr>
                <w:rFonts w:ascii="Arial" w:cs="Arial" w:eastAsia="Arial" w:hAnsi="Arial"/>
                <w:sz w:val="12"/>
                <w:szCs w:val="12"/>
                <w:b w:val="1"/>
                <w:bCs w:val="1"/>
                <w:color w:val="125288"/>
              </w:rPr>
              <w:t>Securities</w:t>
            </w:r>
          </w:p>
        </w:tc>
        <w:tc>
          <w:tcPr>
            <w:tcW w:w="1200" w:type="dxa"/>
            <w:vAlign w:val="bottom"/>
          </w:tcPr>
          <w:p>
            <w:pPr>
              <w:jc w:val="right"/>
              <w:ind w:right="201"/>
              <w:spacing w:after="0" w:line="131" w:lineRule="exact"/>
              <w:rPr>
                <w:sz w:val="20"/>
                <w:szCs w:val="20"/>
                <w:color w:val="auto"/>
              </w:rPr>
            </w:pPr>
            <w:r>
              <w:rPr>
                <w:rFonts w:ascii="Arial" w:cs="Arial" w:eastAsia="Arial" w:hAnsi="Arial"/>
                <w:sz w:val="12"/>
                <w:szCs w:val="12"/>
                <w:b w:val="1"/>
                <w:bCs w:val="1"/>
                <w:color w:val="125288"/>
              </w:rPr>
              <w:t>Number of</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241"/>
              <w:spacing w:after="0" w:line="131" w:lineRule="exact"/>
              <w:rPr>
                <w:sz w:val="20"/>
                <w:szCs w:val="20"/>
                <w:color w:val="auto"/>
              </w:rPr>
            </w:pPr>
            <w:r>
              <w:rPr>
                <w:rFonts w:ascii="Arial" w:cs="Arial" w:eastAsia="Arial" w:hAnsi="Arial"/>
                <w:sz w:val="12"/>
                <w:szCs w:val="12"/>
                <w:b w:val="1"/>
                <w:bCs w:val="1"/>
                <w:color w:val="125288"/>
              </w:rPr>
              <w:t>or Units</w:t>
            </w:r>
          </w:p>
        </w:tc>
        <w:tc>
          <w:tcPr>
            <w:tcW w:w="820" w:type="dxa"/>
            <w:vAlign w:val="bottom"/>
          </w:tcPr>
          <w:p>
            <w:pPr>
              <w:jc w:val="right"/>
              <w:ind w:right="21"/>
              <w:spacing w:after="0" w:line="131" w:lineRule="exact"/>
              <w:rPr>
                <w:sz w:val="20"/>
                <w:szCs w:val="20"/>
                <w:color w:val="auto"/>
              </w:rPr>
            </w:pPr>
            <w:r>
              <w:rPr>
                <w:rFonts w:ascii="Arial" w:cs="Arial" w:eastAsia="Arial" w:hAnsi="Arial"/>
                <w:sz w:val="12"/>
                <w:szCs w:val="12"/>
                <w:b w:val="1"/>
                <w:bCs w:val="1"/>
                <w:color w:val="125288"/>
              </w:rPr>
              <w:t>Shares or</w:t>
            </w:r>
          </w:p>
        </w:tc>
        <w:tc>
          <w:tcPr>
            <w:tcW w:w="1440" w:type="dxa"/>
            <w:vAlign w:val="bottom"/>
          </w:tcPr>
          <w:p>
            <w:pPr>
              <w:jc w:val="right"/>
              <w:ind w:right="261"/>
              <w:spacing w:after="0" w:line="131" w:lineRule="exact"/>
              <w:rPr>
                <w:sz w:val="20"/>
                <w:szCs w:val="20"/>
                <w:color w:val="auto"/>
              </w:rPr>
            </w:pPr>
            <w:r>
              <w:rPr>
                <w:rFonts w:ascii="Arial" w:cs="Arial" w:eastAsia="Arial" w:hAnsi="Arial"/>
                <w:sz w:val="12"/>
                <w:szCs w:val="12"/>
                <w:b w:val="1"/>
                <w:bCs w:val="1"/>
                <w:color w:val="125288"/>
              </w:rPr>
              <w:t>Unearned</w:t>
            </w:r>
          </w:p>
        </w:tc>
        <w:tc>
          <w:tcPr>
            <w:tcW w:w="1080" w:type="dxa"/>
            <w:vAlign w:val="bottom"/>
          </w:tcPr>
          <w:p>
            <w:pPr>
              <w:jc w:val="right"/>
              <w:spacing w:after="0" w:line="131" w:lineRule="exact"/>
              <w:rPr>
                <w:sz w:val="20"/>
                <w:szCs w:val="20"/>
                <w:color w:val="auto"/>
              </w:rPr>
            </w:pPr>
            <w:r>
              <w:rPr>
                <w:rFonts w:ascii="Arial" w:cs="Arial" w:eastAsia="Arial" w:hAnsi="Arial"/>
                <w:sz w:val="12"/>
                <w:szCs w:val="12"/>
                <w:b w:val="1"/>
                <w:bCs w:val="1"/>
                <w:color w:val="125288"/>
              </w:rPr>
              <w:t>Unearned</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80" w:type="dxa"/>
            <w:vAlign w:val="bottom"/>
          </w:tcPr>
          <w:p>
            <w:pPr>
              <w:jc w:val="right"/>
              <w:ind w:right="261"/>
              <w:spacing w:after="0" w:line="131" w:lineRule="exact"/>
              <w:rPr>
                <w:sz w:val="20"/>
                <w:szCs w:val="20"/>
                <w:color w:val="auto"/>
              </w:rPr>
            </w:pPr>
            <w:r>
              <w:rPr>
                <w:rFonts w:ascii="Arial" w:cs="Arial" w:eastAsia="Arial" w:hAnsi="Arial"/>
                <w:sz w:val="12"/>
                <w:szCs w:val="12"/>
                <w:b w:val="1"/>
                <w:bCs w:val="1"/>
                <w:color w:val="125288"/>
              </w:rPr>
              <w:t>Underlying</w:t>
            </w:r>
          </w:p>
        </w:tc>
        <w:tc>
          <w:tcPr>
            <w:tcW w:w="1260" w:type="dxa"/>
            <w:vAlign w:val="bottom"/>
          </w:tcPr>
          <w:p>
            <w:pPr>
              <w:jc w:val="right"/>
              <w:ind w:right="261"/>
              <w:spacing w:after="0" w:line="131" w:lineRule="exact"/>
              <w:rPr>
                <w:sz w:val="20"/>
                <w:szCs w:val="20"/>
                <w:color w:val="auto"/>
              </w:rPr>
            </w:pPr>
            <w:r>
              <w:rPr>
                <w:rFonts w:ascii="Arial" w:cs="Arial" w:eastAsia="Arial" w:hAnsi="Arial"/>
                <w:sz w:val="12"/>
                <w:szCs w:val="12"/>
                <w:b w:val="1"/>
                <w:bCs w:val="1"/>
                <w:color w:val="125288"/>
              </w:rPr>
              <w:t>Underlying</w:t>
            </w:r>
          </w:p>
        </w:tc>
        <w:tc>
          <w:tcPr>
            <w:tcW w:w="1200" w:type="dxa"/>
            <w:vAlign w:val="bottom"/>
          </w:tcPr>
          <w:p>
            <w:pPr>
              <w:jc w:val="right"/>
              <w:ind w:right="201"/>
              <w:spacing w:after="0" w:line="131" w:lineRule="exact"/>
              <w:rPr>
                <w:sz w:val="20"/>
                <w:szCs w:val="20"/>
                <w:color w:val="auto"/>
              </w:rPr>
            </w:pPr>
            <w:r>
              <w:rPr>
                <w:rFonts w:ascii="Arial" w:cs="Arial" w:eastAsia="Arial" w:hAnsi="Arial"/>
                <w:sz w:val="12"/>
                <w:szCs w:val="12"/>
                <w:b w:val="1"/>
                <w:bCs w:val="1"/>
                <w:color w:val="125288"/>
              </w:rPr>
              <w:t>Securities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241"/>
              <w:spacing w:after="0" w:line="131" w:lineRule="exact"/>
              <w:rPr>
                <w:sz w:val="20"/>
                <w:szCs w:val="20"/>
                <w:color w:val="auto"/>
              </w:rPr>
            </w:pPr>
            <w:r>
              <w:rPr>
                <w:rFonts w:ascii="Arial" w:cs="Arial" w:eastAsia="Arial" w:hAnsi="Arial"/>
                <w:sz w:val="12"/>
                <w:szCs w:val="12"/>
                <w:b w:val="1"/>
                <w:bCs w:val="1"/>
                <w:color w:val="125288"/>
              </w:rPr>
              <w:t>of Stock</w:t>
            </w:r>
          </w:p>
        </w:tc>
        <w:tc>
          <w:tcPr>
            <w:tcW w:w="820" w:type="dxa"/>
            <w:vAlign w:val="bottom"/>
          </w:tcPr>
          <w:p>
            <w:pPr>
              <w:jc w:val="right"/>
              <w:ind w:right="21"/>
              <w:spacing w:after="0" w:line="131" w:lineRule="exact"/>
              <w:rPr>
                <w:sz w:val="20"/>
                <w:szCs w:val="20"/>
                <w:color w:val="auto"/>
              </w:rPr>
            </w:pPr>
            <w:r>
              <w:rPr>
                <w:rFonts w:ascii="Arial" w:cs="Arial" w:eastAsia="Arial" w:hAnsi="Arial"/>
                <w:sz w:val="12"/>
                <w:szCs w:val="12"/>
                <w:b w:val="1"/>
                <w:bCs w:val="1"/>
                <w:color w:val="125288"/>
              </w:rPr>
              <w:t>Units of</w:t>
            </w:r>
          </w:p>
        </w:tc>
        <w:tc>
          <w:tcPr>
            <w:tcW w:w="1440" w:type="dxa"/>
            <w:vAlign w:val="bottom"/>
          </w:tcPr>
          <w:p>
            <w:pPr>
              <w:jc w:val="right"/>
              <w:ind w:right="261"/>
              <w:spacing w:after="0" w:line="131" w:lineRule="exact"/>
              <w:rPr>
                <w:sz w:val="20"/>
                <w:szCs w:val="20"/>
                <w:color w:val="auto"/>
              </w:rPr>
            </w:pPr>
            <w:r>
              <w:rPr>
                <w:rFonts w:ascii="Arial" w:cs="Arial" w:eastAsia="Arial" w:hAnsi="Arial"/>
                <w:sz w:val="12"/>
                <w:szCs w:val="12"/>
                <w:b w:val="1"/>
                <w:bCs w:val="1"/>
                <w:color w:val="125288"/>
              </w:rPr>
              <w:t>Shares, Units,</w:t>
            </w:r>
          </w:p>
        </w:tc>
        <w:tc>
          <w:tcPr>
            <w:tcW w:w="1080" w:type="dxa"/>
            <w:vAlign w:val="bottom"/>
          </w:tcPr>
          <w:p>
            <w:pPr>
              <w:jc w:val="right"/>
              <w:spacing w:after="0" w:line="131" w:lineRule="exact"/>
              <w:rPr>
                <w:sz w:val="20"/>
                <w:szCs w:val="20"/>
                <w:color w:val="auto"/>
              </w:rPr>
            </w:pPr>
            <w:r>
              <w:rPr>
                <w:rFonts w:ascii="Arial" w:cs="Arial" w:eastAsia="Arial" w:hAnsi="Arial"/>
                <w:sz w:val="12"/>
                <w:szCs w:val="12"/>
                <w:b w:val="1"/>
                <w:bCs w:val="1"/>
                <w:color w:val="125288"/>
              </w:rPr>
              <w:t>Shares, Units, or</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80" w:type="dxa"/>
            <w:vAlign w:val="bottom"/>
          </w:tcPr>
          <w:p>
            <w:pPr>
              <w:jc w:val="right"/>
              <w:ind w:right="261"/>
              <w:spacing w:after="0" w:line="131" w:lineRule="exact"/>
              <w:rPr>
                <w:sz w:val="20"/>
                <w:szCs w:val="20"/>
                <w:color w:val="auto"/>
              </w:rPr>
            </w:pPr>
            <w:r>
              <w:rPr>
                <w:rFonts w:ascii="Arial" w:cs="Arial" w:eastAsia="Arial" w:hAnsi="Arial"/>
                <w:sz w:val="12"/>
                <w:szCs w:val="12"/>
                <w:b w:val="1"/>
                <w:bCs w:val="1"/>
                <w:color w:val="125288"/>
              </w:rPr>
              <w:t>Unexercised</w:t>
            </w:r>
          </w:p>
        </w:tc>
        <w:tc>
          <w:tcPr>
            <w:tcW w:w="1260" w:type="dxa"/>
            <w:vAlign w:val="bottom"/>
          </w:tcPr>
          <w:p>
            <w:pPr>
              <w:jc w:val="right"/>
              <w:ind w:right="261"/>
              <w:spacing w:after="0" w:line="131" w:lineRule="exact"/>
              <w:rPr>
                <w:sz w:val="20"/>
                <w:szCs w:val="20"/>
                <w:color w:val="auto"/>
              </w:rPr>
            </w:pPr>
            <w:r>
              <w:rPr>
                <w:rFonts w:ascii="Arial" w:cs="Arial" w:eastAsia="Arial" w:hAnsi="Arial"/>
                <w:sz w:val="12"/>
                <w:szCs w:val="12"/>
                <w:b w:val="1"/>
                <w:bCs w:val="1"/>
                <w:color w:val="125288"/>
              </w:rPr>
              <w:t>Unexercised</w:t>
            </w:r>
          </w:p>
        </w:tc>
        <w:tc>
          <w:tcPr>
            <w:tcW w:w="1200" w:type="dxa"/>
            <w:vAlign w:val="bottom"/>
          </w:tcPr>
          <w:p>
            <w:pPr>
              <w:jc w:val="right"/>
              <w:ind w:right="201"/>
              <w:spacing w:after="0" w:line="131" w:lineRule="exact"/>
              <w:rPr>
                <w:sz w:val="20"/>
                <w:szCs w:val="20"/>
                <w:color w:val="auto"/>
              </w:rPr>
            </w:pPr>
            <w:r>
              <w:rPr>
                <w:rFonts w:ascii="Arial" w:cs="Arial" w:eastAsia="Arial" w:hAnsi="Arial"/>
                <w:sz w:val="12"/>
                <w:szCs w:val="12"/>
                <w:b w:val="1"/>
                <w:bCs w:val="1"/>
                <w:color w:val="125288"/>
              </w:rPr>
              <w:t>Underlying</w:t>
            </w:r>
          </w:p>
        </w:tc>
        <w:tc>
          <w:tcPr>
            <w:tcW w:w="760" w:type="dxa"/>
            <w:vAlign w:val="bottom"/>
          </w:tcPr>
          <w:p>
            <w:pPr>
              <w:jc w:val="right"/>
              <w:ind w:right="141"/>
              <w:spacing w:after="0" w:line="131" w:lineRule="exact"/>
              <w:rPr>
                <w:sz w:val="20"/>
                <w:szCs w:val="20"/>
                <w:color w:val="auto"/>
              </w:rPr>
            </w:pPr>
            <w:r>
              <w:rPr>
                <w:rFonts w:ascii="Arial" w:cs="Arial" w:eastAsia="Arial" w:hAnsi="Arial"/>
                <w:sz w:val="12"/>
                <w:szCs w:val="12"/>
                <w:b w:val="1"/>
                <w:bCs w:val="1"/>
                <w:color w:val="125288"/>
              </w:rPr>
              <w:t>Option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241"/>
              <w:spacing w:after="0" w:line="131" w:lineRule="exact"/>
              <w:rPr>
                <w:sz w:val="20"/>
                <w:szCs w:val="20"/>
                <w:color w:val="auto"/>
              </w:rPr>
            </w:pPr>
            <w:r>
              <w:rPr>
                <w:rFonts w:ascii="Arial" w:cs="Arial" w:eastAsia="Arial" w:hAnsi="Arial"/>
                <w:sz w:val="12"/>
                <w:szCs w:val="12"/>
                <w:b w:val="1"/>
                <w:bCs w:val="1"/>
                <w:color w:val="125288"/>
              </w:rPr>
              <w:t>That</w:t>
            </w:r>
          </w:p>
        </w:tc>
        <w:tc>
          <w:tcPr>
            <w:tcW w:w="820" w:type="dxa"/>
            <w:vAlign w:val="bottom"/>
          </w:tcPr>
          <w:p>
            <w:pPr>
              <w:jc w:val="right"/>
              <w:ind w:right="21"/>
              <w:spacing w:after="0" w:line="131" w:lineRule="exact"/>
              <w:rPr>
                <w:sz w:val="20"/>
                <w:szCs w:val="20"/>
                <w:color w:val="auto"/>
              </w:rPr>
            </w:pPr>
            <w:r>
              <w:rPr>
                <w:rFonts w:ascii="Arial" w:cs="Arial" w:eastAsia="Arial" w:hAnsi="Arial"/>
                <w:sz w:val="12"/>
                <w:szCs w:val="12"/>
                <w:b w:val="1"/>
                <w:bCs w:val="1"/>
                <w:color w:val="125288"/>
              </w:rPr>
              <w:t>Stock That</w:t>
            </w:r>
          </w:p>
        </w:tc>
        <w:tc>
          <w:tcPr>
            <w:tcW w:w="1440" w:type="dxa"/>
            <w:vAlign w:val="bottom"/>
          </w:tcPr>
          <w:p>
            <w:pPr>
              <w:jc w:val="right"/>
              <w:ind w:right="261"/>
              <w:spacing w:after="0" w:line="131" w:lineRule="exact"/>
              <w:rPr>
                <w:sz w:val="20"/>
                <w:szCs w:val="20"/>
                <w:color w:val="auto"/>
              </w:rPr>
            </w:pPr>
            <w:r>
              <w:rPr>
                <w:rFonts w:ascii="Arial" w:cs="Arial" w:eastAsia="Arial" w:hAnsi="Arial"/>
                <w:sz w:val="12"/>
                <w:szCs w:val="12"/>
                <w:b w:val="1"/>
                <w:bCs w:val="1"/>
                <w:color w:val="125288"/>
              </w:rPr>
              <w:t>or Other</w:t>
            </w:r>
          </w:p>
        </w:tc>
        <w:tc>
          <w:tcPr>
            <w:tcW w:w="1080" w:type="dxa"/>
            <w:vAlign w:val="bottom"/>
          </w:tcPr>
          <w:p>
            <w:pPr>
              <w:jc w:val="right"/>
              <w:spacing w:after="0" w:line="131" w:lineRule="exact"/>
              <w:rPr>
                <w:sz w:val="20"/>
                <w:szCs w:val="20"/>
                <w:color w:val="auto"/>
              </w:rPr>
            </w:pPr>
            <w:r>
              <w:rPr>
                <w:rFonts w:ascii="Arial" w:cs="Arial" w:eastAsia="Arial" w:hAnsi="Arial"/>
                <w:sz w:val="12"/>
                <w:szCs w:val="12"/>
                <w:b w:val="1"/>
                <w:bCs w:val="1"/>
                <w:color w:val="125288"/>
              </w:rPr>
              <w:t>Other Rights</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80" w:type="dxa"/>
            <w:vAlign w:val="bottom"/>
          </w:tcPr>
          <w:p>
            <w:pPr>
              <w:jc w:val="right"/>
              <w:ind w:right="261"/>
              <w:spacing w:after="0" w:line="131" w:lineRule="exact"/>
              <w:rPr>
                <w:sz w:val="20"/>
                <w:szCs w:val="20"/>
                <w:color w:val="auto"/>
              </w:rPr>
            </w:pPr>
            <w:r>
              <w:rPr>
                <w:rFonts w:ascii="Arial" w:cs="Arial" w:eastAsia="Arial" w:hAnsi="Arial"/>
                <w:sz w:val="12"/>
                <w:szCs w:val="12"/>
                <w:b w:val="1"/>
                <w:bCs w:val="1"/>
                <w:color w:val="125288"/>
              </w:rPr>
              <w:t>Options</w:t>
            </w:r>
          </w:p>
        </w:tc>
        <w:tc>
          <w:tcPr>
            <w:tcW w:w="1260" w:type="dxa"/>
            <w:vAlign w:val="bottom"/>
          </w:tcPr>
          <w:p>
            <w:pPr>
              <w:jc w:val="right"/>
              <w:ind w:right="261"/>
              <w:spacing w:after="0" w:line="131" w:lineRule="exact"/>
              <w:rPr>
                <w:sz w:val="20"/>
                <w:szCs w:val="20"/>
                <w:color w:val="auto"/>
              </w:rPr>
            </w:pPr>
            <w:r>
              <w:rPr>
                <w:rFonts w:ascii="Arial" w:cs="Arial" w:eastAsia="Arial" w:hAnsi="Arial"/>
                <w:sz w:val="12"/>
                <w:szCs w:val="12"/>
                <w:b w:val="1"/>
                <w:bCs w:val="1"/>
                <w:color w:val="125288"/>
              </w:rPr>
              <w:t>Options</w:t>
            </w:r>
          </w:p>
        </w:tc>
        <w:tc>
          <w:tcPr>
            <w:tcW w:w="1200" w:type="dxa"/>
            <w:vAlign w:val="bottom"/>
          </w:tcPr>
          <w:p>
            <w:pPr>
              <w:jc w:val="right"/>
              <w:ind w:right="201"/>
              <w:spacing w:after="0" w:line="131" w:lineRule="exact"/>
              <w:rPr>
                <w:sz w:val="20"/>
                <w:szCs w:val="20"/>
                <w:color w:val="auto"/>
              </w:rPr>
            </w:pPr>
            <w:r>
              <w:rPr>
                <w:rFonts w:ascii="Arial" w:cs="Arial" w:eastAsia="Arial" w:hAnsi="Arial"/>
                <w:sz w:val="12"/>
                <w:szCs w:val="12"/>
                <w:b w:val="1"/>
                <w:bCs w:val="1"/>
                <w:color w:val="125288"/>
              </w:rPr>
              <w:t>Unexercised</w:t>
            </w:r>
          </w:p>
        </w:tc>
        <w:tc>
          <w:tcPr>
            <w:tcW w:w="760" w:type="dxa"/>
            <w:vAlign w:val="bottom"/>
          </w:tcPr>
          <w:p>
            <w:pPr>
              <w:jc w:val="right"/>
              <w:ind w:right="141"/>
              <w:spacing w:after="0" w:line="131" w:lineRule="exact"/>
              <w:rPr>
                <w:sz w:val="20"/>
                <w:szCs w:val="20"/>
                <w:color w:val="auto"/>
              </w:rPr>
            </w:pPr>
            <w:r>
              <w:rPr>
                <w:rFonts w:ascii="Arial" w:cs="Arial" w:eastAsia="Arial" w:hAnsi="Arial"/>
                <w:sz w:val="12"/>
                <w:szCs w:val="12"/>
                <w:b w:val="1"/>
                <w:bCs w:val="1"/>
                <w:color w:val="125288"/>
              </w:rPr>
              <w:t>Exercise</w:t>
            </w:r>
          </w:p>
        </w:tc>
        <w:tc>
          <w:tcPr>
            <w:tcW w:w="900" w:type="dxa"/>
            <w:vAlign w:val="bottom"/>
            <w:gridSpan w:val="2"/>
          </w:tcPr>
          <w:p>
            <w:pPr>
              <w:jc w:val="right"/>
              <w:ind w:right="120"/>
              <w:spacing w:after="0" w:line="131" w:lineRule="exact"/>
              <w:rPr>
                <w:sz w:val="20"/>
                <w:szCs w:val="20"/>
                <w:color w:val="auto"/>
              </w:rPr>
            </w:pPr>
            <w:r>
              <w:rPr>
                <w:rFonts w:ascii="Arial" w:cs="Arial" w:eastAsia="Arial" w:hAnsi="Arial"/>
                <w:sz w:val="12"/>
                <w:szCs w:val="12"/>
                <w:b w:val="1"/>
                <w:bCs w:val="1"/>
                <w:color w:val="125288"/>
              </w:rPr>
              <w:t>Option</w:t>
            </w:r>
          </w:p>
        </w:tc>
        <w:tc>
          <w:tcPr>
            <w:tcW w:w="960" w:type="dxa"/>
            <w:vAlign w:val="bottom"/>
          </w:tcPr>
          <w:p>
            <w:pPr>
              <w:jc w:val="right"/>
              <w:ind w:right="241"/>
              <w:spacing w:after="0" w:line="131" w:lineRule="exact"/>
              <w:rPr>
                <w:sz w:val="20"/>
                <w:szCs w:val="20"/>
                <w:color w:val="auto"/>
              </w:rPr>
            </w:pPr>
            <w:r>
              <w:rPr>
                <w:rFonts w:ascii="Arial" w:cs="Arial" w:eastAsia="Arial" w:hAnsi="Arial"/>
                <w:sz w:val="12"/>
                <w:szCs w:val="12"/>
                <w:b w:val="1"/>
                <w:bCs w:val="1"/>
                <w:color w:val="125288"/>
              </w:rPr>
              <w:t>Have Not</w:t>
            </w:r>
          </w:p>
        </w:tc>
        <w:tc>
          <w:tcPr>
            <w:tcW w:w="820" w:type="dxa"/>
            <w:vAlign w:val="bottom"/>
          </w:tcPr>
          <w:p>
            <w:pPr>
              <w:jc w:val="right"/>
              <w:ind w:right="21"/>
              <w:spacing w:after="0" w:line="131" w:lineRule="exact"/>
              <w:rPr>
                <w:sz w:val="20"/>
                <w:szCs w:val="20"/>
                <w:color w:val="auto"/>
              </w:rPr>
            </w:pPr>
            <w:r>
              <w:rPr>
                <w:rFonts w:ascii="Arial" w:cs="Arial" w:eastAsia="Arial" w:hAnsi="Arial"/>
                <w:sz w:val="12"/>
                <w:szCs w:val="12"/>
                <w:b w:val="1"/>
                <w:bCs w:val="1"/>
                <w:color w:val="125288"/>
              </w:rPr>
              <w:t>Have Not</w:t>
            </w:r>
          </w:p>
        </w:tc>
        <w:tc>
          <w:tcPr>
            <w:tcW w:w="1440" w:type="dxa"/>
            <w:vAlign w:val="bottom"/>
          </w:tcPr>
          <w:p>
            <w:pPr>
              <w:jc w:val="right"/>
              <w:ind w:right="261"/>
              <w:spacing w:after="0" w:line="131" w:lineRule="exact"/>
              <w:rPr>
                <w:sz w:val="20"/>
                <w:szCs w:val="20"/>
                <w:color w:val="auto"/>
              </w:rPr>
            </w:pPr>
            <w:r>
              <w:rPr>
                <w:rFonts w:ascii="Arial" w:cs="Arial" w:eastAsia="Arial" w:hAnsi="Arial"/>
                <w:sz w:val="12"/>
                <w:szCs w:val="12"/>
                <w:b w:val="1"/>
                <w:bCs w:val="1"/>
                <w:color w:val="125288"/>
              </w:rPr>
              <w:t>Rights That</w:t>
            </w:r>
          </w:p>
        </w:tc>
        <w:tc>
          <w:tcPr>
            <w:tcW w:w="1080" w:type="dxa"/>
            <w:vAlign w:val="bottom"/>
          </w:tcPr>
          <w:p>
            <w:pPr>
              <w:jc w:val="right"/>
              <w:spacing w:after="0" w:line="131" w:lineRule="exact"/>
              <w:rPr>
                <w:sz w:val="20"/>
                <w:szCs w:val="20"/>
                <w:color w:val="auto"/>
              </w:rPr>
            </w:pPr>
            <w:r>
              <w:rPr>
                <w:rFonts w:ascii="Arial" w:cs="Arial" w:eastAsia="Arial" w:hAnsi="Arial"/>
                <w:sz w:val="12"/>
                <w:szCs w:val="12"/>
                <w:b w:val="1"/>
                <w:bCs w:val="1"/>
                <w:color w:val="125288"/>
              </w:rPr>
              <w:t>That Have Not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tcPr>
          <w:p>
            <w:pPr>
              <w:jc w:val="right"/>
              <w:ind w:right="261"/>
              <w:spacing w:after="0" w:line="140" w:lineRule="exact"/>
              <w:rPr>
                <w:sz w:val="20"/>
                <w:szCs w:val="20"/>
                <w:color w:val="auto"/>
              </w:rPr>
            </w:pPr>
            <w:r>
              <w:rPr>
                <w:rFonts w:ascii="Arial" w:cs="Arial" w:eastAsia="Arial" w:hAnsi="Arial"/>
                <w:sz w:val="10"/>
                <w:szCs w:val="10"/>
                <w:b w:val="1"/>
                <w:bCs w:val="1"/>
                <w:color w:val="125288"/>
              </w:rPr>
              <w:t>Exercisable</w:t>
            </w:r>
            <w:r>
              <w:rPr>
                <w:rFonts w:ascii="Arial" w:cs="Arial" w:eastAsia="Arial" w:hAnsi="Arial"/>
                <w:sz w:val="16"/>
                <w:szCs w:val="16"/>
                <w:b w:val="1"/>
                <w:bCs w:val="1"/>
                <w:color w:val="125288"/>
                <w:vertAlign w:val="superscript"/>
              </w:rPr>
              <w:t>(1)</w:t>
            </w:r>
          </w:p>
        </w:tc>
        <w:tc>
          <w:tcPr>
            <w:tcW w:w="1260" w:type="dxa"/>
            <w:vAlign w:val="bottom"/>
          </w:tcPr>
          <w:p>
            <w:pPr>
              <w:jc w:val="right"/>
              <w:ind w:right="261"/>
              <w:spacing w:after="0"/>
              <w:rPr>
                <w:sz w:val="20"/>
                <w:szCs w:val="20"/>
                <w:color w:val="auto"/>
              </w:rPr>
            </w:pPr>
            <w:r>
              <w:rPr>
                <w:rFonts w:ascii="Arial" w:cs="Arial" w:eastAsia="Arial" w:hAnsi="Arial"/>
                <w:sz w:val="12"/>
                <w:szCs w:val="12"/>
                <w:b w:val="1"/>
                <w:bCs w:val="1"/>
                <w:color w:val="125288"/>
              </w:rPr>
              <w:t>Unexercisable</w:t>
            </w:r>
          </w:p>
        </w:tc>
        <w:tc>
          <w:tcPr>
            <w:tcW w:w="1200" w:type="dxa"/>
            <w:vAlign w:val="bottom"/>
          </w:tcPr>
          <w:p>
            <w:pPr>
              <w:jc w:val="right"/>
              <w:ind w:right="201"/>
              <w:spacing w:after="0"/>
              <w:rPr>
                <w:sz w:val="20"/>
                <w:szCs w:val="20"/>
                <w:color w:val="auto"/>
              </w:rPr>
            </w:pPr>
            <w:r>
              <w:rPr>
                <w:rFonts w:ascii="Arial" w:cs="Arial" w:eastAsia="Arial" w:hAnsi="Arial"/>
                <w:sz w:val="12"/>
                <w:szCs w:val="12"/>
                <w:b w:val="1"/>
                <w:bCs w:val="1"/>
                <w:color w:val="125288"/>
              </w:rPr>
              <w:t>Unearned</w:t>
            </w:r>
          </w:p>
        </w:tc>
        <w:tc>
          <w:tcPr>
            <w:tcW w:w="760" w:type="dxa"/>
            <w:vAlign w:val="bottom"/>
          </w:tcPr>
          <w:p>
            <w:pPr>
              <w:jc w:val="right"/>
              <w:ind w:right="161"/>
              <w:spacing w:after="0"/>
              <w:rPr>
                <w:sz w:val="20"/>
                <w:szCs w:val="20"/>
                <w:color w:val="auto"/>
              </w:rPr>
            </w:pPr>
            <w:r>
              <w:rPr>
                <w:rFonts w:ascii="Arial" w:cs="Arial" w:eastAsia="Arial" w:hAnsi="Arial"/>
                <w:sz w:val="12"/>
                <w:szCs w:val="12"/>
                <w:b w:val="1"/>
                <w:bCs w:val="1"/>
                <w:color w:val="125288"/>
              </w:rPr>
              <w:t>Price</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125288"/>
              </w:rPr>
              <w:t>Expiration</w:t>
            </w:r>
          </w:p>
        </w:tc>
        <w:tc>
          <w:tcPr>
            <w:tcW w:w="960" w:type="dxa"/>
            <w:vAlign w:val="bottom"/>
          </w:tcPr>
          <w:p>
            <w:pPr>
              <w:jc w:val="right"/>
              <w:ind w:right="241"/>
              <w:spacing w:after="0"/>
              <w:rPr>
                <w:sz w:val="20"/>
                <w:szCs w:val="20"/>
                <w:color w:val="auto"/>
              </w:rPr>
            </w:pPr>
            <w:r>
              <w:rPr>
                <w:rFonts w:ascii="Arial" w:cs="Arial" w:eastAsia="Arial" w:hAnsi="Arial"/>
                <w:sz w:val="12"/>
                <w:szCs w:val="12"/>
                <w:b w:val="1"/>
                <w:bCs w:val="1"/>
                <w:color w:val="125288"/>
              </w:rPr>
              <w:t>Vested</w:t>
            </w:r>
          </w:p>
        </w:tc>
        <w:tc>
          <w:tcPr>
            <w:tcW w:w="820" w:type="dxa"/>
            <w:vAlign w:val="bottom"/>
          </w:tcPr>
          <w:p>
            <w:pPr>
              <w:jc w:val="right"/>
              <w:ind w:right="21"/>
              <w:spacing w:after="0" w:line="140" w:lineRule="exact"/>
              <w:rPr>
                <w:sz w:val="20"/>
                <w:szCs w:val="20"/>
                <w:color w:val="auto"/>
              </w:rPr>
            </w:pPr>
            <w:r>
              <w:rPr>
                <w:rFonts w:ascii="Arial" w:cs="Arial" w:eastAsia="Arial" w:hAnsi="Arial"/>
                <w:sz w:val="10"/>
                <w:szCs w:val="10"/>
                <w:b w:val="1"/>
                <w:bCs w:val="1"/>
                <w:color w:val="125288"/>
              </w:rPr>
              <w:t>Vested</w:t>
            </w:r>
            <w:r>
              <w:rPr>
                <w:rFonts w:ascii="Arial" w:cs="Arial" w:eastAsia="Arial" w:hAnsi="Arial"/>
                <w:sz w:val="16"/>
                <w:szCs w:val="16"/>
                <w:b w:val="1"/>
                <w:bCs w:val="1"/>
                <w:color w:val="125288"/>
                <w:vertAlign w:val="superscript"/>
              </w:rPr>
              <w:t>(2)</w:t>
            </w:r>
          </w:p>
        </w:tc>
        <w:tc>
          <w:tcPr>
            <w:tcW w:w="1440" w:type="dxa"/>
            <w:vAlign w:val="bottom"/>
          </w:tcPr>
          <w:p>
            <w:pPr>
              <w:jc w:val="right"/>
              <w:ind w:right="261"/>
              <w:spacing w:after="0"/>
              <w:rPr>
                <w:sz w:val="20"/>
                <w:szCs w:val="20"/>
                <w:color w:val="auto"/>
              </w:rPr>
            </w:pPr>
            <w:r>
              <w:rPr>
                <w:rFonts w:ascii="Arial" w:cs="Arial" w:eastAsia="Arial" w:hAnsi="Arial"/>
                <w:sz w:val="12"/>
                <w:szCs w:val="12"/>
                <w:b w:val="1"/>
                <w:bCs w:val="1"/>
                <w:color w:val="125288"/>
              </w:rPr>
              <w:t>Have Not</w:t>
            </w:r>
          </w:p>
        </w:tc>
        <w:tc>
          <w:tcPr>
            <w:tcW w:w="1080" w:type="dxa"/>
            <w:vAlign w:val="bottom"/>
          </w:tcPr>
          <w:p>
            <w:pPr>
              <w:jc w:val="right"/>
              <w:spacing w:after="0" w:line="140" w:lineRule="exact"/>
              <w:rPr>
                <w:sz w:val="20"/>
                <w:szCs w:val="20"/>
                <w:color w:val="auto"/>
              </w:rPr>
            </w:pPr>
            <w:r>
              <w:rPr>
                <w:rFonts w:ascii="Arial" w:cs="Arial" w:eastAsia="Arial" w:hAnsi="Arial"/>
                <w:sz w:val="10"/>
                <w:szCs w:val="10"/>
                <w:b w:val="1"/>
                <w:bCs w:val="1"/>
                <w:color w:val="125288"/>
              </w:rPr>
              <w:t>Vested</w:t>
            </w:r>
            <w:r>
              <w:rPr>
                <w:rFonts w:ascii="Arial" w:cs="Arial" w:eastAsia="Arial" w:hAnsi="Arial"/>
                <w:sz w:val="16"/>
                <w:szCs w:val="16"/>
                <w:b w:val="1"/>
                <w:bCs w:val="1"/>
                <w:color w:val="125288"/>
                <w:vertAlign w:val="superscript"/>
              </w:rPr>
              <w:t>(2)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0" w:type="dxa"/>
            <w:vAlign w:val="bottom"/>
            <w:tcBorders>
              <w:bottom w:val="single" w:sz="8" w:color="125288"/>
            </w:tcBorders>
          </w:tcPr>
          <w:p>
            <w:pPr>
              <w:ind w:left="40"/>
              <w:spacing w:after="0"/>
              <w:rPr>
                <w:sz w:val="20"/>
                <w:szCs w:val="20"/>
                <w:color w:val="auto"/>
              </w:rPr>
            </w:pPr>
            <w:r>
              <w:rPr>
                <w:rFonts w:ascii="Arial" w:cs="Arial" w:eastAsia="Arial" w:hAnsi="Arial"/>
                <w:sz w:val="12"/>
                <w:szCs w:val="12"/>
                <w:b w:val="1"/>
                <w:bCs w:val="1"/>
                <w:color w:val="125288"/>
              </w:rPr>
              <w:t>Name</w:t>
            </w:r>
          </w:p>
        </w:tc>
        <w:tc>
          <w:tcPr>
            <w:tcW w:w="340" w:type="dxa"/>
            <w:vAlign w:val="bottom"/>
            <w:tcBorders>
              <w:bottom w:val="single" w:sz="8" w:color="125288"/>
            </w:tcBorders>
          </w:tcPr>
          <w:p>
            <w:pPr>
              <w:spacing w:after="0"/>
              <w:rPr>
                <w:sz w:val="12"/>
                <w:szCs w:val="12"/>
                <w:color w:val="auto"/>
              </w:rPr>
            </w:pPr>
          </w:p>
        </w:tc>
        <w:tc>
          <w:tcPr>
            <w:tcW w:w="1580" w:type="dxa"/>
            <w:vAlign w:val="bottom"/>
            <w:tcBorders>
              <w:bottom w:val="single" w:sz="8" w:color="125288"/>
            </w:tcBorders>
          </w:tcPr>
          <w:p>
            <w:pPr>
              <w:jc w:val="right"/>
              <w:ind w:right="261"/>
              <w:spacing w:after="0"/>
              <w:rPr>
                <w:sz w:val="20"/>
                <w:szCs w:val="20"/>
                <w:color w:val="auto"/>
              </w:rPr>
            </w:pPr>
            <w:r>
              <w:rPr>
                <w:rFonts w:ascii="Arial" w:cs="Arial" w:eastAsia="Arial" w:hAnsi="Arial"/>
                <w:sz w:val="12"/>
                <w:szCs w:val="12"/>
                <w:b w:val="1"/>
                <w:bCs w:val="1"/>
                <w:color w:val="125288"/>
              </w:rPr>
              <w:t>(#)</w:t>
            </w:r>
          </w:p>
        </w:tc>
        <w:tc>
          <w:tcPr>
            <w:tcW w:w="1260" w:type="dxa"/>
            <w:vAlign w:val="bottom"/>
            <w:tcBorders>
              <w:bottom w:val="single" w:sz="8" w:color="125288"/>
            </w:tcBorders>
          </w:tcPr>
          <w:p>
            <w:pPr>
              <w:jc w:val="right"/>
              <w:ind w:right="261"/>
              <w:spacing w:after="0"/>
              <w:rPr>
                <w:sz w:val="20"/>
                <w:szCs w:val="20"/>
                <w:color w:val="auto"/>
              </w:rPr>
            </w:pPr>
            <w:r>
              <w:rPr>
                <w:rFonts w:ascii="Arial" w:cs="Arial" w:eastAsia="Arial" w:hAnsi="Arial"/>
                <w:sz w:val="12"/>
                <w:szCs w:val="12"/>
                <w:b w:val="1"/>
                <w:bCs w:val="1"/>
                <w:color w:val="125288"/>
              </w:rPr>
              <w:t>(#)</w:t>
            </w:r>
          </w:p>
        </w:tc>
        <w:tc>
          <w:tcPr>
            <w:tcW w:w="1200" w:type="dxa"/>
            <w:vAlign w:val="bottom"/>
            <w:tcBorders>
              <w:bottom w:val="single" w:sz="8" w:color="125288"/>
            </w:tcBorders>
          </w:tcPr>
          <w:p>
            <w:pPr>
              <w:jc w:val="right"/>
              <w:ind w:right="201"/>
              <w:spacing w:after="0"/>
              <w:rPr>
                <w:sz w:val="20"/>
                <w:szCs w:val="20"/>
                <w:color w:val="auto"/>
              </w:rPr>
            </w:pPr>
            <w:r>
              <w:rPr>
                <w:rFonts w:ascii="Arial" w:cs="Arial" w:eastAsia="Arial" w:hAnsi="Arial"/>
                <w:sz w:val="12"/>
                <w:szCs w:val="12"/>
                <w:b w:val="1"/>
                <w:bCs w:val="1"/>
                <w:color w:val="125288"/>
              </w:rPr>
              <w:t>Options (#)</w:t>
            </w:r>
          </w:p>
        </w:tc>
        <w:tc>
          <w:tcPr>
            <w:tcW w:w="760" w:type="dxa"/>
            <w:vAlign w:val="bottom"/>
            <w:tcBorders>
              <w:bottom w:val="single" w:sz="8" w:color="125288"/>
            </w:tcBorders>
          </w:tcPr>
          <w:p>
            <w:pPr>
              <w:jc w:val="right"/>
              <w:ind w:right="141"/>
              <w:spacing w:after="0"/>
              <w:rPr>
                <w:sz w:val="20"/>
                <w:szCs w:val="20"/>
                <w:color w:val="auto"/>
              </w:rPr>
            </w:pPr>
            <w:r>
              <w:rPr>
                <w:rFonts w:ascii="Arial" w:cs="Arial" w:eastAsia="Arial" w:hAnsi="Arial"/>
                <w:sz w:val="12"/>
                <w:szCs w:val="12"/>
                <w:b w:val="1"/>
                <w:bCs w:val="1"/>
                <w:color w:val="125288"/>
              </w:rPr>
              <w:t>($)</w:t>
            </w:r>
          </w:p>
        </w:tc>
        <w:tc>
          <w:tcPr>
            <w:tcW w:w="900" w:type="dxa"/>
            <w:vAlign w:val="bottom"/>
            <w:tcBorders>
              <w:bottom w:val="single" w:sz="8" w:color="125288"/>
            </w:tcBorders>
            <w:gridSpan w:val="2"/>
          </w:tcPr>
          <w:p>
            <w:pPr>
              <w:jc w:val="right"/>
              <w:ind w:right="120"/>
              <w:spacing w:after="0"/>
              <w:rPr>
                <w:sz w:val="20"/>
                <w:szCs w:val="20"/>
                <w:color w:val="auto"/>
              </w:rPr>
            </w:pPr>
            <w:r>
              <w:rPr>
                <w:rFonts w:ascii="Arial" w:cs="Arial" w:eastAsia="Arial" w:hAnsi="Arial"/>
                <w:sz w:val="12"/>
                <w:szCs w:val="12"/>
                <w:b w:val="1"/>
                <w:bCs w:val="1"/>
                <w:color w:val="125288"/>
              </w:rPr>
              <w:t>Date</w:t>
            </w:r>
          </w:p>
        </w:tc>
        <w:tc>
          <w:tcPr>
            <w:tcW w:w="960" w:type="dxa"/>
            <w:vAlign w:val="bottom"/>
            <w:tcBorders>
              <w:bottom w:val="single" w:sz="8" w:color="125288"/>
            </w:tcBorders>
          </w:tcPr>
          <w:p>
            <w:pPr>
              <w:jc w:val="right"/>
              <w:ind w:right="241"/>
              <w:spacing w:after="0"/>
              <w:rPr>
                <w:sz w:val="20"/>
                <w:szCs w:val="20"/>
                <w:color w:val="auto"/>
              </w:rPr>
            </w:pPr>
            <w:r>
              <w:rPr>
                <w:rFonts w:ascii="Arial" w:cs="Arial" w:eastAsia="Arial" w:hAnsi="Arial"/>
                <w:sz w:val="12"/>
                <w:szCs w:val="12"/>
                <w:b w:val="1"/>
                <w:bCs w:val="1"/>
                <w:color w:val="125288"/>
              </w:rPr>
              <w:t>(#)</w:t>
            </w:r>
          </w:p>
        </w:tc>
        <w:tc>
          <w:tcPr>
            <w:tcW w:w="820" w:type="dxa"/>
            <w:vAlign w:val="bottom"/>
            <w:tcBorders>
              <w:bottom w:val="single" w:sz="8" w:color="125288"/>
            </w:tcBorders>
          </w:tcPr>
          <w:p>
            <w:pPr>
              <w:jc w:val="right"/>
              <w:ind w:right="21"/>
              <w:spacing w:after="0"/>
              <w:rPr>
                <w:sz w:val="20"/>
                <w:szCs w:val="20"/>
                <w:color w:val="auto"/>
              </w:rPr>
            </w:pPr>
            <w:r>
              <w:rPr>
                <w:rFonts w:ascii="Arial" w:cs="Arial" w:eastAsia="Arial" w:hAnsi="Arial"/>
                <w:sz w:val="12"/>
                <w:szCs w:val="12"/>
                <w:b w:val="1"/>
                <w:bCs w:val="1"/>
                <w:color w:val="125288"/>
              </w:rPr>
              <w:t>($)</w:t>
            </w:r>
          </w:p>
        </w:tc>
        <w:tc>
          <w:tcPr>
            <w:tcW w:w="1440" w:type="dxa"/>
            <w:vAlign w:val="bottom"/>
            <w:tcBorders>
              <w:bottom w:val="single" w:sz="8" w:color="125288"/>
            </w:tcBorders>
          </w:tcPr>
          <w:p>
            <w:pPr>
              <w:jc w:val="right"/>
              <w:ind w:right="261"/>
              <w:spacing w:after="0"/>
              <w:rPr>
                <w:sz w:val="20"/>
                <w:szCs w:val="20"/>
                <w:color w:val="auto"/>
              </w:rPr>
            </w:pPr>
            <w:r>
              <w:rPr>
                <w:rFonts w:ascii="Arial" w:cs="Arial" w:eastAsia="Arial" w:hAnsi="Arial"/>
                <w:sz w:val="12"/>
                <w:szCs w:val="12"/>
                <w:b w:val="1"/>
                <w:bCs w:val="1"/>
                <w:color w:val="125288"/>
              </w:rPr>
              <w:t>Vested (#)</w:t>
            </w:r>
          </w:p>
        </w:tc>
        <w:tc>
          <w:tcPr>
            <w:tcW w:w="1080" w:type="dxa"/>
            <w:vAlign w:val="bottom"/>
            <w:tcBorders>
              <w:bottom w:val="single" w:sz="8" w:color="125288"/>
            </w:tcBorders>
          </w:tcPr>
          <w:p>
            <w:pPr>
              <w:jc w:val="right"/>
              <w:spacing w:after="0"/>
              <w:rPr>
                <w:sz w:val="20"/>
                <w:szCs w:val="20"/>
                <w:color w:val="auto"/>
              </w:rPr>
            </w:pPr>
            <w:r>
              <w:rPr>
                <w:rFonts w:ascii="Arial" w:cs="Arial" w:eastAsia="Arial" w:hAnsi="Arial"/>
                <w:sz w:val="12"/>
                <w:szCs w:val="12"/>
                <w:b w:val="1"/>
                <w:bCs w:val="1"/>
                <w:color w:val="125288"/>
              </w:rPr>
              <w:t>($)</w:t>
            </w:r>
          </w:p>
        </w:tc>
        <w:tc>
          <w:tcPr>
            <w:tcW w:w="180" w:type="dxa"/>
            <w:vAlign w:val="bottom"/>
            <w:tcBorders>
              <w:bottom w:val="single" w:sz="8" w:color="125288"/>
            </w:tcBorders>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080" w:type="dxa"/>
            <w:vAlign w:val="bottom"/>
            <w:gridSpan w:val="2"/>
          </w:tcPr>
          <w:p>
            <w:pPr>
              <w:ind w:left="40"/>
              <w:spacing w:after="0"/>
              <w:rPr>
                <w:sz w:val="20"/>
                <w:szCs w:val="20"/>
                <w:color w:val="auto"/>
              </w:rPr>
            </w:pPr>
            <w:r>
              <w:rPr>
                <w:rFonts w:ascii="Arial" w:cs="Arial" w:eastAsia="Arial" w:hAnsi="Arial"/>
                <w:sz w:val="12"/>
                <w:szCs w:val="12"/>
                <w:color w:val="auto"/>
              </w:rPr>
              <w:t>Robert Kotick</w:t>
            </w:r>
          </w:p>
        </w:tc>
        <w:tc>
          <w:tcPr>
            <w:tcW w:w="1580" w:type="dxa"/>
            <w:vAlign w:val="bottom"/>
            <w:tcBorders>
              <w:bottom w:val="single" w:sz="8" w:color="125288"/>
            </w:tcBorders>
          </w:tcPr>
          <w:p>
            <w:pPr>
              <w:jc w:val="right"/>
              <w:ind w:right="141"/>
              <w:spacing w:after="0" w:line="202" w:lineRule="exact"/>
              <w:rPr>
                <w:sz w:val="20"/>
                <w:szCs w:val="20"/>
                <w:color w:val="auto"/>
              </w:rPr>
            </w:pPr>
            <w:r>
              <w:rPr>
                <w:rFonts w:ascii="Arial" w:cs="Arial" w:eastAsia="Arial" w:hAnsi="Arial"/>
                <w:sz w:val="12"/>
                <w:szCs w:val="12"/>
                <w:color w:val="auto"/>
              </w:rPr>
              <w:t>190,712</w:t>
            </w:r>
            <w:r>
              <w:rPr>
                <w:rFonts w:ascii="Arial" w:cs="Arial" w:eastAsia="Arial" w:hAnsi="Arial"/>
                <w:sz w:val="19"/>
                <w:szCs w:val="19"/>
                <w:color w:val="auto"/>
                <w:vertAlign w:val="superscript"/>
              </w:rPr>
              <w:t>(3)</w:t>
            </w:r>
          </w:p>
        </w:tc>
        <w:tc>
          <w:tcPr>
            <w:tcW w:w="1260" w:type="dxa"/>
            <w:vAlign w:val="bottom"/>
            <w:tcBorders>
              <w:bottom w:val="single" w:sz="8" w:color="125288"/>
            </w:tcBorders>
          </w:tcPr>
          <w:p>
            <w:pPr>
              <w:jc w:val="right"/>
              <w:ind w:right="261"/>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jc w:val="right"/>
              <w:ind w:right="141"/>
              <w:spacing w:after="0"/>
              <w:rPr>
                <w:sz w:val="20"/>
                <w:szCs w:val="20"/>
                <w:color w:val="auto"/>
              </w:rPr>
            </w:pPr>
            <w:r>
              <w:rPr>
                <w:rFonts w:ascii="Arial" w:cs="Arial" w:eastAsia="Arial" w:hAnsi="Arial"/>
                <w:sz w:val="12"/>
                <w:szCs w:val="12"/>
                <w:color w:val="auto"/>
              </w:rPr>
              <w:t>62.51</w:t>
            </w:r>
          </w:p>
        </w:tc>
        <w:tc>
          <w:tcPr>
            <w:tcW w:w="900" w:type="dxa"/>
            <w:vAlign w:val="bottom"/>
            <w:tcBorders>
              <w:bottom w:val="single" w:sz="8" w:color="125288"/>
            </w:tcBorders>
            <w:gridSpan w:val="2"/>
          </w:tcPr>
          <w:p>
            <w:pPr>
              <w:jc w:val="right"/>
              <w:ind w:right="120"/>
              <w:spacing w:after="0"/>
              <w:rPr>
                <w:sz w:val="20"/>
                <w:szCs w:val="20"/>
                <w:color w:val="auto"/>
              </w:rPr>
            </w:pPr>
            <w:r>
              <w:rPr>
                <w:rFonts w:ascii="Arial" w:cs="Arial" w:eastAsia="Arial" w:hAnsi="Arial"/>
                <w:sz w:val="12"/>
                <w:szCs w:val="12"/>
                <w:color w:val="auto"/>
              </w:rPr>
              <w:t>8/7/2027</w:t>
            </w:r>
          </w:p>
        </w:tc>
        <w:tc>
          <w:tcPr>
            <w:tcW w:w="960" w:type="dxa"/>
            <w:vAlign w:val="bottom"/>
            <w:tcBorders>
              <w:bottom w:val="single" w:sz="8" w:color="125288"/>
            </w:tcBorders>
          </w:tcPr>
          <w:p>
            <w:pPr>
              <w:spacing w:after="0"/>
              <w:rPr>
                <w:sz w:val="17"/>
                <w:szCs w:val="17"/>
                <w:color w:val="auto"/>
              </w:rPr>
            </w:pPr>
          </w:p>
        </w:tc>
        <w:tc>
          <w:tcPr>
            <w:tcW w:w="820" w:type="dxa"/>
            <w:vAlign w:val="bottom"/>
            <w:tcBorders>
              <w:bottom w:val="single" w:sz="8" w:color="125288"/>
            </w:tcBorders>
          </w:tcPr>
          <w:p>
            <w:pPr>
              <w:spacing w:after="0"/>
              <w:rPr>
                <w:sz w:val="17"/>
                <w:szCs w:val="17"/>
                <w:color w:val="auto"/>
              </w:rPr>
            </w:pPr>
          </w:p>
        </w:tc>
        <w:tc>
          <w:tcPr>
            <w:tcW w:w="1440" w:type="dxa"/>
            <w:vAlign w:val="bottom"/>
            <w:tcBorders>
              <w:bottom w:val="single" w:sz="8" w:color="125288"/>
            </w:tcBorders>
          </w:tcPr>
          <w:p>
            <w:pPr>
              <w:spacing w:after="0"/>
              <w:rPr>
                <w:sz w:val="17"/>
                <w:szCs w:val="17"/>
                <w:color w:val="auto"/>
              </w:rPr>
            </w:pPr>
          </w:p>
        </w:tc>
        <w:tc>
          <w:tcPr>
            <w:tcW w:w="1080" w:type="dxa"/>
            <w:vAlign w:val="bottom"/>
            <w:tcBorders>
              <w:bottom w:val="single" w:sz="8" w:color="125288"/>
            </w:tcBorders>
          </w:tcPr>
          <w:p>
            <w:pPr>
              <w:spacing w:after="0"/>
              <w:rPr>
                <w:sz w:val="17"/>
                <w:szCs w:val="17"/>
                <w:color w:val="auto"/>
              </w:rPr>
            </w:pPr>
          </w:p>
        </w:tc>
        <w:tc>
          <w:tcPr>
            <w:tcW w:w="180" w:type="dxa"/>
            <w:vAlign w:val="bottom"/>
            <w:tcBorders>
              <w:bottom w:val="single" w:sz="8" w:color="125288"/>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Borders>
              <w:bottom w:val="single" w:sz="8" w:color="125288"/>
            </w:tcBorders>
          </w:tcPr>
          <w:p>
            <w:pPr>
              <w:jc w:val="right"/>
              <w:ind w:right="141"/>
              <w:spacing w:after="0" w:line="202" w:lineRule="exact"/>
              <w:rPr>
                <w:sz w:val="20"/>
                <w:szCs w:val="20"/>
                <w:color w:val="auto"/>
              </w:rPr>
            </w:pPr>
            <w:r>
              <w:rPr>
                <w:rFonts w:ascii="Arial" w:cs="Arial" w:eastAsia="Arial" w:hAnsi="Arial"/>
                <w:sz w:val="12"/>
                <w:szCs w:val="12"/>
                <w:color w:val="auto"/>
              </w:rPr>
              <w:t>925,057</w:t>
            </w:r>
            <w:r>
              <w:rPr>
                <w:rFonts w:ascii="Arial" w:cs="Arial" w:eastAsia="Arial" w:hAnsi="Arial"/>
                <w:sz w:val="19"/>
                <w:szCs w:val="19"/>
                <w:color w:val="auto"/>
                <w:vertAlign w:val="superscript"/>
              </w:rPr>
              <w:t>(3)</w:t>
            </w:r>
          </w:p>
        </w:tc>
        <w:tc>
          <w:tcPr>
            <w:tcW w:w="1260" w:type="dxa"/>
            <w:vAlign w:val="bottom"/>
            <w:tcBorders>
              <w:bottom w:val="single" w:sz="8" w:color="125288"/>
            </w:tcBorders>
          </w:tcPr>
          <w:p>
            <w:pPr>
              <w:jc w:val="right"/>
              <w:ind w:right="261"/>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jc w:val="right"/>
              <w:ind w:right="141"/>
              <w:spacing w:after="0"/>
              <w:rPr>
                <w:sz w:val="20"/>
                <w:szCs w:val="20"/>
                <w:color w:val="auto"/>
              </w:rPr>
            </w:pPr>
            <w:r>
              <w:rPr>
                <w:rFonts w:ascii="Arial" w:cs="Arial" w:eastAsia="Arial" w:hAnsi="Arial"/>
                <w:sz w:val="12"/>
                <w:szCs w:val="12"/>
                <w:color w:val="auto"/>
              </w:rPr>
              <w:t>50.85</w:t>
            </w:r>
          </w:p>
        </w:tc>
        <w:tc>
          <w:tcPr>
            <w:tcW w:w="900" w:type="dxa"/>
            <w:vAlign w:val="bottom"/>
            <w:tcBorders>
              <w:bottom w:val="single" w:sz="8" w:color="125288"/>
            </w:tcBorders>
            <w:gridSpan w:val="2"/>
          </w:tcPr>
          <w:p>
            <w:pPr>
              <w:jc w:val="right"/>
              <w:ind w:right="120"/>
              <w:spacing w:after="0"/>
              <w:rPr>
                <w:sz w:val="20"/>
                <w:szCs w:val="20"/>
                <w:color w:val="auto"/>
              </w:rPr>
            </w:pPr>
            <w:r>
              <w:rPr>
                <w:rFonts w:ascii="Arial" w:cs="Arial" w:eastAsia="Arial" w:hAnsi="Arial"/>
                <w:sz w:val="12"/>
                <w:szCs w:val="12"/>
                <w:color w:val="auto"/>
              </w:rPr>
              <w:t>11/21/2028</w:t>
            </w:r>
          </w:p>
        </w:tc>
        <w:tc>
          <w:tcPr>
            <w:tcW w:w="960" w:type="dxa"/>
            <w:vAlign w:val="bottom"/>
            <w:tcBorders>
              <w:bottom w:val="single" w:sz="8" w:color="125288"/>
            </w:tcBorders>
          </w:tcPr>
          <w:p>
            <w:pPr>
              <w:spacing w:after="0"/>
              <w:rPr>
                <w:sz w:val="17"/>
                <w:szCs w:val="17"/>
                <w:color w:val="auto"/>
              </w:rPr>
            </w:pPr>
          </w:p>
        </w:tc>
        <w:tc>
          <w:tcPr>
            <w:tcW w:w="820" w:type="dxa"/>
            <w:vAlign w:val="bottom"/>
            <w:tcBorders>
              <w:bottom w:val="single" w:sz="8" w:color="125288"/>
            </w:tcBorders>
          </w:tcPr>
          <w:p>
            <w:pPr>
              <w:spacing w:after="0"/>
              <w:rPr>
                <w:sz w:val="17"/>
                <w:szCs w:val="17"/>
                <w:color w:val="auto"/>
              </w:rPr>
            </w:pPr>
          </w:p>
        </w:tc>
        <w:tc>
          <w:tcPr>
            <w:tcW w:w="1440" w:type="dxa"/>
            <w:vAlign w:val="bottom"/>
            <w:tcBorders>
              <w:bottom w:val="single" w:sz="8" w:color="125288"/>
            </w:tcBorders>
          </w:tcPr>
          <w:p>
            <w:pPr>
              <w:spacing w:after="0"/>
              <w:rPr>
                <w:sz w:val="17"/>
                <w:szCs w:val="17"/>
                <w:color w:val="auto"/>
              </w:rPr>
            </w:pPr>
          </w:p>
        </w:tc>
        <w:tc>
          <w:tcPr>
            <w:tcW w:w="1080" w:type="dxa"/>
            <w:vAlign w:val="bottom"/>
            <w:tcBorders>
              <w:bottom w:val="single" w:sz="8" w:color="125288"/>
            </w:tcBorders>
          </w:tcPr>
          <w:p>
            <w:pPr>
              <w:spacing w:after="0"/>
              <w:rPr>
                <w:sz w:val="17"/>
                <w:szCs w:val="17"/>
                <w:color w:val="auto"/>
              </w:rPr>
            </w:pPr>
          </w:p>
        </w:tc>
        <w:tc>
          <w:tcPr>
            <w:tcW w:w="180" w:type="dxa"/>
            <w:vAlign w:val="bottom"/>
            <w:tcBorders>
              <w:bottom w:val="single" w:sz="8" w:color="125288"/>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40" w:type="dxa"/>
            <w:vAlign w:val="bottom"/>
            <w:tcBorders>
              <w:bottom w:val="single" w:sz="8" w:color="125288"/>
            </w:tcBorders>
          </w:tcPr>
          <w:p>
            <w:pPr>
              <w:spacing w:after="0"/>
              <w:rPr>
                <w:sz w:val="17"/>
                <w:szCs w:val="17"/>
                <w:color w:val="auto"/>
              </w:rPr>
            </w:pPr>
          </w:p>
        </w:tc>
        <w:tc>
          <w:tcPr>
            <w:tcW w:w="340" w:type="dxa"/>
            <w:vAlign w:val="bottom"/>
            <w:tcBorders>
              <w:bottom w:val="single" w:sz="8" w:color="125288"/>
            </w:tcBorders>
          </w:tcPr>
          <w:p>
            <w:pPr>
              <w:spacing w:after="0"/>
              <w:rPr>
                <w:sz w:val="17"/>
                <w:szCs w:val="17"/>
                <w:color w:val="auto"/>
              </w:rPr>
            </w:pPr>
          </w:p>
        </w:tc>
        <w:tc>
          <w:tcPr>
            <w:tcW w:w="1580" w:type="dxa"/>
            <w:vAlign w:val="bottom"/>
            <w:tcBorders>
              <w:bottom w:val="single" w:sz="8" w:color="125288"/>
            </w:tcBorders>
          </w:tcPr>
          <w:p>
            <w:pPr>
              <w:jc w:val="right"/>
              <w:ind w:right="141"/>
              <w:spacing w:after="0" w:line="202" w:lineRule="exact"/>
              <w:rPr>
                <w:sz w:val="20"/>
                <w:szCs w:val="20"/>
                <w:color w:val="auto"/>
              </w:rPr>
            </w:pPr>
            <w:r>
              <w:rPr>
                <w:rFonts w:ascii="Arial" w:cs="Arial" w:eastAsia="Arial" w:hAnsi="Arial"/>
                <w:sz w:val="12"/>
                <w:szCs w:val="12"/>
                <w:color w:val="auto"/>
              </w:rPr>
              <w:t>1,086,109</w:t>
            </w:r>
            <w:r>
              <w:rPr>
                <w:rFonts w:ascii="Arial" w:cs="Arial" w:eastAsia="Arial" w:hAnsi="Arial"/>
                <w:sz w:val="19"/>
                <w:szCs w:val="19"/>
                <w:color w:val="auto"/>
                <w:vertAlign w:val="superscript"/>
              </w:rPr>
              <w:t>(3)</w:t>
            </w:r>
          </w:p>
        </w:tc>
        <w:tc>
          <w:tcPr>
            <w:tcW w:w="1260" w:type="dxa"/>
            <w:vAlign w:val="bottom"/>
            <w:tcBorders>
              <w:bottom w:val="single" w:sz="8" w:color="125288"/>
            </w:tcBorders>
          </w:tcPr>
          <w:p>
            <w:pPr>
              <w:jc w:val="right"/>
              <w:ind w:right="261"/>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jc w:val="right"/>
              <w:ind w:right="141"/>
              <w:spacing w:after="0"/>
              <w:rPr>
                <w:sz w:val="20"/>
                <w:szCs w:val="20"/>
                <w:color w:val="auto"/>
              </w:rPr>
            </w:pPr>
            <w:r>
              <w:rPr>
                <w:rFonts w:ascii="Arial" w:cs="Arial" w:eastAsia="Arial" w:hAnsi="Arial"/>
                <w:sz w:val="12"/>
                <w:szCs w:val="12"/>
                <w:color w:val="auto"/>
              </w:rPr>
              <w:t>47.08</w:t>
            </w:r>
          </w:p>
        </w:tc>
        <w:tc>
          <w:tcPr>
            <w:tcW w:w="900" w:type="dxa"/>
            <w:vAlign w:val="bottom"/>
            <w:tcBorders>
              <w:bottom w:val="single" w:sz="8" w:color="125288"/>
            </w:tcBorders>
            <w:gridSpan w:val="2"/>
          </w:tcPr>
          <w:p>
            <w:pPr>
              <w:jc w:val="right"/>
              <w:ind w:right="120"/>
              <w:spacing w:after="0"/>
              <w:rPr>
                <w:sz w:val="20"/>
                <w:szCs w:val="20"/>
                <w:color w:val="auto"/>
              </w:rPr>
            </w:pPr>
            <w:r>
              <w:rPr>
                <w:rFonts w:ascii="Arial" w:cs="Arial" w:eastAsia="Arial" w:hAnsi="Arial"/>
                <w:sz w:val="12"/>
                <w:szCs w:val="12"/>
                <w:color w:val="auto"/>
              </w:rPr>
              <w:t>8/12/2029</w:t>
            </w:r>
          </w:p>
        </w:tc>
        <w:tc>
          <w:tcPr>
            <w:tcW w:w="960" w:type="dxa"/>
            <w:vAlign w:val="bottom"/>
            <w:tcBorders>
              <w:bottom w:val="single" w:sz="8" w:color="125288"/>
            </w:tcBorders>
          </w:tcPr>
          <w:p>
            <w:pPr>
              <w:spacing w:after="0"/>
              <w:rPr>
                <w:sz w:val="17"/>
                <w:szCs w:val="17"/>
                <w:color w:val="auto"/>
              </w:rPr>
            </w:pPr>
          </w:p>
        </w:tc>
        <w:tc>
          <w:tcPr>
            <w:tcW w:w="820" w:type="dxa"/>
            <w:vAlign w:val="bottom"/>
            <w:tcBorders>
              <w:bottom w:val="single" w:sz="8" w:color="125288"/>
            </w:tcBorders>
          </w:tcPr>
          <w:p>
            <w:pPr>
              <w:spacing w:after="0"/>
              <w:rPr>
                <w:sz w:val="17"/>
                <w:szCs w:val="17"/>
                <w:color w:val="auto"/>
              </w:rPr>
            </w:pPr>
          </w:p>
        </w:tc>
        <w:tc>
          <w:tcPr>
            <w:tcW w:w="1440" w:type="dxa"/>
            <w:vAlign w:val="bottom"/>
            <w:tcBorders>
              <w:bottom w:val="single" w:sz="8" w:color="125288"/>
            </w:tcBorders>
          </w:tcPr>
          <w:p>
            <w:pPr>
              <w:spacing w:after="0"/>
              <w:rPr>
                <w:sz w:val="17"/>
                <w:szCs w:val="17"/>
                <w:color w:val="auto"/>
              </w:rPr>
            </w:pPr>
          </w:p>
        </w:tc>
        <w:tc>
          <w:tcPr>
            <w:tcW w:w="1080" w:type="dxa"/>
            <w:vAlign w:val="bottom"/>
            <w:tcBorders>
              <w:bottom w:val="single" w:sz="8" w:color="125288"/>
            </w:tcBorders>
          </w:tcPr>
          <w:p>
            <w:pPr>
              <w:spacing w:after="0"/>
              <w:rPr>
                <w:sz w:val="17"/>
                <w:szCs w:val="17"/>
                <w:color w:val="auto"/>
              </w:rPr>
            </w:pPr>
          </w:p>
        </w:tc>
        <w:tc>
          <w:tcPr>
            <w:tcW w:w="180" w:type="dxa"/>
            <w:vAlign w:val="bottom"/>
            <w:tcBorders>
              <w:bottom w:val="single" w:sz="8" w:color="125288"/>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40" w:type="dxa"/>
            <w:vAlign w:val="bottom"/>
          </w:tcPr>
          <w:p>
            <w:pPr>
              <w:ind w:left="40"/>
              <w:spacing w:after="0"/>
              <w:rPr>
                <w:sz w:val="20"/>
                <w:szCs w:val="20"/>
                <w:color w:val="auto"/>
              </w:rPr>
            </w:pPr>
            <w:r>
              <w:rPr>
                <w:rFonts w:ascii="Arial" w:cs="Arial" w:eastAsia="Arial" w:hAnsi="Arial"/>
                <w:sz w:val="12"/>
                <w:szCs w:val="12"/>
                <w:color w:val="auto"/>
              </w:rPr>
              <w:t>Armin Zerza</w:t>
            </w:r>
          </w:p>
        </w:tc>
        <w:tc>
          <w:tcPr>
            <w:tcW w:w="340" w:type="dxa"/>
            <w:vAlign w:val="bottom"/>
          </w:tcPr>
          <w:p>
            <w:pPr>
              <w:spacing w:after="0"/>
              <w:rPr>
                <w:sz w:val="17"/>
                <w:szCs w:val="17"/>
                <w:color w:val="auto"/>
              </w:rPr>
            </w:pPr>
          </w:p>
        </w:tc>
        <w:tc>
          <w:tcPr>
            <w:tcW w:w="1580" w:type="dxa"/>
            <w:vAlign w:val="bottom"/>
            <w:tcBorders>
              <w:bottom w:val="single" w:sz="8" w:color="125288"/>
            </w:tcBorders>
          </w:tcPr>
          <w:p>
            <w:pPr>
              <w:spacing w:after="0"/>
              <w:rPr>
                <w:sz w:val="17"/>
                <w:szCs w:val="17"/>
                <w:color w:val="auto"/>
              </w:rPr>
            </w:pPr>
          </w:p>
        </w:tc>
        <w:tc>
          <w:tcPr>
            <w:tcW w:w="1260" w:type="dxa"/>
            <w:vAlign w:val="bottom"/>
            <w:tcBorders>
              <w:bottom w:val="single" w:sz="8" w:color="125288"/>
            </w:tcBorders>
          </w:tcPr>
          <w:p>
            <w:pPr>
              <w:spacing w:after="0"/>
              <w:rPr>
                <w:sz w:val="17"/>
                <w:szCs w:val="17"/>
                <w:color w:val="auto"/>
              </w:rPr>
            </w:pPr>
          </w:p>
        </w:tc>
        <w:tc>
          <w:tcPr>
            <w:tcW w:w="120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spacing w:after="0"/>
              <w:rPr>
                <w:sz w:val="17"/>
                <w:szCs w:val="17"/>
                <w:color w:val="auto"/>
              </w:rPr>
            </w:pPr>
          </w:p>
        </w:tc>
        <w:tc>
          <w:tcPr>
            <w:tcW w:w="780" w:type="dxa"/>
            <w:vAlign w:val="bottom"/>
            <w:tcBorders>
              <w:bottom w:val="single" w:sz="8" w:color="125288"/>
            </w:tcBorders>
          </w:tcPr>
          <w:p>
            <w:pPr>
              <w:spacing w:after="0"/>
              <w:rPr>
                <w:sz w:val="17"/>
                <w:szCs w:val="17"/>
                <w:color w:val="auto"/>
              </w:rPr>
            </w:pPr>
          </w:p>
        </w:tc>
        <w:tc>
          <w:tcPr>
            <w:tcW w:w="120" w:type="dxa"/>
            <w:vAlign w:val="bottom"/>
            <w:tcBorders>
              <w:bottom w:val="single" w:sz="8" w:color="125288"/>
            </w:tcBorders>
          </w:tcPr>
          <w:p>
            <w:pPr>
              <w:spacing w:after="0"/>
              <w:rPr>
                <w:sz w:val="17"/>
                <w:szCs w:val="17"/>
                <w:color w:val="auto"/>
              </w:rPr>
            </w:pPr>
          </w:p>
        </w:tc>
        <w:tc>
          <w:tcPr>
            <w:tcW w:w="960" w:type="dxa"/>
            <w:vAlign w:val="bottom"/>
            <w:tcBorders>
              <w:bottom w:val="single" w:sz="8" w:color="125288"/>
            </w:tcBorders>
          </w:tcPr>
          <w:p>
            <w:pPr>
              <w:spacing w:after="0"/>
              <w:rPr>
                <w:sz w:val="17"/>
                <w:szCs w:val="17"/>
                <w:color w:val="auto"/>
              </w:rPr>
            </w:pPr>
          </w:p>
        </w:tc>
        <w:tc>
          <w:tcPr>
            <w:tcW w:w="820" w:type="dxa"/>
            <w:vAlign w:val="bottom"/>
            <w:tcBorders>
              <w:bottom w:val="single" w:sz="8" w:color="125288"/>
            </w:tcBorders>
          </w:tcPr>
          <w:p>
            <w:pPr>
              <w:spacing w:after="0"/>
              <w:rPr>
                <w:sz w:val="17"/>
                <w:szCs w:val="17"/>
                <w:color w:val="auto"/>
              </w:rPr>
            </w:pPr>
          </w:p>
        </w:tc>
        <w:tc>
          <w:tcPr>
            <w:tcW w:w="1440" w:type="dxa"/>
            <w:vAlign w:val="bottom"/>
            <w:tcBorders>
              <w:bottom w:val="single" w:sz="8" w:color="125288"/>
            </w:tcBorders>
          </w:tcPr>
          <w:p>
            <w:pPr>
              <w:jc w:val="right"/>
              <w:ind w:right="141"/>
              <w:spacing w:after="0" w:line="202" w:lineRule="exact"/>
              <w:rPr>
                <w:sz w:val="20"/>
                <w:szCs w:val="20"/>
                <w:color w:val="auto"/>
              </w:rPr>
            </w:pPr>
            <w:r>
              <w:rPr>
                <w:rFonts w:ascii="Arial" w:cs="Arial" w:eastAsia="Arial" w:hAnsi="Arial"/>
                <w:sz w:val="12"/>
                <w:szCs w:val="12"/>
                <w:color w:val="auto"/>
              </w:rPr>
              <w:t>7,558</w:t>
            </w:r>
            <w:r>
              <w:rPr>
                <w:rFonts w:ascii="Arial" w:cs="Arial" w:eastAsia="Arial" w:hAnsi="Arial"/>
                <w:sz w:val="19"/>
                <w:szCs w:val="19"/>
                <w:color w:val="auto"/>
                <w:vertAlign w:val="superscript"/>
              </w:rPr>
              <w:t>(4)</w:t>
            </w:r>
          </w:p>
        </w:tc>
        <w:tc>
          <w:tcPr>
            <w:tcW w:w="1260" w:type="dxa"/>
            <w:vAlign w:val="bottom"/>
            <w:tcBorders>
              <w:bottom w:val="single" w:sz="8" w:color="125288"/>
            </w:tcBorders>
            <w:gridSpan w:val="2"/>
          </w:tcPr>
          <w:p>
            <w:pPr>
              <w:jc w:val="right"/>
              <w:spacing w:after="0" w:line="202" w:lineRule="exact"/>
              <w:rPr>
                <w:sz w:val="20"/>
                <w:szCs w:val="20"/>
                <w:color w:val="auto"/>
              </w:rPr>
            </w:pPr>
            <w:r>
              <w:rPr>
                <w:rFonts w:ascii="Arial" w:cs="Arial" w:eastAsia="Arial" w:hAnsi="Arial"/>
                <w:sz w:val="12"/>
                <w:szCs w:val="12"/>
                <w:color w:val="auto"/>
              </w:rPr>
              <w:t>502,834</w:t>
            </w:r>
            <w:r>
              <w:rPr>
                <w:rFonts w:ascii="Arial" w:cs="Arial" w:eastAsia="Arial" w:hAnsi="Arial"/>
                <w:sz w:val="19"/>
                <w:szCs w:val="19"/>
                <w:color w:val="auto"/>
                <w:vertAlign w:val="superscript"/>
              </w:rPr>
              <w:t>(5)</w:t>
            </w:r>
          </w:p>
        </w:tc>
        <w:tc>
          <w:tcPr>
            <w:tcW w:w="0" w:type="dxa"/>
            <w:vAlign w:val="bottom"/>
          </w:tcPr>
          <w:p>
            <w:pPr>
              <w:spacing w:after="0"/>
              <w:rPr>
                <w:sz w:val="1"/>
                <w:szCs w:val="1"/>
                <w:color w:val="auto"/>
              </w:rPr>
            </w:pPr>
          </w:p>
        </w:tc>
      </w:tr>
      <w:tr>
        <w:trPr>
          <w:trHeight w:val="20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Borders>
              <w:bottom w:val="single" w:sz="8" w:color="125288"/>
            </w:tcBorders>
          </w:tcPr>
          <w:p>
            <w:pPr>
              <w:spacing w:after="0"/>
              <w:rPr>
                <w:sz w:val="17"/>
                <w:szCs w:val="17"/>
                <w:color w:val="auto"/>
              </w:rPr>
            </w:pPr>
          </w:p>
        </w:tc>
        <w:tc>
          <w:tcPr>
            <w:tcW w:w="1260" w:type="dxa"/>
            <w:vAlign w:val="bottom"/>
            <w:tcBorders>
              <w:bottom w:val="single" w:sz="8" w:color="125288"/>
            </w:tcBorders>
          </w:tcPr>
          <w:p>
            <w:pPr>
              <w:spacing w:after="0"/>
              <w:rPr>
                <w:sz w:val="17"/>
                <w:szCs w:val="17"/>
                <w:color w:val="auto"/>
              </w:rPr>
            </w:pPr>
          </w:p>
        </w:tc>
        <w:tc>
          <w:tcPr>
            <w:tcW w:w="120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spacing w:after="0"/>
              <w:rPr>
                <w:sz w:val="17"/>
                <w:szCs w:val="17"/>
                <w:color w:val="auto"/>
              </w:rPr>
            </w:pPr>
          </w:p>
        </w:tc>
        <w:tc>
          <w:tcPr>
            <w:tcW w:w="780" w:type="dxa"/>
            <w:vAlign w:val="bottom"/>
            <w:tcBorders>
              <w:bottom w:val="single" w:sz="8" w:color="125288"/>
            </w:tcBorders>
          </w:tcPr>
          <w:p>
            <w:pPr>
              <w:spacing w:after="0"/>
              <w:rPr>
                <w:sz w:val="17"/>
                <w:szCs w:val="17"/>
                <w:color w:val="auto"/>
              </w:rPr>
            </w:pPr>
          </w:p>
        </w:tc>
        <w:tc>
          <w:tcPr>
            <w:tcW w:w="120" w:type="dxa"/>
            <w:vAlign w:val="bottom"/>
            <w:tcBorders>
              <w:bottom w:val="single" w:sz="8" w:color="125288"/>
            </w:tcBorders>
          </w:tcPr>
          <w:p>
            <w:pPr>
              <w:spacing w:after="0"/>
              <w:rPr>
                <w:sz w:val="17"/>
                <w:szCs w:val="17"/>
                <w:color w:val="auto"/>
              </w:rPr>
            </w:pPr>
          </w:p>
        </w:tc>
        <w:tc>
          <w:tcPr>
            <w:tcW w:w="960" w:type="dxa"/>
            <w:vAlign w:val="bottom"/>
            <w:tcBorders>
              <w:bottom w:val="single" w:sz="8" w:color="125288"/>
            </w:tcBorders>
          </w:tcPr>
          <w:p>
            <w:pPr>
              <w:spacing w:after="0"/>
              <w:rPr>
                <w:sz w:val="17"/>
                <w:szCs w:val="17"/>
                <w:color w:val="auto"/>
              </w:rPr>
            </w:pPr>
          </w:p>
        </w:tc>
        <w:tc>
          <w:tcPr>
            <w:tcW w:w="820" w:type="dxa"/>
            <w:vAlign w:val="bottom"/>
            <w:tcBorders>
              <w:bottom w:val="single" w:sz="8" w:color="125288"/>
            </w:tcBorders>
          </w:tcPr>
          <w:p>
            <w:pPr>
              <w:spacing w:after="0"/>
              <w:rPr>
                <w:sz w:val="17"/>
                <w:szCs w:val="17"/>
                <w:color w:val="auto"/>
              </w:rPr>
            </w:pPr>
          </w:p>
        </w:tc>
        <w:tc>
          <w:tcPr>
            <w:tcW w:w="1440" w:type="dxa"/>
            <w:vAlign w:val="bottom"/>
            <w:tcBorders>
              <w:bottom w:val="single" w:sz="8" w:color="125288"/>
            </w:tcBorders>
          </w:tcPr>
          <w:p>
            <w:pPr>
              <w:jc w:val="right"/>
              <w:ind w:right="141"/>
              <w:spacing w:after="0" w:line="202" w:lineRule="exact"/>
              <w:rPr>
                <w:sz w:val="20"/>
                <w:szCs w:val="20"/>
                <w:color w:val="auto"/>
              </w:rPr>
            </w:pPr>
            <w:r>
              <w:rPr>
                <w:rFonts w:ascii="Arial" w:cs="Arial" w:eastAsia="Arial" w:hAnsi="Arial"/>
                <w:sz w:val="12"/>
                <w:szCs w:val="12"/>
                <w:color w:val="auto"/>
              </w:rPr>
              <w:t>15,232</w:t>
            </w:r>
            <w:r>
              <w:rPr>
                <w:rFonts w:ascii="Arial" w:cs="Arial" w:eastAsia="Arial" w:hAnsi="Arial"/>
                <w:sz w:val="19"/>
                <w:szCs w:val="19"/>
                <w:color w:val="auto"/>
                <w:vertAlign w:val="superscript"/>
              </w:rPr>
              <w:t>(6)</w:t>
            </w:r>
          </w:p>
        </w:tc>
        <w:tc>
          <w:tcPr>
            <w:tcW w:w="1260" w:type="dxa"/>
            <w:vAlign w:val="bottom"/>
            <w:tcBorders>
              <w:bottom w:val="single" w:sz="8" w:color="125288"/>
            </w:tcBorders>
            <w:gridSpan w:val="2"/>
          </w:tcPr>
          <w:p>
            <w:pPr>
              <w:jc w:val="right"/>
              <w:spacing w:after="0" w:line="202" w:lineRule="exact"/>
              <w:rPr>
                <w:sz w:val="20"/>
                <w:szCs w:val="20"/>
                <w:color w:val="auto"/>
              </w:rPr>
            </w:pPr>
            <w:r>
              <w:rPr>
                <w:rFonts w:ascii="Arial" w:cs="Arial" w:eastAsia="Arial" w:hAnsi="Arial"/>
                <w:sz w:val="12"/>
                <w:szCs w:val="12"/>
                <w:color w:val="auto"/>
              </w:rPr>
              <w:t>1,013,385</w:t>
            </w:r>
            <w:r>
              <w:rPr>
                <w:rFonts w:ascii="Arial" w:cs="Arial" w:eastAsia="Arial" w:hAnsi="Arial"/>
                <w:sz w:val="19"/>
                <w:szCs w:val="19"/>
                <w:color w:val="auto"/>
                <w:vertAlign w:val="superscript"/>
              </w:rPr>
              <w:t>(7)</w:t>
            </w:r>
          </w:p>
        </w:tc>
        <w:tc>
          <w:tcPr>
            <w:tcW w:w="0" w:type="dxa"/>
            <w:vAlign w:val="bottom"/>
          </w:tcPr>
          <w:p>
            <w:pPr>
              <w:spacing w:after="0"/>
              <w:rPr>
                <w:sz w:val="1"/>
                <w:szCs w:val="1"/>
                <w:color w:val="auto"/>
              </w:rPr>
            </w:pPr>
          </w:p>
        </w:tc>
      </w:tr>
      <w:tr>
        <w:trPr>
          <w:trHeight w:val="20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Borders>
              <w:bottom w:val="single" w:sz="8" w:color="125288"/>
            </w:tcBorders>
          </w:tcPr>
          <w:p>
            <w:pPr>
              <w:spacing w:after="0"/>
              <w:rPr>
                <w:sz w:val="17"/>
                <w:szCs w:val="17"/>
                <w:color w:val="auto"/>
              </w:rPr>
            </w:pPr>
          </w:p>
        </w:tc>
        <w:tc>
          <w:tcPr>
            <w:tcW w:w="1260" w:type="dxa"/>
            <w:vAlign w:val="bottom"/>
            <w:tcBorders>
              <w:bottom w:val="single" w:sz="8" w:color="125288"/>
            </w:tcBorders>
          </w:tcPr>
          <w:p>
            <w:pPr>
              <w:spacing w:after="0"/>
              <w:rPr>
                <w:sz w:val="17"/>
                <w:szCs w:val="17"/>
                <w:color w:val="auto"/>
              </w:rPr>
            </w:pPr>
          </w:p>
        </w:tc>
        <w:tc>
          <w:tcPr>
            <w:tcW w:w="120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spacing w:after="0"/>
              <w:rPr>
                <w:sz w:val="17"/>
                <w:szCs w:val="17"/>
                <w:color w:val="auto"/>
              </w:rPr>
            </w:pPr>
          </w:p>
        </w:tc>
        <w:tc>
          <w:tcPr>
            <w:tcW w:w="780" w:type="dxa"/>
            <w:vAlign w:val="bottom"/>
            <w:tcBorders>
              <w:bottom w:val="single" w:sz="8" w:color="125288"/>
            </w:tcBorders>
          </w:tcPr>
          <w:p>
            <w:pPr>
              <w:spacing w:after="0"/>
              <w:rPr>
                <w:sz w:val="17"/>
                <w:szCs w:val="17"/>
                <w:color w:val="auto"/>
              </w:rPr>
            </w:pPr>
          </w:p>
        </w:tc>
        <w:tc>
          <w:tcPr>
            <w:tcW w:w="120" w:type="dxa"/>
            <w:vAlign w:val="bottom"/>
            <w:tcBorders>
              <w:bottom w:val="single" w:sz="8" w:color="125288"/>
            </w:tcBorders>
          </w:tcPr>
          <w:p>
            <w:pPr>
              <w:spacing w:after="0"/>
              <w:rPr>
                <w:sz w:val="17"/>
                <w:szCs w:val="17"/>
                <w:color w:val="auto"/>
              </w:rPr>
            </w:pPr>
          </w:p>
        </w:tc>
        <w:tc>
          <w:tcPr>
            <w:tcW w:w="960" w:type="dxa"/>
            <w:vAlign w:val="bottom"/>
            <w:tcBorders>
              <w:bottom w:val="single" w:sz="8" w:color="125288"/>
            </w:tcBorders>
          </w:tcPr>
          <w:p>
            <w:pPr>
              <w:spacing w:after="0"/>
              <w:rPr>
                <w:sz w:val="17"/>
                <w:szCs w:val="17"/>
                <w:color w:val="auto"/>
              </w:rPr>
            </w:pPr>
          </w:p>
        </w:tc>
        <w:tc>
          <w:tcPr>
            <w:tcW w:w="820" w:type="dxa"/>
            <w:vAlign w:val="bottom"/>
            <w:tcBorders>
              <w:bottom w:val="single" w:sz="8" w:color="125288"/>
            </w:tcBorders>
          </w:tcPr>
          <w:p>
            <w:pPr>
              <w:spacing w:after="0"/>
              <w:rPr>
                <w:sz w:val="17"/>
                <w:szCs w:val="17"/>
                <w:color w:val="auto"/>
              </w:rPr>
            </w:pPr>
          </w:p>
        </w:tc>
        <w:tc>
          <w:tcPr>
            <w:tcW w:w="1440" w:type="dxa"/>
            <w:vAlign w:val="bottom"/>
            <w:tcBorders>
              <w:bottom w:val="single" w:sz="8" w:color="125288"/>
            </w:tcBorders>
          </w:tcPr>
          <w:p>
            <w:pPr>
              <w:jc w:val="right"/>
              <w:ind w:right="141"/>
              <w:spacing w:after="0" w:line="202" w:lineRule="exact"/>
              <w:rPr>
                <w:sz w:val="20"/>
                <w:szCs w:val="20"/>
                <w:color w:val="auto"/>
              </w:rPr>
            </w:pPr>
            <w:r>
              <w:rPr>
                <w:rFonts w:ascii="Arial" w:cs="Arial" w:eastAsia="Arial" w:hAnsi="Arial"/>
                <w:sz w:val="12"/>
                <w:szCs w:val="12"/>
                <w:color w:val="auto"/>
              </w:rPr>
              <w:t>566</w:t>
            </w:r>
            <w:r>
              <w:rPr>
                <w:rFonts w:ascii="Arial" w:cs="Arial" w:eastAsia="Arial" w:hAnsi="Arial"/>
                <w:sz w:val="19"/>
                <w:szCs w:val="19"/>
                <w:color w:val="auto"/>
                <w:vertAlign w:val="superscript"/>
              </w:rPr>
              <w:t>(8)</w:t>
            </w:r>
          </w:p>
        </w:tc>
        <w:tc>
          <w:tcPr>
            <w:tcW w:w="1260" w:type="dxa"/>
            <w:vAlign w:val="bottom"/>
            <w:tcBorders>
              <w:bottom w:val="single" w:sz="8" w:color="125288"/>
            </w:tcBorders>
            <w:gridSpan w:val="2"/>
          </w:tcPr>
          <w:p>
            <w:pPr>
              <w:jc w:val="right"/>
              <w:spacing w:after="0" w:line="202" w:lineRule="exact"/>
              <w:rPr>
                <w:sz w:val="20"/>
                <w:szCs w:val="20"/>
                <w:color w:val="auto"/>
              </w:rPr>
            </w:pPr>
            <w:r>
              <w:rPr>
                <w:rFonts w:ascii="Arial" w:cs="Arial" w:eastAsia="Arial" w:hAnsi="Arial"/>
                <w:sz w:val="12"/>
                <w:szCs w:val="12"/>
                <w:color w:val="auto"/>
              </w:rPr>
              <w:t>37,656</w:t>
            </w:r>
            <w:r>
              <w:rPr>
                <w:rFonts w:ascii="Arial" w:cs="Arial" w:eastAsia="Arial" w:hAnsi="Arial"/>
                <w:sz w:val="19"/>
                <w:szCs w:val="19"/>
                <w:color w:val="auto"/>
                <w:vertAlign w:val="superscript"/>
              </w:rPr>
              <w:t>(9)</w:t>
            </w:r>
          </w:p>
        </w:tc>
        <w:tc>
          <w:tcPr>
            <w:tcW w:w="0" w:type="dxa"/>
            <w:vAlign w:val="bottom"/>
          </w:tcPr>
          <w:p>
            <w:pPr>
              <w:spacing w:after="0"/>
              <w:rPr>
                <w:sz w:val="1"/>
                <w:szCs w:val="1"/>
                <w:color w:val="auto"/>
              </w:rPr>
            </w:pPr>
          </w:p>
        </w:tc>
      </w:tr>
      <w:tr>
        <w:trPr>
          <w:trHeight w:val="20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Borders>
              <w:bottom w:val="single" w:sz="8" w:color="125288"/>
            </w:tcBorders>
          </w:tcPr>
          <w:p>
            <w:pPr>
              <w:spacing w:after="0"/>
              <w:rPr>
                <w:sz w:val="17"/>
                <w:szCs w:val="17"/>
                <w:color w:val="auto"/>
              </w:rPr>
            </w:pPr>
          </w:p>
        </w:tc>
        <w:tc>
          <w:tcPr>
            <w:tcW w:w="1260" w:type="dxa"/>
            <w:vAlign w:val="bottom"/>
            <w:tcBorders>
              <w:bottom w:val="single" w:sz="8" w:color="125288"/>
            </w:tcBorders>
          </w:tcPr>
          <w:p>
            <w:pPr>
              <w:spacing w:after="0"/>
              <w:rPr>
                <w:sz w:val="17"/>
                <w:szCs w:val="17"/>
                <w:color w:val="auto"/>
              </w:rPr>
            </w:pPr>
          </w:p>
        </w:tc>
        <w:tc>
          <w:tcPr>
            <w:tcW w:w="120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spacing w:after="0"/>
              <w:rPr>
                <w:sz w:val="17"/>
                <w:szCs w:val="17"/>
                <w:color w:val="auto"/>
              </w:rPr>
            </w:pPr>
          </w:p>
        </w:tc>
        <w:tc>
          <w:tcPr>
            <w:tcW w:w="780" w:type="dxa"/>
            <w:vAlign w:val="bottom"/>
            <w:tcBorders>
              <w:bottom w:val="single" w:sz="8" w:color="125288"/>
            </w:tcBorders>
          </w:tcPr>
          <w:p>
            <w:pPr>
              <w:spacing w:after="0"/>
              <w:rPr>
                <w:sz w:val="17"/>
                <w:szCs w:val="17"/>
                <w:color w:val="auto"/>
              </w:rPr>
            </w:pPr>
          </w:p>
        </w:tc>
        <w:tc>
          <w:tcPr>
            <w:tcW w:w="120" w:type="dxa"/>
            <w:vAlign w:val="bottom"/>
            <w:tcBorders>
              <w:bottom w:val="single" w:sz="8" w:color="125288"/>
            </w:tcBorders>
          </w:tcPr>
          <w:p>
            <w:pPr>
              <w:spacing w:after="0"/>
              <w:rPr>
                <w:sz w:val="17"/>
                <w:szCs w:val="17"/>
                <w:color w:val="auto"/>
              </w:rPr>
            </w:pPr>
          </w:p>
        </w:tc>
        <w:tc>
          <w:tcPr>
            <w:tcW w:w="960" w:type="dxa"/>
            <w:vAlign w:val="bottom"/>
            <w:tcBorders>
              <w:bottom w:val="single" w:sz="8" w:color="125288"/>
            </w:tcBorders>
          </w:tcPr>
          <w:p>
            <w:pPr>
              <w:spacing w:after="0"/>
              <w:rPr>
                <w:sz w:val="17"/>
                <w:szCs w:val="17"/>
                <w:color w:val="auto"/>
              </w:rPr>
            </w:pPr>
          </w:p>
        </w:tc>
        <w:tc>
          <w:tcPr>
            <w:tcW w:w="820" w:type="dxa"/>
            <w:vAlign w:val="bottom"/>
            <w:tcBorders>
              <w:bottom w:val="single" w:sz="8" w:color="125288"/>
            </w:tcBorders>
          </w:tcPr>
          <w:p>
            <w:pPr>
              <w:spacing w:after="0"/>
              <w:rPr>
                <w:sz w:val="17"/>
                <w:szCs w:val="17"/>
                <w:color w:val="auto"/>
              </w:rPr>
            </w:pPr>
          </w:p>
        </w:tc>
        <w:tc>
          <w:tcPr>
            <w:tcW w:w="1440" w:type="dxa"/>
            <w:vAlign w:val="bottom"/>
            <w:tcBorders>
              <w:bottom w:val="single" w:sz="8" w:color="125288"/>
            </w:tcBorders>
          </w:tcPr>
          <w:p>
            <w:pPr>
              <w:jc w:val="right"/>
              <w:ind w:right="81"/>
              <w:spacing w:after="0" w:line="202" w:lineRule="exact"/>
              <w:rPr>
                <w:sz w:val="20"/>
                <w:szCs w:val="20"/>
                <w:color w:val="auto"/>
              </w:rPr>
            </w:pPr>
            <w:r>
              <w:rPr>
                <w:rFonts w:ascii="Arial" w:cs="Arial" w:eastAsia="Arial" w:hAnsi="Arial"/>
                <w:sz w:val="12"/>
                <w:szCs w:val="12"/>
                <w:color w:val="auto"/>
              </w:rPr>
              <w:t>11,126</w:t>
            </w:r>
            <w:r>
              <w:rPr>
                <w:rFonts w:ascii="Arial" w:cs="Arial" w:eastAsia="Arial" w:hAnsi="Arial"/>
                <w:sz w:val="19"/>
                <w:szCs w:val="19"/>
                <w:color w:val="auto"/>
                <w:vertAlign w:val="superscript"/>
              </w:rPr>
              <w:t>(10)</w:t>
            </w:r>
          </w:p>
        </w:tc>
        <w:tc>
          <w:tcPr>
            <w:tcW w:w="1260" w:type="dxa"/>
            <w:vAlign w:val="bottom"/>
            <w:tcBorders>
              <w:bottom w:val="single" w:sz="8" w:color="125288"/>
            </w:tcBorders>
            <w:gridSpan w:val="2"/>
          </w:tcPr>
          <w:p>
            <w:pPr>
              <w:jc w:val="right"/>
              <w:spacing w:after="0" w:line="202" w:lineRule="exact"/>
              <w:rPr>
                <w:sz w:val="20"/>
                <w:szCs w:val="20"/>
                <w:color w:val="auto"/>
              </w:rPr>
            </w:pPr>
            <w:r>
              <w:rPr>
                <w:rFonts w:ascii="Arial" w:cs="Arial" w:eastAsia="Arial" w:hAnsi="Arial"/>
                <w:sz w:val="12"/>
                <w:szCs w:val="12"/>
                <w:color w:val="auto"/>
              </w:rPr>
              <w:t>740,213</w:t>
            </w:r>
            <w:r>
              <w:rPr>
                <w:rFonts w:ascii="Arial" w:cs="Arial" w:eastAsia="Arial" w:hAnsi="Arial"/>
                <w:sz w:val="19"/>
                <w:szCs w:val="19"/>
                <w:color w:val="auto"/>
                <w:vertAlign w:val="superscript"/>
              </w:rPr>
              <w:t>(11)</w:t>
            </w:r>
          </w:p>
        </w:tc>
        <w:tc>
          <w:tcPr>
            <w:tcW w:w="0" w:type="dxa"/>
            <w:vAlign w:val="bottom"/>
          </w:tcPr>
          <w:p>
            <w:pPr>
              <w:spacing w:after="0"/>
              <w:rPr>
                <w:sz w:val="1"/>
                <w:szCs w:val="1"/>
                <w:color w:val="auto"/>
              </w:rPr>
            </w:pPr>
          </w:p>
        </w:tc>
      </w:tr>
      <w:tr>
        <w:trPr>
          <w:trHeight w:val="20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Borders>
              <w:bottom w:val="single" w:sz="8" w:color="125288"/>
            </w:tcBorders>
          </w:tcPr>
          <w:p>
            <w:pPr>
              <w:spacing w:after="0"/>
              <w:rPr>
                <w:sz w:val="17"/>
                <w:szCs w:val="17"/>
                <w:color w:val="auto"/>
              </w:rPr>
            </w:pPr>
          </w:p>
        </w:tc>
        <w:tc>
          <w:tcPr>
            <w:tcW w:w="1260" w:type="dxa"/>
            <w:vAlign w:val="bottom"/>
            <w:tcBorders>
              <w:bottom w:val="single" w:sz="8" w:color="125288"/>
            </w:tcBorders>
          </w:tcPr>
          <w:p>
            <w:pPr>
              <w:spacing w:after="0"/>
              <w:rPr>
                <w:sz w:val="17"/>
                <w:szCs w:val="17"/>
                <w:color w:val="auto"/>
              </w:rPr>
            </w:pPr>
          </w:p>
        </w:tc>
        <w:tc>
          <w:tcPr>
            <w:tcW w:w="120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spacing w:after="0"/>
              <w:rPr>
                <w:sz w:val="17"/>
                <w:szCs w:val="17"/>
                <w:color w:val="auto"/>
              </w:rPr>
            </w:pPr>
          </w:p>
        </w:tc>
        <w:tc>
          <w:tcPr>
            <w:tcW w:w="780" w:type="dxa"/>
            <w:vAlign w:val="bottom"/>
            <w:tcBorders>
              <w:bottom w:val="single" w:sz="8" w:color="125288"/>
            </w:tcBorders>
          </w:tcPr>
          <w:p>
            <w:pPr>
              <w:spacing w:after="0"/>
              <w:rPr>
                <w:sz w:val="17"/>
                <w:szCs w:val="17"/>
                <w:color w:val="auto"/>
              </w:rPr>
            </w:pPr>
          </w:p>
        </w:tc>
        <w:tc>
          <w:tcPr>
            <w:tcW w:w="120" w:type="dxa"/>
            <w:vAlign w:val="bottom"/>
            <w:tcBorders>
              <w:bottom w:val="single" w:sz="8" w:color="125288"/>
            </w:tcBorders>
          </w:tcPr>
          <w:p>
            <w:pPr>
              <w:spacing w:after="0"/>
              <w:rPr>
                <w:sz w:val="17"/>
                <w:szCs w:val="17"/>
                <w:color w:val="auto"/>
              </w:rPr>
            </w:pPr>
          </w:p>
        </w:tc>
        <w:tc>
          <w:tcPr>
            <w:tcW w:w="960" w:type="dxa"/>
            <w:vAlign w:val="bottom"/>
            <w:tcBorders>
              <w:bottom w:val="single" w:sz="8" w:color="125288"/>
            </w:tcBorders>
          </w:tcPr>
          <w:p>
            <w:pPr>
              <w:spacing w:after="0"/>
              <w:rPr>
                <w:sz w:val="17"/>
                <w:szCs w:val="17"/>
                <w:color w:val="auto"/>
              </w:rPr>
            </w:pPr>
          </w:p>
        </w:tc>
        <w:tc>
          <w:tcPr>
            <w:tcW w:w="820" w:type="dxa"/>
            <w:vAlign w:val="bottom"/>
            <w:tcBorders>
              <w:bottom w:val="single" w:sz="8" w:color="125288"/>
            </w:tcBorders>
          </w:tcPr>
          <w:p>
            <w:pPr>
              <w:spacing w:after="0"/>
              <w:rPr>
                <w:sz w:val="17"/>
                <w:szCs w:val="17"/>
                <w:color w:val="auto"/>
              </w:rPr>
            </w:pPr>
          </w:p>
        </w:tc>
        <w:tc>
          <w:tcPr>
            <w:tcW w:w="1440" w:type="dxa"/>
            <w:vAlign w:val="bottom"/>
            <w:tcBorders>
              <w:bottom w:val="single" w:sz="8" w:color="125288"/>
            </w:tcBorders>
          </w:tcPr>
          <w:p>
            <w:pPr>
              <w:jc w:val="right"/>
              <w:ind w:right="81"/>
              <w:spacing w:after="0" w:line="202" w:lineRule="exact"/>
              <w:rPr>
                <w:sz w:val="20"/>
                <w:szCs w:val="20"/>
                <w:color w:val="auto"/>
              </w:rPr>
            </w:pPr>
            <w:r>
              <w:rPr>
                <w:rFonts w:ascii="Arial" w:cs="Arial" w:eastAsia="Arial" w:hAnsi="Arial"/>
                <w:sz w:val="23"/>
                <w:szCs w:val="23"/>
                <w:color w:val="auto"/>
                <w:vertAlign w:val="subscript"/>
              </w:rPr>
              <w:t>605</w:t>
            </w:r>
            <w:r>
              <w:rPr>
                <w:rFonts w:ascii="Arial" w:cs="Arial" w:eastAsia="Arial" w:hAnsi="Arial"/>
                <w:sz w:val="10"/>
                <w:szCs w:val="10"/>
                <w:color w:val="auto"/>
              </w:rPr>
              <w:t>(12)</w:t>
            </w:r>
          </w:p>
        </w:tc>
        <w:tc>
          <w:tcPr>
            <w:tcW w:w="1260" w:type="dxa"/>
            <w:vAlign w:val="bottom"/>
            <w:tcBorders>
              <w:bottom w:val="single" w:sz="8" w:color="125288"/>
            </w:tcBorders>
            <w:gridSpan w:val="2"/>
          </w:tcPr>
          <w:p>
            <w:pPr>
              <w:jc w:val="right"/>
              <w:spacing w:after="0" w:line="202" w:lineRule="exact"/>
              <w:rPr>
                <w:sz w:val="20"/>
                <w:szCs w:val="20"/>
                <w:color w:val="auto"/>
              </w:rPr>
            </w:pPr>
            <w:r>
              <w:rPr>
                <w:rFonts w:ascii="Arial" w:cs="Arial" w:eastAsia="Arial" w:hAnsi="Arial"/>
                <w:sz w:val="12"/>
                <w:szCs w:val="12"/>
                <w:color w:val="auto"/>
              </w:rPr>
              <w:t>40,251</w:t>
            </w:r>
            <w:r>
              <w:rPr>
                <w:rFonts w:ascii="Arial" w:cs="Arial" w:eastAsia="Arial" w:hAnsi="Arial"/>
                <w:sz w:val="19"/>
                <w:szCs w:val="19"/>
                <w:color w:val="auto"/>
                <w:vertAlign w:val="superscript"/>
              </w:rPr>
              <w:t>(13)</w:t>
            </w:r>
          </w:p>
        </w:tc>
        <w:tc>
          <w:tcPr>
            <w:tcW w:w="0" w:type="dxa"/>
            <w:vAlign w:val="bottom"/>
          </w:tcPr>
          <w:p>
            <w:pPr>
              <w:spacing w:after="0"/>
              <w:rPr>
                <w:sz w:val="1"/>
                <w:szCs w:val="1"/>
                <w:color w:val="auto"/>
              </w:rPr>
            </w:pPr>
          </w:p>
        </w:tc>
      </w:tr>
      <w:tr>
        <w:trPr>
          <w:trHeight w:val="20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Borders>
              <w:bottom w:val="single" w:sz="8" w:color="125288"/>
            </w:tcBorders>
          </w:tcPr>
          <w:p>
            <w:pPr>
              <w:spacing w:after="0"/>
              <w:rPr>
                <w:sz w:val="17"/>
                <w:szCs w:val="17"/>
                <w:color w:val="auto"/>
              </w:rPr>
            </w:pPr>
          </w:p>
        </w:tc>
        <w:tc>
          <w:tcPr>
            <w:tcW w:w="1260" w:type="dxa"/>
            <w:vAlign w:val="bottom"/>
            <w:tcBorders>
              <w:bottom w:val="single" w:sz="8" w:color="125288"/>
            </w:tcBorders>
          </w:tcPr>
          <w:p>
            <w:pPr>
              <w:spacing w:after="0"/>
              <w:rPr>
                <w:sz w:val="17"/>
                <w:szCs w:val="17"/>
                <w:color w:val="auto"/>
              </w:rPr>
            </w:pPr>
          </w:p>
        </w:tc>
        <w:tc>
          <w:tcPr>
            <w:tcW w:w="120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spacing w:after="0"/>
              <w:rPr>
                <w:sz w:val="17"/>
                <w:szCs w:val="17"/>
                <w:color w:val="auto"/>
              </w:rPr>
            </w:pPr>
          </w:p>
        </w:tc>
        <w:tc>
          <w:tcPr>
            <w:tcW w:w="780" w:type="dxa"/>
            <w:vAlign w:val="bottom"/>
            <w:tcBorders>
              <w:bottom w:val="single" w:sz="8" w:color="125288"/>
            </w:tcBorders>
          </w:tcPr>
          <w:p>
            <w:pPr>
              <w:spacing w:after="0"/>
              <w:rPr>
                <w:sz w:val="17"/>
                <w:szCs w:val="17"/>
                <w:color w:val="auto"/>
              </w:rPr>
            </w:pPr>
          </w:p>
        </w:tc>
        <w:tc>
          <w:tcPr>
            <w:tcW w:w="120" w:type="dxa"/>
            <w:vAlign w:val="bottom"/>
            <w:tcBorders>
              <w:bottom w:val="single" w:sz="8" w:color="125288"/>
            </w:tcBorders>
          </w:tcPr>
          <w:p>
            <w:pPr>
              <w:spacing w:after="0"/>
              <w:rPr>
                <w:sz w:val="17"/>
                <w:szCs w:val="17"/>
                <w:color w:val="auto"/>
              </w:rPr>
            </w:pPr>
          </w:p>
        </w:tc>
        <w:tc>
          <w:tcPr>
            <w:tcW w:w="960" w:type="dxa"/>
            <w:vAlign w:val="bottom"/>
            <w:tcBorders>
              <w:bottom w:val="single" w:sz="8" w:color="125288"/>
            </w:tcBorders>
          </w:tcPr>
          <w:p>
            <w:pPr>
              <w:spacing w:after="0"/>
              <w:rPr>
                <w:sz w:val="17"/>
                <w:szCs w:val="17"/>
                <w:color w:val="auto"/>
              </w:rPr>
            </w:pPr>
          </w:p>
        </w:tc>
        <w:tc>
          <w:tcPr>
            <w:tcW w:w="820" w:type="dxa"/>
            <w:vAlign w:val="bottom"/>
            <w:tcBorders>
              <w:bottom w:val="single" w:sz="8" w:color="125288"/>
            </w:tcBorders>
          </w:tcPr>
          <w:p>
            <w:pPr>
              <w:spacing w:after="0"/>
              <w:rPr>
                <w:sz w:val="17"/>
                <w:szCs w:val="17"/>
                <w:color w:val="auto"/>
              </w:rPr>
            </w:pPr>
          </w:p>
        </w:tc>
        <w:tc>
          <w:tcPr>
            <w:tcW w:w="1440" w:type="dxa"/>
            <w:vAlign w:val="bottom"/>
            <w:tcBorders>
              <w:bottom w:val="single" w:sz="8" w:color="125288"/>
            </w:tcBorders>
          </w:tcPr>
          <w:p>
            <w:pPr>
              <w:jc w:val="right"/>
              <w:ind w:right="81"/>
              <w:spacing w:after="0" w:line="202" w:lineRule="exact"/>
              <w:rPr>
                <w:sz w:val="20"/>
                <w:szCs w:val="20"/>
                <w:color w:val="auto"/>
              </w:rPr>
            </w:pPr>
            <w:r>
              <w:rPr>
                <w:rFonts w:ascii="Arial" w:cs="Arial" w:eastAsia="Arial" w:hAnsi="Arial"/>
                <w:sz w:val="12"/>
                <w:szCs w:val="12"/>
                <w:color w:val="auto"/>
              </w:rPr>
              <w:t>29,023</w:t>
            </w:r>
            <w:r>
              <w:rPr>
                <w:rFonts w:ascii="Arial" w:cs="Arial" w:eastAsia="Arial" w:hAnsi="Arial"/>
                <w:sz w:val="19"/>
                <w:szCs w:val="19"/>
                <w:color w:val="auto"/>
                <w:vertAlign w:val="superscript"/>
              </w:rPr>
              <w:t>(14)</w:t>
            </w:r>
          </w:p>
        </w:tc>
        <w:tc>
          <w:tcPr>
            <w:tcW w:w="1260" w:type="dxa"/>
            <w:vAlign w:val="bottom"/>
            <w:tcBorders>
              <w:bottom w:val="single" w:sz="8" w:color="125288"/>
            </w:tcBorders>
            <w:gridSpan w:val="2"/>
          </w:tcPr>
          <w:p>
            <w:pPr>
              <w:jc w:val="right"/>
              <w:spacing w:after="0" w:line="202" w:lineRule="exact"/>
              <w:rPr>
                <w:sz w:val="20"/>
                <w:szCs w:val="20"/>
                <w:color w:val="auto"/>
              </w:rPr>
            </w:pPr>
            <w:r>
              <w:rPr>
                <w:rFonts w:ascii="Arial" w:cs="Arial" w:eastAsia="Arial" w:hAnsi="Arial"/>
                <w:sz w:val="12"/>
                <w:szCs w:val="12"/>
                <w:color w:val="auto"/>
              </w:rPr>
              <w:t>1,930,900</w:t>
            </w:r>
            <w:r>
              <w:rPr>
                <w:rFonts w:ascii="Arial" w:cs="Arial" w:eastAsia="Arial" w:hAnsi="Arial"/>
                <w:sz w:val="19"/>
                <w:szCs w:val="19"/>
                <w:color w:val="auto"/>
                <w:vertAlign w:val="superscript"/>
              </w:rPr>
              <w:t>(15)</w:t>
            </w:r>
          </w:p>
        </w:tc>
        <w:tc>
          <w:tcPr>
            <w:tcW w:w="0" w:type="dxa"/>
            <w:vAlign w:val="bottom"/>
          </w:tcPr>
          <w:p>
            <w:pPr>
              <w:spacing w:after="0"/>
              <w:rPr>
                <w:sz w:val="1"/>
                <w:szCs w:val="1"/>
                <w:color w:val="auto"/>
              </w:rPr>
            </w:pPr>
          </w:p>
        </w:tc>
      </w:tr>
      <w:tr>
        <w:trPr>
          <w:trHeight w:val="20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Borders>
              <w:bottom w:val="single" w:sz="8" w:color="125288"/>
            </w:tcBorders>
          </w:tcPr>
          <w:p>
            <w:pPr>
              <w:spacing w:after="0"/>
              <w:rPr>
                <w:sz w:val="17"/>
                <w:szCs w:val="17"/>
                <w:color w:val="auto"/>
              </w:rPr>
            </w:pPr>
          </w:p>
        </w:tc>
        <w:tc>
          <w:tcPr>
            <w:tcW w:w="1260" w:type="dxa"/>
            <w:vAlign w:val="bottom"/>
            <w:tcBorders>
              <w:bottom w:val="single" w:sz="8" w:color="125288"/>
            </w:tcBorders>
          </w:tcPr>
          <w:p>
            <w:pPr>
              <w:spacing w:after="0"/>
              <w:rPr>
                <w:sz w:val="17"/>
                <w:szCs w:val="17"/>
                <w:color w:val="auto"/>
              </w:rPr>
            </w:pPr>
          </w:p>
        </w:tc>
        <w:tc>
          <w:tcPr>
            <w:tcW w:w="120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spacing w:after="0"/>
              <w:rPr>
                <w:sz w:val="17"/>
                <w:szCs w:val="17"/>
                <w:color w:val="auto"/>
              </w:rPr>
            </w:pPr>
          </w:p>
        </w:tc>
        <w:tc>
          <w:tcPr>
            <w:tcW w:w="780" w:type="dxa"/>
            <w:vAlign w:val="bottom"/>
            <w:tcBorders>
              <w:bottom w:val="single" w:sz="8" w:color="125288"/>
            </w:tcBorders>
          </w:tcPr>
          <w:p>
            <w:pPr>
              <w:spacing w:after="0"/>
              <w:rPr>
                <w:sz w:val="17"/>
                <w:szCs w:val="17"/>
                <w:color w:val="auto"/>
              </w:rPr>
            </w:pPr>
          </w:p>
        </w:tc>
        <w:tc>
          <w:tcPr>
            <w:tcW w:w="120" w:type="dxa"/>
            <w:vAlign w:val="bottom"/>
            <w:tcBorders>
              <w:bottom w:val="single" w:sz="8" w:color="125288"/>
            </w:tcBorders>
          </w:tcPr>
          <w:p>
            <w:pPr>
              <w:spacing w:after="0"/>
              <w:rPr>
                <w:sz w:val="17"/>
                <w:szCs w:val="17"/>
                <w:color w:val="auto"/>
              </w:rPr>
            </w:pPr>
          </w:p>
        </w:tc>
        <w:tc>
          <w:tcPr>
            <w:tcW w:w="960" w:type="dxa"/>
            <w:vAlign w:val="bottom"/>
            <w:tcBorders>
              <w:bottom w:val="single" w:sz="8" w:color="125288"/>
            </w:tcBorders>
          </w:tcPr>
          <w:p>
            <w:pPr>
              <w:spacing w:after="0"/>
              <w:rPr>
                <w:sz w:val="17"/>
                <w:szCs w:val="17"/>
                <w:color w:val="auto"/>
              </w:rPr>
            </w:pPr>
          </w:p>
        </w:tc>
        <w:tc>
          <w:tcPr>
            <w:tcW w:w="820" w:type="dxa"/>
            <w:vAlign w:val="bottom"/>
            <w:tcBorders>
              <w:bottom w:val="single" w:sz="8" w:color="125288"/>
            </w:tcBorders>
          </w:tcPr>
          <w:p>
            <w:pPr>
              <w:spacing w:after="0"/>
              <w:rPr>
                <w:sz w:val="17"/>
                <w:szCs w:val="17"/>
                <w:color w:val="auto"/>
              </w:rPr>
            </w:pPr>
          </w:p>
        </w:tc>
        <w:tc>
          <w:tcPr>
            <w:tcW w:w="1440" w:type="dxa"/>
            <w:vAlign w:val="bottom"/>
            <w:tcBorders>
              <w:bottom w:val="single" w:sz="8" w:color="125288"/>
            </w:tcBorders>
          </w:tcPr>
          <w:p>
            <w:pPr>
              <w:jc w:val="right"/>
              <w:ind w:right="81"/>
              <w:spacing w:after="0" w:line="202" w:lineRule="exact"/>
              <w:rPr>
                <w:sz w:val="20"/>
                <w:szCs w:val="20"/>
                <w:color w:val="auto"/>
              </w:rPr>
            </w:pPr>
            <w:r>
              <w:rPr>
                <w:rFonts w:ascii="Arial" w:cs="Arial" w:eastAsia="Arial" w:hAnsi="Arial"/>
                <w:sz w:val="12"/>
                <w:szCs w:val="12"/>
                <w:color w:val="auto"/>
              </w:rPr>
              <w:t>25,798</w:t>
            </w:r>
            <w:r>
              <w:rPr>
                <w:rFonts w:ascii="Arial" w:cs="Arial" w:eastAsia="Arial" w:hAnsi="Arial"/>
                <w:sz w:val="19"/>
                <w:szCs w:val="19"/>
                <w:color w:val="auto"/>
                <w:vertAlign w:val="superscript"/>
              </w:rPr>
              <w:t>(16)</w:t>
            </w:r>
          </w:p>
        </w:tc>
        <w:tc>
          <w:tcPr>
            <w:tcW w:w="1260" w:type="dxa"/>
            <w:vAlign w:val="bottom"/>
            <w:tcBorders>
              <w:bottom w:val="single" w:sz="8" w:color="125288"/>
            </w:tcBorders>
            <w:gridSpan w:val="2"/>
          </w:tcPr>
          <w:p>
            <w:pPr>
              <w:jc w:val="right"/>
              <w:spacing w:after="0" w:line="202" w:lineRule="exact"/>
              <w:rPr>
                <w:sz w:val="20"/>
                <w:szCs w:val="20"/>
                <w:color w:val="auto"/>
              </w:rPr>
            </w:pPr>
            <w:r>
              <w:rPr>
                <w:rFonts w:ascii="Arial" w:cs="Arial" w:eastAsia="Arial" w:hAnsi="Arial"/>
                <w:sz w:val="12"/>
                <w:szCs w:val="12"/>
                <w:color w:val="auto"/>
              </w:rPr>
              <w:t>1,716,341</w:t>
            </w:r>
            <w:r>
              <w:rPr>
                <w:rFonts w:ascii="Arial" w:cs="Arial" w:eastAsia="Arial" w:hAnsi="Arial"/>
                <w:sz w:val="19"/>
                <w:szCs w:val="19"/>
                <w:color w:val="auto"/>
                <w:vertAlign w:val="superscript"/>
              </w:rPr>
              <w:t>(17)</w:t>
            </w:r>
          </w:p>
        </w:tc>
        <w:tc>
          <w:tcPr>
            <w:tcW w:w="0" w:type="dxa"/>
            <w:vAlign w:val="bottom"/>
          </w:tcPr>
          <w:p>
            <w:pPr>
              <w:spacing w:after="0"/>
              <w:rPr>
                <w:sz w:val="1"/>
                <w:szCs w:val="1"/>
                <w:color w:val="auto"/>
              </w:rPr>
            </w:pPr>
          </w:p>
        </w:tc>
      </w:tr>
      <w:tr>
        <w:trPr>
          <w:trHeight w:val="20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Borders>
              <w:bottom w:val="single" w:sz="8" w:color="125288"/>
            </w:tcBorders>
          </w:tcPr>
          <w:p>
            <w:pPr>
              <w:spacing w:after="0"/>
              <w:rPr>
                <w:sz w:val="17"/>
                <w:szCs w:val="17"/>
                <w:color w:val="auto"/>
              </w:rPr>
            </w:pPr>
          </w:p>
        </w:tc>
        <w:tc>
          <w:tcPr>
            <w:tcW w:w="1260" w:type="dxa"/>
            <w:vAlign w:val="bottom"/>
            <w:tcBorders>
              <w:bottom w:val="single" w:sz="8" w:color="125288"/>
            </w:tcBorders>
          </w:tcPr>
          <w:p>
            <w:pPr>
              <w:spacing w:after="0"/>
              <w:rPr>
                <w:sz w:val="17"/>
                <w:szCs w:val="17"/>
                <w:color w:val="auto"/>
              </w:rPr>
            </w:pPr>
          </w:p>
        </w:tc>
        <w:tc>
          <w:tcPr>
            <w:tcW w:w="120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spacing w:after="0"/>
              <w:rPr>
                <w:sz w:val="17"/>
                <w:szCs w:val="17"/>
                <w:color w:val="auto"/>
              </w:rPr>
            </w:pPr>
          </w:p>
        </w:tc>
        <w:tc>
          <w:tcPr>
            <w:tcW w:w="780" w:type="dxa"/>
            <w:vAlign w:val="bottom"/>
            <w:tcBorders>
              <w:bottom w:val="single" w:sz="8" w:color="125288"/>
            </w:tcBorders>
          </w:tcPr>
          <w:p>
            <w:pPr>
              <w:spacing w:after="0"/>
              <w:rPr>
                <w:sz w:val="17"/>
                <w:szCs w:val="17"/>
                <w:color w:val="auto"/>
              </w:rPr>
            </w:pPr>
          </w:p>
        </w:tc>
        <w:tc>
          <w:tcPr>
            <w:tcW w:w="120" w:type="dxa"/>
            <w:vAlign w:val="bottom"/>
            <w:tcBorders>
              <w:bottom w:val="single" w:sz="8" w:color="125288"/>
            </w:tcBorders>
          </w:tcPr>
          <w:p>
            <w:pPr>
              <w:spacing w:after="0"/>
              <w:rPr>
                <w:sz w:val="17"/>
                <w:szCs w:val="17"/>
                <w:color w:val="auto"/>
              </w:rPr>
            </w:pPr>
          </w:p>
        </w:tc>
        <w:tc>
          <w:tcPr>
            <w:tcW w:w="960" w:type="dxa"/>
            <w:vAlign w:val="bottom"/>
            <w:tcBorders>
              <w:bottom w:val="single" w:sz="8" w:color="125288"/>
            </w:tcBorders>
          </w:tcPr>
          <w:p>
            <w:pPr>
              <w:spacing w:after="0"/>
              <w:rPr>
                <w:sz w:val="17"/>
                <w:szCs w:val="17"/>
                <w:color w:val="auto"/>
              </w:rPr>
            </w:pPr>
          </w:p>
        </w:tc>
        <w:tc>
          <w:tcPr>
            <w:tcW w:w="820" w:type="dxa"/>
            <w:vAlign w:val="bottom"/>
            <w:tcBorders>
              <w:bottom w:val="single" w:sz="8" w:color="125288"/>
            </w:tcBorders>
          </w:tcPr>
          <w:p>
            <w:pPr>
              <w:spacing w:after="0"/>
              <w:rPr>
                <w:sz w:val="17"/>
                <w:szCs w:val="17"/>
                <w:color w:val="auto"/>
              </w:rPr>
            </w:pPr>
          </w:p>
        </w:tc>
        <w:tc>
          <w:tcPr>
            <w:tcW w:w="1440" w:type="dxa"/>
            <w:vAlign w:val="bottom"/>
            <w:tcBorders>
              <w:bottom w:val="single" w:sz="8" w:color="125288"/>
            </w:tcBorders>
          </w:tcPr>
          <w:p>
            <w:pPr>
              <w:jc w:val="right"/>
              <w:ind w:right="81"/>
              <w:spacing w:after="0" w:line="202" w:lineRule="exact"/>
              <w:rPr>
                <w:sz w:val="20"/>
                <w:szCs w:val="20"/>
                <w:color w:val="auto"/>
              </w:rPr>
            </w:pPr>
            <w:r>
              <w:rPr>
                <w:rFonts w:ascii="Arial" w:cs="Arial" w:eastAsia="Arial" w:hAnsi="Arial"/>
                <w:sz w:val="12"/>
                <w:szCs w:val="12"/>
                <w:color w:val="auto"/>
              </w:rPr>
              <w:t>6,874</w:t>
            </w:r>
            <w:r>
              <w:rPr>
                <w:rFonts w:ascii="Arial" w:cs="Arial" w:eastAsia="Arial" w:hAnsi="Arial"/>
                <w:sz w:val="19"/>
                <w:szCs w:val="19"/>
                <w:color w:val="auto"/>
                <w:vertAlign w:val="superscript"/>
              </w:rPr>
              <w:t>(18)</w:t>
            </w:r>
          </w:p>
        </w:tc>
        <w:tc>
          <w:tcPr>
            <w:tcW w:w="1260" w:type="dxa"/>
            <w:vAlign w:val="bottom"/>
            <w:tcBorders>
              <w:bottom w:val="single" w:sz="8" w:color="125288"/>
            </w:tcBorders>
            <w:gridSpan w:val="2"/>
          </w:tcPr>
          <w:p>
            <w:pPr>
              <w:jc w:val="right"/>
              <w:spacing w:after="0" w:line="202" w:lineRule="exact"/>
              <w:rPr>
                <w:sz w:val="20"/>
                <w:szCs w:val="20"/>
                <w:color w:val="auto"/>
              </w:rPr>
            </w:pPr>
            <w:r>
              <w:rPr>
                <w:rFonts w:ascii="Arial" w:cs="Arial" w:eastAsia="Arial" w:hAnsi="Arial"/>
                <w:sz w:val="12"/>
                <w:szCs w:val="12"/>
                <w:color w:val="auto"/>
              </w:rPr>
              <w:t>457,327</w:t>
            </w:r>
            <w:r>
              <w:rPr>
                <w:rFonts w:ascii="Arial" w:cs="Arial" w:eastAsia="Arial" w:hAnsi="Arial"/>
                <w:sz w:val="19"/>
                <w:szCs w:val="19"/>
                <w:color w:val="auto"/>
                <w:vertAlign w:val="superscript"/>
              </w:rPr>
              <w:t>(19)</w:t>
            </w:r>
          </w:p>
        </w:tc>
        <w:tc>
          <w:tcPr>
            <w:tcW w:w="0" w:type="dxa"/>
            <w:vAlign w:val="bottom"/>
          </w:tcPr>
          <w:p>
            <w:pPr>
              <w:spacing w:after="0"/>
              <w:rPr>
                <w:sz w:val="1"/>
                <w:szCs w:val="1"/>
                <w:color w:val="auto"/>
              </w:rPr>
            </w:pPr>
          </w:p>
        </w:tc>
      </w:tr>
      <w:tr>
        <w:trPr>
          <w:trHeight w:val="20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Borders>
              <w:bottom w:val="single" w:sz="8" w:color="125288"/>
            </w:tcBorders>
          </w:tcPr>
          <w:p>
            <w:pPr>
              <w:spacing w:after="0"/>
              <w:rPr>
                <w:sz w:val="17"/>
                <w:szCs w:val="17"/>
                <w:color w:val="auto"/>
              </w:rPr>
            </w:pPr>
          </w:p>
        </w:tc>
        <w:tc>
          <w:tcPr>
            <w:tcW w:w="1260" w:type="dxa"/>
            <w:vAlign w:val="bottom"/>
            <w:tcBorders>
              <w:bottom w:val="single" w:sz="8" w:color="125288"/>
            </w:tcBorders>
          </w:tcPr>
          <w:p>
            <w:pPr>
              <w:spacing w:after="0"/>
              <w:rPr>
                <w:sz w:val="17"/>
                <w:szCs w:val="17"/>
                <w:color w:val="auto"/>
              </w:rPr>
            </w:pPr>
          </w:p>
        </w:tc>
        <w:tc>
          <w:tcPr>
            <w:tcW w:w="120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spacing w:after="0"/>
              <w:rPr>
                <w:sz w:val="17"/>
                <w:szCs w:val="17"/>
                <w:color w:val="auto"/>
              </w:rPr>
            </w:pPr>
          </w:p>
        </w:tc>
        <w:tc>
          <w:tcPr>
            <w:tcW w:w="780" w:type="dxa"/>
            <w:vAlign w:val="bottom"/>
            <w:tcBorders>
              <w:bottom w:val="single" w:sz="8" w:color="125288"/>
            </w:tcBorders>
          </w:tcPr>
          <w:p>
            <w:pPr>
              <w:spacing w:after="0"/>
              <w:rPr>
                <w:sz w:val="17"/>
                <w:szCs w:val="17"/>
                <w:color w:val="auto"/>
              </w:rPr>
            </w:pPr>
          </w:p>
        </w:tc>
        <w:tc>
          <w:tcPr>
            <w:tcW w:w="120" w:type="dxa"/>
            <w:vAlign w:val="bottom"/>
            <w:tcBorders>
              <w:bottom w:val="single" w:sz="8" w:color="125288"/>
            </w:tcBorders>
          </w:tcPr>
          <w:p>
            <w:pPr>
              <w:spacing w:after="0"/>
              <w:rPr>
                <w:sz w:val="17"/>
                <w:szCs w:val="17"/>
                <w:color w:val="auto"/>
              </w:rPr>
            </w:pPr>
          </w:p>
        </w:tc>
        <w:tc>
          <w:tcPr>
            <w:tcW w:w="960" w:type="dxa"/>
            <w:vAlign w:val="bottom"/>
            <w:tcBorders>
              <w:bottom w:val="single" w:sz="8" w:color="125288"/>
            </w:tcBorders>
          </w:tcPr>
          <w:p>
            <w:pPr>
              <w:spacing w:after="0"/>
              <w:rPr>
                <w:sz w:val="17"/>
                <w:szCs w:val="17"/>
                <w:color w:val="auto"/>
              </w:rPr>
            </w:pPr>
          </w:p>
        </w:tc>
        <w:tc>
          <w:tcPr>
            <w:tcW w:w="820" w:type="dxa"/>
            <w:vAlign w:val="bottom"/>
            <w:tcBorders>
              <w:bottom w:val="single" w:sz="8" w:color="125288"/>
            </w:tcBorders>
          </w:tcPr>
          <w:p>
            <w:pPr>
              <w:spacing w:after="0"/>
              <w:rPr>
                <w:sz w:val="17"/>
                <w:szCs w:val="17"/>
                <w:color w:val="auto"/>
              </w:rPr>
            </w:pPr>
          </w:p>
        </w:tc>
        <w:tc>
          <w:tcPr>
            <w:tcW w:w="1440" w:type="dxa"/>
            <w:vAlign w:val="bottom"/>
            <w:tcBorders>
              <w:bottom w:val="single" w:sz="8" w:color="125288"/>
            </w:tcBorders>
          </w:tcPr>
          <w:p>
            <w:pPr>
              <w:jc w:val="right"/>
              <w:ind w:right="81"/>
              <w:spacing w:after="0" w:line="202" w:lineRule="exact"/>
              <w:rPr>
                <w:sz w:val="20"/>
                <w:szCs w:val="20"/>
                <w:color w:val="auto"/>
              </w:rPr>
            </w:pPr>
            <w:r>
              <w:rPr>
                <w:rFonts w:ascii="Arial" w:cs="Arial" w:eastAsia="Arial" w:hAnsi="Arial"/>
                <w:sz w:val="12"/>
                <w:szCs w:val="12"/>
                <w:color w:val="auto"/>
              </w:rPr>
              <w:t>3,437</w:t>
            </w:r>
            <w:r>
              <w:rPr>
                <w:rFonts w:ascii="Arial" w:cs="Arial" w:eastAsia="Arial" w:hAnsi="Arial"/>
                <w:sz w:val="19"/>
                <w:szCs w:val="19"/>
                <w:color w:val="auto"/>
                <w:vertAlign w:val="superscript"/>
              </w:rPr>
              <w:t>(20)</w:t>
            </w:r>
          </w:p>
        </w:tc>
        <w:tc>
          <w:tcPr>
            <w:tcW w:w="1260" w:type="dxa"/>
            <w:vAlign w:val="bottom"/>
            <w:tcBorders>
              <w:bottom w:val="single" w:sz="8" w:color="125288"/>
            </w:tcBorders>
            <w:gridSpan w:val="2"/>
          </w:tcPr>
          <w:p>
            <w:pPr>
              <w:jc w:val="right"/>
              <w:spacing w:after="0" w:line="202" w:lineRule="exact"/>
              <w:rPr>
                <w:sz w:val="20"/>
                <w:szCs w:val="20"/>
                <w:color w:val="auto"/>
              </w:rPr>
            </w:pPr>
            <w:r>
              <w:rPr>
                <w:rFonts w:ascii="Arial" w:cs="Arial" w:eastAsia="Arial" w:hAnsi="Arial"/>
                <w:sz w:val="12"/>
                <w:szCs w:val="12"/>
                <w:color w:val="auto"/>
              </w:rPr>
              <w:t>228,664</w:t>
            </w:r>
            <w:r>
              <w:rPr>
                <w:rFonts w:ascii="Arial" w:cs="Arial" w:eastAsia="Arial" w:hAnsi="Arial"/>
                <w:sz w:val="19"/>
                <w:szCs w:val="19"/>
                <w:color w:val="auto"/>
                <w:vertAlign w:val="superscript"/>
              </w:rPr>
              <w:t>(21)</w:t>
            </w:r>
          </w:p>
        </w:tc>
        <w:tc>
          <w:tcPr>
            <w:tcW w:w="0" w:type="dxa"/>
            <w:vAlign w:val="bottom"/>
          </w:tcPr>
          <w:p>
            <w:pPr>
              <w:spacing w:after="0"/>
              <w:rPr>
                <w:sz w:val="1"/>
                <w:szCs w:val="1"/>
                <w:color w:val="auto"/>
              </w:rPr>
            </w:pPr>
          </w:p>
        </w:tc>
      </w:tr>
      <w:tr>
        <w:trPr>
          <w:trHeight w:val="20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Borders>
              <w:bottom w:val="single" w:sz="8" w:color="125288"/>
            </w:tcBorders>
          </w:tcPr>
          <w:p>
            <w:pPr>
              <w:spacing w:after="0"/>
              <w:rPr>
                <w:sz w:val="17"/>
                <w:szCs w:val="17"/>
                <w:color w:val="auto"/>
              </w:rPr>
            </w:pPr>
          </w:p>
        </w:tc>
        <w:tc>
          <w:tcPr>
            <w:tcW w:w="1260" w:type="dxa"/>
            <w:vAlign w:val="bottom"/>
            <w:tcBorders>
              <w:bottom w:val="single" w:sz="8" w:color="125288"/>
            </w:tcBorders>
          </w:tcPr>
          <w:p>
            <w:pPr>
              <w:spacing w:after="0"/>
              <w:rPr>
                <w:sz w:val="17"/>
                <w:szCs w:val="17"/>
                <w:color w:val="auto"/>
              </w:rPr>
            </w:pPr>
          </w:p>
        </w:tc>
        <w:tc>
          <w:tcPr>
            <w:tcW w:w="120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spacing w:after="0"/>
              <w:rPr>
                <w:sz w:val="17"/>
                <w:szCs w:val="17"/>
                <w:color w:val="auto"/>
              </w:rPr>
            </w:pPr>
          </w:p>
        </w:tc>
        <w:tc>
          <w:tcPr>
            <w:tcW w:w="780" w:type="dxa"/>
            <w:vAlign w:val="bottom"/>
            <w:tcBorders>
              <w:bottom w:val="single" w:sz="8" w:color="125288"/>
            </w:tcBorders>
          </w:tcPr>
          <w:p>
            <w:pPr>
              <w:spacing w:after="0"/>
              <w:rPr>
                <w:sz w:val="17"/>
                <w:szCs w:val="17"/>
                <w:color w:val="auto"/>
              </w:rPr>
            </w:pPr>
          </w:p>
        </w:tc>
        <w:tc>
          <w:tcPr>
            <w:tcW w:w="120" w:type="dxa"/>
            <w:vAlign w:val="bottom"/>
            <w:tcBorders>
              <w:bottom w:val="single" w:sz="8" w:color="125288"/>
            </w:tcBorders>
          </w:tcPr>
          <w:p>
            <w:pPr>
              <w:spacing w:after="0"/>
              <w:rPr>
                <w:sz w:val="17"/>
                <w:szCs w:val="17"/>
                <w:color w:val="auto"/>
              </w:rPr>
            </w:pPr>
          </w:p>
        </w:tc>
        <w:tc>
          <w:tcPr>
            <w:tcW w:w="960" w:type="dxa"/>
            <w:vAlign w:val="bottom"/>
            <w:tcBorders>
              <w:bottom w:val="single" w:sz="8" w:color="125288"/>
            </w:tcBorders>
          </w:tcPr>
          <w:p>
            <w:pPr>
              <w:spacing w:after="0"/>
              <w:rPr>
                <w:sz w:val="17"/>
                <w:szCs w:val="17"/>
                <w:color w:val="auto"/>
              </w:rPr>
            </w:pPr>
          </w:p>
        </w:tc>
        <w:tc>
          <w:tcPr>
            <w:tcW w:w="820" w:type="dxa"/>
            <w:vAlign w:val="bottom"/>
            <w:tcBorders>
              <w:bottom w:val="single" w:sz="8" w:color="125288"/>
            </w:tcBorders>
          </w:tcPr>
          <w:p>
            <w:pPr>
              <w:spacing w:after="0"/>
              <w:rPr>
                <w:sz w:val="17"/>
                <w:szCs w:val="17"/>
                <w:color w:val="auto"/>
              </w:rPr>
            </w:pPr>
          </w:p>
        </w:tc>
        <w:tc>
          <w:tcPr>
            <w:tcW w:w="1440" w:type="dxa"/>
            <w:vAlign w:val="bottom"/>
            <w:tcBorders>
              <w:bottom w:val="single" w:sz="8" w:color="125288"/>
            </w:tcBorders>
          </w:tcPr>
          <w:p>
            <w:pPr>
              <w:jc w:val="right"/>
              <w:ind w:right="81"/>
              <w:spacing w:after="0" w:line="202" w:lineRule="exact"/>
              <w:rPr>
                <w:sz w:val="20"/>
                <w:szCs w:val="20"/>
                <w:color w:val="auto"/>
              </w:rPr>
            </w:pPr>
            <w:r>
              <w:rPr>
                <w:rFonts w:ascii="Arial" w:cs="Arial" w:eastAsia="Arial" w:hAnsi="Arial"/>
                <w:sz w:val="12"/>
                <w:szCs w:val="12"/>
                <w:color w:val="auto"/>
              </w:rPr>
              <w:t>6,874</w:t>
            </w:r>
            <w:r>
              <w:rPr>
                <w:rFonts w:ascii="Arial" w:cs="Arial" w:eastAsia="Arial" w:hAnsi="Arial"/>
                <w:sz w:val="19"/>
                <w:szCs w:val="19"/>
                <w:color w:val="auto"/>
                <w:vertAlign w:val="superscript"/>
              </w:rPr>
              <w:t>(22)</w:t>
            </w:r>
          </w:p>
        </w:tc>
        <w:tc>
          <w:tcPr>
            <w:tcW w:w="1260" w:type="dxa"/>
            <w:vAlign w:val="bottom"/>
            <w:tcBorders>
              <w:bottom w:val="single" w:sz="8" w:color="125288"/>
            </w:tcBorders>
            <w:gridSpan w:val="2"/>
          </w:tcPr>
          <w:p>
            <w:pPr>
              <w:jc w:val="right"/>
              <w:spacing w:after="0" w:line="202" w:lineRule="exact"/>
              <w:rPr>
                <w:sz w:val="20"/>
                <w:szCs w:val="20"/>
                <w:color w:val="auto"/>
              </w:rPr>
            </w:pPr>
            <w:r>
              <w:rPr>
                <w:rFonts w:ascii="Arial" w:cs="Arial" w:eastAsia="Arial" w:hAnsi="Arial"/>
                <w:sz w:val="12"/>
                <w:szCs w:val="12"/>
                <w:color w:val="auto"/>
              </w:rPr>
              <w:t>457,327</w:t>
            </w:r>
            <w:r>
              <w:rPr>
                <w:rFonts w:ascii="Arial" w:cs="Arial" w:eastAsia="Arial" w:hAnsi="Arial"/>
                <w:sz w:val="19"/>
                <w:szCs w:val="19"/>
                <w:color w:val="auto"/>
                <w:vertAlign w:val="superscript"/>
              </w:rPr>
              <w:t>(23)</w:t>
            </w:r>
          </w:p>
        </w:tc>
        <w:tc>
          <w:tcPr>
            <w:tcW w:w="0" w:type="dxa"/>
            <w:vAlign w:val="bottom"/>
          </w:tcPr>
          <w:p>
            <w:pPr>
              <w:spacing w:after="0"/>
              <w:rPr>
                <w:sz w:val="1"/>
                <w:szCs w:val="1"/>
                <w:color w:val="auto"/>
              </w:rPr>
            </w:pPr>
          </w:p>
        </w:tc>
      </w:tr>
      <w:tr>
        <w:trPr>
          <w:trHeight w:val="20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Borders>
              <w:bottom w:val="single" w:sz="8" w:color="125288"/>
            </w:tcBorders>
          </w:tcPr>
          <w:p>
            <w:pPr>
              <w:spacing w:after="0"/>
              <w:rPr>
                <w:sz w:val="17"/>
                <w:szCs w:val="17"/>
                <w:color w:val="auto"/>
              </w:rPr>
            </w:pPr>
          </w:p>
        </w:tc>
        <w:tc>
          <w:tcPr>
            <w:tcW w:w="1260" w:type="dxa"/>
            <w:vAlign w:val="bottom"/>
            <w:tcBorders>
              <w:bottom w:val="single" w:sz="8" w:color="125288"/>
            </w:tcBorders>
          </w:tcPr>
          <w:p>
            <w:pPr>
              <w:spacing w:after="0"/>
              <w:rPr>
                <w:sz w:val="17"/>
                <w:szCs w:val="17"/>
                <w:color w:val="auto"/>
              </w:rPr>
            </w:pPr>
          </w:p>
        </w:tc>
        <w:tc>
          <w:tcPr>
            <w:tcW w:w="120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spacing w:after="0"/>
              <w:rPr>
                <w:sz w:val="17"/>
                <w:szCs w:val="17"/>
                <w:color w:val="auto"/>
              </w:rPr>
            </w:pPr>
          </w:p>
        </w:tc>
        <w:tc>
          <w:tcPr>
            <w:tcW w:w="780" w:type="dxa"/>
            <w:vAlign w:val="bottom"/>
            <w:tcBorders>
              <w:bottom w:val="single" w:sz="8" w:color="125288"/>
            </w:tcBorders>
          </w:tcPr>
          <w:p>
            <w:pPr>
              <w:spacing w:after="0"/>
              <w:rPr>
                <w:sz w:val="17"/>
                <w:szCs w:val="17"/>
                <w:color w:val="auto"/>
              </w:rPr>
            </w:pPr>
          </w:p>
        </w:tc>
        <w:tc>
          <w:tcPr>
            <w:tcW w:w="120" w:type="dxa"/>
            <w:vAlign w:val="bottom"/>
            <w:tcBorders>
              <w:bottom w:val="single" w:sz="8" w:color="125288"/>
            </w:tcBorders>
          </w:tcPr>
          <w:p>
            <w:pPr>
              <w:spacing w:after="0"/>
              <w:rPr>
                <w:sz w:val="17"/>
                <w:szCs w:val="17"/>
                <w:color w:val="auto"/>
              </w:rPr>
            </w:pPr>
          </w:p>
        </w:tc>
        <w:tc>
          <w:tcPr>
            <w:tcW w:w="960" w:type="dxa"/>
            <w:vAlign w:val="bottom"/>
            <w:tcBorders>
              <w:bottom w:val="single" w:sz="8" w:color="125288"/>
            </w:tcBorders>
          </w:tcPr>
          <w:p>
            <w:pPr>
              <w:spacing w:after="0"/>
              <w:rPr>
                <w:sz w:val="17"/>
                <w:szCs w:val="17"/>
                <w:color w:val="auto"/>
              </w:rPr>
            </w:pPr>
          </w:p>
        </w:tc>
        <w:tc>
          <w:tcPr>
            <w:tcW w:w="820" w:type="dxa"/>
            <w:vAlign w:val="bottom"/>
            <w:tcBorders>
              <w:bottom w:val="single" w:sz="8" w:color="125288"/>
            </w:tcBorders>
          </w:tcPr>
          <w:p>
            <w:pPr>
              <w:spacing w:after="0"/>
              <w:rPr>
                <w:sz w:val="17"/>
                <w:szCs w:val="17"/>
                <w:color w:val="auto"/>
              </w:rPr>
            </w:pPr>
          </w:p>
        </w:tc>
        <w:tc>
          <w:tcPr>
            <w:tcW w:w="1440" w:type="dxa"/>
            <w:vAlign w:val="bottom"/>
            <w:tcBorders>
              <w:bottom w:val="single" w:sz="8" w:color="125288"/>
            </w:tcBorders>
          </w:tcPr>
          <w:p>
            <w:pPr>
              <w:jc w:val="right"/>
              <w:ind w:right="81"/>
              <w:spacing w:after="0" w:line="202" w:lineRule="exact"/>
              <w:rPr>
                <w:sz w:val="20"/>
                <w:szCs w:val="20"/>
                <w:color w:val="auto"/>
              </w:rPr>
            </w:pPr>
            <w:r>
              <w:rPr>
                <w:rFonts w:ascii="Arial" w:cs="Arial" w:eastAsia="Arial" w:hAnsi="Arial"/>
                <w:sz w:val="12"/>
                <w:szCs w:val="12"/>
                <w:color w:val="auto"/>
              </w:rPr>
              <w:t>5,496</w:t>
            </w:r>
            <w:r>
              <w:rPr>
                <w:rFonts w:ascii="Arial" w:cs="Arial" w:eastAsia="Arial" w:hAnsi="Arial"/>
                <w:sz w:val="19"/>
                <w:szCs w:val="19"/>
                <w:color w:val="auto"/>
                <w:vertAlign w:val="superscript"/>
              </w:rPr>
              <w:t>(24)</w:t>
            </w:r>
          </w:p>
        </w:tc>
        <w:tc>
          <w:tcPr>
            <w:tcW w:w="1260" w:type="dxa"/>
            <w:vAlign w:val="bottom"/>
            <w:tcBorders>
              <w:bottom w:val="single" w:sz="8" w:color="125288"/>
            </w:tcBorders>
            <w:gridSpan w:val="2"/>
          </w:tcPr>
          <w:p>
            <w:pPr>
              <w:jc w:val="right"/>
              <w:spacing w:after="0" w:line="202" w:lineRule="exact"/>
              <w:rPr>
                <w:sz w:val="20"/>
                <w:szCs w:val="20"/>
                <w:color w:val="auto"/>
              </w:rPr>
            </w:pPr>
            <w:r>
              <w:rPr>
                <w:rFonts w:ascii="Arial" w:cs="Arial" w:eastAsia="Arial" w:hAnsi="Arial"/>
                <w:sz w:val="12"/>
                <w:szCs w:val="12"/>
                <w:color w:val="auto"/>
              </w:rPr>
              <w:t>365,649</w:t>
            </w:r>
            <w:r>
              <w:rPr>
                <w:rFonts w:ascii="Arial" w:cs="Arial" w:eastAsia="Arial" w:hAnsi="Arial"/>
                <w:sz w:val="19"/>
                <w:szCs w:val="19"/>
                <w:color w:val="auto"/>
                <w:vertAlign w:val="superscript"/>
              </w:rPr>
              <w:t>(25)</w:t>
            </w:r>
          </w:p>
        </w:tc>
        <w:tc>
          <w:tcPr>
            <w:tcW w:w="0" w:type="dxa"/>
            <w:vAlign w:val="bottom"/>
          </w:tcPr>
          <w:p>
            <w:pPr>
              <w:spacing w:after="0"/>
              <w:rPr>
                <w:sz w:val="1"/>
                <w:szCs w:val="1"/>
                <w:color w:val="auto"/>
              </w:rPr>
            </w:pPr>
          </w:p>
        </w:tc>
      </w:tr>
      <w:tr>
        <w:trPr>
          <w:trHeight w:val="20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Borders>
              <w:bottom w:val="single" w:sz="8" w:color="125288"/>
            </w:tcBorders>
          </w:tcPr>
          <w:p>
            <w:pPr>
              <w:spacing w:after="0"/>
              <w:rPr>
                <w:sz w:val="17"/>
                <w:szCs w:val="17"/>
                <w:color w:val="auto"/>
              </w:rPr>
            </w:pPr>
          </w:p>
        </w:tc>
        <w:tc>
          <w:tcPr>
            <w:tcW w:w="1260" w:type="dxa"/>
            <w:vAlign w:val="bottom"/>
            <w:tcBorders>
              <w:bottom w:val="single" w:sz="8" w:color="125288"/>
            </w:tcBorders>
          </w:tcPr>
          <w:p>
            <w:pPr>
              <w:spacing w:after="0"/>
              <w:rPr>
                <w:sz w:val="17"/>
                <w:szCs w:val="17"/>
                <w:color w:val="auto"/>
              </w:rPr>
            </w:pPr>
          </w:p>
        </w:tc>
        <w:tc>
          <w:tcPr>
            <w:tcW w:w="120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spacing w:after="0"/>
              <w:rPr>
                <w:sz w:val="17"/>
                <w:szCs w:val="17"/>
                <w:color w:val="auto"/>
              </w:rPr>
            </w:pPr>
          </w:p>
        </w:tc>
        <w:tc>
          <w:tcPr>
            <w:tcW w:w="780" w:type="dxa"/>
            <w:vAlign w:val="bottom"/>
            <w:tcBorders>
              <w:bottom w:val="single" w:sz="8" w:color="125288"/>
            </w:tcBorders>
          </w:tcPr>
          <w:p>
            <w:pPr>
              <w:spacing w:after="0"/>
              <w:rPr>
                <w:sz w:val="17"/>
                <w:szCs w:val="17"/>
                <w:color w:val="auto"/>
              </w:rPr>
            </w:pPr>
          </w:p>
        </w:tc>
        <w:tc>
          <w:tcPr>
            <w:tcW w:w="120" w:type="dxa"/>
            <w:vAlign w:val="bottom"/>
            <w:tcBorders>
              <w:bottom w:val="single" w:sz="8" w:color="125288"/>
            </w:tcBorders>
          </w:tcPr>
          <w:p>
            <w:pPr>
              <w:spacing w:after="0"/>
              <w:rPr>
                <w:sz w:val="17"/>
                <w:szCs w:val="17"/>
                <w:color w:val="auto"/>
              </w:rPr>
            </w:pPr>
          </w:p>
        </w:tc>
        <w:tc>
          <w:tcPr>
            <w:tcW w:w="960" w:type="dxa"/>
            <w:vAlign w:val="bottom"/>
            <w:tcBorders>
              <w:bottom w:val="single" w:sz="8" w:color="125288"/>
            </w:tcBorders>
          </w:tcPr>
          <w:p>
            <w:pPr>
              <w:spacing w:after="0"/>
              <w:rPr>
                <w:sz w:val="17"/>
                <w:szCs w:val="17"/>
                <w:color w:val="auto"/>
              </w:rPr>
            </w:pPr>
          </w:p>
        </w:tc>
        <w:tc>
          <w:tcPr>
            <w:tcW w:w="820" w:type="dxa"/>
            <w:vAlign w:val="bottom"/>
            <w:tcBorders>
              <w:bottom w:val="single" w:sz="8" w:color="125288"/>
            </w:tcBorders>
          </w:tcPr>
          <w:p>
            <w:pPr>
              <w:spacing w:after="0"/>
              <w:rPr>
                <w:sz w:val="17"/>
                <w:szCs w:val="17"/>
                <w:color w:val="auto"/>
              </w:rPr>
            </w:pPr>
          </w:p>
        </w:tc>
        <w:tc>
          <w:tcPr>
            <w:tcW w:w="1440" w:type="dxa"/>
            <w:vAlign w:val="bottom"/>
            <w:tcBorders>
              <w:bottom w:val="single" w:sz="8" w:color="125288"/>
            </w:tcBorders>
          </w:tcPr>
          <w:p>
            <w:pPr>
              <w:jc w:val="right"/>
              <w:ind w:right="81"/>
              <w:spacing w:after="0" w:line="202" w:lineRule="exact"/>
              <w:rPr>
                <w:sz w:val="20"/>
                <w:szCs w:val="20"/>
                <w:color w:val="auto"/>
              </w:rPr>
            </w:pPr>
            <w:r>
              <w:rPr>
                <w:rFonts w:ascii="Arial" w:cs="Arial" w:eastAsia="Arial" w:hAnsi="Arial"/>
                <w:sz w:val="12"/>
                <w:szCs w:val="12"/>
                <w:color w:val="auto"/>
              </w:rPr>
              <w:t>5,496</w:t>
            </w:r>
            <w:r>
              <w:rPr>
                <w:rFonts w:ascii="Arial" w:cs="Arial" w:eastAsia="Arial" w:hAnsi="Arial"/>
                <w:sz w:val="19"/>
                <w:szCs w:val="19"/>
                <w:color w:val="auto"/>
                <w:vertAlign w:val="superscript"/>
              </w:rPr>
              <w:t>(26)</w:t>
            </w:r>
          </w:p>
        </w:tc>
        <w:tc>
          <w:tcPr>
            <w:tcW w:w="1260" w:type="dxa"/>
            <w:vAlign w:val="bottom"/>
            <w:tcBorders>
              <w:bottom w:val="single" w:sz="8" w:color="125288"/>
            </w:tcBorders>
            <w:gridSpan w:val="2"/>
          </w:tcPr>
          <w:p>
            <w:pPr>
              <w:jc w:val="right"/>
              <w:spacing w:after="0" w:line="202" w:lineRule="exact"/>
              <w:rPr>
                <w:sz w:val="20"/>
                <w:szCs w:val="20"/>
                <w:color w:val="auto"/>
              </w:rPr>
            </w:pPr>
            <w:r>
              <w:rPr>
                <w:rFonts w:ascii="Arial" w:cs="Arial" w:eastAsia="Arial" w:hAnsi="Arial"/>
                <w:sz w:val="12"/>
                <w:szCs w:val="12"/>
                <w:color w:val="auto"/>
              </w:rPr>
              <w:t>365,649</w:t>
            </w:r>
            <w:r>
              <w:rPr>
                <w:rFonts w:ascii="Arial" w:cs="Arial" w:eastAsia="Arial" w:hAnsi="Arial"/>
                <w:sz w:val="19"/>
                <w:szCs w:val="19"/>
                <w:color w:val="auto"/>
                <w:vertAlign w:val="superscript"/>
              </w:rPr>
              <w:t>(27)</w:t>
            </w:r>
          </w:p>
        </w:tc>
        <w:tc>
          <w:tcPr>
            <w:tcW w:w="0" w:type="dxa"/>
            <w:vAlign w:val="bottom"/>
          </w:tcPr>
          <w:p>
            <w:pPr>
              <w:spacing w:after="0"/>
              <w:rPr>
                <w:sz w:val="1"/>
                <w:szCs w:val="1"/>
                <w:color w:val="auto"/>
              </w:rPr>
            </w:pPr>
          </w:p>
        </w:tc>
      </w:tr>
      <w:tr>
        <w:trPr>
          <w:trHeight w:val="20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Borders>
              <w:bottom w:val="single" w:sz="8" w:color="125288"/>
            </w:tcBorders>
          </w:tcPr>
          <w:p>
            <w:pPr>
              <w:spacing w:after="0"/>
              <w:rPr>
                <w:sz w:val="17"/>
                <w:szCs w:val="17"/>
                <w:color w:val="auto"/>
              </w:rPr>
            </w:pPr>
          </w:p>
        </w:tc>
        <w:tc>
          <w:tcPr>
            <w:tcW w:w="1260" w:type="dxa"/>
            <w:vAlign w:val="bottom"/>
            <w:tcBorders>
              <w:bottom w:val="single" w:sz="8" w:color="125288"/>
            </w:tcBorders>
          </w:tcPr>
          <w:p>
            <w:pPr>
              <w:spacing w:after="0"/>
              <w:rPr>
                <w:sz w:val="17"/>
                <w:szCs w:val="17"/>
                <w:color w:val="auto"/>
              </w:rPr>
            </w:pPr>
          </w:p>
        </w:tc>
        <w:tc>
          <w:tcPr>
            <w:tcW w:w="120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spacing w:after="0"/>
              <w:rPr>
                <w:sz w:val="17"/>
                <w:szCs w:val="17"/>
                <w:color w:val="auto"/>
              </w:rPr>
            </w:pPr>
          </w:p>
        </w:tc>
        <w:tc>
          <w:tcPr>
            <w:tcW w:w="780" w:type="dxa"/>
            <w:vAlign w:val="bottom"/>
            <w:tcBorders>
              <w:bottom w:val="single" w:sz="8" w:color="125288"/>
            </w:tcBorders>
          </w:tcPr>
          <w:p>
            <w:pPr>
              <w:spacing w:after="0"/>
              <w:rPr>
                <w:sz w:val="17"/>
                <w:szCs w:val="17"/>
                <w:color w:val="auto"/>
              </w:rPr>
            </w:pPr>
          </w:p>
        </w:tc>
        <w:tc>
          <w:tcPr>
            <w:tcW w:w="120" w:type="dxa"/>
            <w:vAlign w:val="bottom"/>
            <w:tcBorders>
              <w:bottom w:val="single" w:sz="8" w:color="125288"/>
            </w:tcBorders>
          </w:tcPr>
          <w:p>
            <w:pPr>
              <w:spacing w:after="0"/>
              <w:rPr>
                <w:sz w:val="17"/>
                <w:szCs w:val="17"/>
                <w:color w:val="auto"/>
              </w:rPr>
            </w:pPr>
          </w:p>
        </w:tc>
        <w:tc>
          <w:tcPr>
            <w:tcW w:w="960" w:type="dxa"/>
            <w:vAlign w:val="bottom"/>
            <w:tcBorders>
              <w:bottom w:val="single" w:sz="8" w:color="125288"/>
            </w:tcBorders>
          </w:tcPr>
          <w:p>
            <w:pPr>
              <w:spacing w:after="0"/>
              <w:rPr>
                <w:sz w:val="17"/>
                <w:szCs w:val="17"/>
                <w:color w:val="auto"/>
              </w:rPr>
            </w:pPr>
          </w:p>
        </w:tc>
        <w:tc>
          <w:tcPr>
            <w:tcW w:w="820" w:type="dxa"/>
            <w:vAlign w:val="bottom"/>
            <w:tcBorders>
              <w:bottom w:val="single" w:sz="8" w:color="125288"/>
            </w:tcBorders>
          </w:tcPr>
          <w:p>
            <w:pPr>
              <w:spacing w:after="0"/>
              <w:rPr>
                <w:sz w:val="17"/>
                <w:szCs w:val="17"/>
                <w:color w:val="auto"/>
              </w:rPr>
            </w:pPr>
          </w:p>
        </w:tc>
        <w:tc>
          <w:tcPr>
            <w:tcW w:w="1440" w:type="dxa"/>
            <w:vAlign w:val="bottom"/>
            <w:tcBorders>
              <w:bottom w:val="single" w:sz="8" w:color="125288"/>
            </w:tcBorders>
          </w:tcPr>
          <w:p>
            <w:pPr>
              <w:jc w:val="right"/>
              <w:ind w:right="81"/>
              <w:spacing w:after="0" w:line="202" w:lineRule="exact"/>
              <w:rPr>
                <w:sz w:val="20"/>
                <w:szCs w:val="20"/>
                <w:color w:val="auto"/>
              </w:rPr>
            </w:pPr>
            <w:r>
              <w:rPr>
                <w:rFonts w:ascii="Arial" w:cs="Arial" w:eastAsia="Arial" w:hAnsi="Arial"/>
                <w:sz w:val="12"/>
                <w:szCs w:val="12"/>
                <w:color w:val="auto"/>
              </w:rPr>
              <w:t>10,992</w:t>
            </w:r>
            <w:r>
              <w:rPr>
                <w:rFonts w:ascii="Arial" w:cs="Arial" w:eastAsia="Arial" w:hAnsi="Arial"/>
                <w:sz w:val="19"/>
                <w:szCs w:val="19"/>
                <w:color w:val="auto"/>
                <w:vertAlign w:val="superscript"/>
              </w:rPr>
              <w:t>(28)</w:t>
            </w:r>
          </w:p>
        </w:tc>
        <w:tc>
          <w:tcPr>
            <w:tcW w:w="1260" w:type="dxa"/>
            <w:vAlign w:val="bottom"/>
            <w:tcBorders>
              <w:bottom w:val="single" w:sz="8" w:color="125288"/>
            </w:tcBorders>
            <w:gridSpan w:val="2"/>
          </w:tcPr>
          <w:p>
            <w:pPr>
              <w:jc w:val="right"/>
              <w:spacing w:after="0" w:line="202" w:lineRule="exact"/>
              <w:rPr>
                <w:sz w:val="20"/>
                <w:szCs w:val="20"/>
                <w:color w:val="auto"/>
              </w:rPr>
            </w:pPr>
            <w:r>
              <w:rPr>
                <w:rFonts w:ascii="Arial" w:cs="Arial" w:eastAsia="Arial" w:hAnsi="Arial"/>
                <w:sz w:val="12"/>
                <w:szCs w:val="12"/>
                <w:color w:val="auto"/>
              </w:rPr>
              <w:t>731,298</w:t>
            </w:r>
            <w:r>
              <w:rPr>
                <w:rFonts w:ascii="Arial" w:cs="Arial" w:eastAsia="Arial" w:hAnsi="Arial"/>
                <w:sz w:val="19"/>
                <w:szCs w:val="19"/>
                <w:color w:val="auto"/>
                <w:vertAlign w:val="superscript"/>
              </w:rPr>
              <w:t>(29)</w:t>
            </w:r>
          </w:p>
        </w:tc>
        <w:tc>
          <w:tcPr>
            <w:tcW w:w="0" w:type="dxa"/>
            <w:vAlign w:val="bottom"/>
          </w:tcPr>
          <w:p>
            <w:pPr>
              <w:spacing w:after="0"/>
              <w:rPr>
                <w:sz w:val="1"/>
                <w:szCs w:val="1"/>
                <w:color w:val="auto"/>
              </w:rPr>
            </w:pPr>
          </w:p>
        </w:tc>
      </w:tr>
      <w:tr>
        <w:trPr>
          <w:trHeight w:val="20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Borders>
              <w:bottom w:val="single" w:sz="8" w:color="125288"/>
            </w:tcBorders>
          </w:tcPr>
          <w:p>
            <w:pPr>
              <w:spacing w:after="0"/>
              <w:rPr>
                <w:sz w:val="17"/>
                <w:szCs w:val="17"/>
                <w:color w:val="auto"/>
              </w:rPr>
            </w:pPr>
          </w:p>
        </w:tc>
        <w:tc>
          <w:tcPr>
            <w:tcW w:w="1260" w:type="dxa"/>
            <w:vAlign w:val="bottom"/>
            <w:tcBorders>
              <w:bottom w:val="single" w:sz="8" w:color="125288"/>
            </w:tcBorders>
          </w:tcPr>
          <w:p>
            <w:pPr>
              <w:spacing w:after="0"/>
              <w:rPr>
                <w:sz w:val="17"/>
                <w:szCs w:val="17"/>
                <w:color w:val="auto"/>
              </w:rPr>
            </w:pPr>
          </w:p>
        </w:tc>
        <w:tc>
          <w:tcPr>
            <w:tcW w:w="120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spacing w:after="0"/>
              <w:rPr>
                <w:sz w:val="17"/>
                <w:szCs w:val="17"/>
                <w:color w:val="auto"/>
              </w:rPr>
            </w:pPr>
          </w:p>
        </w:tc>
        <w:tc>
          <w:tcPr>
            <w:tcW w:w="780" w:type="dxa"/>
            <w:vAlign w:val="bottom"/>
            <w:tcBorders>
              <w:bottom w:val="single" w:sz="8" w:color="125288"/>
            </w:tcBorders>
          </w:tcPr>
          <w:p>
            <w:pPr>
              <w:spacing w:after="0"/>
              <w:rPr>
                <w:sz w:val="17"/>
                <w:szCs w:val="17"/>
                <w:color w:val="auto"/>
              </w:rPr>
            </w:pPr>
          </w:p>
        </w:tc>
        <w:tc>
          <w:tcPr>
            <w:tcW w:w="120" w:type="dxa"/>
            <w:vAlign w:val="bottom"/>
            <w:tcBorders>
              <w:bottom w:val="single" w:sz="8" w:color="125288"/>
            </w:tcBorders>
          </w:tcPr>
          <w:p>
            <w:pPr>
              <w:spacing w:after="0"/>
              <w:rPr>
                <w:sz w:val="17"/>
                <w:szCs w:val="17"/>
                <w:color w:val="auto"/>
              </w:rPr>
            </w:pPr>
          </w:p>
        </w:tc>
        <w:tc>
          <w:tcPr>
            <w:tcW w:w="960" w:type="dxa"/>
            <w:vAlign w:val="bottom"/>
            <w:tcBorders>
              <w:bottom w:val="single" w:sz="8" w:color="125288"/>
            </w:tcBorders>
          </w:tcPr>
          <w:p>
            <w:pPr>
              <w:jc w:val="right"/>
              <w:ind w:right="61"/>
              <w:spacing w:after="0" w:line="202" w:lineRule="exact"/>
              <w:rPr>
                <w:sz w:val="20"/>
                <w:szCs w:val="20"/>
                <w:color w:val="auto"/>
              </w:rPr>
            </w:pPr>
            <w:r>
              <w:rPr>
                <w:rFonts w:ascii="Arial" w:cs="Arial" w:eastAsia="Arial" w:hAnsi="Arial"/>
                <w:sz w:val="12"/>
                <w:szCs w:val="12"/>
                <w:color w:val="auto"/>
              </w:rPr>
              <w:t>2,957</w:t>
            </w:r>
            <w:r>
              <w:rPr>
                <w:rFonts w:ascii="Arial" w:cs="Arial" w:eastAsia="Arial" w:hAnsi="Arial"/>
                <w:sz w:val="19"/>
                <w:szCs w:val="19"/>
                <w:color w:val="auto"/>
                <w:vertAlign w:val="superscript"/>
              </w:rPr>
              <w:t>(30)</w:t>
            </w:r>
          </w:p>
        </w:tc>
        <w:tc>
          <w:tcPr>
            <w:tcW w:w="820" w:type="dxa"/>
            <w:vAlign w:val="bottom"/>
            <w:tcBorders>
              <w:bottom w:val="single" w:sz="8" w:color="125288"/>
            </w:tcBorders>
          </w:tcPr>
          <w:p>
            <w:pPr>
              <w:jc w:val="right"/>
              <w:ind w:right="21"/>
              <w:spacing w:after="0"/>
              <w:rPr>
                <w:sz w:val="20"/>
                <w:szCs w:val="20"/>
                <w:color w:val="auto"/>
              </w:rPr>
            </w:pPr>
            <w:r>
              <w:rPr>
                <w:rFonts w:ascii="Arial" w:cs="Arial" w:eastAsia="Arial" w:hAnsi="Arial"/>
                <w:sz w:val="12"/>
                <w:szCs w:val="12"/>
                <w:color w:val="auto"/>
              </w:rPr>
              <w:t>196,729</w:t>
            </w:r>
          </w:p>
        </w:tc>
        <w:tc>
          <w:tcPr>
            <w:tcW w:w="1440" w:type="dxa"/>
            <w:vAlign w:val="bottom"/>
            <w:tcBorders>
              <w:bottom w:val="single" w:sz="8" w:color="125288"/>
            </w:tcBorders>
          </w:tcPr>
          <w:p>
            <w:pPr>
              <w:spacing w:after="0"/>
              <w:rPr>
                <w:sz w:val="17"/>
                <w:szCs w:val="17"/>
                <w:color w:val="auto"/>
              </w:rPr>
            </w:pPr>
          </w:p>
        </w:tc>
        <w:tc>
          <w:tcPr>
            <w:tcW w:w="1080" w:type="dxa"/>
            <w:vAlign w:val="bottom"/>
            <w:tcBorders>
              <w:bottom w:val="single" w:sz="8" w:color="125288"/>
            </w:tcBorders>
          </w:tcPr>
          <w:p>
            <w:pPr>
              <w:spacing w:after="0"/>
              <w:rPr>
                <w:sz w:val="17"/>
                <w:szCs w:val="17"/>
                <w:color w:val="auto"/>
              </w:rPr>
            </w:pPr>
          </w:p>
        </w:tc>
        <w:tc>
          <w:tcPr>
            <w:tcW w:w="180" w:type="dxa"/>
            <w:vAlign w:val="bottom"/>
            <w:tcBorders>
              <w:bottom w:val="single" w:sz="8" w:color="125288"/>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Borders>
              <w:bottom w:val="single" w:sz="8" w:color="125288"/>
            </w:tcBorders>
          </w:tcPr>
          <w:p>
            <w:pPr>
              <w:spacing w:after="0"/>
              <w:rPr>
                <w:sz w:val="17"/>
                <w:szCs w:val="17"/>
                <w:color w:val="auto"/>
              </w:rPr>
            </w:pPr>
          </w:p>
        </w:tc>
        <w:tc>
          <w:tcPr>
            <w:tcW w:w="1260" w:type="dxa"/>
            <w:vAlign w:val="bottom"/>
            <w:tcBorders>
              <w:bottom w:val="single" w:sz="8" w:color="125288"/>
            </w:tcBorders>
          </w:tcPr>
          <w:p>
            <w:pPr>
              <w:spacing w:after="0"/>
              <w:rPr>
                <w:sz w:val="17"/>
                <w:szCs w:val="17"/>
                <w:color w:val="auto"/>
              </w:rPr>
            </w:pPr>
          </w:p>
        </w:tc>
        <w:tc>
          <w:tcPr>
            <w:tcW w:w="120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spacing w:after="0"/>
              <w:rPr>
                <w:sz w:val="17"/>
                <w:szCs w:val="17"/>
                <w:color w:val="auto"/>
              </w:rPr>
            </w:pPr>
          </w:p>
        </w:tc>
        <w:tc>
          <w:tcPr>
            <w:tcW w:w="780" w:type="dxa"/>
            <w:vAlign w:val="bottom"/>
            <w:tcBorders>
              <w:bottom w:val="single" w:sz="8" w:color="125288"/>
            </w:tcBorders>
          </w:tcPr>
          <w:p>
            <w:pPr>
              <w:spacing w:after="0"/>
              <w:rPr>
                <w:sz w:val="17"/>
                <w:szCs w:val="17"/>
                <w:color w:val="auto"/>
              </w:rPr>
            </w:pPr>
          </w:p>
        </w:tc>
        <w:tc>
          <w:tcPr>
            <w:tcW w:w="120" w:type="dxa"/>
            <w:vAlign w:val="bottom"/>
            <w:tcBorders>
              <w:bottom w:val="single" w:sz="8" w:color="125288"/>
            </w:tcBorders>
          </w:tcPr>
          <w:p>
            <w:pPr>
              <w:spacing w:after="0"/>
              <w:rPr>
                <w:sz w:val="17"/>
                <w:szCs w:val="17"/>
                <w:color w:val="auto"/>
              </w:rPr>
            </w:pPr>
          </w:p>
        </w:tc>
        <w:tc>
          <w:tcPr>
            <w:tcW w:w="960" w:type="dxa"/>
            <w:vAlign w:val="bottom"/>
            <w:tcBorders>
              <w:bottom w:val="single" w:sz="8" w:color="125288"/>
            </w:tcBorders>
          </w:tcPr>
          <w:p>
            <w:pPr>
              <w:jc w:val="right"/>
              <w:ind w:right="61"/>
              <w:spacing w:after="0" w:line="202" w:lineRule="exact"/>
              <w:rPr>
                <w:sz w:val="20"/>
                <w:szCs w:val="20"/>
                <w:color w:val="auto"/>
              </w:rPr>
            </w:pPr>
            <w:r>
              <w:rPr>
                <w:rFonts w:ascii="Arial" w:cs="Arial" w:eastAsia="Arial" w:hAnsi="Arial"/>
                <w:sz w:val="23"/>
                <w:szCs w:val="23"/>
                <w:color w:val="auto"/>
                <w:vertAlign w:val="subscript"/>
              </w:rPr>
              <w:t>756</w:t>
            </w:r>
            <w:r>
              <w:rPr>
                <w:rFonts w:ascii="Arial" w:cs="Arial" w:eastAsia="Arial" w:hAnsi="Arial"/>
                <w:sz w:val="10"/>
                <w:szCs w:val="10"/>
                <w:color w:val="auto"/>
              </w:rPr>
              <w:t>(31)</w:t>
            </w:r>
          </w:p>
        </w:tc>
        <w:tc>
          <w:tcPr>
            <w:tcW w:w="820" w:type="dxa"/>
            <w:vAlign w:val="bottom"/>
            <w:tcBorders>
              <w:bottom w:val="single" w:sz="8" w:color="125288"/>
            </w:tcBorders>
          </w:tcPr>
          <w:p>
            <w:pPr>
              <w:jc w:val="right"/>
              <w:ind w:right="21"/>
              <w:spacing w:after="0"/>
              <w:rPr>
                <w:sz w:val="20"/>
                <w:szCs w:val="20"/>
                <w:color w:val="auto"/>
              </w:rPr>
            </w:pPr>
            <w:r>
              <w:rPr>
                <w:rFonts w:ascii="Arial" w:cs="Arial" w:eastAsia="Arial" w:hAnsi="Arial"/>
                <w:sz w:val="12"/>
                <w:szCs w:val="12"/>
                <w:color w:val="auto"/>
              </w:rPr>
              <w:t>50,297</w:t>
            </w:r>
          </w:p>
        </w:tc>
        <w:tc>
          <w:tcPr>
            <w:tcW w:w="1440" w:type="dxa"/>
            <w:vAlign w:val="bottom"/>
            <w:tcBorders>
              <w:bottom w:val="single" w:sz="8" w:color="125288"/>
            </w:tcBorders>
          </w:tcPr>
          <w:p>
            <w:pPr>
              <w:spacing w:after="0"/>
              <w:rPr>
                <w:sz w:val="17"/>
                <w:szCs w:val="17"/>
                <w:color w:val="auto"/>
              </w:rPr>
            </w:pPr>
          </w:p>
        </w:tc>
        <w:tc>
          <w:tcPr>
            <w:tcW w:w="1080" w:type="dxa"/>
            <w:vAlign w:val="bottom"/>
            <w:tcBorders>
              <w:bottom w:val="single" w:sz="8" w:color="125288"/>
            </w:tcBorders>
          </w:tcPr>
          <w:p>
            <w:pPr>
              <w:spacing w:after="0"/>
              <w:rPr>
                <w:sz w:val="17"/>
                <w:szCs w:val="17"/>
                <w:color w:val="auto"/>
              </w:rPr>
            </w:pPr>
          </w:p>
        </w:tc>
        <w:tc>
          <w:tcPr>
            <w:tcW w:w="180" w:type="dxa"/>
            <w:vAlign w:val="bottom"/>
            <w:tcBorders>
              <w:bottom w:val="single" w:sz="8" w:color="125288"/>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Borders>
              <w:bottom w:val="single" w:sz="8" w:color="125288"/>
            </w:tcBorders>
          </w:tcPr>
          <w:p>
            <w:pPr>
              <w:spacing w:after="0"/>
              <w:rPr>
                <w:sz w:val="17"/>
                <w:szCs w:val="17"/>
                <w:color w:val="auto"/>
              </w:rPr>
            </w:pPr>
          </w:p>
        </w:tc>
        <w:tc>
          <w:tcPr>
            <w:tcW w:w="1260" w:type="dxa"/>
            <w:vAlign w:val="bottom"/>
            <w:tcBorders>
              <w:bottom w:val="single" w:sz="8" w:color="125288"/>
            </w:tcBorders>
          </w:tcPr>
          <w:p>
            <w:pPr>
              <w:spacing w:after="0"/>
              <w:rPr>
                <w:sz w:val="17"/>
                <w:szCs w:val="17"/>
                <w:color w:val="auto"/>
              </w:rPr>
            </w:pPr>
          </w:p>
        </w:tc>
        <w:tc>
          <w:tcPr>
            <w:tcW w:w="120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spacing w:after="0"/>
              <w:rPr>
                <w:sz w:val="17"/>
                <w:szCs w:val="17"/>
                <w:color w:val="auto"/>
              </w:rPr>
            </w:pPr>
          </w:p>
        </w:tc>
        <w:tc>
          <w:tcPr>
            <w:tcW w:w="780" w:type="dxa"/>
            <w:vAlign w:val="bottom"/>
            <w:tcBorders>
              <w:bottom w:val="single" w:sz="8" w:color="125288"/>
            </w:tcBorders>
          </w:tcPr>
          <w:p>
            <w:pPr>
              <w:spacing w:after="0"/>
              <w:rPr>
                <w:sz w:val="17"/>
                <w:szCs w:val="17"/>
                <w:color w:val="auto"/>
              </w:rPr>
            </w:pPr>
          </w:p>
        </w:tc>
        <w:tc>
          <w:tcPr>
            <w:tcW w:w="120" w:type="dxa"/>
            <w:vAlign w:val="bottom"/>
            <w:tcBorders>
              <w:bottom w:val="single" w:sz="8" w:color="125288"/>
            </w:tcBorders>
          </w:tcPr>
          <w:p>
            <w:pPr>
              <w:spacing w:after="0"/>
              <w:rPr>
                <w:sz w:val="17"/>
                <w:szCs w:val="17"/>
                <w:color w:val="auto"/>
              </w:rPr>
            </w:pPr>
          </w:p>
        </w:tc>
        <w:tc>
          <w:tcPr>
            <w:tcW w:w="960" w:type="dxa"/>
            <w:vAlign w:val="bottom"/>
            <w:tcBorders>
              <w:bottom w:val="single" w:sz="8" w:color="125288"/>
            </w:tcBorders>
          </w:tcPr>
          <w:p>
            <w:pPr>
              <w:jc w:val="right"/>
              <w:ind w:right="61"/>
              <w:spacing w:after="0" w:line="202" w:lineRule="exact"/>
              <w:rPr>
                <w:sz w:val="20"/>
                <w:szCs w:val="20"/>
                <w:color w:val="auto"/>
              </w:rPr>
            </w:pPr>
            <w:r>
              <w:rPr>
                <w:rFonts w:ascii="Arial" w:cs="Arial" w:eastAsia="Arial" w:hAnsi="Arial"/>
                <w:sz w:val="12"/>
                <w:szCs w:val="12"/>
                <w:color w:val="auto"/>
              </w:rPr>
              <w:t>7,942</w:t>
            </w:r>
            <w:r>
              <w:rPr>
                <w:rFonts w:ascii="Arial" w:cs="Arial" w:eastAsia="Arial" w:hAnsi="Arial"/>
                <w:sz w:val="19"/>
                <w:szCs w:val="19"/>
                <w:color w:val="auto"/>
                <w:vertAlign w:val="superscript"/>
              </w:rPr>
              <w:t>(32)</w:t>
            </w:r>
          </w:p>
        </w:tc>
        <w:tc>
          <w:tcPr>
            <w:tcW w:w="820" w:type="dxa"/>
            <w:vAlign w:val="bottom"/>
            <w:tcBorders>
              <w:bottom w:val="single" w:sz="8" w:color="125288"/>
            </w:tcBorders>
          </w:tcPr>
          <w:p>
            <w:pPr>
              <w:jc w:val="right"/>
              <w:ind w:right="21"/>
              <w:spacing w:after="0"/>
              <w:rPr>
                <w:sz w:val="20"/>
                <w:szCs w:val="20"/>
                <w:color w:val="auto"/>
              </w:rPr>
            </w:pPr>
            <w:r>
              <w:rPr>
                <w:rFonts w:ascii="Arial" w:cs="Arial" w:eastAsia="Arial" w:hAnsi="Arial"/>
                <w:sz w:val="12"/>
                <w:szCs w:val="12"/>
                <w:color w:val="auto"/>
              </w:rPr>
              <w:t>528,381</w:t>
            </w:r>
          </w:p>
        </w:tc>
        <w:tc>
          <w:tcPr>
            <w:tcW w:w="1440" w:type="dxa"/>
            <w:vAlign w:val="bottom"/>
            <w:tcBorders>
              <w:bottom w:val="single" w:sz="8" w:color="125288"/>
            </w:tcBorders>
          </w:tcPr>
          <w:p>
            <w:pPr>
              <w:spacing w:after="0"/>
              <w:rPr>
                <w:sz w:val="17"/>
                <w:szCs w:val="17"/>
                <w:color w:val="auto"/>
              </w:rPr>
            </w:pPr>
          </w:p>
        </w:tc>
        <w:tc>
          <w:tcPr>
            <w:tcW w:w="1080" w:type="dxa"/>
            <w:vAlign w:val="bottom"/>
            <w:tcBorders>
              <w:bottom w:val="single" w:sz="8" w:color="125288"/>
            </w:tcBorders>
          </w:tcPr>
          <w:p>
            <w:pPr>
              <w:spacing w:after="0"/>
              <w:rPr>
                <w:sz w:val="17"/>
                <w:szCs w:val="17"/>
                <w:color w:val="auto"/>
              </w:rPr>
            </w:pPr>
          </w:p>
        </w:tc>
        <w:tc>
          <w:tcPr>
            <w:tcW w:w="180" w:type="dxa"/>
            <w:vAlign w:val="bottom"/>
            <w:tcBorders>
              <w:bottom w:val="single" w:sz="8" w:color="125288"/>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Borders>
              <w:bottom w:val="single" w:sz="8" w:color="125288"/>
            </w:tcBorders>
          </w:tcPr>
          <w:p>
            <w:pPr>
              <w:spacing w:after="0"/>
              <w:rPr>
                <w:sz w:val="17"/>
                <w:szCs w:val="17"/>
                <w:color w:val="auto"/>
              </w:rPr>
            </w:pPr>
          </w:p>
        </w:tc>
        <w:tc>
          <w:tcPr>
            <w:tcW w:w="1260" w:type="dxa"/>
            <w:vAlign w:val="bottom"/>
            <w:tcBorders>
              <w:bottom w:val="single" w:sz="8" w:color="125288"/>
            </w:tcBorders>
          </w:tcPr>
          <w:p>
            <w:pPr>
              <w:spacing w:after="0"/>
              <w:rPr>
                <w:sz w:val="17"/>
                <w:szCs w:val="17"/>
                <w:color w:val="auto"/>
              </w:rPr>
            </w:pPr>
          </w:p>
        </w:tc>
        <w:tc>
          <w:tcPr>
            <w:tcW w:w="120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spacing w:after="0"/>
              <w:rPr>
                <w:sz w:val="17"/>
                <w:szCs w:val="17"/>
                <w:color w:val="auto"/>
              </w:rPr>
            </w:pPr>
          </w:p>
        </w:tc>
        <w:tc>
          <w:tcPr>
            <w:tcW w:w="780" w:type="dxa"/>
            <w:vAlign w:val="bottom"/>
            <w:tcBorders>
              <w:bottom w:val="single" w:sz="8" w:color="125288"/>
            </w:tcBorders>
          </w:tcPr>
          <w:p>
            <w:pPr>
              <w:spacing w:after="0"/>
              <w:rPr>
                <w:sz w:val="17"/>
                <w:szCs w:val="17"/>
                <w:color w:val="auto"/>
              </w:rPr>
            </w:pPr>
          </w:p>
        </w:tc>
        <w:tc>
          <w:tcPr>
            <w:tcW w:w="120" w:type="dxa"/>
            <w:vAlign w:val="bottom"/>
            <w:tcBorders>
              <w:bottom w:val="single" w:sz="8" w:color="125288"/>
            </w:tcBorders>
          </w:tcPr>
          <w:p>
            <w:pPr>
              <w:spacing w:after="0"/>
              <w:rPr>
                <w:sz w:val="17"/>
                <w:szCs w:val="17"/>
                <w:color w:val="auto"/>
              </w:rPr>
            </w:pPr>
          </w:p>
        </w:tc>
        <w:tc>
          <w:tcPr>
            <w:tcW w:w="960" w:type="dxa"/>
            <w:vAlign w:val="bottom"/>
            <w:tcBorders>
              <w:bottom w:val="single" w:sz="8" w:color="125288"/>
            </w:tcBorders>
          </w:tcPr>
          <w:p>
            <w:pPr>
              <w:jc w:val="right"/>
              <w:ind w:right="61"/>
              <w:spacing w:after="0" w:line="202" w:lineRule="exact"/>
              <w:rPr>
                <w:sz w:val="20"/>
                <w:szCs w:val="20"/>
                <w:color w:val="auto"/>
              </w:rPr>
            </w:pPr>
            <w:r>
              <w:rPr>
                <w:rFonts w:ascii="Arial" w:cs="Arial" w:eastAsia="Arial" w:hAnsi="Arial"/>
                <w:sz w:val="12"/>
                <w:szCs w:val="12"/>
                <w:color w:val="auto"/>
              </w:rPr>
              <w:t>16,474</w:t>
            </w:r>
            <w:r>
              <w:rPr>
                <w:rFonts w:ascii="Arial" w:cs="Arial" w:eastAsia="Arial" w:hAnsi="Arial"/>
                <w:sz w:val="19"/>
                <w:szCs w:val="19"/>
                <w:color w:val="auto"/>
                <w:vertAlign w:val="superscript"/>
              </w:rPr>
              <w:t>(33)</w:t>
            </w:r>
          </w:p>
        </w:tc>
        <w:tc>
          <w:tcPr>
            <w:tcW w:w="820" w:type="dxa"/>
            <w:vAlign w:val="bottom"/>
            <w:tcBorders>
              <w:bottom w:val="single" w:sz="8" w:color="125288"/>
            </w:tcBorders>
          </w:tcPr>
          <w:p>
            <w:pPr>
              <w:jc w:val="right"/>
              <w:ind w:right="21"/>
              <w:spacing w:after="0"/>
              <w:rPr>
                <w:sz w:val="20"/>
                <w:szCs w:val="20"/>
                <w:color w:val="auto"/>
              </w:rPr>
            </w:pPr>
            <w:r>
              <w:rPr>
                <w:rFonts w:ascii="Arial" w:cs="Arial" w:eastAsia="Arial" w:hAnsi="Arial"/>
                <w:sz w:val="12"/>
                <w:szCs w:val="12"/>
                <w:color w:val="auto"/>
              </w:rPr>
              <w:t>1,096,015</w:t>
            </w:r>
          </w:p>
        </w:tc>
        <w:tc>
          <w:tcPr>
            <w:tcW w:w="1440" w:type="dxa"/>
            <w:vAlign w:val="bottom"/>
            <w:tcBorders>
              <w:bottom w:val="single" w:sz="8" w:color="125288"/>
            </w:tcBorders>
          </w:tcPr>
          <w:p>
            <w:pPr>
              <w:spacing w:after="0"/>
              <w:rPr>
                <w:sz w:val="17"/>
                <w:szCs w:val="17"/>
                <w:color w:val="auto"/>
              </w:rPr>
            </w:pPr>
          </w:p>
        </w:tc>
        <w:tc>
          <w:tcPr>
            <w:tcW w:w="1080" w:type="dxa"/>
            <w:vAlign w:val="bottom"/>
            <w:tcBorders>
              <w:bottom w:val="single" w:sz="8" w:color="125288"/>
            </w:tcBorders>
          </w:tcPr>
          <w:p>
            <w:pPr>
              <w:spacing w:after="0"/>
              <w:rPr>
                <w:sz w:val="17"/>
                <w:szCs w:val="17"/>
                <w:color w:val="auto"/>
              </w:rPr>
            </w:pPr>
          </w:p>
        </w:tc>
        <w:tc>
          <w:tcPr>
            <w:tcW w:w="180" w:type="dxa"/>
            <w:vAlign w:val="bottom"/>
            <w:tcBorders>
              <w:bottom w:val="single" w:sz="8" w:color="125288"/>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Borders>
              <w:bottom w:val="single" w:sz="8" w:color="125288"/>
            </w:tcBorders>
          </w:tcPr>
          <w:p>
            <w:pPr>
              <w:spacing w:after="0"/>
              <w:rPr>
                <w:sz w:val="17"/>
                <w:szCs w:val="17"/>
                <w:color w:val="auto"/>
              </w:rPr>
            </w:pPr>
          </w:p>
        </w:tc>
        <w:tc>
          <w:tcPr>
            <w:tcW w:w="1260" w:type="dxa"/>
            <w:vAlign w:val="bottom"/>
            <w:tcBorders>
              <w:bottom w:val="single" w:sz="8" w:color="125288"/>
            </w:tcBorders>
          </w:tcPr>
          <w:p>
            <w:pPr>
              <w:spacing w:after="0"/>
              <w:rPr>
                <w:sz w:val="17"/>
                <w:szCs w:val="17"/>
                <w:color w:val="auto"/>
              </w:rPr>
            </w:pPr>
          </w:p>
        </w:tc>
        <w:tc>
          <w:tcPr>
            <w:tcW w:w="120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spacing w:after="0"/>
              <w:rPr>
                <w:sz w:val="17"/>
                <w:szCs w:val="17"/>
                <w:color w:val="auto"/>
              </w:rPr>
            </w:pPr>
          </w:p>
        </w:tc>
        <w:tc>
          <w:tcPr>
            <w:tcW w:w="780" w:type="dxa"/>
            <w:vAlign w:val="bottom"/>
            <w:tcBorders>
              <w:bottom w:val="single" w:sz="8" w:color="125288"/>
            </w:tcBorders>
          </w:tcPr>
          <w:p>
            <w:pPr>
              <w:spacing w:after="0"/>
              <w:rPr>
                <w:sz w:val="17"/>
                <w:szCs w:val="17"/>
                <w:color w:val="auto"/>
              </w:rPr>
            </w:pPr>
          </w:p>
        </w:tc>
        <w:tc>
          <w:tcPr>
            <w:tcW w:w="120" w:type="dxa"/>
            <w:vAlign w:val="bottom"/>
            <w:tcBorders>
              <w:bottom w:val="single" w:sz="8" w:color="125288"/>
            </w:tcBorders>
          </w:tcPr>
          <w:p>
            <w:pPr>
              <w:spacing w:after="0"/>
              <w:rPr>
                <w:sz w:val="17"/>
                <w:szCs w:val="17"/>
                <w:color w:val="auto"/>
              </w:rPr>
            </w:pPr>
          </w:p>
        </w:tc>
        <w:tc>
          <w:tcPr>
            <w:tcW w:w="960" w:type="dxa"/>
            <w:vAlign w:val="bottom"/>
            <w:tcBorders>
              <w:bottom w:val="single" w:sz="8" w:color="125288"/>
            </w:tcBorders>
          </w:tcPr>
          <w:p>
            <w:pPr>
              <w:jc w:val="right"/>
              <w:ind w:right="61"/>
              <w:spacing w:after="0" w:line="202" w:lineRule="exact"/>
              <w:rPr>
                <w:sz w:val="20"/>
                <w:szCs w:val="20"/>
                <w:color w:val="auto"/>
              </w:rPr>
            </w:pPr>
            <w:r>
              <w:rPr>
                <w:rFonts w:ascii="Arial" w:cs="Arial" w:eastAsia="Arial" w:hAnsi="Arial"/>
                <w:sz w:val="23"/>
                <w:szCs w:val="23"/>
                <w:color w:val="auto"/>
                <w:vertAlign w:val="subscript"/>
              </w:rPr>
              <w:t>595</w:t>
            </w:r>
            <w:r>
              <w:rPr>
                <w:rFonts w:ascii="Arial" w:cs="Arial" w:eastAsia="Arial" w:hAnsi="Arial"/>
                <w:sz w:val="10"/>
                <w:szCs w:val="10"/>
                <w:color w:val="auto"/>
              </w:rPr>
              <w:t>(34)</w:t>
            </w:r>
          </w:p>
        </w:tc>
        <w:tc>
          <w:tcPr>
            <w:tcW w:w="820" w:type="dxa"/>
            <w:vAlign w:val="bottom"/>
            <w:tcBorders>
              <w:bottom w:val="single" w:sz="8" w:color="125288"/>
            </w:tcBorders>
          </w:tcPr>
          <w:p>
            <w:pPr>
              <w:jc w:val="right"/>
              <w:ind w:right="21"/>
              <w:spacing w:after="0"/>
              <w:rPr>
                <w:sz w:val="20"/>
                <w:szCs w:val="20"/>
                <w:color w:val="auto"/>
              </w:rPr>
            </w:pPr>
            <w:r>
              <w:rPr>
                <w:rFonts w:ascii="Arial" w:cs="Arial" w:eastAsia="Arial" w:hAnsi="Arial"/>
                <w:sz w:val="12"/>
                <w:szCs w:val="12"/>
                <w:color w:val="auto"/>
              </w:rPr>
              <w:t>39,585</w:t>
            </w:r>
          </w:p>
        </w:tc>
        <w:tc>
          <w:tcPr>
            <w:tcW w:w="1440" w:type="dxa"/>
            <w:vAlign w:val="bottom"/>
            <w:tcBorders>
              <w:bottom w:val="single" w:sz="8" w:color="125288"/>
            </w:tcBorders>
          </w:tcPr>
          <w:p>
            <w:pPr>
              <w:spacing w:after="0"/>
              <w:rPr>
                <w:sz w:val="17"/>
                <w:szCs w:val="17"/>
                <w:color w:val="auto"/>
              </w:rPr>
            </w:pPr>
          </w:p>
        </w:tc>
        <w:tc>
          <w:tcPr>
            <w:tcW w:w="1080" w:type="dxa"/>
            <w:vAlign w:val="bottom"/>
            <w:tcBorders>
              <w:bottom w:val="single" w:sz="8" w:color="125288"/>
            </w:tcBorders>
          </w:tcPr>
          <w:p>
            <w:pPr>
              <w:spacing w:after="0"/>
              <w:rPr>
                <w:sz w:val="17"/>
                <w:szCs w:val="17"/>
                <w:color w:val="auto"/>
              </w:rPr>
            </w:pPr>
          </w:p>
        </w:tc>
        <w:tc>
          <w:tcPr>
            <w:tcW w:w="180" w:type="dxa"/>
            <w:vAlign w:val="bottom"/>
            <w:tcBorders>
              <w:bottom w:val="single" w:sz="8" w:color="125288"/>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Borders>
              <w:bottom w:val="single" w:sz="8" w:color="125288"/>
            </w:tcBorders>
          </w:tcPr>
          <w:p>
            <w:pPr>
              <w:spacing w:after="0"/>
              <w:rPr>
                <w:sz w:val="17"/>
                <w:szCs w:val="17"/>
                <w:color w:val="auto"/>
              </w:rPr>
            </w:pPr>
          </w:p>
        </w:tc>
        <w:tc>
          <w:tcPr>
            <w:tcW w:w="1260" w:type="dxa"/>
            <w:vAlign w:val="bottom"/>
            <w:tcBorders>
              <w:bottom w:val="single" w:sz="8" w:color="125288"/>
            </w:tcBorders>
          </w:tcPr>
          <w:p>
            <w:pPr>
              <w:spacing w:after="0"/>
              <w:rPr>
                <w:sz w:val="17"/>
                <w:szCs w:val="17"/>
                <w:color w:val="auto"/>
              </w:rPr>
            </w:pPr>
          </w:p>
        </w:tc>
        <w:tc>
          <w:tcPr>
            <w:tcW w:w="120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spacing w:after="0"/>
              <w:rPr>
                <w:sz w:val="17"/>
                <w:szCs w:val="17"/>
                <w:color w:val="auto"/>
              </w:rPr>
            </w:pPr>
          </w:p>
        </w:tc>
        <w:tc>
          <w:tcPr>
            <w:tcW w:w="780" w:type="dxa"/>
            <w:vAlign w:val="bottom"/>
            <w:tcBorders>
              <w:bottom w:val="single" w:sz="8" w:color="125288"/>
            </w:tcBorders>
          </w:tcPr>
          <w:p>
            <w:pPr>
              <w:spacing w:after="0"/>
              <w:rPr>
                <w:sz w:val="17"/>
                <w:szCs w:val="17"/>
                <w:color w:val="auto"/>
              </w:rPr>
            </w:pPr>
          </w:p>
        </w:tc>
        <w:tc>
          <w:tcPr>
            <w:tcW w:w="120" w:type="dxa"/>
            <w:vAlign w:val="bottom"/>
            <w:tcBorders>
              <w:bottom w:val="single" w:sz="8" w:color="125288"/>
            </w:tcBorders>
          </w:tcPr>
          <w:p>
            <w:pPr>
              <w:spacing w:after="0"/>
              <w:rPr>
                <w:sz w:val="17"/>
                <w:szCs w:val="17"/>
                <w:color w:val="auto"/>
              </w:rPr>
            </w:pPr>
          </w:p>
        </w:tc>
        <w:tc>
          <w:tcPr>
            <w:tcW w:w="960" w:type="dxa"/>
            <w:vAlign w:val="bottom"/>
            <w:tcBorders>
              <w:bottom w:val="single" w:sz="8" w:color="125288"/>
            </w:tcBorders>
          </w:tcPr>
          <w:p>
            <w:pPr>
              <w:jc w:val="right"/>
              <w:ind w:right="61"/>
              <w:spacing w:after="0" w:line="202" w:lineRule="exact"/>
              <w:rPr>
                <w:sz w:val="20"/>
                <w:szCs w:val="20"/>
                <w:color w:val="auto"/>
              </w:rPr>
            </w:pPr>
            <w:r>
              <w:rPr>
                <w:rFonts w:ascii="Arial" w:cs="Arial" w:eastAsia="Arial" w:hAnsi="Arial"/>
                <w:sz w:val="12"/>
                <w:szCs w:val="12"/>
                <w:color w:val="auto"/>
              </w:rPr>
              <w:t>15,573</w:t>
            </w:r>
            <w:r>
              <w:rPr>
                <w:rFonts w:ascii="Arial" w:cs="Arial" w:eastAsia="Arial" w:hAnsi="Arial"/>
                <w:sz w:val="19"/>
                <w:szCs w:val="19"/>
                <w:color w:val="auto"/>
                <w:vertAlign w:val="superscript"/>
              </w:rPr>
              <w:t>(35)</w:t>
            </w:r>
          </w:p>
        </w:tc>
        <w:tc>
          <w:tcPr>
            <w:tcW w:w="820" w:type="dxa"/>
            <w:vAlign w:val="bottom"/>
            <w:tcBorders>
              <w:bottom w:val="single" w:sz="8" w:color="125288"/>
            </w:tcBorders>
          </w:tcPr>
          <w:p>
            <w:pPr>
              <w:jc w:val="right"/>
              <w:ind w:right="21"/>
              <w:spacing w:after="0"/>
              <w:rPr>
                <w:sz w:val="20"/>
                <w:szCs w:val="20"/>
                <w:color w:val="auto"/>
              </w:rPr>
            </w:pPr>
            <w:r>
              <w:rPr>
                <w:rFonts w:ascii="Arial" w:cs="Arial" w:eastAsia="Arial" w:hAnsi="Arial"/>
                <w:sz w:val="12"/>
                <w:szCs w:val="12"/>
                <w:color w:val="auto"/>
              </w:rPr>
              <w:t>1,036,072</w:t>
            </w:r>
          </w:p>
        </w:tc>
        <w:tc>
          <w:tcPr>
            <w:tcW w:w="1440" w:type="dxa"/>
            <w:vAlign w:val="bottom"/>
            <w:tcBorders>
              <w:bottom w:val="single" w:sz="8" w:color="125288"/>
            </w:tcBorders>
          </w:tcPr>
          <w:p>
            <w:pPr>
              <w:spacing w:after="0"/>
              <w:rPr>
                <w:sz w:val="17"/>
                <w:szCs w:val="17"/>
                <w:color w:val="auto"/>
              </w:rPr>
            </w:pPr>
          </w:p>
        </w:tc>
        <w:tc>
          <w:tcPr>
            <w:tcW w:w="1080" w:type="dxa"/>
            <w:vAlign w:val="bottom"/>
            <w:tcBorders>
              <w:bottom w:val="single" w:sz="8" w:color="125288"/>
            </w:tcBorders>
          </w:tcPr>
          <w:p>
            <w:pPr>
              <w:spacing w:after="0"/>
              <w:rPr>
                <w:sz w:val="17"/>
                <w:szCs w:val="17"/>
                <w:color w:val="auto"/>
              </w:rPr>
            </w:pPr>
          </w:p>
        </w:tc>
        <w:tc>
          <w:tcPr>
            <w:tcW w:w="180" w:type="dxa"/>
            <w:vAlign w:val="bottom"/>
            <w:tcBorders>
              <w:bottom w:val="single" w:sz="8" w:color="125288"/>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Borders>
              <w:bottom w:val="single" w:sz="8" w:color="125288"/>
            </w:tcBorders>
          </w:tcPr>
          <w:p>
            <w:pPr>
              <w:spacing w:after="0"/>
              <w:rPr>
                <w:sz w:val="17"/>
                <w:szCs w:val="17"/>
                <w:color w:val="auto"/>
              </w:rPr>
            </w:pPr>
          </w:p>
        </w:tc>
        <w:tc>
          <w:tcPr>
            <w:tcW w:w="1260" w:type="dxa"/>
            <w:vAlign w:val="bottom"/>
            <w:tcBorders>
              <w:bottom w:val="single" w:sz="8" w:color="125288"/>
            </w:tcBorders>
          </w:tcPr>
          <w:p>
            <w:pPr>
              <w:spacing w:after="0"/>
              <w:rPr>
                <w:sz w:val="17"/>
                <w:szCs w:val="17"/>
                <w:color w:val="auto"/>
              </w:rPr>
            </w:pPr>
          </w:p>
        </w:tc>
        <w:tc>
          <w:tcPr>
            <w:tcW w:w="120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spacing w:after="0"/>
              <w:rPr>
                <w:sz w:val="17"/>
                <w:szCs w:val="17"/>
                <w:color w:val="auto"/>
              </w:rPr>
            </w:pPr>
          </w:p>
        </w:tc>
        <w:tc>
          <w:tcPr>
            <w:tcW w:w="780" w:type="dxa"/>
            <w:vAlign w:val="bottom"/>
            <w:tcBorders>
              <w:bottom w:val="single" w:sz="8" w:color="125288"/>
            </w:tcBorders>
          </w:tcPr>
          <w:p>
            <w:pPr>
              <w:spacing w:after="0"/>
              <w:rPr>
                <w:sz w:val="17"/>
                <w:szCs w:val="17"/>
                <w:color w:val="auto"/>
              </w:rPr>
            </w:pPr>
          </w:p>
        </w:tc>
        <w:tc>
          <w:tcPr>
            <w:tcW w:w="120" w:type="dxa"/>
            <w:vAlign w:val="bottom"/>
            <w:tcBorders>
              <w:bottom w:val="single" w:sz="8" w:color="125288"/>
            </w:tcBorders>
          </w:tcPr>
          <w:p>
            <w:pPr>
              <w:spacing w:after="0"/>
              <w:rPr>
                <w:sz w:val="17"/>
                <w:szCs w:val="17"/>
                <w:color w:val="auto"/>
              </w:rPr>
            </w:pPr>
          </w:p>
        </w:tc>
        <w:tc>
          <w:tcPr>
            <w:tcW w:w="960" w:type="dxa"/>
            <w:vAlign w:val="bottom"/>
            <w:tcBorders>
              <w:bottom w:val="single" w:sz="8" w:color="125288"/>
            </w:tcBorders>
          </w:tcPr>
          <w:p>
            <w:pPr>
              <w:jc w:val="right"/>
              <w:ind w:right="61"/>
              <w:spacing w:after="0" w:line="202" w:lineRule="exact"/>
              <w:rPr>
                <w:sz w:val="20"/>
                <w:szCs w:val="20"/>
                <w:color w:val="auto"/>
              </w:rPr>
            </w:pPr>
            <w:r>
              <w:rPr>
                <w:rFonts w:ascii="Arial" w:cs="Arial" w:eastAsia="Arial" w:hAnsi="Arial"/>
                <w:sz w:val="12"/>
                <w:szCs w:val="12"/>
                <w:color w:val="auto"/>
              </w:rPr>
              <w:t>10,749</w:t>
            </w:r>
            <w:r>
              <w:rPr>
                <w:rFonts w:ascii="Arial" w:cs="Arial" w:eastAsia="Arial" w:hAnsi="Arial"/>
                <w:sz w:val="19"/>
                <w:szCs w:val="19"/>
                <w:color w:val="auto"/>
                <w:vertAlign w:val="superscript"/>
              </w:rPr>
              <w:t>(36)</w:t>
            </w:r>
          </w:p>
        </w:tc>
        <w:tc>
          <w:tcPr>
            <w:tcW w:w="820" w:type="dxa"/>
            <w:vAlign w:val="bottom"/>
            <w:tcBorders>
              <w:bottom w:val="single" w:sz="8" w:color="125288"/>
            </w:tcBorders>
          </w:tcPr>
          <w:p>
            <w:pPr>
              <w:jc w:val="right"/>
              <w:ind w:right="21"/>
              <w:spacing w:after="0"/>
              <w:rPr>
                <w:sz w:val="20"/>
                <w:szCs w:val="20"/>
                <w:color w:val="auto"/>
              </w:rPr>
            </w:pPr>
            <w:r>
              <w:rPr>
                <w:rFonts w:ascii="Arial" w:cs="Arial" w:eastAsia="Arial" w:hAnsi="Arial"/>
                <w:sz w:val="12"/>
                <w:szCs w:val="12"/>
                <w:color w:val="auto"/>
              </w:rPr>
              <w:t>715,131</w:t>
            </w:r>
          </w:p>
        </w:tc>
        <w:tc>
          <w:tcPr>
            <w:tcW w:w="1440" w:type="dxa"/>
            <w:vAlign w:val="bottom"/>
            <w:tcBorders>
              <w:bottom w:val="single" w:sz="8" w:color="125288"/>
            </w:tcBorders>
          </w:tcPr>
          <w:p>
            <w:pPr>
              <w:spacing w:after="0"/>
              <w:rPr>
                <w:sz w:val="17"/>
                <w:szCs w:val="17"/>
                <w:color w:val="auto"/>
              </w:rPr>
            </w:pPr>
          </w:p>
        </w:tc>
        <w:tc>
          <w:tcPr>
            <w:tcW w:w="1080" w:type="dxa"/>
            <w:vAlign w:val="bottom"/>
            <w:tcBorders>
              <w:bottom w:val="single" w:sz="8" w:color="125288"/>
            </w:tcBorders>
          </w:tcPr>
          <w:p>
            <w:pPr>
              <w:spacing w:after="0"/>
              <w:rPr>
                <w:sz w:val="17"/>
                <w:szCs w:val="17"/>
                <w:color w:val="auto"/>
              </w:rPr>
            </w:pPr>
          </w:p>
        </w:tc>
        <w:tc>
          <w:tcPr>
            <w:tcW w:w="180" w:type="dxa"/>
            <w:vAlign w:val="bottom"/>
            <w:tcBorders>
              <w:bottom w:val="single" w:sz="8" w:color="125288"/>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Borders>
              <w:bottom w:val="single" w:sz="8" w:color="125288"/>
            </w:tcBorders>
          </w:tcPr>
          <w:p>
            <w:pPr>
              <w:jc w:val="right"/>
              <w:ind w:right="261"/>
              <w:spacing w:after="0"/>
              <w:rPr>
                <w:sz w:val="20"/>
                <w:szCs w:val="20"/>
                <w:color w:val="auto"/>
              </w:rPr>
            </w:pPr>
            <w:r>
              <w:rPr>
                <w:rFonts w:ascii="Arial" w:cs="Arial" w:eastAsia="Arial" w:hAnsi="Arial"/>
                <w:sz w:val="12"/>
                <w:szCs w:val="12"/>
                <w:color w:val="auto"/>
              </w:rPr>
              <w:t>49,142</w:t>
            </w:r>
          </w:p>
        </w:tc>
        <w:tc>
          <w:tcPr>
            <w:tcW w:w="1260" w:type="dxa"/>
            <w:vAlign w:val="bottom"/>
            <w:tcBorders>
              <w:bottom w:val="single" w:sz="8" w:color="125288"/>
            </w:tcBorders>
          </w:tcPr>
          <w:p>
            <w:pPr>
              <w:jc w:val="right"/>
              <w:ind w:right="81"/>
              <w:spacing w:after="0" w:line="202" w:lineRule="exact"/>
              <w:rPr>
                <w:sz w:val="20"/>
                <w:szCs w:val="20"/>
                <w:color w:val="auto"/>
              </w:rPr>
            </w:pPr>
            <w:r>
              <w:rPr>
                <w:rFonts w:ascii="Arial" w:cs="Arial" w:eastAsia="Arial" w:hAnsi="Arial"/>
                <w:sz w:val="12"/>
                <w:szCs w:val="12"/>
                <w:color w:val="auto"/>
              </w:rPr>
              <w:t>32,760</w:t>
            </w:r>
            <w:r>
              <w:rPr>
                <w:rFonts w:ascii="Arial" w:cs="Arial" w:eastAsia="Arial" w:hAnsi="Arial"/>
                <w:sz w:val="19"/>
                <w:szCs w:val="19"/>
                <w:color w:val="auto"/>
                <w:vertAlign w:val="superscript"/>
              </w:rPr>
              <w:t>(37)</w:t>
            </w:r>
          </w:p>
        </w:tc>
        <w:tc>
          <w:tcPr>
            <w:tcW w:w="120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jc w:val="right"/>
              <w:ind w:right="141"/>
              <w:spacing w:after="0"/>
              <w:rPr>
                <w:sz w:val="20"/>
                <w:szCs w:val="20"/>
                <w:color w:val="auto"/>
              </w:rPr>
            </w:pPr>
            <w:r>
              <w:rPr>
                <w:rFonts w:ascii="Arial" w:cs="Arial" w:eastAsia="Arial" w:hAnsi="Arial"/>
                <w:sz w:val="12"/>
                <w:szCs w:val="12"/>
                <w:color w:val="auto"/>
              </w:rPr>
              <w:t>74.22</w:t>
            </w:r>
          </w:p>
        </w:tc>
        <w:tc>
          <w:tcPr>
            <w:tcW w:w="900" w:type="dxa"/>
            <w:vAlign w:val="bottom"/>
            <w:tcBorders>
              <w:bottom w:val="single" w:sz="8" w:color="125288"/>
            </w:tcBorders>
            <w:gridSpan w:val="2"/>
          </w:tcPr>
          <w:p>
            <w:pPr>
              <w:jc w:val="right"/>
              <w:ind w:right="120"/>
              <w:spacing w:after="0"/>
              <w:rPr>
                <w:sz w:val="20"/>
                <w:szCs w:val="20"/>
                <w:color w:val="auto"/>
              </w:rPr>
            </w:pPr>
            <w:r>
              <w:rPr>
                <w:rFonts w:ascii="Arial" w:cs="Arial" w:eastAsia="Arial" w:hAnsi="Arial"/>
                <w:sz w:val="12"/>
                <w:szCs w:val="12"/>
                <w:color w:val="auto"/>
              </w:rPr>
              <w:t>3/14/2028</w:t>
            </w:r>
          </w:p>
        </w:tc>
        <w:tc>
          <w:tcPr>
            <w:tcW w:w="960" w:type="dxa"/>
            <w:vAlign w:val="bottom"/>
            <w:tcBorders>
              <w:bottom w:val="single" w:sz="8" w:color="125288"/>
            </w:tcBorders>
          </w:tcPr>
          <w:p>
            <w:pPr>
              <w:spacing w:after="0"/>
              <w:rPr>
                <w:sz w:val="17"/>
                <w:szCs w:val="17"/>
                <w:color w:val="auto"/>
              </w:rPr>
            </w:pPr>
          </w:p>
        </w:tc>
        <w:tc>
          <w:tcPr>
            <w:tcW w:w="820" w:type="dxa"/>
            <w:vAlign w:val="bottom"/>
            <w:tcBorders>
              <w:bottom w:val="single" w:sz="8" w:color="125288"/>
            </w:tcBorders>
          </w:tcPr>
          <w:p>
            <w:pPr>
              <w:spacing w:after="0"/>
              <w:rPr>
                <w:sz w:val="17"/>
                <w:szCs w:val="17"/>
                <w:color w:val="auto"/>
              </w:rPr>
            </w:pPr>
          </w:p>
        </w:tc>
        <w:tc>
          <w:tcPr>
            <w:tcW w:w="1440" w:type="dxa"/>
            <w:vAlign w:val="bottom"/>
            <w:tcBorders>
              <w:bottom w:val="single" w:sz="8" w:color="125288"/>
            </w:tcBorders>
          </w:tcPr>
          <w:p>
            <w:pPr>
              <w:spacing w:after="0"/>
              <w:rPr>
                <w:sz w:val="17"/>
                <w:szCs w:val="17"/>
                <w:color w:val="auto"/>
              </w:rPr>
            </w:pPr>
          </w:p>
        </w:tc>
        <w:tc>
          <w:tcPr>
            <w:tcW w:w="1080" w:type="dxa"/>
            <w:vAlign w:val="bottom"/>
            <w:tcBorders>
              <w:bottom w:val="single" w:sz="8" w:color="125288"/>
            </w:tcBorders>
          </w:tcPr>
          <w:p>
            <w:pPr>
              <w:spacing w:after="0"/>
              <w:rPr>
                <w:sz w:val="17"/>
                <w:szCs w:val="17"/>
                <w:color w:val="auto"/>
              </w:rPr>
            </w:pPr>
          </w:p>
        </w:tc>
        <w:tc>
          <w:tcPr>
            <w:tcW w:w="180" w:type="dxa"/>
            <w:vAlign w:val="bottom"/>
            <w:tcBorders>
              <w:bottom w:val="single" w:sz="8" w:color="125288"/>
            </w:tcBorders>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right"/>
              <w:ind w:right="261"/>
              <w:spacing w:after="0"/>
              <w:rPr>
                <w:sz w:val="20"/>
                <w:szCs w:val="20"/>
                <w:color w:val="auto"/>
              </w:rPr>
            </w:pPr>
            <w:r>
              <w:rPr>
                <w:rFonts w:ascii="Arial" w:cs="Arial" w:eastAsia="Arial" w:hAnsi="Arial"/>
                <w:sz w:val="12"/>
                <w:szCs w:val="12"/>
                <w:color w:val="auto"/>
              </w:rPr>
              <w:t>1,705</w:t>
            </w:r>
          </w:p>
        </w:tc>
        <w:tc>
          <w:tcPr>
            <w:tcW w:w="1260" w:type="dxa"/>
            <w:vAlign w:val="bottom"/>
          </w:tcPr>
          <w:p>
            <w:pPr>
              <w:jc w:val="right"/>
              <w:ind w:right="261"/>
              <w:spacing w:after="0"/>
              <w:rPr>
                <w:sz w:val="20"/>
                <w:szCs w:val="20"/>
                <w:color w:val="auto"/>
              </w:rPr>
            </w:pPr>
            <w:r>
              <w:rPr>
                <w:rFonts w:ascii="Arial" w:cs="Arial" w:eastAsia="Arial" w:hAnsi="Arial"/>
                <w:sz w:val="12"/>
                <w:szCs w:val="12"/>
                <w:color w:val="auto"/>
              </w:rPr>
              <w:t>—</w:t>
            </w:r>
          </w:p>
        </w:tc>
        <w:tc>
          <w:tcPr>
            <w:tcW w:w="1200" w:type="dxa"/>
            <w:vAlign w:val="bottom"/>
          </w:tcPr>
          <w:p>
            <w:pPr>
              <w:spacing w:after="0"/>
              <w:rPr>
                <w:sz w:val="14"/>
                <w:szCs w:val="14"/>
                <w:color w:val="auto"/>
              </w:rPr>
            </w:pPr>
          </w:p>
        </w:tc>
        <w:tc>
          <w:tcPr>
            <w:tcW w:w="760" w:type="dxa"/>
            <w:vAlign w:val="bottom"/>
          </w:tcPr>
          <w:p>
            <w:pPr>
              <w:jc w:val="right"/>
              <w:ind w:right="141"/>
              <w:spacing w:after="0"/>
              <w:rPr>
                <w:sz w:val="20"/>
                <w:szCs w:val="20"/>
                <w:color w:val="auto"/>
              </w:rPr>
            </w:pPr>
            <w:r>
              <w:rPr>
                <w:rFonts w:ascii="Arial" w:cs="Arial" w:eastAsia="Arial" w:hAnsi="Arial"/>
                <w:sz w:val="12"/>
                <w:szCs w:val="12"/>
                <w:color w:val="auto"/>
              </w:rPr>
              <w:t>53.89</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11/12/2028</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580" w:type="dxa"/>
            <w:vAlign w:val="bottom"/>
            <w:tcBorders>
              <w:bottom w:val="single" w:sz="8" w:color="125288"/>
            </w:tcBorders>
          </w:tcPr>
          <w:p>
            <w:pPr>
              <w:spacing w:after="0"/>
              <w:rPr>
                <w:sz w:val="3"/>
                <w:szCs w:val="3"/>
                <w:color w:val="auto"/>
              </w:rPr>
            </w:pPr>
          </w:p>
        </w:tc>
        <w:tc>
          <w:tcPr>
            <w:tcW w:w="1260" w:type="dxa"/>
            <w:vAlign w:val="bottom"/>
            <w:tcBorders>
              <w:bottom w:val="single" w:sz="8" w:color="125288"/>
            </w:tcBorders>
          </w:tcPr>
          <w:p>
            <w:pPr>
              <w:spacing w:after="0"/>
              <w:rPr>
                <w:sz w:val="3"/>
                <w:szCs w:val="3"/>
                <w:color w:val="auto"/>
              </w:rPr>
            </w:pPr>
          </w:p>
        </w:tc>
        <w:tc>
          <w:tcPr>
            <w:tcW w:w="1200" w:type="dxa"/>
            <w:vAlign w:val="bottom"/>
            <w:tcBorders>
              <w:bottom w:val="single" w:sz="8" w:color="125288"/>
            </w:tcBorders>
          </w:tcPr>
          <w:p>
            <w:pPr>
              <w:spacing w:after="0"/>
              <w:rPr>
                <w:sz w:val="3"/>
                <w:szCs w:val="3"/>
                <w:color w:val="auto"/>
              </w:rPr>
            </w:pPr>
          </w:p>
        </w:tc>
        <w:tc>
          <w:tcPr>
            <w:tcW w:w="760" w:type="dxa"/>
            <w:vAlign w:val="bottom"/>
            <w:tcBorders>
              <w:bottom w:val="single" w:sz="8" w:color="125288"/>
            </w:tcBorders>
          </w:tcPr>
          <w:p>
            <w:pPr>
              <w:spacing w:after="0"/>
              <w:rPr>
                <w:sz w:val="3"/>
                <w:szCs w:val="3"/>
                <w:color w:val="auto"/>
              </w:rPr>
            </w:pPr>
          </w:p>
        </w:tc>
        <w:tc>
          <w:tcPr>
            <w:tcW w:w="780" w:type="dxa"/>
            <w:vAlign w:val="bottom"/>
            <w:tcBorders>
              <w:bottom w:val="single" w:sz="8" w:color="125288"/>
            </w:tcBorders>
          </w:tcPr>
          <w:p>
            <w:pPr>
              <w:spacing w:after="0"/>
              <w:rPr>
                <w:sz w:val="3"/>
                <w:szCs w:val="3"/>
                <w:color w:val="auto"/>
              </w:rPr>
            </w:pPr>
          </w:p>
        </w:tc>
        <w:tc>
          <w:tcPr>
            <w:tcW w:w="120" w:type="dxa"/>
            <w:vAlign w:val="bottom"/>
            <w:tcBorders>
              <w:bottom w:val="single" w:sz="8" w:color="125288"/>
            </w:tcBorders>
          </w:tcPr>
          <w:p>
            <w:pPr>
              <w:spacing w:after="0"/>
              <w:rPr>
                <w:sz w:val="3"/>
                <w:szCs w:val="3"/>
                <w:color w:val="auto"/>
              </w:rPr>
            </w:pPr>
          </w:p>
        </w:tc>
        <w:tc>
          <w:tcPr>
            <w:tcW w:w="960" w:type="dxa"/>
            <w:vAlign w:val="bottom"/>
            <w:tcBorders>
              <w:bottom w:val="single" w:sz="8" w:color="125288"/>
            </w:tcBorders>
          </w:tcPr>
          <w:p>
            <w:pPr>
              <w:spacing w:after="0"/>
              <w:rPr>
                <w:sz w:val="3"/>
                <w:szCs w:val="3"/>
                <w:color w:val="auto"/>
              </w:rPr>
            </w:pPr>
          </w:p>
        </w:tc>
        <w:tc>
          <w:tcPr>
            <w:tcW w:w="820" w:type="dxa"/>
            <w:vAlign w:val="bottom"/>
            <w:tcBorders>
              <w:bottom w:val="single" w:sz="8" w:color="125288"/>
            </w:tcBorders>
          </w:tcPr>
          <w:p>
            <w:pPr>
              <w:spacing w:after="0"/>
              <w:rPr>
                <w:sz w:val="3"/>
                <w:szCs w:val="3"/>
                <w:color w:val="auto"/>
              </w:rPr>
            </w:pPr>
          </w:p>
        </w:tc>
        <w:tc>
          <w:tcPr>
            <w:tcW w:w="1440" w:type="dxa"/>
            <w:vAlign w:val="bottom"/>
            <w:tcBorders>
              <w:bottom w:val="single" w:sz="8" w:color="125288"/>
            </w:tcBorders>
          </w:tcPr>
          <w:p>
            <w:pPr>
              <w:spacing w:after="0"/>
              <w:rPr>
                <w:sz w:val="3"/>
                <w:szCs w:val="3"/>
                <w:color w:val="auto"/>
              </w:rPr>
            </w:pPr>
          </w:p>
        </w:tc>
        <w:tc>
          <w:tcPr>
            <w:tcW w:w="1080" w:type="dxa"/>
            <w:vAlign w:val="bottom"/>
            <w:tcBorders>
              <w:bottom w:val="single" w:sz="8" w:color="125288"/>
            </w:tcBorders>
          </w:tcPr>
          <w:p>
            <w:pPr>
              <w:spacing w:after="0"/>
              <w:rPr>
                <w:sz w:val="3"/>
                <w:szCs w:val="3"/>
                <w:color w:val="auto"/>
              </w:rPr>
            </w:pPr>
          </w:p>
        </w:tc>
        <w:tc>
          <w:tcPr>
            <w:tcW w:w="180" w:type="dxa"/>
            <w:vAlign w:val="bottom"/>
            <w:tcBorders>
              <w:bottom w:val="single" w:sz="8" w:color="125288"/>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Borders>
              <w:bottom w:val="single" w:sz="8" w:color="125288"/>
            </w:tcBorders>
          </w:tcPr>
          <w:p>
            <w:pPr>
              <w:jc w:val="right"/>
              <w:ind w:right="261"/>
              <w:spacing w:after="0"/>
              <w:rPr>
                <w:sz w:val="20"/>
                <w:szCs w:val="20"/>
                <w:color w:val="auto"/>
              </w:rPr>
            </w:pPr>
            <w:r>
              <w:rPr>
                <w:rFonts w:ascii="Arial" w:cs="Arial" w:eastAsia="Arial" w:hAnsi="Arial"/>
                <w:sz w:val="12"/>
                <w:szCs w:val="12"/>
                <w:color w:val="auto"/>
              </w:rPr>
              <w:t>1,310</w:t>
            </w:r>
          </w:p>
        </w:tc>
        <w:tc>
          <w:tcPr>
            <w:tcW w:w="1260" w:type="dxa"/>
            <w:vAlign w:val="bottom"/>
            <w:tcBorders>
              <w:bottom w:val="single" w:sz="8" w:color="125288"/>
            </w:tcBorders>
          </w:tcPr>
          <w:p>
            <w:pPr>
              <w:jc w:val="right"/>
              <w:ind w:right="81"/>
              <w:spacing w:after="0" w:line="202" w:lineRule="exact"/>
              <w:rPr>
                <w:sz w:val="20"/>
                <w:szCs w:val="20"/>
                <w:color w:val="auto"/>
              </w:rPr>
            </w:pPr>
            <w:r>
              <w:rPr>
                <w:rFonts w:ascii="Arial" w:cs="Arial" w:eastAsia="Arial" w:hAnsi="Arial"/>
                <w:sz w:val="12"/>
                <w:szCs w:val="12"/>
                <w:color w:val="auto"/>
              </w:rPr>
              <w:t>1,310</w:t>
            </w:r>
            <w:r>
              <w:rPr>
                <w:rFonts w:ascii="Arial" w:cs="Arial" w:eastAsia="Arial" w:hAnsi="Arial"/>
                <w:sz w:val="19"/>
                <w:szCs w:val="19"/>
                <w:color w:val="auto"/>
                <w:vertAlign w:val="superscript"/>
              </w:rPr>
              <w:t>(38)</w:t>
            </w:r>
          </w:p>
        </w:tc>
        <w:tc>
          <w:tcPr>
            <w:tcW w:w="120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jc w:val="right"/>
              <w:ind w:right="141"/>
              <w:spacing w:after="0"/>
              <w:rPr>
                <w:sz w:val="20"/>
                <w:szCs w:val="20"/>
                <w:color w:val="auto"/>
              </w:rPr>
            </w:pPr>
            <w:r>
              <w:rPr>
                <w:rFonts w:ascii="Arial" w:cs="Arial" w:eastAsia="Arial" w:hAnsi="Arial"/>
                <w:sz w:val="12"/>
                <w:szCs w:val="12"/>
                <w:color w:val="auto"/>
              </w:rPr>
              <w:t>52.52</w:t>
            </w:r>
          </w:p>
        </w:tc>
        <w:tc>
          <w:tcPr>
            <w:tcW w:w="900" w:type="dxa"/>
            <w:vAlign w:val="bottom"/>
            <w:tcBorders>
              <w:bottom w:val="single" w:sz="8" w:color="125288"/>
            </w:tcBorders>
            <w:gridSpan w:val="2"/>
          </w:tcPr>
          <w:p>
            <w:pPr>
              <w:jc w:val="right"/>
              <w:ind w:right="120"/>
              <w:spacing w:after="0"/>
              <w:rPr>
                <w:sz w:val="20"/>
                <w:szCs w:val="20"/>
                <w:color w:val="auto"/>
              </w:rPr>
            </w:pPr>
            <w:r>
              <w:rPr>
                <w:rFonts w:ascii="Arial" w:cs="Arial" w:eastAsia="Arial" w:hAnsi="Arial"/>
                <w:sz w:val="12"/>
                <w:szCs w:val="12"/>
                <w:color w:val="auto"/>
              </w:rPr>
              <w:t>11/11/2029</w:t>
            </w:r>
          </w:p>
        </w:tc>
        <w:tc>
          <w:tcPr>
            <w:tcW w:w="960" w:type="dxa"/>
            <w:vAlign w:val="bottom"/>
            <w:tcBorders>
              <w:bottom w:val="single" w:sz="8" w:color="125288"/>
            </w:tcBorders>
          </w:tcPr>
          <w:p>
            <w:pPr>
              <w:spacing w:after="0"/>
              <w:rPr>
                <w:sz w:val="17"/>
                <w:szCs w:val="17"/>
                <w:color w:val="auto"/>
              </w:rPr>
            </w:pPr>
          </w:p>
        </w:tc>
        <w:tc>
          <w:tcPr>
            <w:tcW w:w="820" w:type="dxa"/>
            <w:vAlign w:val="bottom"/>
            <w:tcBorders>
              <w:bottom w:val="single" w:sz="8" w:color="125288"/>
            </w:tcBorders>
          </w:tcPr>
          <w:p>
            <w:pPr>
              <w:spacing w:after="0"/>
              <w:rPr>
                <w:sz w:val="17"/>
                <w:szCs w:val="17"/>
                <w:color w:val="auto"/>
              </w:rPr>
            </w:pPr>
          </w:p>
        </w:tc>
        <w:tc>
          <w:tcPr>
            <w:tcW w:w="1440" w:type="dxa"/>
            <w:vAlign w:val="bottom"/>
            <w:tcBorders>
              <w:bottom w:val="single" w:sz="8" w:color="125288"/>
            </w:tcBorders>
          </w:tcPr>
          <w:p>
            <w:pPr>
              <w:spacing w:after="0"/>
              <w:rPr>
                <w:sz w:val="17"/>
                <w:szCs w:val="17"/>
                <w:color w:val="auto"/>
              </w:rPr>
            </w:pPr>
          </w:p>
        </w:tc>
        <w:tc>
          <w:tcPr>
            <w:tcW w:w="1080" w:type="dxa"/>
            <w:vAlign w:val="bottom"/>
            <w:tcBorders>
              <w:bottom w:val="single" w:sz="8" w:color="125288"/>
            </w:tcBorders>
          </w:tcPr>
          <w:p>
            <w:pPr>
              <w:spacing w:after="0"/>
              <w:rPr>
                <w:sz w:val="17"/>
                <w:szCs w:val="17"/>
                <w:color w:val="auto"/>
              </w:rPr>
            </w:pPr>
          </w:p>
        </w:tc>
        <w:tc>
          <w:tcPr>
            <w:tcW w:w="180" w:type="dxa"/>
            <w:vAlign w:val="bottom"/>
            <w:tcBorders>
              <w:bottom w:val="single" w:sz="8" w:color="125288"/>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Borders>
              <w:bottom w:val="single" w:sz="8" w:color="125288"/>
            </w:tcBorders>
          </w:tcPr>
          <w:p>
            <w:pPr>
              <w:jc w:val="right"/>
              <w:ind w:right="261"/>
              <w:spacing w:after="0"/>
              <w:rPr>
                <w:sz w:val="20"/>
                <w:szCs w:val="20"/>
                <w:color w:val="auto"/>
              </w:rPr>
            </w:pPr>
            <w:r>
              <w:rPr>
                <w:rFonts w:ascii="Arial" w:cs="Arial" w:eastAsia="Arial" w:hAnsi="Arial"/>
                <w:sz w:val="12"/>
                <w:szCs w:val="12"/>
                <w:color w:val="auto"/>
              </w:rPr>
              <w:t>1,198</w:t>
            </w:r>
          </w:p>
        </w:tc>
        <w:tc>
          <w:tcPr>
            <w:tcW w:w="1260" w:type="dxa"/>
            <w:vAlign w:val="bottom"/>
            <w:tcBorders>
              <w:bottom w:val="single" w:sz="8" w:color="125288"/>
            </w:tcBorders>
          </w:tcPr>
          <w:p>
            <w:pPr>
              <w:jc w:val="right"/>
              <w:ind w:right="81"/>
              <w:spacing w:after="0" w:line="202" w:lineRule="exact"/>
              <w:rPr>
                <w:sz w:val="20"/>
                <w:szCs w:val="20"/>
                <w:color w:val="auto"/>
              </w:rPr>
            </w:pPr>
            <w:r>
              <w:rPr>
                <w:rFonts w:ascii="Arial" w:cs="Arial" w:eastAsia="Arial" w:hAnsi="Arial"/>
                <w:sz w:val="12"/>
                <w:szCs w:val="12"/>
                <w:color w:val="auto"/>
              </w:rPr>
              <w:t>2,395</w:t>
            </w:r>
            <w:r>
              <w:rPr>
                <w:rFonts w:ascii="Arial" w:cs="Arial" w:eastAsia="Arial" w:hAnsi="Arial"/>
                <w:sz w:val="19"/>
                <w:szCs w:val="19"/>
                <w:color w:val="auto"/>
                <w:vertAlign w:val="superscript"/>
              </w:rPr>
              <w:t>(39)</w:t>
            </w:r>
          </w:p>
        </w:tc>
        <w:tc>
          <w:tcPr>
            <w:tcW w:w="120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jc w:val="right"/>
              <w:ind w:right="141"/>
              <w:spacing w:after="0"/>
              <w:rPr>
                <w:sz w:val="20"/>
                <w:szCs w:val="20"/>
                <w:color w:val="auto"/>
              </w:rPr>
            </w:pPr>
            <w:r>
              <w:rPr>
                <w:rFonts w:ascii="Arial" w:cs="Arial" w:eastAsia="Arial" w:hAnsi="Arial"/>
                <w:sz w:val="12"/>
                <w:szCs w:val="12"/>
                <w:color w:val="auto"/>
              </w:rPr>
              <w:t>82.58</w:t>
            </w:r>
          </w:p>
        </w:tc>
        <w:tc>
          <w:tcPr>
            <w:tcW w:w="900" w:type="dxa"/>
            <w:vAlign w:val="bottom"/>
            <w:tcBorders>
              <w:bottom w:val="single" w:sz="8" w:color="125288"/>
            </w:tcBorders>
            <w:gridSpan w:val="2"/>
          </w:tcPr>
          <w:p>
            <w:pPr>
              <w:jc w:val="right"/>
              <w:ind w:right="120"/>
              <w:spacing w:after="0"/>
              <w:rPr>
                <w:sz w:val="20"/>
                <w:szCs w:val="20"/>
                <w:color w:val="auto"/>
              </w:rPr>
            </w:pPr>
            <w:r>
              <w:rPr>
                <w:rFonts w:ascii="Arial" w:cs="Arial" w:eastAsia="Arial" w:hAnsi="Arial"/>
                <w:sz w:val="12"/>
                <w:szCs w:val="12"/>
                <w:color w:val="auto"/>
              </w:rPr>
              <w:t>12/09/2030</w:t>
            </w:r>
          </w:p>
        </w:tc>
        <w:tc>
          <w:tcPr>
            <w:tcW w:w="960" w:type="dxa"/>
            <w:vAlign w:val="bottom"/>
            <w:tcBorders>
              <w:bottom w:val="single" w:sz="8" w:color="125288"/>
            </w:tcBorders>
          </w:tcPr>
          <w:p>
            <w:pPr>
              <w:spacing w:after="0"/>
              <w:rPr>
                <w:sz w:val="17"/>
                <w:szCs w:val="17"/>
                <w:color w:val="auto"/>
              </w:rPr>
            </w:pPr>
          </w:p>
        </w:tc>
        <w:tc>
          <w:tcPr>
            <w:tcW w:w="820" w:type="dxa"/>
            <w:vAlign w:val="bottom"/>
            <w:tcBorders>
              <w:bottom w:val="single" w:sz="8" w:color="125288"/>
            </w:tcBorders>
          </w:tcPr>
          <w:p>
            <w:pPr>
              <w:spacing w:after="0"/>
              <w:rPr>
                <w:sz w:val="17"/>
                <w:szCs w:val="17"/>
                <w:color w:val="auto"/>
              </w:rPr>
            </w:pPr>
          </w:p>
        </w:tc>
        <w:tc>
          <w:tcPr>
            <w:tcW w:w="1440" w:type="dxa"/>
            <w:vAlign w:val="bottom"/>
            <w:tcBorders>
              <w:bottom w:val="single" w:sz="8" w:color="125288"/>
            </w:tcBorders>
          </w:tcPr>
          <w:p>
            <w:pPr>
              <w:spacing w:after="0"/>
              <w:rPr>
                <w:sz w:val="17"/>
                <w:szCs w:val="17"/>
                <w:color w:val="auto"/>
              </w:rPr>
            </w:pPr>
          </w:p>
        </w:tc>
        <w:tc>
          <w:tcPr>
            <w:tcW w:w="1080" w:type="dxa"/>
            <w:vAlign w:val="bottom"/>
            <w:tcBorders>
              <w:bottom w:val="single" w:sz="8" w:color="125288"/>
            </w:tcBorders>
          </w:tcPr>
          <w:p>
            <w:pPr>
              <w:spacing w:after="0"/>
              <w:rPr>
                <w:sz w:val="17"/>
                <w:szCs w:val="17"/>
                <w:color w:val="auto"/>
              </w:rPr>
            </w:pPr>
          </w:p>
        </w:tc>
        <w:tc>
          <w:tcPr>
            <w:tcW w:w="180" w:type="dxa"/>
            <w:vAlign w:val="bottom"/>
            <w:tcBorders>
              <w:bottom w:val="single" w:sz="8" w:color="125288"/>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40" w:type="dxa"/>
            <w:vAlign w:val="bottom"/>
            <w:tcBorders>
              <w:bottom w:val="single" w:sz="8" w:color="125288"/>
            </w:tcBorders>
          </w:tcPr>
          <w:p>
            <w:pPr>
              <w:spacing w:after="0"/>
              <w:rPr>
                <w:sz w:val="17"/>
                <w:szCs w:val="17"/>
                <w:color w:val="auto"/>
              </w:rPr>
            </w:pPr>
          </w:p>
        </w:tc>
        <w:tc>
          <w:tcPr>
            <w:tcW w:w="340" w:type="dxa"/>
            <w:vAlign w:val="bottom"/>
            <w:tcBorders>
              <w:bottom w:val="single" w:sz="8" w:color="125288"/>
            </w:tcBorders>
          </w:tcPr>
          <w:p>
            <w:pPr>
              <w:spacing w:after="0"/>
              <w:rPr>
                <w:sz w:val="17"/>
                <w:szCs w:val="17"/>
                <w:color w:val="auto"/>
              </w:rPr>
            </w:pPr>
          </w:p>
        </w:tc>
        <w:tc>
          <w:tcPr>
            <w:tcW w:w="1580" w:type="dxa"/>
            <w:vAlign w:val="bottom"/>
            <w:tcBorders>
              <w:bottom w:val="single" w:sz="8" w:color="125288"/>
            </w:tcBorders>
          </w:tcPr>
          <w:p>
            <w:pPr>
              <w:jc w:val="right"/>
              <w:ind w:right="261"/>
              <w:spacing w:after="0"/>
              <w:rPr>
                <w:sz w:val="20"/>
                <w:szCs w:val="20"/>
                <w:color w:val="auto"/>
              </w:rPr>
            </w:pPr>
            <w:r>
              <w:rPr>
                <w:rFonts w:ascii="Arial" w:cs="Arial" w:eastAsia="Arial" w:hAnsi="Arial"/>
                <w:sz w:val="12"/>
                <w:szCs w:val="12"/>
                <w:color w:val="auto"/>
              </w:rPr>
              <w:t>—</w:t>
            </w:r>
          </w:p>
        </w:tc>
        <w:tc>
          <w:tcPr>
            <w:tcW w:w="1260" w:type="dxa"/>
            <w:vAlign w:val="bottom"/>
            <w:tcBorders>
              <w:bottom w:val="single" w:sz="8" w:color="125288"/>
            </w:tcBorders>
          </w:tcPr>
          <w:p>
            <w:pPr>
              <w:jc w:val="right"/>
              <w:ind w:right="81"/>
              <w:spacing w:after="0" w:line="202" w:lineRule="exact"/>
              <w:rPr>
                <w:sz w:val="20"/>
                <w:szCs w:val="20"/>
                <w:color w:val="auto"/>
              </w:rPr>
            </w:pPr>
            <w:r>
              <w:rPr>
                <w:rFonts w:ascii="Arial" w:cs="Arial" w:eastAsia="Arial" w:hAnsi="Arial"/>
                <w:sz w:val="12"/>
                <w:szCs w:val="12"/>
                <w:color w:val="auto"/>
              </w:rPr>
              <w:t>123,853</w:t>
            </w:r>
            <w:r>
              <w:rPr>
                <w:rFonts w:ascii="Arial" w:cs="Arial" w:eastAsia="Arial" w:hAnsi="Arial"/>
                <w:sz w:val="19"/>
                <w:szCs w:val="19"/>
                <w:color w:val="auto"/>
                <w:vertAlign w:val="superscript"/>
              </w:rPr>
              <w:t>(40)</w:t>
            </w:r>
          </w:p>
        </w:tc>
        <w:tc>
          <w:tcPr>
            <w:tcW w:w="120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jc w:val="right"/>
              <w:ind w:right="141"/>
              <w:spacing w:after="0"/>
              <w:rPr>
                <w:sz w:val="20"/>
                <w:szCs w:val="20"/>
                <w:color w:val="auto"/>
              </w:rPr>
            </w:pPr>
            <w:r>
              <w:rPr>
                <w:rFonts w:ascii="Arial" w:cs="Arial" w:eastAsia="Arial" w:hAnsi="Arial"/>
                <w:sz w:val="12"/>
                <w:szCs w:val="12"/>
                <w:color w:val="auto"/>
              </w:rPr>
              <w:t>93.03</w:t>
            </w:r>
          </w:p>
        </w:tc>
        <w:tc>
          <w:tcPr>
            <w:tcW w:w="900" w:type="dxa"/>
            <w:vAlign w:val="bottom"/>
            <w:tcBorders>
              <w:bottom w:val="single" w:sz="8" w:color="125288"/>
            </w:tcBorders>
            <w:gridSpan w:val="2"/>
          </w:tcPr>
          <w:p>
            <w:pPr>
              <w:jc w:val="right"/>
              <w:ind w:right="120"/>
              <w:spacing w:after="0"/>
              <w:rPr>
                <w:sz w:val="20"/>
                <w:szCs w:val="20"/>
                <w:color w:val="auto"/>
              </w:rPr>
            </w:pPr>
            <w:r>
              <w:rPr>
                <w:rFonts w:ascii="Arial" w:cs="Arial" w:eastAsia="Arial" w:hAnsi="Arial"/>
                <w:sz w:val="12"/>
                <w:szCs w:val="12"/>
                <w:color w:val="auto"/>
              </w:rPr>
              <w:t>5/06/2031</w:t>
            </w:r>
          </w:p>
        </w:tc>
        <w:tc>
          <w:tcPr>
            <w:tcW w:w="960" w:type="dxa"/>
            <w:vAlign w:val="bottom"/>
            <w:tcBorders>
              <w:bottom w:val="single" w:sz="8" w:color="125288"/>
            </w:tcBorders>
          </w:tcPr>
          <w:p>
            <w:pPr>
              <w:spacing w:after="0"/>
              <w:rPr>
                <w:sz w:val="17"/>
                <w:szCs w:val="17"/>
                <w:color w:val="auto"/>
              </w:rPr>
            </w:pPr>
          </w:p>
        </w:tc>
        <w:tc>
          <w:tcPr>
            <w:tcW w:w="820" w:type="dxa"/>
            <w:vAlign w:val="bottom"/>
            <w:tcBorders>
              <w:bottom w:val="single" w:sz="8" w:color="125288"/>
            </w:tcBorders>
          </w:tcPr>
          <w:p>
            <w:pPr>
              <w:spacing w:after="0"/>
              <w:rPr>
                <w:sz w:val="17"/>
                <w:szCs w:val="17"/>
                <w:color w:val="auto"/>
              </w:rPr>
            </w:pPr>
          </w:p>
        </w:tc>
        <w:tc>
          <w:tcPr>
            <w:tcW w:w="1440" w:type="dxa"/>
            <w:vAlign w:val="bottom"/>
            <w:tcBorders>
              <w:bottom w:val="single" w:sz="8" w:color="125288"/>
            </w:tcBorders>
          </w:tcPr>
          <w:p>
            <w:pPr>
              <w:spacing w:after="0"/>
              <w:rPr>
                <w:sz w:val="17"/>
                <w:szCs w:val="17"/>
                <w:color w:val="auto"/>
              </w:rPr>
            </w:pPr>
          </w:p>
        </w:tc>
        <w:tc>
          <w:tcPr>
            <w:tcW w:w="1080" w:type="dxa"/>
            <w:vAlign w:val="bottom"/>
            <w:tcBorders>
              <w:bottom w:val="single" w:sz="8" w:color="125288"/>
            </w:tcBorders>
          </w:tcPr>
          <w:p>
            <w:pPr>
              <w:spacing w:after="0"/>
              <w:rPr>
                <w:sz w:val="17"/>
                <w:szCs w:val="17"/>
                <w:color w:val="auto"/>
              </w:rPr>
            </w:pPr>
          </w:p>
        </w:tc>
        <w:tc>
          <w:tcPr>
            <w:tcW w:w="180" w:type="dxa"/>
            <w:vAlign w:val="bottom"/>
            <w:tcBorders>
              <w:bottom w:val="single" w:sz="8" w:color="125288"/>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740" w:type="dxa"/>
            <w:vAlign w:val="bottom"/>
            <w:vMerge w:val="restart"/>
          </w:tcPr>
          <w:p>
            <w:pPr>
              <w:ind w:left="40"/>
              <w:spacing w:after="0"/>
              <w:rPr>
                <w:sz w:val="20"/>
                <w:szCs w:val="20"/>
                <w:color w:val="auto"/>
              </w:rPr>
            </w:pPr>
            <w:r>
              <w:rPr>
                <w:rFonts w:ascii="Arial" w:cs="Arial" w:eastAsia="Arial" w:hAnsi="Arial"/>
                <w:sz w:val="12"/>
                <w:szCs w:val="12"/>
                <w:color w:val="auto"/>
                <w:w w:val="94"/>
              </w:rPr>
              <w:t>Daniel Alegre</w:t>
            </w:r>
          </w:p>
        </w:tc>
        <w:tc>
          <w:tcPr>
            <w:tcW w:w="340" w:type="dxa"/>
            <w:vAlign w:val="bottom"/>
          </w:tcPr>
          <w:p>
            <w:pPr>
              <w:jc w:val="right"/>
              <w:ind w:right="110"/>
              <w:spacing w:after="0"/>
              <w:rPr>
                <w:sz w:val="20"/>
                <w:szCs w:val="20"/>
                <w:color w:val="auto"/>
              </w:rPr>
            </w:pPr>
            <w:r>
              <w:rPr>
                <w:rFonts w:ascii="Arial" w:cs="Arial" w:eastAsia="Arial" w:hAnsi="Arial"/>
                <w:sz w:val="10"/>
                <w:szCs w:val="10"/>
                <w:color w:val="auto"/>
                <w:w w:val="89"/>
              </w:rPr>
              <w:t>(41)</w:t>
            </w: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40" w:type="dxa"/>
            <w:vAlign w:val="bottom"/>
          </w:tcPr>
          <w:p>
            <w:pPr>
              <w:jc w:val="right"/>
              <w:ind w:right="81"/>
              <w:spacing w:after="0" w:line="166" w:lineRule="exact"/>
              <w:rPr>
                <w:sz w:val="20"/>
                <w:szCs w:val="20"/>
                <w:color w:val="auto"/>
              </w:rPr>
            </w:pPr>
            <w:r>
              <w:rPr>
                <w:rFonts w:ascii="Arial" w:cs="Arial" w:eastAsia="Arial" w:hAnsi="Arial"/>
                <w:sz w:val="12"/>
                <w:szCs w:val="12"/>
                <w:color w:val="auto"/>
              </w:rPr>
              <w:t>13,680</w:t>
            </w:r>
            <w:r>
              <w:rPr>
                <w:rFonts w:ascii="Arial" w:cs="Arial" w:eastAsia="Arial" w:hAnsi="Arial"/>
                <w:sz w:val="19"/>
                <w:szCs w:val="19"/>
                <w:color w:val="auto"/>
                <w:vertAlign w:val="superscript"/>
              </w:rPr>
              <w:t>(42)</w:t>
            </w:r>
          </w:p>
        </w:tc>
        <w:tc>
          <w:tcPr>
            <w:tcW w:w="1260" w:type="dxa"/>
            <w:vAlign w:val="bottom"/>
            <w:gridSpan w:val="2"/>
          </w:tcPr>
          <w:p>
            <w:pPr>
              <w:jc w:val="right"/>
              <w:spacing w:after="0" w:line="166" w:lineRule="exact"/>
              <w:rPr>
                <w:sz w:val="20"/>
                <w:szCs w:val="20"/>
                <w:color w:val="auto"/>
              </w:rPr>
            </w:pPr>
            <w:r>
              <w:rPr>
                <w:rFonts w:ascii="Arial" w:cs="Arial" w:eastAsia="Arial" w:hAnsi="Arial"/>
                <w:sz w:val="12"/>
                <w:szCs w:val="12"/>
                <w:color w:val="auto"/>
              </w:rPr>
              <w:t>910,130</w:t>
            </w:r>
            <w:r>
              <w:rPr>
                <w:rFonts w:ascii="Arial" w:cs="Arial" w:eastAsia="Arial" w:hAnsi="Arial"/>
                <w:sz w:val="19"/>
                <w:szCs w:val="19"/>
                <w:color w:val="auto"/>
                <w:vertAlign w:val="superscript"/>
              </w:rPr>
              <w:t>(43)</w:t>
            </w:r>
          </w:p>
        </w:tc>
        <w:tc>
          <w:tcPr>
            <w:tcW w:w="0" w:type="dxa"/>
            <w:vAlign w:val="bottom"/>
          </w:tcPr>
          <w:p>
            <w:pPr>
              <w:spacing w:after="0"/>
              <w:rPr>
                <w:sz w:val="1"/>
                <w:szCs w:val="1"/>
                <w:color w:val="auto"/>
              </w:rPr>
            </w:pPr>
          </w:p>
        </w:tc>
      </w:tr>
      <w:tr>
        <w:trPr>
          <w:trHeight w:val="39"/>
        </w:trPr>
        <w:tc>
          <w:tcPr>
            <w:tcW w:w="74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1580" w:type="dxa"/>
            <w:vAlign w:val="bottom"/>
            <w:tcBorders>
              <w:bottom w:val="single" w:sz="8" w:color="125288"/>
            </w:tcBorders>
          </w:tcPr>
          <w:p>
            <w:pPr>
              <w:spacing w:after="0"/>
              <w:rPr>
                <w:sz w:val="3"/>
                <w:szCs w:val="3"/>
                <w:color w:val="auto"/>
              </w:rPr>
            </w:pPr>
          </w:p>
        </w:tc>
        <w:tc>
          <w:tcPr>
            <w:tcW w:w="1260" w:type="dxa"/>
            <w:vAlign w:val="bottom"/>
            <w:tcBorders>
              <w:bottom w:val="single" w:sz="8" w:color="125288"/>
            </w:tcBorders>
          </w:tcPr>
          <w:p>
            <w:pPr>
              <w:spacing w:after="0"/>
              <w:rPr>
                <w:sz w:val="3"/>
                <w:szCs w:val="3"/>
                <w:color w:val="auto"/>
              </w:rPr>
            </w:pPr>
          </w:p>
        </w:tc>
        <w:tc>
          <w:tcPr>
            <w:tcW w:w="1200" w:type="dxa"/>
            <w:vAlign w:val="bottom"/>
            <w:tcBorders>
              <w:bottom w:val="single" w:sz="8" w:color="125288"/>
            </w:tcBorders>
          </w:tcPr>
          <w:p>
            <w:pPr>
              <w:spacing w:after="0"/>
              <w:rPr>
                <w:sz w:val="3"/>
                <w:szCs w:val="3"/>
                <w:color w:val="auto"/>
              </w:rPr>
            </w:pPr>
          </w:p>
        </w:tc>
        <w:tc>
          <w:tcPr>
            <w:tcW w:w="760" w:type="dxa"/>
            <w:vAlign w:val="bottom"/>
            <w:tcBorders>
              <w:bottom w:val="single" w:sz="8" w:color="125288"/>
            </w:tcBorders>
          </w:tcPr>
          <w:p>
            <w:pPr>
              <w:spacing w:after="0"/>
              <w:rPr>
                <w:sz w:val="3"/>
                <w:szCs w:val="3"/>
                <w:color w:val="auto"/>
              </w:rPr>
            </w:pPr>
          </w:p>
        </w:tc>
        <w:tc>
          <w:tcPr>
            <w:tcW w:w="780" w:type="dxa"/>
            <w:vAlign w:val="bottom"/>
            <w:tcBorders>
              <w:bottom w:val="single" w:sz="8" w:color="125288"/>
            </w:tcBorders>
          </w:tcPr>
          <w:p>
            <w:pPr>
              <w:spacing w:after="0"/>
              <w:rPr>
                <w:sz w:val="3"/>
                <w:szCs w:val="3"/>
                <w:color w:val="auto"/>
              </w:rPr>
            </w:pPr>
          </w:p>
        </w:tc>
        <w:tc>
          <w:tcPr>
            <w:tcW w:w="120" w:type="dxa"/>
            <w:vAlign w:val="bottom"/>
            <w:tcBorders>
              <w:bottom w:val="single" w:sz="8" w:color="125288"/>
            </w:tcBorders>
          </w:tcPr>
          <w:p>
            <w:pPr>
              <w:spacing w:after="0"/>
              <w:rPr>
                <w:sz w:val="3"/>
                <w:szCs w:val="3"/>
                <w:color w:val="auto"/>
              </w:rPr>
            </w:pPr>
          </w:p>
        </w:tc>
        <w:tc>
          <w:tcPr>
            <w:tcW w:w="960" w:type="dxa"/>
            <w:vAlign w:val="bottom"/>
            <w:tcBorders>
              <w:bottom w:val="single" w:sz="8" w:color="125288"/>
            </w:tcBorders>
          </w:tcPr>
          <w:p>
            <w:pPr>
              <w:spacing w:after="0"/>
              <w:rPr>
                <w:sz w:val="3"/>
                <w:szCs w:val="3"/>
                <w:color w:val="auto"/>
              </w:rPr>
            </w:pPr>
          </w:p>
        </w:tc>
        <w:tc>
          <w:tcPr>
            <w:tcW w:w="820" w:type="dxa"/>
            <w:vAlign w:val="bottom"/>
            <w:tcBorders>
              <w:bottom w:val="single" w:sz="8" w:color="125288"/>
            </w:tcBorders>
          </w:tcPr>
          <w:p>
            <w:pPr>
              <w:spacing w:after="0"/>
              <w:rPr>
                <w:sz w:val="3"/>
                <w:szCs w:val="3"/>
                <w:color w:val="auto"/>
              </w:rPr>
            </w:pPr>
          </w:p>
        </w:tc>
        <w:tc>
          <w:tcPr>
            <w:tcW w:w="1440" w:type="dxa"/>
            <w:vAlign w:val="bottom"/>
            <w:tcBorders>
              <w:bottom w:val="single" w:sz="8" w:color="125288"/>
            </w:tcBorders>
          </w:tcPr>
          <w:p>
            <w:pPr>
              <w:spacing w:after="0"/>
              <w:rPr>
                <w:sz w:val="3"/>
                <w:szCs w:val="3"/>
                <w:color w:val="auto"/>
              </w:rPr>
            </w:pPr>
          </w:p>
        </w:tc>
        <w:tc>
          <w:tcPr>
            <w:tcW w:w="1080" w:type="dxa"/>
            <w:vAlign w:val="bottom"/>
            <w:tcBorders>
              <w:bottom w:val="single" w:sz="8" w:color="125288"/>
            </w:tcBorders>
          </w:tcPr>
          <w:p>
            <w:pPr>
              <w:spacing w:after="0"/>
              <w:rPr>
                <w:sz w:val="3"/>
                <w:szCs w:val="3"/>
                <w:color w:val="auto"/>
              </w:rPr>
            </w:pPr>
          </w:p>
        </w:tc>
        <w:tc>
          <w:tcPr>
            <w:tcW w:w="180" w:type="dxa"/>
            <w:vAlign w:val="bottom"/>
            <w:tcBorders>
              <w:bottom w:val="single" w:sz="8" w:color="125288"/>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Borders>
              <w:bottom w:val="single" w:sz="8" w:color="125288"/>
            </w:tcBorders>
          </w:tcPr>
          <w:p>
            <w:pPr>
              <w:spacing w:after="0"/>
              <w:rPr>
                <w:sz w:val="17"/>
                <w:szCs w:val="17"/>
                <w:color w:val="auto"/>
              </w:rPr>
            </w:pPr>
          </w:p>
        </w:tc>
        <w:tc>
          <w:tcPr>
            <w:tcW w:w="1260" w:type="dxa"/>
            <w:vAlign w:val="bottom"/>
            <w:tcBorders>
              <w:bottom w:val="single" w:sz="8" w:color="125288"/>
            </w:tcBorders>
          </w:tcPr>
          <w:p>
            <w:pPr>
              <w:spacing w:after="0"/>
              <w:rPr>
                <w:sz w:val="17"/>
                <w:szCs w:val="17"/>
                <w:color w:val="auto"/>
              </w:rPr>
            </w:pPr>
          </w:p>
        </w:tc>
        <w:tc>
          <w:tcPr>
            <w:tcW w:w="120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spacing w:after="0"/>
              <w:rPr>
                <w:sz w:val="17"/>
                <w:szCs w:val="17"/>
                <w:color w:val="auto"/>
              </w:rPr>
            </w:pPr>
          </w:p>
        </w:tc>
        <w:tc>
          <w:tcPr>
            <w:tcW w:w="780" w:type="dxa"/>
            <w:vAlign w:val="bottom"/>
            <w:tcBorders>
              <w:bottom w:val="single" w:sz="8" w:color="125288"/>
            </w:tcBorders>
          </w:tcPr>
          <w:p>
            <w:pPr>
              <w:spacing w:after="0"/>
              <w:rPr>
                <w:sz w:val="17"/>
                <w:szCs w:val="17"/>
                <w:color w:val="auto"/>
              </w:rPr>
            </w:pPr>
          </w:p>
        </w:tc>
        <w:tc>
          <w:tcPr>
            <w:tcW w:w="120" w:type="dxa"/>
            <w:vAlign w:val="bottom"/>
            <w:tcBorders>
              <w:bottom w:val="single" w:sz="8" w:color="125288"/>
            </w:tcBorders>
          </w:tcPr>
          <w:p>
            <w:pPr>
              <w:spacing w:after="0"/>
              <w:rPr>
                <w:sz w:val="17"/>
                <w:szCs w:val="17"/>
                <w:color w:val="auto"/>
              </w:rPr>
            </w:pPr>
          </w:p>
        </w:tc>
        <w:tc>
          <w:tcPr>
            <w:tcW w:w="960" w:type="dxa"/>
            <w:vAlign w:val="bottom"/>
            <w:tcBorders>
              <w:bottom w:val="single" w:sz="8" w:color="125288"/>
            </w:tcBorders>
          </w:tcPr>
          <w:p>
            <w:pPr>
              <w:spacing w:after="0"/>
              <w:rPr>
                <w:sz w:val="17"/>
                <w:szCs w:val="17"/>
                <w:color w:val="auto"/>
              </w:rPr>
            </w:pPr>
          </w:p>
        </w:tc>
        <w:tc>
          <w:tcPr>
            <w:tcW w:w="820" w:type="dxa"/>
            <w:vAlign w:val="bottom"/>
            <w:tcBorders>
              <w:bottom w:val="single" w:sz="8" w:color="125288"/>
            </w:tcBorders>
          </w:tcPr>
          <w:p>
            <w:pPr>
              <w:spacing w:after="0"/>
              <w:rPr>
                <w:sz w:val="17"/>
                <w:szCs w:val="17"/>
                <w:color w:val="auto"/>
              </w:rPr>
            </w:pPr>
          </w:p>
        </w:tc>
        <w:tc>
          <w:tcPr>
            <w:tcW w:w="1440" w:type="dxa"/>
            <w:vAlign w:val="bottom"/>
            <w:tcBorders>
              <w:bottom w:val="single" w:sz="8" w:color="125288"/>
            </w:tcBorders>
          </w:tcPr>
          <w:p>
            <w:pPr>
              <w:jc w:val="right"/>
              <w:ind w:right="81"/>
              <w:spacing w:after="0" w:line="202" w:lineRule="exact"/>
              <w:rPr>
                <w:sz w:val="20"/>
                <w:szCs w:val="20"/>
                <w:color w:val="auto"/>
              </w:rPr>
            </w:pPr>
            <w:r>
              <w:rPr>
                <w:rFonts w:ascii="Arial" w:cs="Arial" w:eastAsia="Arial" w:hAnsi="Arial"/>
                <w:sz w:val="12"/>
                <w:szCs w:val="12"/>
                <w:color w:val="auto"/>
              </w:rPr>
              <w:t>9,120</w:t>
            </w:r>
            <w:r>
              <w:rPr>
                <w:rFonts w:ascii="Arial" w:cs="Arial" w:eastAsia="Arial" w:hAnsi="Arial"/>
                <w:sz w:val="19"/>
                <w:szCs w:val="19"/>
                <w:color w:val="auto"/>
                <w:vertAlign w:val="superscript"/>
              </w:rPr>
              <w:t>(44)</w:t>
            </w:r>
          </w:p>
        </w:tc>
        <w:tc>
          <w:tcPr>
            <w:tcW w:w="1260" w:type="dxa"/>
            <w:vAlign w:val="bottom"/>
            <w:tcBorders>
              <w:bottom w:val="single" w:sz="8" w:color="125288"/>
            </w:tcBorders>
            <w:gridSpan w:val="2"/>
          </w:tcPr>
          <w:p>
            <w:pPr>
              <w:jc w:val="right"/>
              <w:spacing w:after="0" w:line="202" w:lineRule="exact"/>
              <w:rPr>
                <w:sz w:val="20"/>
                <w:szCs w:val="20"/>
                <w:color w:val="auto"/>
              </w:rPr>
            </w:pPr>
            <w:r>
              <w:rPr>
                <w:rFonts w:ascii="Arial" w:cs="Arial" w:eastAsia="Arial" w:hAnsi="Arial"/>
                <w:sz w:val="12"/>
                <w:szCs w:val="12"/>
                <w:color w:val="auto"/>
              </w:rPr>
              <w:t>606,754</w:t>
            </w:r>
            <w:r>
              <w:rPr>
                <w:rFonts w:ascii="Arial" w:cs="Arial" w:eastAsia="Arial" w:hAnsi="Arial"/>
                <w:sz w:val="19"/>
                <w:szCs w:val="19"/>
                <w:color w:val="auto"/>
                <w:vertAlign w:val="superscript"/>
              </w:rPr>
              <w:t>(45)</w:t>
            </w:r>
          </w:p>
        </w:tc>
        <w:tc>
          <w:tcPr>
            <w:tcW w:w="0" w:type="dxa"/>
            <w:vAlign w:val="bottom"/>
          </w:tcPr>
          <w:p>
            <w:pPr>
              <w:spacing w:after="0"/>
              <w:rPr>
                <w:sz w:val="1"/>
                <w:szCs w:val="1"/>
                <w:color w:val="auto"/>
              </w:rPr>
            </w:pPr>
          </w:p>
        </w:tc>
      </w:tr>
      <w:tr>
        <w:trPr>
          <w:trHeight w:val="20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Borders>
              <w:bottom w:val="single" w:sz="8" w:color="125288"/>
            </w:tcBorders>
          </w:tcPr>
          <w:p>
            <w:pPr>
              <w:spacing w:after="0"/>
              <w:rPr>
                <w:sz w:val="17"/>
                <w:szCs w:val="17"/>
                <w:color w:val="auto"/>
              </w:rPr>
            </w:pPr>
          </w:p>
        </w:tc>
        <w:tc>
          <w:tcPr>
            <w:tcW w:w="1260" w:type="dxa"/>
            <w:vAlign w:val="bottom"/>
            <w:tcBorders>
              <w:bottom w:val="single" w:sz="8" w:color="125288"/>
            </w:tcBorders>
          </w:tcPr>
          <w:p>
            <w:pPr>
              <w:spacing w:after="0"/>
              <w:rPr>
                <w:sz w:val="17"/>
                <w:szCs w:val="17"/>
                <w:color w:val="auto"/>
              </w:rPr>
            </w:pPr>
          </w:p>
        </w:tc>
        <w:tc>
          <w:tcPr>
            <w:tcW w:w="120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spacing w:after="0"/>
              <w:rPr>
                <w:sz w:val="17"/>
                <w:szCs w:val="17"/>
                <w:color w:val="auto"/>
              </w:rPr>
            </w:pPr>
          </w:p>
        </w:tc>
        <w:tc>
          <w:tcPr>
            <w:tcW w:w="780" w:type="dxa"/>
            <w:vAlign w:val="bottom"/>
            <w:tcBorders>
              <w:bottom w:val="single" w:sz="8" w:color="125288"/>
            </w:tcBorders>
          </w:tcPr>
          <w:p>
            <w:pPr>
              <w:spacing w:after="0"/>
              <w:rPr>
                <w:sz w:val="17"/>
                <w:szCs w:val="17"/>
                <w:color w:val="auto"/>
              </w:rPr>
            </w:pPr>
          </w:p>
        </w:tc>
        <w:tc>
          <w:tcPr>
            <w:tcW w:w="120" w:type="dxa"/>
            <w:vAlign w:val="bottom"/>
            <w:tcBorders>
              <w:bottom w:val="single" w:sz="8" w:color="125288"/>
            </w:tcBorders>
          </w:tcPr>
          <w:p>
            <w:pPr>
              <w:spacing w:after="0"/>
              <w:rPr>
                <w:sz w:val="17"/>
                <w:szCs w:val="17"/>
                <w:color w:val="auto"/>
              </w:rPr>
            </w:pPr>
          </w:p>
        </w:tc>
        <w:tc>
          <w:tcPr>
            <w:tcW w:w="960" w:type="dxa"/>
            <w:vAlign w:val="bottom"/>
            <w:tcBorders>
              <w:bottom w:val="single" w:sz="8" w:color="125288"/>
            </w:tcBorders>
          </w:tcPr>
          <w:p>
            <w:pPr>
              <w:spacing w:after="0"/>
              <w:rPr>
                <w:sz w:val="17"/>
                <w:szCs w:val="17"/>
                <w:color w:val="auto"/>
              </w:rPr>
            </w:pPr>
          </w:p>
        </w:tc>
        <w:tc>
          <w:tcPr>
            <w:tcW w:w="820" w:type="dxa"/>
            <w:vAlign w:val="bottom"/>
            <w:tcBorders>
              <w:bottom w:val="single" w:sz="8" w:color="125288"/>
            </w:tcBorders>
          </w:tcPr>
          <w:p>
            <w:pPr>
              <w:spacing w:after="0"/>
              <w:rPr>
                <w:sz w:val="17"/>
                <w:szCs w:val="17"/>
                <w:color w:val="auto"/>
              </w:rPr>
            </w:pPr>
          </w:p>
        </w:tc>
        <w:tc>
          <w:tcPr>
            <w:tcW w:w="1440" w:type="dxa"/>
            <w:vAlign w:val="bottom"/>
            <w:tcBorders>
              <w:bottom w:val="single" w:sz="8" w:color="125288"/>
            </w:tcBorders>
          </w:tcPr>
          <w:p>
            <w:pPr>
              <w:jc w:val="right"/>
              <w:ind w:right="81"/>
              <w:spacing w:after="0" w:line="202" w:lineRule="exact"/>
              <w:rPr>
                <w:sz w:val="20"/>
                <w:szCs w:val="20"/>
                <w:color w:val="auto"/>
              </w:rPr>
            </w:pPr>
            <w:r>
              <w:rPr>
                <w:rFonts w:ascii="Arial" w:cs="Arial" w:eastAsia="Arial" w:hAnsi="Arial"/>
                <w:sz w:val="12"/>
                <w:szCs w:val="12"/>
                <w:color w:val="auto"/>
              </w:rPr>
              <w:t>15,960</w:t>
            </w:r>
            <w:r>
              <w:rPr>
                <w:rFonts w:ascii="Arial" w:cs="Arial" w:eastAsia="Arial" w:hAnsi="Arial"/>
                <w:sz w:val="19"/>
                <w:szCs w:val="19"/>
                <w:color w:val="auto"/>
                <w:vertAlign w:val="superscript"/>
              </w:rPr>
              <w:t>(46)</w:t>
            </w:r>
          </w:p>
        </w:tc>
        <w:tc>
          <w:tcPr>
            <w:tcW w:w="1260" w:type="dxa"/>
            <w:vAlign w:val="bottom"/>
            <w:tcBorders>
              <w:bottom w:val="single" w:sz="8" w:color="125288"/>
            </w:tcBorders>
            <w:gridSpan w:val="2"/>
          </w:tcPr>
          <w:p>
            <w:pPr>
              <w:jc w:val="right"/>
              <w:spacing w:after="0" w:line="202" w:lineRule="exact"/>
              <w:rPr>
                <w:sz w:val="20"/>
                <w:szCs w:val="20"/>
                <w:color w:val="auto"/>
              </w:rPr>
            </w:pPr>
            <w:r>
              <w:rPr>
                <w:rFonts w:ascii="Arial" w:cs="Arial" w:eastAsia="Arial" w:hAnsi="Arial"/>
                <w:sz w:val="12"/>
                <w:szCs w:val="12"/>
                <w:color w:val="auto"/>
              </w:rPr>
              <w:t>1,061,819</w:t>
            </w:r>
            <w:r>
              <w:rPr>
                <w:rFonts w:ascii="Arial" w:cs="Arial" w:eastAsia="Arial" w:hAnsi="Arial"/>
                <w:sz w:val="19"/>
                <w:szCs w:val="19"/>
                <w:color w:val="auto"/>
                <w:vertAlign w:val="superscript"/>
              </w:rPr>
              <w:t>(47)</w:t>
            </w:r>
          </w:p>
        </w:tc>
        <w:tc>
          <w:tcPr>
            <w:tcW w:w="0" w:type="dxa"/>
            <w:vAlign w:val="bottom"/>
          </w:tcPr>
          <w:p>
            <w:pPr>
              <w:spacing w:after="0"/>
              <w:rPr>
                <w:sz w:val="1"/>
                <w:szCs w:val="1"/>
                <w:color w:val="auto"/>
              </w:rPr>
            </w:pPr>
          </w:p>
        </w:tc>
      </w:tr>
      <w:tr>
        <w:trPr>
          <w:trHeight w:val="20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Borders>
              <w:bottom w:val="single" w:sz="8" w:color="125288"/>
            </w:tcBorders>
          </w:tcPr>
          <w:p>
            <w:pPr>
              <w:spacing w:after="0"/>
              <w:rPr>
                <w:sz w:val="17"/>
                <w:szCs w:val="17"/>
                <w:color w:val="auto"/>
              </w:rPr>
            </w:pPr>
          </w:p>
        </w:tc>
        <w:tc>
          <w:tcPr>
            <w:tcW w:w="1260" w:type="dxa"/>
            <w:vAlign w:val="bottom"/>
            <w:tcBorders>
              <w:bottom w:val="single" w:sz="8" w:color="125288"/>
            </w:tcBorders>
          </w:tcPr>
          <w:p>
            <w:pPr>
              <w:spacing w:after="0"/>
              <w:rPr>
                <w:sz w:val="17"/>
                <w:szCs w:val="17"/>
                <w:color w:val="auto"/>
              </w:rPr>
            </w:pPr>
          </w:p>
        </w:tc>
        <w:tc>
          <w:tcPr>
            <w:tcW w:w="120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spacing w:after="0"/>
              <w:rPr>
                <w:sz w:val="17"/>
                <w:szCs w:val="17"/>
                <w:color w:val="auto"/>
              </w:rPr>
            </w:pPr>
          </w:p>
        </w:tc>
        <w:tc>
          <w:tcPr>
            <w:tcW w:w="780" w:type="dxa"/>
            <w:vAlign w:val="bottom"/>
            <w:tcBorders>
              <w:bottom w:val="single" w:sz="8" w:color="125288"/>
            </w:tcBorders>
          </w:tcPr>
          <w:p>
            <w:pPr>
              <w:spacing w:after="0"/>
              <w:rPr>
                <w:sz w:val="17"/>
                <w:szCs w:val="17"/>
                <w:color w:val="auto"/>
              </w:rPr>
            </w:pPr>
          </w:p>
        </w:tc>
        <w:tc>
          <w:tcPr>
            <w:tcW w:w="120" w:type="dxa"/>
            <w:vAlign w:val="bottom"/>
            <w:tcBorders>
              <w:bottom w:val="single" w:sz="8" w:color="125288"/>
            </w:tcBorders>
          </w:tcPr>
          <w:p>
            <w:pPr>
              <w:spacing w:after="0"/>
              <w:rPr>
                <w:sz w:val="17"/>
                <w:szCs w:val="17"/>
                <w:color w:val="auto"/>
              </w:rPr>
            </w:pPr>
          </w:p>
        </w:tc>
        <w:tc>
          <w:tcPr>
            <w:tcW w:w="960" w:type="dxa"/>
            <w:vAlign w:val="bottom"/>
            <w:tcBorders>
              <w:bottom w:val="single" w:sz="8" w:color="125288"/>
            </w:tcBorders>
          </w:tcPr>
          <w:p>
            <w:pPr>
              <w:spacing w:after="0"/>
              <w:rPr>
                <w:sz w:val="17"/>
                <w:szCs w:val="17"/>
                <w:color w:val="auto"/>
              </w:rPr>
            </w:pPr>
          </w:p>
        </w:tc>
        <w:tc>
          <w:tcPr>
            <w:tcW w:w="820" w:type="dxa"/>
            <w:vAlign w:val="bottom"/>
            <w:tcBorders>
              <w:bottom w:val="single" w:sz="8" w:color="125288"/>
            </w:tcBorders>
          </w:tcPr>
          <w:p>
            <w:pPr>
              <w:spacing w:after="0"/>
              <w:rPr>
                <w:sz w:val="17"/>
                <w:szCs w:val="17"/>
                <w:color w:val="auto"/>
              </w:rPr>
            </w:pPr>
          </w:p>
        </w:tc>
        <w:tc>
          <w:tcPr>
            <w:tcW w:w="1440" w:type="dxa"/>
            <w:vAlign w:val="bottom"/>
            <w:tcBorders>
              <w:bottom w:val="single" w:sz="8" w:color="125288"/>
            </w:tcBorders>
          </w:tcPr>
          <w:p>
            <w:pPr>
              <w:jc w:val="right"/>
              <w:ind w:right="81"/>
              <w:spacing w:after="0" w:line="202" w:lineRule="exact"/>
              <w:rPr>
                <w:sz w:val="20"/>
                <w:szCs w:val="20"/>
                <w:color w:val="auto"/>
              </w:rPr>
            </w:pPr>
            <w:r>
              <w:rPr>
                <w:rFonts w:ascii="Arial" w:cs="Arial" w:eastAsia="Arial" w:hAnsi="Arial"/>
                <w:sz w:val="12"/>
                <w:szCs w:val="12"/>
                <w:color w:val="auto"/>
              </w:rPr>
              <w:t>33,377</w:t>
            </w:r>
            <w:r>
              <w:rPr>
                <w:rFonts w:ascii="Arial" w:cs="Arial" w:eastAsia="Arial" w:hAnsi="Arial"/>
                <w:sz w:val="19"/>
                <w:szCs w:val="19"/>
                <w:color w:val="auto"/>
                <w:vertAlign w:val="superscript"/>
              </w:rPr>
              <w:t>(48)</w:t>
            </w:r>
          </w:p>
        </w:tc>
        <w:tc>
          <w:tcPr>
            <w:tcW w:w="1260" w:type="dxa"/>
            <w:vAlign w:val="bottom"/>
            <w:tcBorders>
              <w:bottom w:val="single" w:sz="8" w:color="125288"/>
            </w:tcBorders>
            <w:gridSpan w:val="2"/>
          </w:tcPr>
          <w:p>
            <w:pPr>
              <w:jc w:val="right"/>
              <w:spacing w:after="0" w:line="202" w:lineRule="exact"/>
              <w:rPr>
                <w:sz w:val="20"/>
                <w:szCs w:val="20"/>
                <w:color w:val="auto"/>
              </w:rPr>
            </w:pPr>
            <w:r>
              <w:rPr>
                <w:rFonts w:ascii="Arial" w:cs="Arial" w:eastAsia="Arial" w:hAnsi="Arial"/>
                <w:sz w:val="12"/>
                <w:szCs w:val="12"/>
                <w:color w:val="auto"/>
              </w:rPr>
              <w:t>2,220,572</w:t>
            </w:r>
            <w:r>
              <w:rPr>
                <w:rFonts w:ascii="Arial" w:cs="Arial" w:eastAsia="Arial" w:hAnsi="Arial"/>
                <w:sz w:val="19"/>
                <w:szCs w:val="19"/>
                <w:color w:val="auto"/>
                <w:vertAlign w:val="superscript"/>
              </w:rPr>
              <w:t>(49)</w:t>
            </w:r>
          </w:p>
        </w:tc>
        <w:tc>
          <w:tcPr>
            <w:tcW w:w="0" w:type="dxa"/>
            <w:vAlign w:val="bottom"/>
          </w:tcPr>
          <w:p>
            <w:pPr>
              <w:spacing w:after="0"/>
              <w:rPr>
                <w:sz w:val="1"/>
                <w:szCs w:val="1"/>
                <w:color w:val="auto"/>
              </w:rPr>
            </w:pPr>
          </w:p>
        </w:tc>
      </w:tr>
      <w:tr>
        <w:trPr>
          <w:trHeight w:val="20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Borders>
              <w:bottom w:val="single" w:sz="8" w:color="125288"/>
            </w:tcBorders>
          </w:tcPr>
          <w:p>
            <w:pPr>
              <w:spacing w:after="0"/>
              <w:rPr>
                <w:sz w:val="17"/>
                <w:szCs w:val="17"/>
                <w:color w:val="auto"/>
              </w:rPr>
            </w:pPr>
          </w:p>
        </w:tc>
        <w:tc>
          <w:tcPr>
            <w:tcW w:w="1260" w:type="dxa"/>
            <w:vAlign w:val="bottom"/>
            <w:tcBorders>
              <w:bottom w:val="single" w:sz="8" w:color="125288"/>
            </w:tcBorders>
          </w:tcPr>
          <w:p>
            <w:pPr>
              <w:spacing w:after="0"/>
              <w:rPr>
                <w:sz w:val="17"/>
                <w:szCs w:val="17"/>
                <w:color w:val="auto"/>
              </w:rPr>
            </w:pPr>
          </w:p>
        </w:tc>
        <w:tc>
          <w:tcPr>
            <w:tcW w:w="120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spacing w:after="0"/>
              <w:rPr>
                <w:sz w:val="17"/>
                <w:szCs w:val="17"/>
                <w:color w:val="auto"/>
              </w:rPr>
            </w:pPr>
          </w:p>
        </w:tc>
        <w:tc>
          <w:tcPr>
            <w:tcW w:w="780" w:type="dxa"/>
            <w:vAlign w:val="bottom"/>
            <w:tcBorders>
              <w:bottom w:val="single" w:sz="8" w:color="125288"/>
            </w:tcBorders>
          </w:tcPr>
          <w:p>
            <w:pPr>
              <w:spacing w:after="0"/>
              <w:rPr>
                <w:sz w:val="17"/>
                <w:szCs w:val="17"/>
                <w:color w:val="auto"/>
              </w:rPr>
            </w:pPr>
          </w:p>
        </w:tc>
        <w:tc>
          <w:tcPr>
            <w:tcW w:w="120" w:type="dxa"/>
            <w:vAlign w:val="bottom"/>
            <w:tcBorders>
              <w:bottom w:val="single" w:sz="8" w:color="125288"/>
            </w:tcBorders>
          </w:tcPr>
          <w:p>
            <w:pPr>
              <w:spacing w:after="0"/>
              <w:rPr>
                <w:sz w:val="17"/>
                <w:szCs w:val="17"/>
                <w:color w:val="auto"/>
              </w:rPr>
            </w:pPr>
          </w:p>
        </w:tc>
        <w:tc>
          <w:tcPr>
            <w:tcW w:w="960" w:type="dxa"/>
            <w:vAlign w:val="bottom"/>
            <w:tcBorders>
              <w:bottom w:val="single" w:sz="8" w:color="125288"/>
            </w:tcBorders>
          </w:tcPr>
          <w:p>
            <w:pPr>
              <w:jc w:val="right"/>
              <w:ind w:right="61"/>
              <w:spacing w:after="0" w:line="202" w:lineRule="exact"/>
              <w:rPr>
                <w:sz w:val="20"/>
                <w:szCs w:val="20"/>
                <w:color w:val="auto"/>
              </w:rPr>
            </w:pPr>
            <w:r>
              <w:rPr>
                <w:rFonts w:ascii="Arial" w:cs="Arial" w:eastAsia="Arial" w:hAnsi="Arial"/>
                <w:sz w:val="12"/>
                <w:szCs w:val="12"/>
                <w:color w:val="auto"/>
              </w:rPr>
              <w:t>17,166</w:t>
            </w:r>
            <w:r>
              <w:rPr>
                <w:rFonts w:ascii="Arial" w:cs="Arial" w:eastAsia="Arial" w:hAnsi="Arial"/>
                <w:sz w:val="19"/>
                <w:szCs w:val="19"/>
                <w:color w:val="auto"/>
                <w:vertAlign w:val="superscript"/>
              </w:rPr>
              <w:t>(50)</w:t>
            </w:r>
          </w:p>
        </w:tc>
        <w:tc>
          <w:tcPr>
            <w:tcW w:w="820" w:type="dxa"/>
            <w:vAlign w:val="bottom"/>
            <w:tcBorders>
              <w:bottom w:val="single" w:sz="8" w:color="125288"/>
            </w:tcBorders>
          </w:tcPr>
          <w:p>
            <w:pPr>
              <w:jc w:val="right"/>
              <w:ind w:right="21"/>
              <w:spacing w:after="0"/>
              <w:rPr>
                <w:sz w:val="20"/>
                <w:szCs w:val="20"/>
                <w:color w:val="auto"/>
              </w:rPr>
            </w:pPr>
            <w:r>
              <w:rPr>
                <w:rFonts w:ascii="Arial" w:cs="Arial" w:eastAsia="Arial" w:hAnsi="Arial"/>
                <w:sz w:val="12"/>
                <w:szCs w:val="12"/>
                <w:color w:val="auto"/>
              </w:rPr>
              <w:t>1,142,054</w:t>
            </w:r>
          </w:p>
        </w:tc>
        <w:tc>
          <w:tcPr>
            <w:tcW w:w="1440" w:type="dxa"/>
            <w:vAlign w:val="bottom"/>
            <w:tcBorders>
              <w:bottom w:val="single" w:sz="8" w:color="125288"/>
            </w:tcBorders>
          </w:tcPr>
          <w:p>
            <w:pPr>
              <w:spacing w:after="0"/>
              <w:rPr>
                <w:sz w:val="17"/>
                <w:szCs w:val="17"/>
                <w:color w:val="auto"/>
              </w:rPr>
            </w:pPr>
          </w:p>
        </w:tc>
        <w:tc>
          <w:tcPr>
            <w:tcW w:w="1080" w:type="dxa"/>
            <w:vAlign w:val="bottom"/>
            <w:tcBorders>
              <w:bottom w:val="single" w:sz="8" w:color="125288"/>
            </w:tcBorders>
          </w:tcPr>
          <w:p>
            <w:pPr>
              <w:spacing w:after="0"/>
              <w:rPr>
                <w:sz w:val="17"/>
                <w:szCs w:val="17"/>
                <w:color w:val="auto"/>
              </w:rPr>
            </w:pPr>
          </w:p>
        </w:tc>
        <w:tc>
          <w:tcPr>
            <w:tcW w:w="180" w:type="dxa"/>
            <w:vAlign w:val="bottom"/>
            <w:tcBorders>
              <w:bottom w:val="single" w:sz="8" w:color="125288"/>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Borders>
              <w:bottom w:val="single" w:sz="8" w:color="125288"/>
            </w:tcBorders>
          </w:tcPr>
          <w:p>
            <w:pPr>
              <w:spacing w:after="0"/>
              <w:rPr>
                <w:sz w:val="17"/>
                <w:szCs w:val="17"/>
                <w:color w:val="auto"/>
              </w:rPr>
            </w:pPr>
          </w:p>
        </w:tc>
        <w:tc>
          <w:tcPr>
            <w:tcW w:w="1260" w:type="dxa"/>
            <w:vAlign w:val="bottom"/>
            <w:tcBorders>
              <w:bottom w:val="single" w:sz="8" w:color="125288"/>
            </w:tcBorders>
          </w:tcPr>
          <w:p>
            <w:pPr>
              <w:spacing w:after="0"/>
              <w:rPr>
                <w:sz w:val="17"/>
                <w:szCs w:val="17"/>
                <w:color w:val="auto"/>
              </w:rPr>
            </w:pPr>
          </w:p>
        </w:tc>
        <w:tc>
          <w:tcPr>
            <w:tcW w:w="120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spacing w:after="0"/>
              <w:rPr>
                <w:sz w:val="17"/>
                <w:szCs w:val="17"/>
                <w:color w:val="auto"/>
              </w:rPr>
            </w:pPr>
          </w:p>
        </w:tc>
        <w:tc>
          <w:tcPr>
            <w:tcW w:w="780" w:type="dxa"/>
            <w:vAlign w:val="bottom"/>
            <w:tcBorders>
              <w:bottom w:val="single" w:sz="8" w:color="125288"/>
            </w:tcBorders>
          </w:tcPr>
          <w:p>
            <w:pPr>
              <w:spacing w:after="0"/>
              <w:rPr>
                <w:sz w:val="17"/>
                <w:szCs w:val="17"/>
                <w:color w:val="auto"/>
              </w:rPr>
            </w:pPr>
          </w:p>
        </w:tc>
        <w:tc>
          <w:tcPr>
            <w:tcW w:w="120" w:type="dxa"/>
            <w:vAlign w:val="bottom"/>
            <w:tcBorders>
              <w:bottom w:val="single" w:sz="8" w:color="125288"/>
            </w:tcBorders>
          </w:tcPr>
          <w:p>
            <w:pPr>
              <w:spacing w:after="0"/>
              <w:rPr>
                <w:sz w:val="17"/>
                <w:szCs w:val="17"/>
                <w:color w:val="auto"/>
              </w:rPr>
            </w:pPr>
          </w:p>
        </w:tc>
        <w:tc>
          <w:tcPr>
            <w:tcW w:w="960" w:type="dxa"/>
            <w:vAlign w:val="bottom"/>
            <w:tcBorders>
              <w:bottom w:val="single" w:sz="8" w:color="125288"/>
            </w:tcBorders>
          </w:tcPr>
          <w:p>
            <w:pPr>
              <w:jc w:val="right"/>
              <w:ind w:right="61"/>
              <w:spacing w:after="0" w:line="202" w:lineRule="exact"/>
              <w:rPr>
                <w:sz w:val="20"/>
                <w:szCs w:val="20"/>
                <w:color w:val="auto"/>
              </w:rPr>
            </w:pPr>
            <w:r>
              <w:rPr>
                <w:rFonts w:ascii="Arial" w:cs="Arial" w:eastAsia="Arial" w:hAnsi="Arial"/>
                <w:sz w:val="12"/>
                <w:szCs w:val="12"/>
                <w:color w:val="auto"/>
              </w:rPr>
              <w:t>15,960</w:t>
            </w:r>
            <w:r>
              <w:rPr>
                <w:rFonts w:ascii="Arial" w:cs="Arial" w:eastAsia="Arial" w:hAnsi="Arial"/>
                <w:sz w:val="19"/>
                <w:szCs w:val="19"/>
                <w:color w:val="auto"/>
                <w:vertAlign w:val="superscript"/>
              </w:rPr>
              <w:t>(51)</w:t>
            </w:r>
          </w:p>
        </w:tc>
        <w:tc>
          <w:tcPr>
            <w:tcW w:w="820" w:type="dxa"/>
            <w:vAlign w:val="bottom"/>
            <w:tcBorders>
              <w:bottom w:val="single" w:sz="8" w:color="125288"/>
            </w:tcBorders>
          </w:tcPr>
          <w:p>
            <w:pPr>
              <w:jc w:val="right"/>
              <w:ind w:right="21"/>
              <w:spacing w:after="0"/>
              <w:rPr>
                <w:sz w:val="20"/>
                <w:szCs w:val="20"/>
                <w:color w:val="auto"/>
              </w:rPr>
            </w:pPr>
            <w:r>
              <w:rPr>
                <w:rFonts w:ascii="Arial" w:cs="Arial" w:eastAsia="Arial" w:hAnsi="Arial"/>
                <w:sz w:val="12"/>
                <w:szCs w:val="12"/>
                <w:color w:val="auto"/>
              </w:rPr>
              <w:t>1,061,819</w:t>
            </w:r>
          </w:p>
        </w:tc>
        <w:tc>
          <w:tcPr>
            <w:tcW w:w="1440" w:type="dxa"/>
            <w:vAlign w:val="bottom"/>
            <w:tcBorders>
              <w:bottom w:val="single" w:sz="8" w:color="125288"/>
            </w:tcBorders>
          </w:tcPr>
          <w:p>
            <w:pPr>
              <w:spacing w:after="0"/>
              <w:rPr>
                <w:sz w:val="17"/>
                <w:szCs w:val="17"/>
                <w:color w:val="auto"/>
              </w:rPr>
            </w:pPr>
          </w:p>
        </w:tc>
        <w:tc>
          <w:tcPr>
            <w:tcW w:w="1080" w:type="dxa"/>
            <w:vAlign w:val="bottom"/>
            <w:tcBorders>
              <w:bottom w:val="single" w:sz="8" w:color="125288"/>
            </w:tcBorders>
          </w:tcPr>
          <w:p>
            <w:pPr>
              <w:spacing w:after="0"/>
              <w:rPr>
                <w:sz w:val="17"/>
                <w:szCs w:val="17"/>
                <w:color w:val="auto"/>
              </w:rPr>
            </w:pPr>
          </w:p>
        </w:tc>
        <w:tc>
          <w:tcPr>
            <w:tcW w:w="180" w:type="dxa"/>
            <w:vAlign w:val="bottom"/>
            <w:tcBorders>
              <w:bottom w:val="single" w:sz="8" w:color="125288"/>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40" w:type="dxa"/>
            <w:vAlign w:val="bottom"/>
            <w:tcBorders>
              <w:bottom w:val="single" w:sz="8" w:color="125288"/>
            </w:tcBorders>
          </w:tcPr>
          <w:p>
            <w:pPr>
              <w:spacing w:after="0"/>
              <w:rPr>
                <w:sz w:val="17"/>
                <w:szCs w:val="17"/>
                <w:color w:val="auto"/>
              </w:rPr>
            </w:pPr>
          </w:p>
        </w:tc>
        <w:tc>
          <w:tcPr>
            <w:tcW w:w="340" w:type="dxa"/>
            <w:vAlign w:val="bottom"/>
            <w:tcBorders>
              <w:bottom w:val="single" w:sz="8" w:color="125288"/>
            </w:tcBorders>
          </w:tcPr>
          <w:p>
            <w:pPr>
              <w:spacing w:after="0"/>
              <w:rPr>
                <w:sz w:val="17"/>
                <w:szCs w:val="17"/>
                <w:color w:val="auto"/>
              </w:rPr>
            </w:pPr>
          </w:p>
        </w:tc>
        <w:tc>
          <w:tcPr>
            <w:tcW w:w="1580" w:type="dxa"/>
            <w:vAlign w:val="bottom"/>
            <w:tcBorders>
              <w:bottom w:val="single" w:sz="8" w:color="125288"/>
            </w:tcBorders>
          </w:tcPr>
          <w:p>
            <w:pPr>
              <w:jc w:val="right"/>
              <w:ind w:right="81"/>
              <w:spacing w:after="0" w:line="202" w:lineRule="exact"/>
              <w:rPr>
                <w:sz w:val="20"/>
                <w:szCs w:val="20"/>
                <w:color w:val="auto"/>
              </w:rPr>
            </w:pPr>
            <w:r>
              <w:rPr>
                <w:rFonts w:ascii="Arial" w:cs="Arial" w:eastAsia="Arial" w:hAnsi="Arial"/>
                <w:sz w:val="12"/>
                <w:szCs w:val="12"/>
                <w:color w:val="auto"/>
              </w:rPr>
              <w:t>137,879</w:t>
            </w:r>
            <w:r>
              <w:rPr>
                <w:rFonts w:ascii="Arial" w:cs="Arial" w:eastAsia="Arial" w:hAnsi="Arial"/>
                <w:sz w:val="19"/>
                <w:szCs w:val="19"/>
                <w:color w:val="auto"/>
                <w:vertAlign w:val="superscript"/>
              </w:rPr>
              <w:t>(52)</w:t>
            </w:r>
          </w:p>
        </w:tc>
        <w:tc>
          <w:tcPr>
            <w:tcW w:w="1260" w:type="dxa"/>
            <w:vAlign w:val="bottom"/>
            <w:tcBorders>
              <w:bottom w:val="single" w:sz="8" w:color="125288"/>
            </w:tcBorders>
          </w:tcPr>
          <w:p>
            <w:pPr>
              <w:spacing w:after="0"/>
              <w:rPr>
                <w:sz w:val="17"/>
                <w:szCs w:val="17"/>
                <w:color w:val="auto"/>
              </w:rPr>
            </w:pPr>
          </w:p>
        </w:tc>
        <w:tc>
          <w:tcPr>
            <w:tcW w:w="1200" w:type="dxa"/>
            <w:vAlign w:val="bottom"/>
            <w:tcBorders>
              <w:bottom w:val="single" w:sz="8" w:color="125288"/>
            </w:tcBorders>
          </w:tcPr>
          <w:p>
            <w:pPr>
              <w:jc w:val="right"/>
              <w:ind w:right="21"/>
              <w:spacing w:after="0" w:line="202" w:lineRule="exact"/>
              <w:rPr>
                <w:sz w:val="20"/>
                <w:szCs w:val="20"/>
                <w:color w:val="auto"/>
              </w:rPr>
            </w:pPr>
            <w:r>
              <w:rPr>
                <w:rFonts w:ascii="Arial" w:cs="Arial" w:eastAsia="Arial" w:hAnsi="Arial"/>
                <w:sz w:val="12"/>
                <w:szCs w:val="12"/>
                <w:color w:val="auto"/>
              </w:rPr>
              <w:t>68,939</w:t>
            </w:r>
            <w:r>
              <w:rPr>
                <w:rFonts w:ascii="Arial" w:cs="Arial" w:eastAsia="Arial" w:hAnsi="Arial"/>
                <w:sz w:val="19"/>
                <w:szCs w:val="19"/>
                <w:color w:val="auto"/>
                <w:vertAlign w:val="superscript"/>
              </w:rPr>
              <w:t>(53)</w:t>
            </w:r>
          </w:p>
        </w:tc>
        <w:tc>
          <w:tcPr>
            <w:tcW w:w="760" w:type="dxa"/>
            <w:vAlign w:val="bottom"/>
            <w:tcBorders>
              <w:bottom w:val="single" w:sz="8" w:color="125288"/>
            </w:tcBorders>
          </w:tcPr>
          <w:p>
            <w:pPr>
              <w:jc w:val="right"/>
              <w:ind w:right="141"/>
              <w:spacing w:after="0"/>
              <w:rPr>
                <w:sz w:val="20"/>
                <w:szCs w:val="20"/>
                <w:color w:val="auto"/>
              </w:rPr>
            </w:pPr>
            <w:r>
              <w:rPr>
                <w:rFonts w:ascii="Arial" w:cs="Arial" w:eastAsia="Arial" w:hAnsi="Arial"/>
                <w:sz w:val="12"/>
                <w:szCs w:val="12"/>
                <w:color w:val="auto"/>
              </w:rPr>
              <w:t>73.10</w:t>
            </w:r>
          </w:p>
        </w:tc>
        <w:tc>
          <w:tcPr>
            <w:tcW w:w="900" w:type="dxa"/>
            <w:vAlign w:val="bottom"/>
            <w:tcBorders>
              <w:bottom w:val="single" w:sz="8" w:color="125288"/>
            </w:tcBorders>
            <w:gridSpan w:val="2"/>
          </w:tcPr>
          <w:p>
            <w:pPr>
              <w:jc w:val="right"/>
              <w:ind w:right="120"/>
              <w:spacing w:after="0"/>
              <w:rPr>
                <w:sz w:val="20"/>
                <w:szCs w:val="20"/>
                <w:color w:val="auto"/>
              </w:rPr>
            </w:pPr>
            <w:r>
              <w:rPr>
                <w:rFonts w:ascii="Arial" w:cs="Arial" w:eastAsia="Arial" w:hAnsi="Arial"/>
                <w:sz w:val="12"/>
                <w:szCs w:val="12"/>
                <w:color w:val="auto"/>
              </w:rPr>
              <w:t>5/7/2030</w:t>
            </w:r>
          </w:p>
        </w:tc>
        <w:tc>
          <w:tcPr>
            <w:tcW w:w="960" w:type="dxa"/>
            <w:vAlign w:val="bottom"/>
            <w:tcBorders>
              <w:bottom w:val="single" w:sz="8" w:color="125288"/>
            </w:tcBorders>
          </w:tcPr>
          <w:p>
            <w:pPr>
              <w:spacing w:after="0"/>
              <w:rPr>
                <w:sz w:val="17"/>
                <w:szCs w:val="17"/>
                <w:color w:val="auto"/>
              </w:rPr>
            </w:pPr>
          </w:p>
        </w:tc>
        <w:tc>
          <w:tcPr>
            <w:tcW w:w="820" w:type="dxa"/>
            <w:vAlign w:val="bottom"/>
            <w:tcBorders>
              <w:bottom w:val="single" w:sz="8" w:color="125288"/>
            </w:tcBorders>
          </w:tcPr>
          <w:p>
            <w:pPr>
              <w:spacing w:after="0"/>
              <w:rPr>
                <w:sz w:val="17"/>
                <w:szCs w:val="17"/>
                <w:color w:val="auto"/>
              </w:rPr>
            </w:pPr>
          </w:p>
        </w:tc>
        <w:tc>
          <w:tcPr>
            <w:tcW w:w="1440" w:type="dxa"/>
            <w:vAlign w:val="bottom"/>
            <w:tcBorders>
              <w:bottom w:val="single" w:sz="8" w:color="125288"/>
            </w:tcBorders>
          </w:tcPr>
          <w:p>
            <w:pPr>
              <w:spacing w:after="0"/>
              <w:rPr>
                <w:sz w:val="17"/>
                <w:szCs w:val="17"/>
                <w:color w:val="auto"/>
              </w:rPr>
            </w:pPr>
          </w:p>
        </w:tc>
        <w:tc>
          <w:tcPr>
            <w:tcW w:w="1080" w:type="dxa"/>
            <w:vAlign w:val="bottom"/>
            <w:tcBorders>
              <w:bottom w:val="single" w:sz="8" w:color="125288"/>
            </w:tcBorders>
          </w:tcPr>
          <w:p>
            <w:pPr>
              <w:spacing w:after="0"/>
              <w:rPr>
                <w:sz w:val="17"/>
                <w:szCs w:val="17"/>
                <w:color w:val="auto"/>
              </w:rPr>
            </w:pPr>
          </w:p>
        </w:tc>
        <w:tc>
          <w:tcPr>
            <w:tcW w:w="180" w:type="dxa"/>
            <w:vAlign w:val="bottom"/>
            <w:tcBorders>
              <w:bottom w:val="single" w:sz="8" w:color="125288"/>
            </w:tcBorders>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2660" w:type="dxa"/>
            <w:vAlign w:val="bottom"/>
            <w:gridSpan w:val="3"/>
          </w:tcPr>
          <w:p>
            <w:pPr>
              <w:jc w:val="right"/>
              <w:ind w:right="881"/>
              <w:spacing w:after="0"/>
              <w:rPr>
                <w:sz w:val="20"/>
                <w:szCs w:val="20"/>
                <w:color w:val="auto"/>
              </w:rPr>
            </w:pPr>
            <w:r>
              <w:rPr>
                <w:rFonts w:ascii="Arial" w:cs="Arial" w:eastAsia="Arial" w:hAnsi="Arial"/>
                <w:sz w:val="14"/>
                <w:szCs w:val="14"/>
                <w:color w:val="706F6F"/>
                <w:w w:val="99"/>
              </w:rPr>
              <w:t>www.activisionblizzard.com</w:t>
            </w: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gridSpan w:val="4"/>
          </w:tcPr>
          <w:p>
            <w:pPr>
              <w:jc w:val="right"/>
              <w:ind w:right="201"/>
              <w:spacing w:after="0"/>
              <w:rPr>
                <w:sz w:val="20"/>
                <w:szCs w:val="20"/>
                <w:color w:val="auto"/>
              </w:rPr>
            </w:pPr>
            <w:r>
              <w:rPr>
                <w:rFonts w:ascii="Arial" w:cs="Arial" w:eastAsia="Arial" w:hAnsi="Arial"/>
                <w:sz w:val="14"/>
                <w:szCs w:val="14"/>
                <w:color w:val="706F6F"/>
              </w:rPr>
              <w:t>ACTIVISION BLIZZARD, INC.  2022 Proxy Statement</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706F6F"/>
              </w:rPr>
              <w:t>96</w:t>
            </w:r>
          </w:p>
        </w:tc>
        <w:tc>
          <w:tcPr>
            <w:tcW w:w="0" w:type="dxa"/>
            <w:vAlign w:val="bottom"/>
          </w:tcPr>
          <w:p>
            <w:pPr>
              <w:spacing w:after="0"/>
              <w:rPr>
                <w:sz w:val="1"/>
                <w:szCs w:val="1"/>
                <w:color w:val="auto"/>
              </w:rPr>
            </w:pPr>
          </w:p>
        </w:tc>
      </w:tr>
      <w:tr>
        <w:trPr>
          <w:trHeight w:val="93"/>
        </w:trPr>
        <w:tc>
          <w:tcPr>
            <w:tcW w:w="7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4" w:right="319" w:bottom="1440" w:gutter="0" w:footer="0" w:header="0"/>
        </w:sectPr>
      </w:pPr>
    </w:p>
    <w:bookmarkStart w:id="99" w:name="page100"/>
    <w:bookmarkEnd w:id="99"/>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20" w:type="dxa"/>
            <w:vAlign w:val="bottom"/>
            <w:gridSpan w:val="2"/>
          </w:tcPr>
          <w:p>
            <w:pPr>
              <w:jc w:val="right"/>
              <w:ind w:right="721"/>
              <w:spacing w:after="0"/>
              <w:rPr>
                <w:sz w:val="20"/>
                <w:szCs w:val="20"/>
                <w:color w:val="auto"/>
              </w:rPr>
            </w:pPr>
            <w:r>
              <w:rPr>
                <w:rFonts w:ascii="Arial" w:cs="Arial" w:eastAsia="Arial" w:hAnsi="Arial"/>
                <w:sz w:val="12"/>
                <w:szCs w:val="12"/>
                <w:b w:val="1"/>
                <w:bCs w:val="1"/>
                <w:color w:val="125288"/>
              </w:rPr>
              <w:t>Option Awards</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40" w:type="dxa"/>
            <w:vAlign w:val="bottom"/>
          </w:tcPr>
          <w:p>
            <w:pPr>
              <w:jc w:val="right"/>
              <w:ind w:right="501"/>
              <w:spacing w:after="0"/>
              <w:rPr>
                <w:sz w:val="20"/>
                <w:szCs w:val="20"/>
                <w:color w:val="auto"/>
              </w:rPr>
            </w:pPr>
            <w:r>
              <w:rPr>
                <w:rFonts w:ascii="Arial" w:cs="Arial" w:eastAsia="Arial" w:hAnsi="Arial"/>
                <w:sz w:val="12"/>
                <w:szCs w:val="12"/>
                <w:b w:val="1"/>
                <w:bCs w:val="1"/>
                <w:color w:val="125288"/>
              </w:rPr>
              <w:t>Stock Awards</w:t>
            </w:r>
          </w:p>
        </w:tc>
        <w:tc>
          <w:tcPr>
            <w:tcW w:w="1280" w:type="dxa"/>
            <w:vAlign w:val="bottom"/>
          </w:tcPr>
          <w:p>
            <w:pPr>
              <w:spacing w:after="0"/>
              <w:rPr>
                <w:sz w:val="13"/>
                <w:szCs w:val="13"/>
                <w:color w:val="auto"/>
              </w:rPr>
            </w:pPr>
          </w:p>
        </w:tc>
      </w:tr>
      <w:tr>
        <w:trPr>
          <w:trHeight w:val="41"/>
        </w:trPr>
        <w:tc>
          <w:tcPr>
            <w:tcW w:w="1060" w:type="dxa"/>
            <w:vAlign w:val="bottom"/>
          </w:tcPr>
          <w:p>
            <w:pPr>
              <w:spacing w:after="0"/>
              <w:rPr>
                <w:sz w:val="3"/>
                <w:szCs w:val="3"/>
                <w:color w:val="auto"/>
              </w:rPr>
            </w:pPr>
          </w:p>
        </w:tc>
        <w:tc>
          <w:tcPr>
            <w:tcW w:w="1600" w:type="dxa"/>
            <w:vAlign w:val="bottom"/>
            <w:tcBorders>
              <w:bottom w:val="single" w:sz="8" w:color="125288"/>
            </w:tcBorders>
          </w:tcPr>
          <w:p>
            <w:pPr>
              <w:spacing w:after="0"/>
              <w:rPr>
                <w:sz w:val="3"/>
                <w:szCs w:val="3"/>
                <w:color w:val="auto"/>
              </w:rPr>
            </w:pPr>
          </w:p>
        </w:tc>
        <w:tc>
          <w:tcPr>
            <w:tcW w:w="1160" w:type="dxa"/>
            <w:vAlign w:val="bottom"/>
            <w:tcBorders>
              <w:bottom w:val="single" w:sz="8" w:color="125288"/>
            </w:tcBorders>
          </w:tcPr>
          <w:p>
            <w:pPr>
              <w:spacing w:after="0"/>
              <w:rPr>
                <w:sz w:val="3"/>
                <w:szCs w:val="3"/>
                <w:color w:val="auto"/>
              </w:rPr>
            </w:pPr>
          </w:p>
        </w:tc>
        <w:tc>
          <w:tcPr>
            <w:tcW w:w="1260" w:type="dxa"/>
            <w:vAlign w:val="bottom"/>
            <w:tcBorders>
              <w:bottom w:val="single" w:sz="8" w:color="125288"/>
            </w:tcBorders>
          </w:tcPr>
          <w:p>
            <w:pPr>
              <w:spacing w:after="0"/>
              <w:rPr>
                <w:sz w:val="3"/>
                <w:szCs w:val="3"/>
                <w:color w:val="auto"/>
              </w:rPr>
            </w:pPr>
          </w:p>
        </w:tc>
        <w:tc>
          <w:tcPr>
            <w:tcW w:w="780" w:type="dxa"/>
            <w:vAlign w:val="bottom"/>
            <w:tcBorders>
              <w:bottom w:val="single" w:sz="8" w:color="125288"/>
            </w:tcBorders>
          </w:tcPr>
          <w:p>
            <w:pPr>
              <w:spacing w:after="0"/>
              <w:rPr>
                <w:sz w:val="3"/>
                <w:szCs w:val="3"/>
                <w:color w:val="auto"/>
              </w:rPr>
            </w:pPr>
          </w:p>
        </w:tc>
        <w:tc>
          <w:tcPr>
            <w:tcW w:w="760" w:type="dxa"/>
            <w:vAlign w:val="bottom"/>
            <w:tcBorders>
              <w:bottom w:val="single" w:sz="8" w:color="125288"/>
            </w:tcBorders>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Borders>
              <w:bottom w:val="single" w:sz="8" w:color="125288"/>
            </w:tcBorders>
          </w:tcPr>
          <w:p>
            <w:pPr>
              <w:spacing w:after="0"/>
              <w:rPr>
                <w:sz w:val="3"/>
                <w:szCs w:val="3"/>
                <w:color w:val="auto"/>
              </w:rPr>
            </w:pPr>
          </w:p>
        </w:tc>
        <w:tc>
          <w:tcPr>
            <w:tcW w:w="820" w:type="dxa"/>
            <w:vAlign w:val="bottom"/>
            <w:tcBorders>
              <w:bottom w:val="single" w:sz="8" w:color="125288"/>
            </w:tcBorders>
          </w:tcPr>
          <w:p>
            <w:pPr>
              <w:spacing w:after="0"/>
              <w:rPr>
                <w:sz w:val="3"/>
                <w:szCs w:val="3"/>
                <w:color w:val="auto"/>
              </w:rPr>
            </w:pPr>
          </w:p>
        </w:tc>
        <w:tc>
          <w:tcPr>
            <w:tcW w:w="1440" w:type="dxa"/>
            <w:vAlign w:val="bottom"/>
            <w:tcBorders>
              <w:bottom w:val="single" w:sz="8" w:color="125288"/>
            </w:tcBorders>
          </w:tcPr>
          <w:p>
            <w:pPr>
              <w:spacing w:after="0"/>
              <w:rPr>
                <w:sz w:val="3"/>
                <w:szCs w:val="3"/>
                <w:color w:val="auto"/>
              </w:rPr>
            </w:pPr>
          </w:p>
        </w:tc>
        <w:tc>
          <w:tcPr>
            <w:tcW w:w="1280" w:type="dxa"/>
            <w:vAlign w:val="bottom"/>
            <w:tcBorders>
              <w:bottom w:val="single" w:sz="8" w:color="125288"/>
            </w:tcBorders>
          </w:tcPr>
          <w:p>
            <w:pPr>
              <w:spacing w:after="0"/>
              <w:rPr>
                <w:sz w:val="3"/>
                <w:szCs w:val="3"/>
                <w:color w:val="auto"/>
              </w:rPr>
            </w:pPr>
          </w:p>
        </w:tc>
      </w:tr>
      <w:tr>
        <w:trPr>
          <w:trHeight w:val="176"/>
        </w:trPr>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40" w:type="dxa"/>
            <w:vAlign w:val="bottom"/>
          </w:tcPr>
          <w:p>
            <w:pPr>
              <w:jc w:val="right"/>
              <w:ind w:right="241"/>
              <w:spacing w:after="0"/>
              <w:rPr>
                <w:sz w:val="20"/>
                <w:szCs w:val="20"/>
                <w:color w:val="auto"/>
              </w:rPr>
            </w:pPr>
            <w:r>
              <w:rPr>
                <w:rFonts w:ascii="Arial" w:cs="Arial" w:eastAsia="Arial" w:hAnsi="Arial"/>
                <w:sz w:val="12"/>
                <w:szCs w:val="12"/>
                <w:b w:val="1"/>
                <w:bCs w:val="1"/>
                <w:color w:val="125288"/>
              </w:rPr>
              <w:t>Equity</w:t>
            </w:r>
          </w:p>
        </w:tc>
        <w:tc>
          <w:tcPr>
            <w:tcW w:w="1280" w:type="dxa"/>
            <w:vAlign w:val="bottom"/>
          </w:tcPr>
          <w:p>
            <w:pPr>
              <w:jc w:val="right"/>
              <w:ind w:right="121"/>
              <w:spacing w:after="0"/>
              <w:rPr>
                <w:sz w:val="20"/>
                <w:szCs w:val="20"/>
                <w:color w:val="auto"/>
              </w:rPr>
            </w:pPr>
            <w:r>
              <w:rPr>
                <w:rFonts w:ascii="Arial" w:cs="Arial" w:eastAsia="Arial" w:hAnsi="Arial"/>
                <w:sz w:val="12"/>
                <w:szCs w:val="12"/>
                <w:b w:val="1"/>
                <w:bCs w:val="1"/>
                <w:color w:val="125288"/>
              </w:rPr>
              <w:t>Equity Incentive</w:t>
            </w:r>
          </w:p>
        </w:tc>
      </w:tr>
      <w:tr>
        <w:trPr>
          <w:trHeight w:val="166"/>
        </w:trPr>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jc w:val="right"/>
              <w:ind w:right="201"/>
              <w:spacing w:after="0"/>
              <w:rPr>
                <w:sz w:val="20"/>
                <w:szCs w:val="20"/>
                <w:color w:val="auto"/>
              </w:rPr>
            </w:pPr>
            <w:r>
              <w:rPr>
                <w:rFonts w:ascii="Arial" w:cs="Arial" w:eastAsia="Arial" w:hAnsi="Arial"/>
                <w:sz w:val="12"/>
                <w:szCs w:val="12"/>
                <w:b w:val="1"/>
                <w:bCs w:val="1"/>
                <w:color w:val="125288"/>
              </w:rPr>
              <w:t>Equity</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61"/>
              <w:spacing w:after="0"/>
              <w:rPr>
                <w:sz w:val="20"/>
                <w:szCs w:val="20"/>
                <w:color w:val="auto"/>
              </w:rPr>
            </w:pPr>
            <w:r>
              <w:rPr>
                <w:rFonts w:ascii="Arial" w:cs="Arial" w:eastAsia="Arial" w:hAnsi="Arial"/>
                <w:sz w:val="12"/>
                <w:szCs w:val="12"/>
                <w:b w:val="1"/>
                <w:bCs w:val="1"/>
                <w:color w:val="125288"/>
              </w:rPr>
              <w:t>Number</w:t>
            </w:r>
          </w:p>
        </w:tc>
        <w:tc>
          <w:tcPr>
            <w:tcW w:w="820" w:type="dxa"/>
            <w:vAlign w:val="bottom"/>
          </w:tcPr>
          <w:p>
            <w:pPr>
              <w:spacing w:after="0"/>
              <w:rPr>
                <w:sz w:val="14"/>
                <w:szCs w:val="14"/>
                <w:color w:val="auto"/>
              </w:rPr>
            </w:pPr>
          </w:p>
        </w:tc>
        <w:tc>
          <w:tcPr>
            <w:tcW w:w="1440" w:type="dxa"/>
            <w:vAlign w:val="bottom"/>
          </w:tcPr>
          <w:p>
            <w:pPr>
              <w:jc w:val="right"/>
              <w:ind w:right="241"/>
              <w:spacing w:after="0"/>
              <w:rPr>
                <w:sz w:val="20"/>
                <w:szCs w:val="20"/>
                <w:color w:val="auto"/>
              </w:rPr>
            </w:pPr>
            <w:r>
              <w:rPr>
                <w:rFonts w:ascii="Arial" w:cs="Arial" w:eastAsia="Arial" w:hAnsi="Arial"/>
                <w:sz w:val="12"/>
                <w:szCs w:val="12"/>
                <w:b w:val="1"/>
                <w:bCs w:val="1"/>
                <w:color w:val="125288"/>
              </w:rPr>
              <w:t>Incentive Plan</w:t>
            </w:r>
          </w:p>
        </w:tc>
        <w:tc>
          <w:tcPr>
            <w:tcW w:w="1280" w:type="dxa"/>
            <w:vAlign w:val="bottom"/>
          </w:tcPr>
          <w:p>
            <w:pPr>
              <w:jc w:val="right"/>
              <w:ind w:right="121"/>
              <w:spacing w:after="0"/>
              <w:rPr>
                <w:sz w:val="20"/>
                <w:szCs w:val="20"/>
                <w:color w:val="auto"/>
              </w:rPr>
            </w:pPr>
            <w:r>
              <w:rPr>
                <w:rFonts w:ascii="Arial" w:cs="Arial" w:eastAsia="Arial" w:hAnsi="Arial"/>
                <w:sz w:val="12"/>
                <w:szCs w:val="12"/>
                <w:b w:val="1"/>
                <w:bCs w:val="1"/>
                <w:color w:val="125288"/>
              </w:rPr>
              <w:t>Plan Awards:</w:t>
            </w:r>
          </w:p>
        </w:tc>
      </w:tr>
      <w:tr>
        <w:trPr>
          <w:trHeight w:val="166"/>
        </w:trPr>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jc w:val="right"/>
              <w:ind w:right="201"/>
              <w:spacing w:after="0"/>
              <w:rPr>
                <w:sz w:val="20"/>
                <w:szCs w:val="20"/>
                <w:color w:val="auto"/>
              </w:rPr>
            </w:pPr>
            <w:r>
              <w:rPr>
                <w:rFonts w:ascii="Arial" w:cs="Arial" w:eastAsia="Arial" w:hAnsi="Arial"/>
                <w:sz w:val="12"/>
                <w:szCs w:val="12"/>
                <w:b w:val="1"/>
                <w:bCs w:val="1"/>
                <w:color w:val="125288"/>
              </w:rPr>
              <w:t>Incentive Plan</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61"/>
              <w:spacing w:after="0"/>
              <w:rPr>
                <w:sz w:val="20"/>
                <w:szCs w:val="20"/>
                <w:color w:val="auto"/>
              </w:rPr>
            </w:pPr>
            <w:r>
              <w:rPr>
                <w:rFonts w:ascii="Arial" w:cs="Arial" w:eastAsia="Arial" w:hAnsi="Arial"/>
                <w:sz w:val="12"/>
                <w:szCs w:val="12"/>
                <w:b w:val="1"/>
                <w:bCs w:val="1"/>
                <w:color w:val="125288"/>
              </w:rPr>
              <w:t>of</w:t>
            </w:r>
          </w:p>
        </w:tc>
        <w:tc>
          <w:tcPr>
            <w:tcW w:w="820" w:type="dxa"/>
            <w:vAlign w:val="bottom"/>
          </w:tcPr>
          <w:p>
            <w:pPr>
              <w:jc w:val="right"/>
              <w:ind w:right="21"/>
              <w:spacing w:after="0"/>
              <w:rPr>
                <w:sz w:val="20"/>
                <w:szCs w:val="20"/>
                <w:color w:val="auto"/>
              </w:rPr>
            </w:pPr>
            <w:r>
              <w:rPr>
                <w:rFonts w:ascii="Arial" w:cs="Arial" w:eastAsia="Arial" w:hAnsi="Arial"/>
                <w:sz w:val="12"/>
                <w:szCs w:val="12"/>
                <w:b w:val="1"/>
                <w:bCs w:val="1"/>
                <w:color w:val="125288"/>
              </w:rPr>
              <w:t>Market</w:t>
            </w:r>
          </w:p>
        </w:tc>
        <w:tc>
          <w:tcPr>
            <w:tcW w:w="1440" w:type="dxa"/>
            <w:vAlign w:val="bottom"/>
          </w:tcPr>
          <w:p>
            <w:pPr>
              <w:jc w:val="right"/>
              <w:ind w:right="241"/>
              <w:spacing w:after="0"/>
              <w:rPr>
                <w:sz w:val="20"/>
                <w:szCs w:val="20"/>
                <w:color w:val="auto"/>
              </w:rPr>
            </w:pPr>
            <w:r>
              <w:rPr>
                <w:rFonts w:ascii="Arial" w:cs="Arial" w:eastAsia="Arial" w:hAnsi="Arial"/>
                <w:sz w:val="12"/>
                <w:szCs w:val="12"/>
                <w:b w:val="1"/>
                <w:bCs w:val="1"/>
                <w:color w:val="125288"/>
              </w:rPr>
              <w:t>Awards:</w:t>
            </w:r>
          </w:p>
        </w:tc>
        <w:tc>
          <w:tcPr>
            <w:tcW w:w="1280" w:type="dxa"/>
            <w:vAlign w:val="bottom"/>
          </w:tcPr>
          <w:p>
            <w:pPr>
              <w:jc w:val="right"/>
              <w:ind w:right="121"/>
              <w:spacing w:after="0"/>
              <w:rPr>
                <w:sz w:val="20"/>
                <w:szCs w:val="20"/>
                <w:color w:val="auto"/>
              </w:rPr>
            </w:pPr>
            <w:r>
              <w:rPr>
                <w:rFonts w:ascii="Arial" w:cs="Arial" w:eastAsia="Arial" w:hAnsi="Arial"/>
                <w:sz w:val="12"/>
                <w:szCs w:val="12"/>
                <w:b w:val="1"/>
                <w:bCs w:val="1"/>
                <w:color w:val="125288"/>
              </w:rPr>
              <w:t>Market or</w:t>
            </w:r>
          </w:p>
        </w:tc>
      </w:tr>
      <w:tr>
        <w:trPr>
          <w:trHeight w:val="166"/>
        </w:trPr>
        <w:tc>
          <w:tcPr>
            <w:tcW w:w="1060" w:type="dxa"/>
            <w:vAlign w:val="bottom"/>
          </w:tcPr>
          <w:p>
            <w:pPr>
              <w:spacing w:after="0"/>
              <w:rPr>
                <w:sz w:val="14"/>
                <w:szCs w:val="14"/>
                <w:color w:val="auto"/>
              </w:rPr>
            </w:pPr>
          </w:p>
        </w:tc>
        <w:tc>
          <w:tcPr>
            <w:tcW w:w="1600" w:type="dxa"/>
            <w:vAlign w:val="bottom"/>
          </w:tcPr>
          <w:p>
            <w:pPr>
              <w:jc w:val="right"/>
              <w:ind w:right="261"/>
              <w:spacing w:after="0"/>
              <w:rPr>
                <w:sz w:val="20"/>
                <w:szCs w:val="20"/>
                <w:color w:val="auto"/>
              </w:rPr>
            </w:pPr>
            <w:r>
              <w:rPr>
                <w:rFonts w:ascii="Arial" w:cs="Arial" w:eastAsia="Arial" w:hAnsi="Arial"/>
                <w:sz w:val="12"/>
                <w:szCs w:val="12"/>
                <w:b w:val="1"/>
                <w:bCs w:val="1"/>
                <w:color w:val="125288"/>
              </w:rPr>
              <w:t>Number of</w:t>
            </w:r>
          </w:p>
        </w:tc>
        <w:tc>
          <w:tcPr>
            <w:tcW w:w="1160" w:type="dxa"/>
            <w:vAlign w:val="bottom"/>
          </w:tcPr>
          <w:p>
            <w:pPr>
              <w:jc w:val="right"/>
              <w:ind w:right="141"/>
              <w:spacing w:after="0"/>
              <w:rPr>
                <w:sz w:val="20"/>
                <w:szCs w:val="20"/>
                <w:color w:val="auto"/>
              </w:rPr>
            </w:pPr>
            <w:r>
              <w:rPr>
                <w:rFonts w:ascii="Arial" w:cs="Arial" w:eastAsia="Arial" w:hAnsi="Arial"/>
                <w:sz w:val="12"/>
                <w:szCs w:val="12"/>
                <w:b w:val="1"/>
                <w:bCs w:val="1"/>
                <w:color w:val="125288"/>
              </w:rPr>
              <w:t>Number of</w:t>
            </w:r>
          </w:p>
        </w:tc>
        <w:tc>
          <w:tcPr>
            <w:tcW w:w="1260" w:type="dxa"/>
            <w:vAlign w:val="bottom"/>
          </w:tcPr>
          <w:p>
            <w:pPr>
              <w:jc w:val="right"/>
              <w:ind w:right="201"/>
              <w:spacing w:after="0"/>
              <w:rPr>
                <w:sz w:val="20"/>
                <w:szCs w:val="20"/>
                <w:color w:val="auto"/>
              </w:rPr>
            </w:pPr>
            <w:r>
              <w:rPr>
                <w:rFonts w:ascii="Arial" w:cs="Arial" w:eastAsia="Arial" w:hAnsi="Arial"/>
                <w:sz w:val="12"/>
                <w:szCs w:val="12"/>
                <w:b w:val="1"/>
                <w:bCs w:val="1"/>
                <w:color w:val="125288"/>
              </w:rPr>
              <w:t>Awards:</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61"/>
              <w:spacing w:after="0"/>
              <w:rPr>
                <w:sz w:val="20"/>
                <w:szCs w:val="20"/>
                <w:color w:val="auto"/>
              </w:rPr>
            </w:pPr>
            <w:r>
              <w:rPr>
                <w:rFonts w:ascii="Arial" w:cs="Arial" w:eastAsia="Arial" w:hAnsi="Arial"/>
                <w:sz w:val="12"/>
                <w:szCs w:val="12"/>
                <w:b w:val="1"/>
                <w:bCs w:val="1"/>
                <w:color w:val="125288"/>
              </w:rPr>
              <w:t>Shares</w:t>
            </w:r>
          </w:p>
        </w:tc>
        <w:tc>
          <w:tcPr>
            <w:tcW w:w="820" w:type="dxa"/>
            <w:vAlign w:val="bottom"/>
          </w:tcPr>
          <w:p>
            <w:pPr>
              <w:jc w:val="right"/>
              <w:ind w:right="21"/>
              <w:spacing w:after="0"/>
              <w:rPr>
                <w:sz w:val="20"/>
                <w:szCs w:val="20"/>
                <w:color w:val="auto"/>
              </w:rPr>
            </w:pPr>
            <w:r>
              <w:rPr>
                <w:rFonts w:ascii="Arial" w:cs="Arial" w:eastAsia="Arial" w:hAnsi="Arial"/>
                <w:sz w:val="12"/>
                <w:szCs w:val="12"/>
                <w:b w:val="1"/>
                <w:bCs w:val="1"/>
                <w:color w:val="125288"/>
              </w:rPr>
              <w:t>Value of</w:t>
            </w:r>
          </w:p>
        </w:tc>
        <w:tc>
          <w:tcPr>
            <w:tcW w:w="1440" w:type="dxa"/>
            <w:vAlign w:val="bottom"/>
          </w:tcPr>
          <w:p>
            <w:pPr>
              <w:jc w:val="right"/>
              <w:ind w:right="241"/>
              <w:spacing w:after="0"/>
              <w:rPr>
                <w:sz w:val="20"/>
                <w:szCs w:val="20"/>
                <w:color w:val="auto"/>
              </w:rPr>
            </w:pPr>
            <w:r>
              <w:rPr>
                <w:rFonts w:ascii="Arial" w:cs="Arial" w:eastAsia="Arial" w:hAnsi="Arial"/>
                <w:sz w:val="12"/>
                <w:szCs w:val="12"/>
                <w:b w:val="1"/>
                <w:bCs w:val="1"/>
                <w:color w:val="125288"/>
              </w:rPr>
              <w:t>Number of</w:t>
            </w:r>
          </w:p>
        </w:tc>
        <w:tc>
          <w:tcPr>
            <w:tcW w:w="1280" w:type="dxa"/>
            <w:vAlign w:val="bottom"/>
          </w:tcPr>
          <w:p>
            <w:pPr>
              <w:jc w:val="right"/>
              <w:ind w:right="121"/>
              <w:spacing w:after="0"/>
              <w:rPr>
                <w:sz w:val="20"/>
                <w:szCs w:val="20"/>
                <w:color w:val="auto"/>
              </w:rPr>
            </w:pPr>
            <w:r>
              <w:rPr>
                <w:rFonts w:ascii="Arial" w:cs="Arial" w:eastAsia="Arial" w:hAnsi="Arial"/>
                <w:sz w:val="12"/>
                <w:szCs w:val="12"/>
                <w:b w:val="1"/>
                <w:bCs w:val="1"/>
                <w:color w:val="125288"/>
              </w:rPr>
              <w:t>Payout Value of</w:t>
            </w:r>
          </w:p>
        </w:tc>
      </w:tr>
      <w:tr>
        <w:trPr>
          <w:trHeight w:val="166"/>
        </w:trPr>
        <w:tc>
          <w:tcPr>
            <w:tcW w:w="1060" w:type="dxa"/>
            <w:vAlign w:val="bottom"/>
          </w:tcPr>
          <w:p>
            <w:pPr>
              <w:spacing w:after="0"/>
              <w:rPr>
                <w:sz w:val="14"/>
                <w:szCs w:val="14"/>
                <w:color w:val="auto"/>
              </w:rPr>
            </w:pPr>
          </w:p>
        </w:tc>
        <w:tc>
          <w:tcPr>
            <w:tcW w:w="1600" w:type="dxa"/>
            <w:vAlign w:val="bottom"/>
          </w:tcPr>
          <w:p>
            <w:pPr>
              <w:jc w:val="right"/>
              <w:ind w:right="261"/>
              <w:spacing w:after="0"/>
              <w:rPr>
                <w:sz w:val="20"/>
                <w:szCs w:val="20"/>
                <w:color w:val="auto"/>
              </w:rPr>
            </w:pPr>
            <w:r>
              <w:rPr>
                <w:rFonts w:ascii="Arial" w:cs="Arial" w:eastAsia="Arial" w:hAnsi="Arial"/>
                <w:sz w:val="12"/>
                <w:szCs w:val="12"/>
                <w:b w:val="1"/>
                <w:bCs w:val="1"/>
                <w:color w:val="125288"/>
              </w:rPr>
              <w:t>Securities</w:t>
            </w:r>
          </w:p>
        </w:tc>
        <w:tc>
          <w:tcPr>
            <w:tcW w:w="1160" w:type="dxa"/>
            <w:vAlign w:val="bottom"/>
          </w:tcPr>
          <w:p>
            <w:pPr>
              <w:jc w:val="right"/>
              <w:ind w:right="141"/>
              <w:spacing w:after="0"/>
              <w:rPr>
                <w:sz w:val="20"/>
                <w:szCs w:val="20"/>
                <w:color w:val="auto"/>
              </w:rPr>
            </w:pPr>
            <w:r>
              <w:rPr>
                <w:rFonts w:ascii="Arial" w:cs="Arial" w:eastAsia="Arial" w:hAnsi="Arial"/>
                <w:sz w:val="12"/>
                <w:szCs w:val="12"/>
                <w:b w:val="1"/>
                <w:bCs w:val="1"/>
                <w:color w:val="125288"/>
              </w:rPr>
              <w:t>Securities</w:t>
            </w:r>
          </w:p>
        </w:tc>
        <w:tc>
          <w:tcPr>
            <w:tcW w:w="1260" w:type="dxa"/>
            <w:vAlign w:val="bottom"/>
          </w:tcPr>
          <w:p>
            <w:pPr>
              <w:jc w:val="right"/>
              <w:ind w:right="201"/>
              <w:spacing w:after="0"/>
              <w:rPr>
                <w:sz w:val="20"/>
                <w:szCs w:val="20"/>
                <w:color w:val="auto"/>
              </w:rPr>
            </w:pPr>
            <w:r>
              <w:rPr>
                <w:rFonts w:ascii="Arial" w:cs="Arial" w:eastAsia="Arial" w:hAnsi="Arial"/>
                <w:sz w:val="12"/>
                <w:szCs w:val="12"/>
                <w:b w:val="1"/>
                <w:bCs w:val="1"/>
                <w:color w:val="125288"/>
              </w:rPr>
              <w:t>Number of</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61"/>
              <w:spacing w:after="0"/>
              <w:rPr>
                <w:sz w:val="20"/>
                <w:szCs w:val="20"/>
                <w:color w:val="auto"/>
              </w:rPr>
            </w:pPr>
            <w:r>
              <w:rPr>
                <w:rFonts w:ascii="Arial" w:cs="Arial" w:eastAsia="Arial" w:hAnsi="Arial"/>
                <w:sz w:val="12"/>
                <w:szCs w:val="12"/>
                <w:b w:val="1"/>
                <w:bCs w:val="1"/>
                <w:color w:val="125288"/>
              </w:rPr>
              <w:t>or Units</w:t>
            </w:r>
          </w:p>
        </w:tc>
        <w:tc>
          <w:tcPr>
            <w:tcW w:w="820" w:type="dxa"/>
            <w:vAlign w:val="bottom"/>
          </w:tcPr>
          <w:p>
            <w:pPr>
              <w:jc w:val="right"/>
              <w:ind w:right="21"/>
              <w:spacing w:after="0"/>
              <w:rPr>
                <w:sz w:val="20"/>
                <w:szCs w:val="20"/>
                <w:color w:val="auto"/>
              </w:rPr>
            </w:pPr>
            <w:r>
              <w:rPr>
                <w:rFonts w:ascii="Arial" w:cs="Arial" w:eastAsia="Arial" w:hAnsi="Arial"/>
                <w:sz w:val="12"/>
                <w:szCs w:val="12"/>
                <w:b w:val="1"/>
                <w:bCs w:val="1"/>
                <w:color w:val="125288"/>
              </w:rPr>
              <w:t>Shares or</w:t>
            </w:r>
          </w:p>
        </w:tc>
        <w:tc>
          <w:tcPr>
            <w:tcW w:w="1440" w:type="dxa"/>
            <w:vAlign w:val="bottom"/>
          </w:tcPr>
          <w:p>
            <w:pPr>
              <w:jc w:val="right"/>
              <w:ind w:right="241"/>
              <w:spacing w:after="0"/>
              <w:rPr>
                <w:sz w:val="20"/>
                <w:szCs w:val="20"/>
                <w:color w:val="auto"/>
              </w:rPr>
            </w:pPr>
            <w:r>
              <w:rPr>
                <w:rFonts w:ascii="Arial" w:cs="Arial" w:eastAsia="Arial" w:hAnsi="Arial"/>
                <w:sz w:val="12"/>
                <w:szCs w:val="12"/>
                <w:b w:val="1"/>
                <w:bCs w:val="1"/>
                <w:color w:val="125288"/>
              </w:rPr>
              <w:t>Unearned</w:t>
            </w:r>
          </w:p>
        </w:tc>
        <w:tc>
          <w:tcPr>
            <w:tcW w:w="1280" w:type="dxa"/>
            <w:vAlign w:val="bottom"/>
          </w:tcPr>
          <w:p>
            <w:pPr>
              <w:jc w:val="right"/>
              <w:ind w:right="121"/>
              <w:spacing w:after="0"/>
              <w:rPr>
                <w:sz w:val="20"/>
                <w:szCs w:val="20"/>
                <w:color w:val="auto"/>
              </w:rPr>
            </w:pPr>
            <w:r>
              <w:rPr>
                <w:rFonts w:ascii="Arial" w:cs="Arial" w:eastAsia="Arial" w:hAnsi="Arial"/>
                <w:sz w:val="12"/>
                <w:szCs w:val="12"/>
                <w:b w:val="1"/>
                <w:bCs w:val="1"/>
                <w:color w:val="125288"/>
              </w:rPr>
              <w:t>Unearned</w:t>
            </w:r>
          </w:p>
        </w:tc>
      </w:tr>
      <w:tr>
        <w:trPr>
          <w:trHeight w:val="166"/>
        </w:trPr>
        <w:tc>
          <w:tcPr>
            <w:tcW w:w="1060" w:type="dxa"/>
            <w:vAlign w:val="bottom"/>
          </w:tcPr>
          <w:p>
            <w:pPr>
              <w:spacing w:after="0"/>
              <w:rPr>
                <w:sz w:val="14"/>
                <w:szCs w:val="14"/>
                <w:color w:val="auto"/>
              </w:rPr>
            </w:pPr>
          </w:p>
        </w:tc>
        <w:tc>
          <w:tcPr>
            <w:tcW w:w="1600" w:type="dxa"/>
            <w:vAlign w:val="bottom"/>
          </w:tcPr>
          <w:p>
            <w:pPr>
              <w:jc w:val="right"/>
              <w:ind w:right="261"/>
              <w:spacing w:after="0"/>
              <w:rPr>
                <w:sz w:val="20"/>
                <w:szCs w:val="20"/>
                <w:color w:val="auto"/>
              </w:rPr>
            </w:pPr>
            <w:r>
              <w:rPr>
                <w:rFonts w:ascii="Arial" w:cs="Arial" w:eastAsia="Arial" w:hAnsi="Arial"/>
                <w:sz w:val="12"/>
                <w:szCs w:val="12"/>
                <w:b w:val="1"/>
                <w:bCs w:val="1"/>
                <w:color w:val="125288"/>
              </w:rPr>
              <w:t>Underlying</w:t>
            </w:r>
          </w:p>
        </w:tc>
        <w:tc>
          <w:tcPr>
            <w:tcW w:w="1160" w:type="dxa"/>
            <w:vAlign w:val="bottom"/>
          </w:tcPr>
          <w:p>
            <w:pPr>
              <w:jc w:val="right"/>
              <w:ind w:right="141"/>
              <w:spacing w:after="0"/>
              <w:rPr>
                <w:sz w:val="20"/>
                <w:szCs w:val="20"/>
                <w:color w:val="auto"/>
              </w:rPr>
            </w:pPr>
            <w:r>
              <w:rPr>
                <w:rFonts w:ascii="Arial" w:cs="Arial" w:eastAsia="Arial" w:hAnsi="Arial"/>
                <w:sz w:val="12"/>
                <w:szCs w:val="12"/>
                <w:b w:val="1"/>
                <w:bCs w:val="1"/>
                <w:color w:val="125288"/>
              </w:rPr>
              <w:t>Underlying</w:t>
            </w:r>
          </w:p>
        </w:tc>
        <w:tc>
          <w:tcPr>
            <w:tcW w:w="1260" w:type="dxa"/>
            <w:vAlign w:val="bottom"/>
          </w:tcPr>
          <w:p>
            <w:pPr>
              <w:jc w:val="right"/>
              <w:ind w:right="201"/>
              <w:spacing w:after="0"/>
              <w:rPr>
                <w:sz w:val="20"/>
                <w:szCs w:val="20"/>
                <w:color w:val="auto"/>
              </w:rPr>
            </w:pPr>
            <w:r>
              <w:rPr>
                <w:rFonts w:ascii="Arial" w:cs="Arial" w:eastAsia="Arial" w:hAnsi="Arial"/>
                <w:sz w:val="12"/>
                <w:szCs w:val="12"/>
                <w:b w:val="1"/>
                <w:bCs w:val="1"/>
                <w:color w:val="125288"/>
              </w:rPr>
              <w:t>Securities</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61"/>
              <w:spacing w:after="0"/>
              <w:rPr>
                <w:sz w:val="20"/>
                <w:szCs w:val="20"/>
                <w:color w:val="auto"/>
              </w:rPr>
            </w:pPr>
            <w:r>
              <w:rPr>
                <w:rFonts w:ascii="Arial" w:cs="Arial" w:eastAsia="Arial" w:hAnsi="Arial"/>
                <w:sz w:val="12"/>
                <w:szCs w:val="12"/>
                <w:b w:val="1"/>
                <w:bCs w:val="1"/>
                <w:color w:val="125288"/>
              </w:rPr>
              <w:t>of Stock</w:t>
            </w:r>
          </w:p>
        </w:tc>
        <w:tc>
          <w:tcPr>
            <w:tcW w:w="820" w:type="dxa"/>
            <w:vAlign w:val="bottom"/>
          </w:tcPr>
          <w:p>
            <w:pPr>
              <w:jc w:val="right"/>
              <w:ind w:right="21"/>
              <w:spacing w:after="0"/>
              <w:rPr>
                <w:sz w:val="20"/>
                <w:szCs w:val="20"/>
                <w:color w:val="auto"/>
              </w:rPr>
            </w:pPr>
            <w:r>
              <w:rPr>
                <w:rFonts w:ascii="Arial" w:cs="Arial" w:eastAsia="Arial" w:hAnsi="Arial"/>
                <w:sz w:val="12"/>
                <w:szCs w:val="12"/>
                <w:b w:val="1"/>
                <w:bCs w:val="1"/>
                <w:color w:val="125288"/>
              </w:rPr>
              <w:t>Units of</w:t>
            </w:r>
          </w:p>
        </w:tc>
        <w:tc>
          <w:tcPr>
            <w:tcW w:w="1440" w:type="dxa"/>
            <w:vAlign w:val="bottom"/>
          </w:tcPr>
          <w:p>
            <w:pPr>
              <w:jc w:val="right"/>
              <w:ind w:right="241"/>
              <w:spacing w:after="0"/>
              <w:rPr>
                <w:sz w:val="20"/>
                <w:szCs w:val="20"/>
                <w:color w:val="auto"/>
              </w:rPr>
            </w:pPr>
            <w:r>
              <w:rPr>
                <w:rFonts w:ascii="Arial" w:cs="Arial" w:eastAsia="Arial" w:hAnsi="Arial"/>
                <w:sz w:val="12"/>
                <w:szCs w:val="12"/>
                <w:b w:val="1"/>
                <w:bCs w:val="1"/>
                <w:color w:val="125288"/>
              </w:rPr>
              <w:t>Shares, Units,</w:t>
            </w:r>
          </w:p>
        </w:tc>
        <w:tc>
          <w:tcPr>
            <w:tcW w:w="1280" w:type="dxa"/>
            <w:vAlign w:val="bottom"/>
          </w:tcPr>
          <w:p>
            <w:pPr>
              <w:jc w:val="right"/>
              <w:ind w:right="121"/>
              <w:spacing w:after="0"/>
              <w:rPr>
                <w:sz w:val="20"/>
                <w:szCs w:val="20"/>
                <w:color w:val="auto"/>
              </w:rPr>
            </w:pPr>
            <w:r>
              <w:rPr>
                <w:rFonts w:ascii="Arial" w:cs="Arial" w:eastAsia="Arial" w:hAnsi="Arial"/>
                <w:sz w:val="12"/>
                <w:szCs w:val="12"/>
                <w:b w:val="1"/>
                <w:bCs w:val="1"/>
                <w:color w:val="125288"/>
              </w:rPr>
              <w:t>Shares, Units, or</w:t>
            </w:r>
          </w:p>
        </w:tc>
      </w:tr>
      <w:tr>
        <w:trPr>
          <w:trHeight w:val="166"/>
        </w:trPr>
        <w:tc>
          <w:tcPr>
            <w:tcW w:w="1060" w:type="dxa"/>
            <w:vAlign w:val="bottom"/>
          </w:tcPr>
          <w:p>
            <w:pPr>
              <w:spacing w:after="0"/>
              <w:rPr>
                <w:sz w:val="14"/>
                <w:szCs w:val="14"/>
                <w:color w:val="auto"/>
              </w:rPr>
            </w:pPr>
          </w:p>
        </w:tc>
        <w:tc>
          <w:tcPr>
            <w:tcW w:w="1600" w:type="dxa"/>
            <w:vAlign w:val="bottom"/>
          </w:tcPr>
          <w:p>
            <w:pPr>
              <w:jc w:val="right"/>
              <w:ind w:right="261"/>
              <w:spacing w:after="0"/>
              <w:rPr>
                <w:sz w:val="20"/>
                <w:szCs w:val="20"/>
                <w:color w:val="auto"/>
              </w:rPr>
            </w:pPr>
            <w:r>
              <w:rPr>
                <w:rFonts w:ascii="Arial" w:cs="Arial" w:eastAsia="Arial" w:hAnsi="Arial"/>
                <w:sz w:val="12"/>
                <w:szCs w:val="12"/>
                <w:b w:val="1"/>
                <w:bCs w:val="1"/>
                <w:color w:val="125288"/>
              </w:rPr>
              <w:t>Unexercised</w:t>
            </w:r>
          </w:p>
        </w:tc>
        <w:tc>
          <w:tcPr>
            <w:tcW w:w="1160" w:type="dxa"/>
            <w:vAlign w:val="bottom"/>
          </w:tcPr>
          <w:p>
            <w:pPr>
              <w:jc w:val="right"/>
              <w:ind w:right="141"/>
              <w:spacing w:after="0"/>
              <w:rPr>
                <w:sz w:val="20"/>
                <w:szCs w:val="20"/>
                <w:color w:val="auto"/>
              </w:rPr>
            </w:pPr>
            <w:r>
              <w:rPr>
                <w:rFonts w:ascii="Arial" w:cs="Arial" w:eastAsia="Arial" w:hAnsi="Arial"/>
                <w:sz w:val="12"/>
                <w:szCs w:val="12"/>
                <w:b w:val="1"/>
                <w:bCs w:val="1"/>
                <w:color w:val="125288"/>
              </w:rPr>
              <w:t>Unexercised</w:t>
            </w:r>
          </w:p>
        </w:tc>
        <w:tc>
          <w:tcPr>
            <w:tcW w:w="1260" w:type="dxa"/>
            <w:vAlign w:val="bottom"/>
          </w:tcPr>
          <w:p>
            <w:pPr>
              <w:jc w:val="right"/>
              <w:ind w:right="201"/>
              <w:spacing w:after="0"/>
              <w:rPr>
                <w:sz w:val="20"/>
                <w:szCs w:val="20"/>
                <w:color w:val="auto"/>
              </w:rPr>
            </w:pPr>
            <w:r>
              <w:rPr>
                <w:rFonts w:ascii="Arial" w:cs="Arial" w:eastAsia="Arial" w:hAnsi="Arial"/>
                <w:sz w:val="12"/>
                <w:szCs w:val="12"/>
                <w:b w:val="1"/>
                <w:bCs w:val="1"/>
                <w:color w:val="125288"/>
              </w:rPr>
              <w:t>Underlying</w:t>
            </w:r>
          </w:p>
        </w:tc>
        <w:tc>
          <w:tcPr>
            <w:tcW w:w="780" w:type="dxa"/>
            <w:vAlign w:val="bottom"/>
          </w:tcPr>
          <w:p>
            <w:pPr>
              <w:jc w:val="right"/>
              <w:ind w:right="141"/>
              <w:spacing w:after="0"/>
              <w:rPr>
                <w:sz w:val="20"/>
                <w:szCs w:val="20"/>
                <w:color w:val="auto"/>
              </w:rPr>
            </w:pPr>
            <w:r>
              <w:rPr>
                <w:rFonts w:ascii="Arial" w:cs="Arial" w:eastAsia="Arial" w:hAnsi="Arial"/>
                <w:sz w:val="12"/>
                <w:szCs w:val="12"/>
                <w:b w:val="1"/>
                <w:bCs w:val="1"/>
                <w:color w:val="125288"/>
              </w:rPr>
              <w:t>Option</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61"/>
              <w:spacing w:after="0"/>
              <w:rPr>
                <w:sz w:val="20"/>
                <w:szCs w:val="20"/>
                <w:color w:val="auto"/>
              </w:rPr>
            </w:pPr>
            <w:r>
              <w:rPr>
                <w:rFonts w:ascii="Arial" w:cs="Arial" w:eastAsia="Arial" w:hAnsi="Arial"/>
                <w:sz w:val="12"/>
                <w:szCs w:val="12"/>
                <w:b w:val="1"/>
                <w:bCs w:val="1"/>
                <w:color w:val="125288"/>
              </w:rPr>
              <w:t>That</w:t>
            </w:r>
          </w:p>
        </w:tc>
        <w:tc>
          <w:tcPr>
            <w:tcW w:w="820" w:type="dxa"/>
            <w:vAlign w:val="bottom"/>
          </w:tcPr>
          <w:p>
            <w:pPr>
              <w:jc w:val="right"/>
              <w:ind w:right="21"/>
              <w:spacing w:after="0"/>
              <w:rPr>
                <w:sz w:val="20"/>
                <w:szCs w:val="20"/>
                <w:color w:val="auto"/>
              </w:rPr>
            </w:pPr>
            <w:r>
              <w:rPr>
                <w:rFonts w:ascii="Arial" w:cs="Arial" w:eastAsia="Arial" w:hAnsi="Arial"/>
                <w:sz w:val="12"/>
                <w:szCs w:val="12"/>
                <w:b w:val="1"/>
                <w:bCs w:val="1"/>
                <w:color w:val="125288"/>
              </w:rPr>
              <w:t>Stock That</w:t>
            </w:r>
          </w:p>
        </w:tc>
        <w:tc>
          <w:tcPr>
            <w:tcW w:w="1440" w:type="dxa"/>
            <w:vAlign w:val="bottom"/>
          </w:tcPr>
          <w:p>
            <w:pPr>
              <w:jc w:val="right"/>
              <w:ind w:right="241"/>
              <w:spacing w:after="0"/>
              <w:rPr>
                <w:sz w:val="20"/>
                <w:szCs w:val="20"/>
                <w:color w:val="auto"/>
              </w:rPr>
            </w:pPr>
            <w:r>
              <w:rPr>
                <w:rFonts w:ascii="Arial" w:cs="Arial" w:eastAsia="Arial" w:hAnsi="Arial"/>
                <w:sz w:val="12"/>
                <w:szCs w:val="12"/>
                <w:b w:val="1"/>
                <w:bCs w:val="1"/>
                <w:color w:val="125288"/>
              </w:rPr>
              <w:t>or Other</w:t>
            </w:r>
          </w:p>
        </w:tc>
        <w:tc>
          <w:tcPr>
            <w:tcW w:w="1280" w:type="dxa"/>
            <w:vAlign w:val="bottom"/>
          </w:tcPr>
          <w:p>
            <w:pPr>
              <w:jc w:val="right"/>
              <w:ind w:right="121"/>
              <w:spacing w:after="0"/>
              <w:rPr>
                <w:sz w:val="20"/>
                <w:szCs w:val="20"/>
                <w:color w:val="auto"/>
              </w:rPr>
            </w:pPr>
            <w:r>
              <w:rPr>
                <w:rFonts w:ascii="Arial" w:cs="Arial" w:eastAsia="Arial" w:hAnsi="Arial"/>
                <w:sz w:val="12"/>
                <w:szCs w:val="12"/>
                <w:b w:val="1"/>
                <w:bCs w:val="1"/>
                <w:color w:val="125288"/>
              </w:rPr>
              <w:t>Other Rights</w:t>
            </w:r>
          </w:p>
        </w:tc>
      </w:tr>
      <w:tr>
        <w:trPr>
          <w:trHeight w:val="175"/>
        </w:trPr>
        <w:tc>
          <w:tcPr>
            <w:tcW w:w="1060" w:type="dxa"/>
            <w:vAlign w:val="bottom"/>
          </w:tcPr>
          <w:p>
            <w:pPr>
              <w:spacing w:after="0"/>
              <w:rPr>
                <w:sz w:val="15"/>
                <w:szCs w:val="15"/>
                <w:color w:val="auto"/>
              </w:rPr>
            </w:pPr>
          </w:p>
        </w:tc>
        <w:tc>
          <w:tcPr>
            <w:tcW w:w="1600" w:type="dxa"/>
            <w:vAlign w:val="bottom"/>
          </w:tcPr>
          <w:p>
            <w:pPr>
              <w:jc w:val="right"/>
              <w:ind w:right="261"/>
              <w:spacing w:after="0"/>
              <w:rPr>
                <w:sz w:val="20"/>
                <w:szCs w:val="20"/>
                <w:color w:val="auto"/>
              </w:rPr>
            </w:pPr>
            <w:r>
              <w:rPr>
                <w:rFonts w:ascii="Arial" w:cs="Arial" w:eastAsia="Arial" w:hAnsi="Arial"/>
                <w:sz w:val="12"/>
                <w:szCs w:val="12"/>
                <w:b w:val="1"/>
                <w:bCs w:val="1"/>
                <w:color w:val="125288"/>
              </w:rPr>
              <w:t>Options</w:t>
            </w:r>
          </w:p>
        </w:tc>
        <w:tc>
          <w:tcPr>
            <w:tcW w:w="1160" w:type="dxa"/>
            <w:vAlign w:val="bottom"/>
          </w:tcPr>
          <w:p>
            <w:pPr>
              <w:jc w:val="right"/>
              <w:ind w:right="141"/>
              <w:spacing w:after="0"/>
              <w:rPr>
                <w:sz w:val="20"/>
                <w:szCs w:val="20"/>
                <w:color w:val="auto"/>
              </w:rPr>
            </w:pPr>
            <w:r>
              <w:rPr>
                <w:rFonts w:ascii="Arial" w:cs="Arial" w:eastAsia="Arial" w:hAnsi="Arial"/>
                <w:sz w:val="12"/>
                <w:szCs w:val="12"/>
                <w:b w:val="1"/>
                <w:bCs w:val="1"/>
                <w:color w:val="125288"/>
              </w:rPr>
              <w:t>Options</w:t>
            </w:r>
          </w:p>
        </w:tc>
        <w:tc>
          <w:tcPr>
            <w:tcW w:w="1260" w:type="dxa"/>
            <w:vAlign w:val="bottom"/>
          </w:tcPr>
          <w:p>
            <w:pPr>
              <w:jc w:val="right"/>
              <w:ind w:right="201"/>
              <w:spacing w:after="0"/>
              <w:rPr>
                <w:sz w:val="20"/>
                <w:szCs w:val="20"/>
                <w:color w:val="auto"/>
              </w:rPr>
            </w:pPr>
            <w:r>
              <w:rPr>
                <w:rFonts w:ascii="Arial" w:cs="Arial" w:eastAsia="Arial" w:hAnsi="Arial"/>
                <w:sz w:val="12"/>
                <w:szCs w:val="12"/>
                <w:b w:val="1"/>
                <w:bCs w:val="1"/>
                <w:color w:val="125288"/>
              </w:rPr>
              <w:t>Unexercised</w:t>
            </w:r>
          </w:p>
        </w:tc>
        <w:tc>
          <w:tcPr>
            <w:tcW w:w="780" w:type="dxa"/>
            <w:vAlign w:val="bottom"/>
          </w:tcPr>
          <w:p>
            <w:pPr>
              <w:jc w:val="right"/>
              <w:ind w:right="141"/>
              <w:spacing w:after="0"/>
              <w:rPr>
                <w:sz w:val="20"/>
                <w:szCs w:val="20"/>
                <w:color w:val="auto"/>
              </w:rPr>
            </w:pPr>
            <w:r>
              <w:rPr>
                <w:rFonts w:ascii="Arial" w:cs="Arial" w:eastAsia="Arial" w:hAnsi="Arial"/>
                <w:sz w:val="12"/>
                <w:szCs w:val="12"/>
                <w:b w:val="1"/>
                <w:bCs w:val="1"/>
                <w:color w:val="125288"/>
              </w:rPr>
              <w:t>Exercise</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125288"/>
              </w:rPr>
              <w:t>Option</w:t>
            </w:r>
          </w:p>
        </w:tc>
        <w:tc>
          <w:tcPr>
            <w:tcW w:w="980" w:type="dxa"/>
            <w:vAlign w:val="bottom"/>
          </w:tcPr>
          <w:p>
            <w:pPr>
              <w:jc w:val="right"/>
              <w:ind w:right="261"/>
              <w:spacing w:after="0"/>
              <w:rPr>
                <w:sz w:val="20"/>
                <w:szCs w:val="20"/>
                <w:color w:val="auto"/>
              </w:rPr>
            </w:pPr>
            <w:r>
              <w:rPr>
                <w:rFonts w:ascii="Arial" w:cs="Arial" w:eastAsia="Arial" w:hAnsi="Arial"/>
                <w:sz w:val="12"/>
                <w:szCs w:val="12"/>
                <w:b w:val="1"/>
                <w:bCs w:val="1"/>
                <w:color w:val="125288"/>
              </w:rPr>
              <w:t>Have Not</w:t>
            </w:r>
          </w:p>
        </w:tc>
        <w:tc>
          <w:tcPr>
            <w:tcW w:w="820" w:type="dxa"/>
            <w:vAlign w:val="bottom"/>
          </w:tcPr>
          <w:p>
            <w:pPr>
              <w:jc w:val="right"/>
              <w:ind w:right="21"/>
              <w:spacing w:after="0"/>
              <w:rPr>
                <w:sz w:val="20"/>
                <w:szCs w:val="20"/>
                <w:color w:val="auto"/>
              </w:rPr>
            </w:pPr>
            <w:r>
              <w:rPr>
                <w:rFonts w:ascii="Arial" w:cs="Arial" w:eastAsia="Arial" w:hAnsi="Arial"/>
                <w:sz w:val="12"/>
                <w:szCs w:val="12"/>
                <w:b w:val="1"/>
                <w:bCs w:val="1"/>
                <w:color w:val="125288"/>
              </w:rPr>
              <w:t>Have Not</w:t>
            </w:r>
          </w:p>
        </w:tc>
        <w:tc>
          <w:tcPr>
            <w:tcW w:w="1440" w:type="dxa"/>
            <w:vAlign w:val="bottom"/>
          </w:tcPr>
          <w:p>
            <w:pPr>
              <w:jc w:val="right"/>
              <w:ind w:right="241"/>
              <w:spacing w:after="0"/>
              <w:rPr>
                <w:sz w:val="20"/>
                <w:szCs w:val="20"/>
                <w:color w:val="auto"/>
              </w:rPr>
            </w:pPr>
            <w:r>
              <w:rPr>
                <w:rFonts w:ascii="Arial" w:cs="Arial" w:eastAsia="Arial" w:hAnsi="Arial"/>
                <w:sz w:val="12"/>
                <w:szCs w:val="12"/>
                <w:b w:val="1"/>
                <w:bCs w:val="1"/>
                <w:color w:val="125288"/>
              </w:rPr>
              <w:t>Rights That</w:t>
            </w:r>
          </w:p>
        </w:tc>
        <w:tc>
          <w:tcPr>
            <w:tcW w:w="1280" w:type="dxa"/>
            <w:vAlign w:val="bottom"/>
          </w:tcPr>
          <w:p>
            <w:pPr>
              <w:jc w:val="right"/>
              <w:ind w:right="121"/>
              <w:spacing w:after="0"/>
              <w:rPr>
                <w:sz w:val="20"/>
                <w:szCs w:val="20"/>
                <w:color w:val="auto"/>
              </w:rPr>
            </w:pPr>
            <w:r>
              <w:rPr>
                <w:rFonts w:ascii="Arial" w:cs="Arial" w:eastAsia="Arial" w:hAnsi="Arial"/>
                <w:sz w:val="12"/>
                <w:szCs w:val="12"/>
                <w:b w:val="1"/>
                <w:bCs w:val="1"/>
                <w:color w:val="125288"/>
              </w:rPr>
              <w:t>That Have Not</w:t>
            </w:r>
          </w:p>
        </w:tc>
      </w:tr>
      <w:tr>
        <w:trPr>
          <w:trHeight w:val="194"/>
        </w:trPr>
        <w:tc>
          <w:tcPr>
            <w:tcW w:w="1060" w:type="dxa"/>
            <w:vAlign w:val="bottom"/>
          </w:tcPr>
          <w:p>
            <w:pPr>
              <w:spacing w:after="0"/>
              <w:rPr>
                <w:sz w:val="16"/>
                <w:szCs w:val="16"/>
                <w:color w:val="auto"/>
              </w:rPr>
            </w:pPr>
          </w:p>
        </w:tc>
        <w:tc>
          <w:tcPr>
            <w:tcW w:w="1600" w:type="dxa"/>
            <w:vAlign w:val="bottom"/>
          </w:tcPr>
          <w:p>
            <w:pPr>
              <w:jc w:val="right"/>
              <w:ind w:right="261"/>
              <w:spacing w:after="0" w:line="194" w:lineRule="exact"/>
              <w:rPr>
                <w:sz w:val="20"/>
                <w:szCs w:val="20"/>
                <w:color w:val="auto"/>
              </w:rPr>
            </w:pPr>
            <w:r>
              <w:rPr>
                <w:rFonts w:ascii="Arial" w:cs="Arial" w:eastAsia="Arial" w:hAnsi="Arial"/>
                <w:sz w:val="12"/>
                <w:szCs w:val="12"/>
                <w:b w:val="1"/>
                <w:bCs w:val="1"/>
                <w:color w:val="125288"/>
              </w:rPr>
              <w:t>Exercisable</w:t>
            </w:r>
            <w:r>
              <w:rPr>
                <w:rFonts w:ascii="Arial" w:cs="Arial" w:eastAsia="Arial" w:hAnsi="Arial"/>
                <w:sz w:val="19"/>
                <w:szCs w:val="19"/>
                <w:b w:val="1"/>
                <w:bCs w:val="1"/>
                <w:color w:val="125288"/>
                <w:vertAlign w:val="superscript"/>
              </w:rPr>
              <w:t>(1)</w:t>
            </w:r>
          </w:p>
        </w:tc>
        <w:tc>
          <w:tcPr>
            <w:tcW w:w="1160" w:type="dxa"/>
            <w:vAlign w:val="bottom"/>
          </w:tcPr>
          <w:p>
            <w:pPr>
              <w:jc w:val="right"/>
              <w:ind w:right="141"/>
              <w:spacing w:after="0"/>
              <w:rPr>
                <w:sz w:val="20"/>
                <w:szCs w:val="20"/>
                <w:color w:val="auto"/>
              </w:rPr>
            </w:pPr>
            <w:r>
              <w:rPr>
                <w:rFonts w:ascii="Arial" w:cs="Arial" w:eastAsia="Arial" w:hAnsi="Arial"/>
                <w:sz w:val="12"/>
                <w:szCs w:val="12"/>
                <w:b w:val="1"/>
                <w:bCs w:val="1"/>
                <w:color w:val="125288"/>
              </w:rPr>
              <w:t>Unexercisable</w:t>
            </w:r>
          </w:p>
        </w:tc>
        <w:tc>
          <w:tcPr>
            <w:tcW w:w="1260" w:type="dxa"/>
            <w:vAlign w:val="bottom"/>
          </w:tcPr>
          <w:p>
            <w:pPr>
              <w:jc w:val="right"/>
              <w:ind w:right="201"/>
              <w:spacing w:after="0"/>
              <w:rPr>
                <w:sz w:val="20"/>
                <w:szCs w:val="20"/>
                <w:color w:val="auto"/>
              </w:rPr>
            </w:pPr>
            <w:r>
              <w:rPr>
                <w:rFonts w:ascii="Arial" w:cs="Arial" w:eastAsia="Arial" w:hAnsi="Arial"/>
                <w:sz w:val="12"/>
                <w:szCs w:val="12"/>
                <w:b w:val="1"/>
                <w:bCs w:val="1"/>
                <w:color w:val="125288"/>
              </w:rPr>
              <w:t>Unearned</w:t>
            </w:r>
          </w:p>
        </w:tc>
        <w:tc>
          <w:tcPr>
            <w:tcW w:w="780" w:type="dxa"/>
            <w:vAlign w:val="bottom"/>
          </w:tcPr>
          <w:p>
            <w:pPr>
              <w:jc w:val="right"/>
              <w:ind w:right="181"/>
              <w:spacing w:after="0"/>
              <w:rPr>
                <w:sz w:val="20"/>
                <w:szCs w:val="20"/>
                <w:color w:val="auto"/>
              </w:rPr>
            </w:pPr>
            <w:r>
              <w:rPr>
                <w:rFonts w:ascii="Arial" w:cs="Arial" w:eastAsia="Arial" w:hAnsi="Arial"/>
                <w:sz w:val="12"/>
                <w:szCs w:val="12"/>
                <w:b w:val="1"/>
                <w:bCs w:val="1"/>
                <w:color w:val="125288"/>
              </w:rPr>
              <w:t>Price</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125288"/>
              </w:rPr>
              <w:t>Expiration</w:t>
            </w:r>
          </w:p>
        </w:tc>
        <w:tc>
          <w:tcPr>
            <w:tcW w:w="980" w:type="dxa"/>
            <w:vAlign w:val="bottom"/>
          </w:tcPr>
          <w:p>
            <w:pPr>
              <w:jc w:val="right"/>
              <w:ind w:right="261"/>
              <w:spacing w:after="0"/>
              <w:rPr>
                <w:sz w:val="20"/>
                <w:szCs w:val="20"/>
                <w:color w:val="auto"/>
              </w:rPr>
            </w:pPr>
            <w:r>
              <w:rPr>
                <w:rFonts w:ascii="Arial" w:cs="Arial" w:eastAsia="Arial" w:hAnsi="Arial"/>
                <w:sz w:val="12"/>
                <w:szCs w:val="12"/>
                <w:b w:val="1"/>
                <w:bCs w:val="1"/>
                <w:color w:val="125288"/>
              </w:rPr>
              <w:t>Vested</w:t>
            </w:r>
          </w:p>
        </w:tc>
        <w:tc>
          <w:tcPr>
            <w:tcW w:w="820" w:type="dxa"/>
            <w:vAlign w:val="bottom"/>
          </w:tcPr>
          <w:p>
            <w:pPr>
              <w:jc w:val="right"/>
              <w:ind w:right="21"/>
              <w:spacing w:after="0" w:line="194" w:lineRule="exact"/>
              <w:rPr>
                <w:sz w:val="20"/>
                <w:szCs w:val="20"/>
                <w:color w:val="auto"/>
              </w:rPr>
            </w:pPr>
            <w:r>
              <w:rPr>
                <w:rFonts w:ascii="Arial" w:cs="Arial" w:eastAsia="Arial" w:hAnsi="Arial"/>
                <w:sz w:val="12"/>
                <w:szCs w:val="12"/>
                <w:b w:val="1"/>
                <w:bCs w:val="1"/>
                <w:color w:val="125288"/>
              </w:rPr>
              <w:t>Vested</w:t>
            </w:r>
            <w:r>
              <w:rPr>
                <w:rFonts w:ascii="Arial" w:cs="Arial" w:eastAsia="Arial" w:hAnsi="Arial"/>
                <w:sz w:val="19"/>
                <w:szCs w:val="19"/>
                <w:b w:val="1"/>
                <w:bCs w:val="1"/>
                <w:color w:val="125288"/>
                <w:vertAlign w:val="superscript"/>
              </w:rPr>
              <w:t>(2)</w:t>
            </w:r>
          </w:p>
        </w:tc>
        <w:tc>
          <w:tcPr>
            <w:tcW w:w="1440" w:type="dxa"/>
            <w:vAlign w:val="bottom"/>
          </w:tcPr>
          <w:p>
            <w:pPr>
              <w:jc w:val="right"/>
              <w:ind w:right="241"/>
              <w:spacing w:after="0"/>
              <w:rPr>
                <w:sz w:val="20"/>
                <w:szCs w:val="20"/>
                <w:color w:val="auto"/>
              </w:rPr>
            </w:pPr>
            <w:r>
              <w:rPr>
                <w:rFonts w:ascii="Arial" w:cs="Arial" w:eastAsia="Arial" w:hAnsi="Arial"/>
                <w:sz w:val="12"/>
                <w:szCs w:val="12"/>
                <w:b w:val="1"/>
                <w:bCs w:val="1"/>
                <w:color w:val="125288"/>
              </w:rPr>
              <w:t>Have Not</w:t>
            </w:r>
          </w:p>
        </w:tc>
        <w:tc>
          <w:tcPr>
            <w:tcW w:w="1280" w:type="dxa"/>
            <w:vAlign w:val="bottom"/>
          </w:tcPr>
          <w:p>
            <w:pPr>
              <w:jc w:val="right"/>
              <w:ind w:right="161"/>
              <w:spacing w:after="0" w:line="194" w:lineRule="exact"/>
              <w:rPr>
                <w:sz w:val="20"/>
                <w:szCs w:val="20"/>
                <w:color w:val="auto"/>
              </w:rPr>
            </w:pPr>
            <w:r>
              <w:rPr>
                <w:rFonts w:ascii="Arial" w:cs="Arial" w:eastAsia="Arial" w:hAnsi="Arial"/>
                <w:sz w:val="12"/>
                <w:szCs w:val="12"/>
                <w:b w:val="1"/>
                <w:bCs w:val="1"/>
                <w:color w:val="125288"/>
              </w:rPr>
              <w:t>Vested</w:t>
            </w:r>
            <w:r>
              <w:rPr>
                <w:rFonts w:ascii="Arial" w:cs="Arial" w:eastAsia="Arial" w:hAnsi="Arial"/>
                <w:sz w:val="19"/>
                <w:szCs w:val="19"/>
                <w:b w:val="1"/>
                <w:bCs w:val="1"/>
                <w:color w:val="125288"/>
                <w:vertAlign w:val="superscript"/>
              </w:rPr>
              <w:t>(2)</w:t>
            </w:r>
          </w:p>
        </w:tc>
      </w:tr>
      <w:tr>
        <w:trPr>
          <w:trHeight w:val="156"/>
        </w:trPr>
        <w:tc>
          <w:tcPr>
            <w:tcW w:w="1060" w:type="dxa"/>
            <w:vAlign w:val="bottom"/>
          </w:tcPr>
          <w:p>
            <w:pPr>
              <w:ind w:left="40"/>
              <w:spacing w:after="0"/>
              <w:rPr>
                <w:sz w:val="20"/>
                <w:szCs w:val="20"/>
                <w:color w:val="auto"/>
              </w:rPr>
            </w:pPr>
            <w:r>
              <w:rPr>
                <w:rFonts w:ascii="Arial" w:cs="Arial" w:eastAsia="Arial" w:hAnsi="Arial"/>
                <w:sz w:val="12"/>
                <w:szCs w:val="12"/>
                <w:b w:val="1"/>
                <w:bCs w:val="1"/>
                <w:color w:val="125288"/>
              </w:rPr>
              <w:t>Name</w:t>
            </w:r>
          </w:p>
        </w:tc>
        <w:tc>
          <w:tcPr>
            <w:tcW w:w="1600" w:type="dxa"/>
            <w:vAlign w:val="bottom"/>
          </w:tcPr>
          <w:p>
            <w:pPr>
              <w:jc w:val="right"/>
              <w:ind w:right="261"/>
              <w:spacing w:after="0"/>
              <w:rPr>
                <w:sz w:val="20"/>
                <w:szCs w:val="20"/>
                <w:color w:val="auto"/>
              </w:rPr>
            </w:pPr>
            <w:r>
              <w:rPr>
                <w:rFonts w:ascii="Arial" w:cs="Arial" w:eastAsia="Arial" w:hAnsi="Arial"/>
                <w:sz w:val="12"/>
                <w:szCs w:val="12"/>
                <w:b w:val="1"/>
                <w:bCs w:val="1"/>
                <w:color w:val="125288"/>
              </w:rPr>
              <w:t>(#)</w:t>
            </w:r>
          </w:p>
        </w:tc>
        <w:tc>
          <w:tcPr>
            <w:tcW w:w="1160" w:type="dxa"/>
            <w:vAlign w:val="bottom"/>
          </w:tcPr>
          <w:p>
            <w:pPr>
              <w:jc w:val="right"/>
              <w:ind w:right="141"/>
              <w:spacing w:after="0"/>
              <w:rPr>
                <w:sz w:val="20"/>
                <w:szCs w:val="20"/>
                <w:color w:val="auto"/>
              </w:rPr>
            </w:pPr>
            <w:r>
              <w:rPr>
                <w:rFonts w:ascii="Arial" w:cs="Arial" w:eastAsia="Arial" w:hAnsi="Arial"/>
                <w:sz w:val="12"/>
                <w:szCs w:val="12"/>
                <w:b w:val="1"/>
                <w:bCs w:val="1"/>
                <w:color w:val="125288"/>
              </w:rPr>
              <w:t>(#)</w:t>
            </w:r>
          </w:p>
        </w:tc>
        <w:tc>
          <w:tcPr>
            <w:tcW w:w="1260" w:type="dxa"/>
            <w:vAlign w:val="bottom"/>
          </w:tcPr>
          <w:p>
            <w:pPr>
              <w:jc w:val="right"/>
              <w:ind w:right="201"/>
              <w:spacing w:after="0"/>
              <w:rPr>
                <w:sz w:val="20"/>
                <w:szCs w:val="20"/>
                <w:color w:val="auto"/>
              </w:rPr>
            </w:pPr>
            <w:r>
              <w:rPr>
                <w:rFonts w:ascii="Arial" w:cs="Arial" w:eastAsia="Arial" w:hAnsi="Arial"/>
                <w:sz w:val="12"/>
                <w:szCs w:val="12"/>
                <w:b w:val="1"/>
                <w:bCs w:val="1"/>
                <w:color w:val="125288"/>
              </w:rPr>
              <w:t>Options (#)</w:t>
            </w:r>
          </w:p>
        </w:tc>
        <w:tc>
          <w:tcPr>
            <w:tcW w:w="780" w:type="dxa"/>
            <w:vAlign w:val="bottom"/>
          </w:tcPr>
          <w:p>
            <w:pPr>
              <w:jc w:val="right"/>
              <w:ind w:right="141"/>
              <w:spacing w:after="0"/>
              <w:rPr>
                <w:sz w:val="20"/>
                <w:szCs w:val="20"/>
                <w:color w:val="auto"/>
              </w:rPr>
            </w:pPr>
            <w:r>
              <w:rPr>
                <w:rFonts w:ascii="Arial" w:cs="Arial" w:eastAsia="Arial" w:hAnsi="Arial"/>
                <w:sz w:val="12"/>
                <w:szCs w:val="12"/>
                <w:b w:val="1"/>
                <w:bCs w:val="1"/>
                <w:color w:val="125288"/>
              </w:rPr>
              <w:t>($)</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125288"/>
              </w:rPr>
              <w:t>Date</w:t>
            </w:r>
          </w:p>
        </w:tc>
        <w:tc>
          <w:tcPr>
            <w:tcW w:w="980" w:type="dxa"/>
            <w:vAlign w:val="bottom"/>
          </w:tcPr>
          <w:p>
            <w:pPr>
              <w:jc w:val="right"/>
              <w:ind w:right="261"/>
              <w:spacing w:after="0"/>
              <w:rPr>
                <w:sz w:val="20"/>
                <w:szCs w:val="20"/>
                <w:color w:val="auto"/>
              </w:rPr>
            </w:pPr>
            <w:r>
              <w:rPr>
                <w:rFonts w:ascii="Arial" w:cs="Arial" w:eastAsia="Arial" w:hAnsi="Arial"/>
                <w:sz w:val="12"/>
                <w:szCs w:val="12"/>
                <w:b w:val="1"/>
                <w:bCs w:val="1"/>
                <w:color w:val="125288"/>
              </w:rPr>
              <w:t>(#)</w:t>
            </w:r>
          </w:p>
        </w:tc>
        <w:tc>
          <w:tcPr>
            <w:tcW w:w="820" w:type="dxa"/>
            <w:vAlign w:val="bottom"/>
          </w:tcPr>
          <w:p>
            <w:pPr>
              <w:jc w:val="right"/>
              <w:ind w:right="21"/>
              <w:spacing w:after="0"/>
              <w:rPr>
                <w:sz w:val="20"/>
                <w:szCs w:val="20"/>
                <w:color w:val="auto"/>
              </w:rPr>
            </w:pPr>
            <w:r>
              <w:rPr>
                <w:rFonts w:ascii="Arial" w:cs="Arial" w:eastAsia="Arial" w:hAnsi="Arial"/>
                <w:sz w:val="12"/>
                <w:szCs w:val="12"/>
                <w:b w:val="1"/>
                <w:bCs w:val="1"/>
                <w:color w:val="125288"/>
              </w:rPr>
              <w:t>($)</w:t>
            </w:r>
          </w:p>
        </w:tc>
        <w:tc>
          <w:tcPr>
            <w:tcW w:w="1440" w:type="dxa"/>
            <w:vAlign w:val="bottom"/>
          </w:tcPr>
          <w:p>
            <w:pPr>
              <w:jc w:val="right"/>
              <w:ind w:right="241"/>
              <w:spacing w:after="0"/>
              <w:rPr>
                <w:sz w:val="20"/>
                <w:szCs w:val="20"/>
                <w:color w:val="auto"/>
              </w:rPr>
            </w:pPr>
            <w:r>
              <w:rPr>
                <w:rFonts w:ascii="Arial" w:cs="Arial" w:eastAsia="Arial" w:hAnsi="Arial"/>
                <w:sz w:val="12"/>
                <w:szCs w:val="12"/>
                <w:b w:val="1"/>
                <w:bCs w:val="1"/>
                <w:color w:val="125288"/>
              </w:rPr>
              <w:t>Vested (#)</w:t>
            </w:r>
          </w:p>
        </w:tc>
        <w:tc>
          <w:tcPr>
            <w:tcW w:w="1280" w:type="dxa"/>
            <w:vAlign w:val="bottom"/>
          </w:tcPr>
          <w:p>
            <w:pPr>
              <w:jc w:val="right"/>
              <w:ind w:right="121"/>
              <w:spacing w:after="0"/>
              <w:rPr>
                <w:sz w:val="20"/>
                <w:szCs w:val="20"/>
                <w:color w:val="auto"/>
              </w:rPr>
            </w:pPr>
            <w:r>
              <w:rPr>
                <w:rFonts w:ascii="Arial" w:cs="Arial" w:eastAsia="Arial" w:hAnsi="Arial"/>
                <w:sz w:val="12"/>
                <w:szCs w:val="12"/>
                <w:b w:val="1"/>
                <w:bCs w:val="1"/>
                <w:color w:val="125288"/>
              </w:rPr>
              <w:t>($)</w:t>
            </w:r>
          </w:p>
        </w:tc>
      </w:tr>
      <w:tr>
        <w:trPr>
          <w:trHeight w:val="41"/>
        </w:trPr>
        <w:tc>
          <w:tcPr>
            <w:tcW w:w="1060" w:type="dxa"/>
            <w:vAlign w:val="bottom"/>
            <w:tcBorders>
              <w:bottom w:val="single" w:sz="8" w:color="125288"/>
            </w:tcBorders>
          </w:tcPr>
          <w:p>
            <w:pPr>
              <w:spacing w:after="0"/>
              <w:rPr>
                <w:sz w:val="3"/>
                <w:szCs w:val="3"/>
                <w:color w:val="auto"/>
              </w:rPr>
            </w:pPr>
          </w:p>
        </w:tc>
        <w:tc>
          <w:tcPr>
            <w:tcW w:w="1600" w:type="dxa"/>
            <w:vAlign w:val="bottom"/>
            <w:tcBorders>
              <w:bottom w:val="single" w:sz="8" w:color="125288"/>
            </w:tcBorders>
          </w:tcPr>
          <w:p>
            <w:pPr>
              <w:spacing w:after="0"/>
              <w:rPr>
                <w:sz w:val="3"/>
                <w:szCs w:val="3"/>
                <w:color w:val="auto"/>
              </w:rPr>
            </w:pPr>
          </w:p>
        </w:tc>
        <w:tc>
          <w:tcPr>
            <w:tcW w:w="1160" w:type="dxa"/>
            <w:vAlign w:val="bottom"/>
            <w:tcBorders>
              <w:bottom w:val="single" w:sz="8" w:color="125288"/>
            </w:tcBorders>
          </w:tcPr>
          <w:p>
            <w:pPr>
              <w:spacing w:after="0"/>
              <w:rPr>
                <w:sz w:val="3"/>
                <w:szCs w:val="3"/>
                <w:color w:val="auto"/>
              </w:rPr>
            </w:pPr>
          </w:p>
        </w:tc>
        <w:tc>
          <w:tcPr>
            <w:tcW w:w="1260" w:type="dxa"/>
            <w:vAlign w:val="bottom"/>
            <w:tcBorders>
              <w:bottom w:val="single" w:sz="8" w:color="125288"/>
            </w:tcBorders>
          </w:tcPr>
          <w:p>
            <w:pPr>
              <w:spacing w:after="0"/>
              <w:rPr>
                <w:sz w:val="3"/>
                <w:szCs w:val="3"/>
                <w:color w:val="auto"/>
              </w:rPr>
            </w:pPr>
          </w:p>
        </w:tc>
        <w:tc>
          <w:tcPr>
            <w:tcW w:w="780" w:type="dxa"/>
            <w:vAlign w:val="bottom"/>
            <w:tcBorders>
              <w:bottom w:val="single" w:sz="8" w:color="125288"/>
            </w:tcBorders>
          </w:tcPr>
          <w:p>
            <w:pPr>
              <w:spacing w:after="0"/>
              <w:rPr>
                <w:sz w:val="3"/>
                <w:szCs w:val="3"/>
                <w:color w:val="auto"/>
              </w:rPr>
            </w:pPr>
          </w:p>
        </w:tc>
        <w:tc>
          <w:tcPr>
            <w:tcW w:w="760" w:type="dxa"/>
            <w:vAlign w:val="bottom"/>
            <w:tcBorders>
              <w:bottom w:val="single" w:sz="8" w:color="125288"/>
            </w:tcBorders>
          </w:tcPr>
          <w:p>
            <w:pPr>
              <w:spacing w:after="0"/>
              <w:rPr>
                <w:sz w:val="3"/>
                <w:szCs w:val="3"/>
                <w:color w:val="auto"/>
              </w:rPr>
            </w:pPr>
          </w:p>
        </w:tc>
        <w:tc>
          <w:tcPr>
            <w:tcW w:w="120" w:type="dxa"/>
            <w:vAlign w:val="bottom"/>
            <w:tcBorders>
              <w:bottom w:val="single" w:sz="8" w:color="125288"/>
            </w:tcBorders>
          </w:tcPr>
          <w:p>
            <w:pPr>
              <w:spacing w:after="0"/>
              <w:rPr>
                <w:sz w:val="3"/>
                <w:szCs w:val="3"/>
                <w:color w:val="auto"/>
              </w:rPr>
            </w:pPr>
          </w:p>
        </w:tc>
        <w:tc>
          <w:tcPr>
            <w:tcW w:w="980" w:type="dxa"/>
            <w:vAlign w:val="bottom"/>
            <w:tcBorders>
              <w:bottom w:val="single" w:sz="8" w:color="125288"/>
            </w:tcBorders>
          </w:tcPr>
          <w:p>
            <w:pPr>
              <w:spacing w:after="0"/>
              <w:rPr>
                <w:sz w:val="3"/>
                <w:szCs w:val="3"/>
                <w:color w:val="auto"/>
              </w:rPr>
            </w:pPr>
          </w:p>
        </w:tc>
        <w:tc>
          <w:tcPr>
            <w:tcW w:w="820" w:type="dxa"/>
            <w:vAlign w:val="bottom"/>
            <w:tcBorders>
              <w:bottom w:val="single" w:sz="8" w:color="125288"/>
            </w:tcBorders>
          </w:tcPr>
          <w:p>
            <w:pPr>
              <w:spacing w:after="0"/>
              <w:rPr>
                <w:sz w:val="3"/>
                <w:szCs w:val="3"/>
                <w:color w:val="auto"/>
              </w:rPr>
            </w:pPr>
          </w:p>
        </w:tc>
        <w:tc>
          <w:tcPr>
            <w:tcW w:w="1440" w:type="dxa"/>
            <w:vAlign w:val="bottom"/>
            <w:tcBorders>
              <w:bottom w:val="single" w:sz="8" w:color="125288"/>
            </w:tcBorders>
          </w:tcPr>
          <w:p>
            <w:pPr>
              <w:spacing w:after="0"/>
              <w:rPr>
                <w:sz w:val="3"/>
                <w:szCs w:val="3"/>
                <w:color w:val="auto"/>
              </w:rPr>
            </w:pPr>
          </w:p>
        </w:tc>
        <w:tc>
          <w:tcPr>
            <w:tcW w:w="1280" w:type="dxa"/>
            <w:vAlign w:val="bottom"/>
            <w:tcBorders>
              <w:bottom w:val="single" w:sz="8" w:color="125288"/>
            </w:tcBorders>
          </w:tcPr>
          <w:p>
            <w:pPr>
              <w:spacing w:after="0"/>
              <w:rPr>
                <w:sz w:val="3"/>
                <w:szCs w:val="3"/>
                <w:color w:val="auto"/>
              </w:rPr>
            </w:pPr>
          </w:p>
        </w:tc>
      </w:tr>
      <w:tr>
        <w:trPr>
          <w:trHeight w:val="206"/>
        </w:trPr>
        <w:tc>
          <w:tcPr>
            <w:tcW w:w="1060" w:type="dxa"/>
            <w:vAlign w:val="bottom"/>
          </w:tcPr>
          <w:p>
            <w:pPr>
              <w:ind w:left="40"/>
              <w:spacing w:after="0"/>
              <w:rPr>
                <w:sz w:val="20"/>
                <w:szCs w:val="20"/>
                <w:color w:val="auto"/>
              </w:rPr>
            </w:pPr>
            <w:r>
              <w:rPr>
                <w:rFonts w:ascii="Arial" w:cs="Arial" w:eastAsia="Arial" w:hAnsi="Arial"/>
                <w:sz w:val="12"/>
                <w:szCs w:val="12"/>
                <w:color w:val="auto"/>
              </w:rPr>
              <w:t>Brian Bulatao</w:t>
            </w:r>
          </w:p>
        </w:tc>
        <w:tc>
          <w:tcPr>
            <w:tcW w:w="1600" w:type="dxa"/>
            <w:vAlign w:val="bottom"/>
            <w:tcBorders>
              <w:bottom w:val="single" w:sz="8" w:color="125288"/>
            </w:tcBorders>
          </w:tcPr>
          <w:p>
            <w:pPr>
              <w:spacing w:after="0"/>
              <w:rPr>
                <w:sz w:val="17"/>
                <w:szCs w:val="17"/>
                <w:color w:val="auto"/>
              </w:rPr>
            </w:pPr>
          </w:p>
        </w:tc>
        <w:tc>
          <w:tcPr>
            <w:tcW w:w="1160" w:type="dxa"/>
            <w:vAlign w:val="bottom"/>
            <w:tcBorders>
              <w:bottom w:val="single" w:sz="8" w:color="125288"/>
            </w:tcBorders>
          </w:tcPr>
          <w:p>
            <w:pPr>
              <w:spacing w:after="0"/>
              <w:rPr>
                <w:sz w:val="17"/>
                <w:szCs w:val="17"/>
                <w:color w:val="auto"/>
              </w:rPr>
            </w:pPr>
          </w:p>
        </w:tc>
        <w:tc>
          <w:tcPr>
            <w:tcW w:w="1260" w:type="dxa"/>
            <w:vAlign w:val="bottom"/>
            <w:tcBorders>
              <w:bottom w:val="single" w:sz="8" w:color="125288"/>
            </w:tcBorders>
          </w:tcPr>
          <w:p>
            <w:pPr>
              <w:spacing w:after="0"/>
              <w:rPr>
                <w:sz w:val="17"/>
                <w:szCs w:val="17"/>
                <w:color w:val="auto"/>
              </w:rPr>
            </w:pPr>
          </w:p>
        </w:tc>
        <w:tc>
          <w:tcPr>
            <w:tcW w:w="78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spacing w:after="0"/>
              <w:rPr>
                <w:sz w:val="17"/>
                <w:szCs w:val="17"/>
                <w:color w:val="auto"/>
              </w:rPr>
            </w:pPr>
          </w:p>
        </w:tc>
        <w:tc>
          <w:tcPr>
            <w:tcW w:w="120" w:type="dxa"/>
            <w:vAlign w:val="bottom"/>
            <w:tcBorders>
              <w:bottom w:val="single" w:sz="8" w:color="125288"/>
            </w:tcBorders>
          </w:tcPr>
          <w:p>
            <w:pPr>
              <w:spacing w:after="0"/>
              <w:rPr>
                <w:sz w:val="17"/>
                <w:szCs w:val="17"/>
                <w:color w:val="auto"/>
              </w:rPr>
            </w:pPr>
          </w:p>
        </w:tc>
        <w:tc>
          <w:tcPr>
            <w:tcW w:w="980" w:type="dxa"/>
            <w:vAlign w:val="bottom"/>
            <w:tcBorders>
              <w:bottom w:val="single" w:sz="8" w:color="125288"/>
            </w:tcBorders>
          </w:tcPr>
          <w:p>
            <w:pPr>
              <w:spacing w:after="0"/>
              <w:rPr>
                <w:sz w:val="17"/>
                <w:szCs w:val="17"/>
                <w:color w:val="auto"/>
              </w:rPr>
            </w:pPr>
          </w:p>
        </w:tc>
        <w:tc>
          <w:tcPr>
            <w:tcW w:w="820" w:type="dxa"/>
            <w:vAlign w:val="bottom"/>
            <w:tcBorders>
              <w:bottom w:val="single" w:sz="8" w:color="125288"/>
            </w:tcBorders>
          </w:tcPr>
          <w:p>
            <w:pPr>
              <w:spacing w:after="0"/>
              <w:rPr>
                <w:sz w:val="17"/>
                <w:szCs w:val="17"/>
                <w:color w:val="auto"/>
              </w:rPr>
            </w:pPr>
          </w:p>
        </w:tc>
        <w:tc>
          <w:tcPr>
            <w:tcW w:w="1440" w:type="dxa"/>
            <w:vAlign w:val="bottom"/>
            <w:tcBorders>
              <w:bottom w:val="single" w:sz="8" w:color="125288"/>
            </w:tcBorders>
          </w:tcPr>
          <w:p>
            <w:pPr>
              <w:jc w:val="right"/>
              <w:ind w:right="81"/>
              <w:spacing w:after="0" w:line="202" w:lineRule="exact"/>
              <w:rPr>
                <w:sz w:val="20"/>
                <w:szCs w:val="20"/>
                <w:color w:val="auto"/>
              </w:rPr>
            </w:pPr>
            <w:r>
              <w:rPr>
                <w:rFonts w:ascii="Arial" w:cs="Arial" w:eastAsia="Arial" w:hAnsi="Arial"/>
                <w:sz w:val="12"/>
                <w:szCs w:val="12"/>
                <w:color w:val="auto"/>
              </w:rPr>
              <w:t>9,730</w:t>
            </w:r>
            <w:r>
              <w:rPr>
                <w:rFonts w:ascii="Arial" w:cs="Arial" w:eastAsia="Arial" w:hAnsi="Arial"/>
                <w:sz w:val="19"/>
                <w:szCs w:val="19"/>
                <w:color w:val="auto"/>
                <w:vertAlign w:val="superscript"/>
              </w:rPr>
              <w:t>(54)</w:t>
            </w:r>
          </w:p>
        </w:tc>
        <w:tc>
          <w:tcPr>
            <w:tcW w:w="1280" w:type="dxa"/>
            <w:vAlign w:val="bottom"/>
            <w:tcBorders>
              <w:bottom w:val="single" w:sz="8" w:color="125288"/>
            </w:tcBorders>
          </w:tcPr>
          <w:p>
            <w:pPr>
              <w:jc w:val="right"/>
              <w:spacing w:after="0" w:line="202" w:lineRule="exact"/>
              <w:rPr>
                <w:sz w:val="20"/>
                <w:szCs w:val="20"/>
                <w:color w:val="auto"/>
              </w:rPr>
            </w:pPr>
            <w:r>
              <w:rPr>
                <w:rFonts w:ascii="Arial" w:cs="Arial" w:eastAsia="Arial" w:hAnsi="Arial"/>
                <w:sz w:val="12"/>
                <w:szCs w:val="12"/>
                <w:color w:val="auto"/>
              </w:rPr>
              <w:t>647,337</w:t>
            </w:r>
            <w:r>
              <w:rPr>
                <w:rFonts w:ascii="Arial" w:cs="Arial" w:eastAsia="Arial" w:hAnsi="Arial"/>
                <w:sz w:val="19"/>
                <w:szCs w:val="19"/>
                <w:color w:val="auto"/>
                <w:vertAlign w:val="superscript"/>
              </w:rPr>
              <w:t>(55)</w:t>
            </w:r>
          </w:p>
        </w:tc>
      </w:tr>
      <w:tr>
        <w:trPr>
          <w:trHeight w:val="206"/>
        </w:trPr>
        <w:tc>
          <w:tcPr>
            <w:tcW w:w="1060" w:type="dxa"/>
            <w:vAlign w:val="bottom"/>
          </w:tcPr>
          <w:p>
            <w:pPr>
              <w:spacing w:after="0"/>
              <w:rPr>
                <w:sz w:val="17"/>
                <w:szCs w:val="17"/>
                <w:color w:val="auto"/>
              </w:rPr>
            </w:pPr>
          </w:p>
        </w:tc>
        <w:tc>
          <w:tcPr>
            <w:tcW w:w="1600" w:type="dxa"/>
            <w:vAlign w:val="bottom"/>
            <w:tcBorders>
              <w:bottom w:val="single" w:sz="8" w:color="125288"/>
            </w:tcBorders>
          </w:tcPr>
          <w:p>
            <w:pPr>
              <w:spacing w:after="0"/>
              <w:rPr>
                <w:sz w:val="17"/>
                <w:szCs w:val="17"/>
                <w:color w:val="auto"/>
              </w:rPr>
            </w:pPr>
          </w:p>
        </w:tc>
        <w:tc>
          <w:tcPr>
            <w:tcW w:w="1160" w:type="dxa"/>
            <w:vAlign w:val="bottom"/>
            <w:tcBorders>
              <w:bottom w:val="single" w:sz="8" w:color="125288"/>
            </w:tcBorders>
          </w:tcPr>
          <w:p>
            <w:pPr>
              <w:spacing w:after="0"/>
              <w:rPr>
                <w:sz w:val="17"/>
                <w:szCs w:val="17"/>
                <w:color w:val="auto"/>
              </w:rPr>
            </w:pPr>
          </w:p>
        </w:tc>
        <w:tc>
          <w:tcPr>
            <w:tcW w:w="1260" w:type="dxa"/>
            <w:vAlign w:val="bottom"/>
            <w:tcBorders>
              <w:bottom w:val="single" w:sz="8" w:color="125288"/>
            </w:tcBorders>
          </w:tcPr>
          <w:p>
            <w:pPr>
              <w:spacing w:after="0"/>
              <w:rPr>
                <w:sz w:val="17"/>
                <w:szCs w:val="17"/>
                <w:color w:val="auto"/>
              </w:rPr>
            </w:pPr>
          </w:p>
        </w:tc>
        <w:tc>
          <w:tcPr>
            <w:tcW w:w="78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spacing w:after="0"/>
              <w:rPr>
                <w:sz w:val="17"/>
                <w:szCs w:val="17"/>
                <w:color w:val="auto"/>
              </w:rPr>
            </w:pPr>
          </w:p>
        </w:tc>
        <w:tc>
          <w:tcPr>
            <w:tcW w:w="120" w:type="dxa"/>
            <w:vAlign w:val="bottom"/>
            <w:tcBorders>
              <w:bottom w:val="single" w:sz="8" w:color="125288"/>
            </w:tcBorders>
          </w:tcPr>
          <w:p>
            <w:pPr>
              <w:spacing w:after="0"/>
              <w:rPr>
                <w:sz w:val="17"/>
                <w:szCs w:val="17"/>
                <w:color w:val="auto"/>
              </w:rPr>
            </w:pPr>
          </w:p>
        </w:tc>
        <w:tc>
          <w:tcPr>
            <w:tcW w:w="980" w:type="dxa"/>
            <w:vAlign w:val="bottom"/>
            <w:tcBorders>
              <w:bottom w:val="single" w:sz="8" w:color="125288"/>
            </w:tcBorders>
          </w:tcPr>
          <w:p>
            <w:pPr>
              <w:spacing w:after="0"/>
              <w:rPr>
                <w:sz w:val="17"/>
                <w:szCs w:val="17"/>
                <w:color w:val="auto"/>
              </w:rPr>
            </w:pPr>
          </w:p>
        </w:tc>
        <w:tc>
          <w:tcPr>
            <w:tcW w:w="820" w:type="dxa"/>
            <w:vAlign w:val="bottom"/>
            <w:tcBorders>
              <w:bottom w:val="single" w:sz="8" w:color="125288"/>
            </w:tcBorders>
          </w:tcPr>
          <w:p>
            <w:pPr>
              <w:spacing w:after="0"/>
              <w:rPr>
                <w:sz w:val="17"/>
                <w:szCs w:val="17"/>
                <w:color w:val="auto"/>
              </w:rPr>
            </w:pPr>
          </w:p>
        </w:tc>
        <w:tc>
          <w:tcPr>
            <w:tcW w:w="1440" w:type="dxa"/>
            <w:vAlign w:val="bottom"/>
            <w:tcBorders>
              <w:bottom w:val="single" w:sz="8" w:color="125288"/>
            </w:tcBorders>
          </w:tcPr>
          <w:p>
            <w:pPr>
              <w:jc w:val="right"/>
              <w:ind w:right="81"/>
              <w:spacing w:after="0" w:line="202" w:lineRule="exact"/>
              <w:rPr>
                <w:sz w:val="20"/>
                <w:szCs w:val="20"/>
                <w:color w:val="auto"/>
              </w:rPr>
            </w:pPr>
            <w:r>
              <w:rPr>
                <w:rFonts w:ascii="Arial" w:cs="Arial" w:eastAsia="Arial" w:hAnsi="Arial"/>
                <w:sz w:val="12"/>
                <w:szCs w:val="12"/>
                <w:color w:val="auto"/>
              </w:rPr>
              <w:t>16,216</w:t>
            </w:r>
            <w:r>
              <w:rPr>
                <w:rFonts w:ascii="Arial" w:cs="Arial" w:eastAsia="Arial" w:hAnsi="Arial"/>
                <w:sz w:val="19"/>
                <w:szCs w:val="19"/>
                <w:color w:val="auto"/>
                <w:vertAlign w:val="superscript"/>
              </w:rPr>
              <w:t>(56)</w:t>
            </w:r>
          </w:p>
        </w:tc>
        <w:tc>
          <w:tcPr>
            <w:tcW w:w="1280" w:type="dxa"/>
            <w:vAlign w:val="bottom"/>
            <w:tcBorders>
              <w:bottom w:val="single" w:sz="8" w:color="125288"/>
            </w:tcBorders>
          </w:tcPr>
          <w:p>
            <w:pPr>
              <w:jc w:val="right"/>
              <w:spacing w:after="0" w:line="202" w:lineRule="exact"/>
              <w:rPr>
                <w:sz w:val="20"/>
                <w:szCs w:val="20"/>
                <w:color w:val="auto"/>
              </w:rPr>
            </w:pPr>
            <w:r>
              <w:rPr>
                <w:rFonts w:ascii="Arial" w:cs="Arial" w:eastAsia="Arial" w:hAnsi="Arial"/>
                <w:sz w:val="12"/>
                <w:szCs w:val="12"/>
                <w:color w:val="auto"/>
              </w:rPr>
              <w:t>1,078,850</w:t>
            </w:r>
            <w:r>
              <w:rPr>
                <w:rFonts w:ascii="Arial" w:cs="Arial" w:eastAsia="Arial" w:hAnsi="Arial"/>
                <w:sz w:val="19"/>
                <w:szCs w:val="19"/>
                <w:color w:val="auto"/>
                <w:vertAlign w:val="superscript"/>
              </w:rPr>
              <w:t>(57)</w:t>
            </w:r>
          </w:p>
        </w:tc>
      </w:tr>
      <w:tr>
        <w:trPr>
          <w:trHeight w:val="206"/>
        </w:trPr>
        <w:tc>
          <w:tcPr>
            <w:tcW w:w="1060" w:type="dxa"/>
            <w:vAlign w:val="bottom"/>
          </w:tcPr>
          <w:p>
            <w:pPr>
              <w:spacing w:after="0"/>
              <w:rPr>
                <w:sz w:val="17"/>
                <w:szCs w:val="17"/>
                <w:color w:val="auto"/>
              </w:rPr>
            </w:pPr>
          </w:p>
        </w:tc>
        <w:tc>
          <w:tcPr>
            <w:tcW w:w="1600" w:type="dxa"/>
            <w:vAlign w:val="bottom"/>
            <w:tcBorders>
              <w:bottom w:val="single" w:sz="8" w:color="125288"/>
            </w:tcBorders>
          </w:tcPr>
          <w:p>
            <w:pPr>
              <w:spacing w:after="0"/>
              <w:rPr>
                <w:sz w:val="17"/>
                <w:szCs w:val="17"/>
                <w:color w:val="auto"/>
              </w:rPr>
            </w:pPr>
          </w:p>
        </w:tc>
        <w:tc>
          <w:tcPr>
            <w:tcW w:w="1160" w:type="dxa"/>
            <w:vAlign w:val="bottom"/>
            <w:tcBorders>
              <w:bottom w:val="single" w:sz="8" w:color="125288"/>
            </w:tcBorders>
          </w:tcPr>
          <w:p>
            <w:pPr>
              <w:spacing w:after="0"/>
              <w:rPr>
                <w:sz w:val="17"/>
                <w:szCs w:val="17"/>
                <w:color w:val="auto"/>
              </w:rPr>
            </w:pPr>
          </w:p>
        </w:tc>
        <w:tc>
          <w:tcPr>
            <w:tcW w:w="1260" w:type="dxa"/>
            <w:vAlign w:val="bottom"/>
            <w:tcBorders>
              <w:bottom w:val="single" w:sz="8" w:color="125288"/>
            </w:tcBorders>
          </w:tcPr>
          <w:p>
            <w:pPr>
              <w:spacing w:after="0"/>
              <w:rPr>
                <w:sz w:val="17"/>
                <w:szCs w:val="17"/>
                <w:color w:val="auto"/>
              </w:rPr>
            </w:pPr>
          </w:p>
        </w:tc>
        <w:tc>
          <w:tcPr>
            <w:tcW w:w="78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spacing w:after="0"/>
              <w:rPr>
                <w:sz w:val="17"/>
                <w:szCs w:val="17"/>
                <w:color w:val="auto"/>
              </w:rPr>
            </w:pPr>
          </w:p>
        </w:tc>
        <w:tc>
          <w:tcPr>
            <w:tcW w:w="120" w:type="dxa"/>
            <w:vAlign w:val="bottom"/>
            <w:tcBorders>
              <w:bottom w:val="single" w:sz="8" w:color="125288"/>
            </w:tcBorders>
          </w:tcPr>
          <w:p>
            <w:pPr>
              <w:spacing w:after="0"/>
              <w:rPr>
                <w:sz w:val="17"/>
                <w:szCs w:val="17"/>
                <w:color w:val="auto"/>
              </w:rPr>
            </w:pPr>
          </w:p>
        </w:tc>
        <w:tc>
          <w:tcPr>
            <w:tcW w:w="980" w:type="dxa"/>
            <w:vAlign w:val="bottom"/>
            <w:tcBorders>
              <w:bottom w:val="single" w:sz="8" w:color="125288"/>
            </w:tcBorders>
          </w:tcPr>
          <w:p>
            <w:pPr>
              <w:spacing w:after="0"/>
              <w:rPr>
                <w:sz w:val="17"/>
                <w:szCs w:val="17"/>
                <w:color w:val="auto"/>
              </w:rPr>
            </w:pPr>
          </w:p>
        </w:tc>
        <w:tc>
          <w:tcPr>
            <w:tcW w:w="820" w:type="dxa"/>
            <w:vAlign w:val="bottom"/>
            <w:tcBorders>
              <w:bottom w:val="single" w:sz="8" w:color="125288"/>
            </w:tcBorders>
          </w:tcPr>
          <w:p>
            <w:pPr>
              <w:spacing w:after="0"/>
              <w:rPr>
                <w:sz w:val="17"/>
                <w:szCs w:val="17"/>
                <w:color w:val="auto"/>
              </w:rPr>
            </w:pPr>
          </w:p>
        </w:tc>
        <w:tc>
          <w:tcPr>
            <w:tcW w:w="1440" w:type="dxa"/>
            <w:vAlign w:val="bottom"/>
            <w:tcBorders>
              <w:bottom w:val="single" w:sz="8" w:color="125288"/>
            </w:tcBorders>
          </w:tcPr>
          <w:p>
            <w:pPr>
              <w:jc w:val="right"/>
              <w:ind w:right="81"/>
              <w:spacing w:after="0" w:line="202" w:lineRule="exact"/>
              <w:rPr>
                <w:sz w:val="20"/>
                <w:szCs w:val="20"/>
                <w:color w:val="auto"/>
              </w:rPr>
            </w:pPr>
            <w:r>
              <w:rPr>
                <w:rFonts w:ascii="Arial" w:cs="Arial" w:eastAsia="Arial" w:hAnsi="Arial"/>
                <w:sz w:val="12"/>
                <w:szCs w:val="12"/>
                <w:color w:val="auto"/>
              </w:rPr>
              <w:t>7,207</w:t>
            </w:r>
            <w:r>
              <w:rPr>
                <w:rFonts w:ascii="Arial" w:cs="Arial" w:eastAsia="Arial" w:hAnsi="Arial"/>
                <w:sz w:val="19"/>
                <w:szCs w:val="19"/>
                <w:color w:val="auto"/>
                <w:vertAlign w:val="superscript"/>
              </w:rPr>
              <w:t>(58)</w:t>
            </w:r>
          </w:p>
        </w:tc>
        <w:tc>
          <w:tcPr>
            <w:tcW w:w="1280" w:type="dxa"/>
            <w:vAlign w:val="bottom"/>
            <w:tcBorders>
              <w:bottom w:val="single" w:sz="8" w:color="125288"/>
            </w:tcBorders>
          </w:tcPr>
          <w:p>
            <w:pPr>
              <w:jc w:val="right"/>
              <w:spacing w:after="0" w:line="202" w:lineRule="exact"/>
              <w:rPr>
                <w:sz w:val="20"/>
                <w:szCs w:val="20"/>
                <w:color w:val="auto"/>
              </w:rPr>
            </w:pPr>
            <w:r>
              <w:rPr>
                <w:rFonts w:ascii="Arial" w:cs="Arial" w:eastAsia="Arial" w:hAnsi="Arial"/>
                <w:sz w:val="12"/>
                <w:szCs w:val="12"/>
                <w:color w:val="auto"/>
              </w:rPr>
              <w:t>479,482</w:t>
            </w:r>
            <w:r>
              <w:rPr>
                <w:rFonts w:ascii="Arial" w:cs="Arial" w:eastAsia="Arial" w:hAnsi="Arial"/>
                <w:sz w:val="19"/>
                <w:szCs w:val="19"/>
                <w:color w:val="auto"/>
                <w:vertAlign w:val="superscript"/>
              </w:rPr>
              <w:t>(59)</w:t>
            </w:r>
          </w:p>
        </w:tc>
      </w:tr>
      <w:tr>
        <w:trPr>
          <w:trHeight w:val="206"/>
        </w:trPr>
        <w:tc>
          <w:tcPr>
            <w:tcW w:w="1060" w:type="dxa"/>
            <w:vAlign w:val="bottom"/>
          </w:tcPr>
          <w:p>
            <w:pPr>
              <w:spacing w:after="0"/>
              <w:rPr>
                <w:sz w:val="17"/>
                <w:szCs w:val="17"/>
                <w:color w:val="auto"/>
              </w:rPr>
            </w:pPr>
          </w:p>
        </w:tc>
        <w:tc>
          <w:tcPr>
            <w:tcW w:w="1600" w:type="dxa"/>
            <w:vAlign w:val="bottom"/>
            <w:tcBorders>
              <w:bottom w:val="single" w:sz="8" w:color="125288"/>
            </w:tcBorders>
          </w:tcPr>
          <w:p>
            <w:pPr>
              <w:spacing w:after="0"/>
              <w:rPr>
                <w:sz w:val="17"/>
                <w:szCs w:val="17"/>
                <w:color w:val="auto"/>
              </w:rPr>
            </w:pPr>
          </w:p>
        </w:tc>
        <w:tc>
          <w:tcPr>
            <w:tcW w:w="1160" w:type="dxa"/>
            <w:vAlign w:val="bottom"/>
            <w:tcBorders>
              <w:bottom w:val="single" w:sz="8" w:color="125288"/>
            </w:tcBorders>
          </w:tcPr>
          <w:p>
            <w:pPr>
              <w:spacing w:after="0"/>
              <w:rPr>
                <w:sz w:val="17"/>
                <w:szCs w:val="17"/>
                <w:color w:val="auto"/>
              </w:rPr>
            </w:pPr>
          </w:p>
        </w:tc>
        <w:tc>
          <w:tcPr>
            <w:tcW w:w="1260" w:type="dxa"/>
            <w:vAlign w:val="bottom"/>
            <w:tcBorders>
              <w:bottom w:val="single" w:sz="8" w:color="125288"/>
            </w:tcBorders>
          </w:tcPr>
          <w:p>
            <w:pPr>
              <w:spacing w:after="0"/>
              <w:rPr>
                <w:sz w:val="17"/>
                <w:szCs w:val="17"/>
                <w:color w:val="auto"/>
              </w:rPr>
            </w:pPr>
          </w:p>
        </w:tc>
        <w:tc>
          <w:tcPr>
            <w:tcW w:w="78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spacing w:after="0"/>
              <w:rPr>
                <w:sz w:val="17"/>
                <w:szCs w:val="17"/>
                <w:color w:val="auto"/>
              </w:rPr>
            </w:pPr>
          </w:p>
        </w:tc>
        <w:tc>
          <w:tcPr>
            <w:tcW w:w="120" w:type="dxa"/>
            <w:vAlign w:val="bottom"/>
            <w:tcBorders>
              <w:bottom w:val="single" w:sz="8" w:color="125288"/>
            </w:tcBorders>
          </w:tcPr>
          <w:p>
            <w:pPr>
              <w:spacing w:after="0"/>
              <w:rPr>
                <w:sz w:val="17"/>
                <w:szCs w:val="17"/>
                <w:color w:val="auto"/>
              </w:rPr>
            </w:pPr>
          </w:p>
        </w:tc>
        <w:tc>
          <w:tcPr>
            <w:tcW w:w="980" w:type="dxa"/>
            <w:vAlign w:val="bottom"/>
            <w:tcBorders>
              <w:bottom w:val="single" w:sz="8" w:color="125288"/>
            </w:tcBorders>
          </w:tcPr>
          <w:p>
            <w:pPr>
              <w:spacing w:after="0"/>
              <w:rPr>
                <w:sz w:val="17"/>
                <w:szCs w:val="17"/>
                <w:color w:val="auto"/>
              </w:rPr>
            </w:pPr>
          </w:p>
        </w:tc>
        <w:tc>
          <w:tcPr>
            <w:tcW w:w="820" w:type="dxa"/>
            <w:vAlign w:val="bottom"/>
            <w:tcBorders>
              <w:bottom w:val="single" w:sz="8" w:color="125288"/>
            </w:tcBorders>
          </w:tcPr>
          <w:p>
            <w:pPr>
              <w:spacing w:after="0"/>
              <w:rPr>
                <w:sz w:val="17"/>
                <w:szCs w:val="17"/>
                <w:color w:val="auto"/>
              </w:rPr>
            </w:pPr>
          </w:p>
        </w:tc>
        <w:tc>
          <w:tcPr>
            <w:tcW w:w="1440" w:type="dxa"/>
            <w:vAlign w:val="bottom"/>
            <w:tcBorders>
              <w:bottom w:val="single" w:sz="8" w:color="125288"/>
            </w:tcBorders>
          </w:tcPr>
          <w:p>
            <w:pPr>
              <w:jc w:val="right"/>
              <w:ind w:right="81"/>
              <w:spacing w:after="0" w:line="202" w:lineRule="exact"/>
              <w:rPr>
                <w:sz w:val="20"/>
                <w:szCs w:val="20"/>
                <w:color w:val="auto"/>
              </w:rPr>
            </w:pPr>
            <w:r>
              <w:rPr>
                <w:rFonts w:ascii="Arial" w:cs="Arial" w:eastAsia="Arial" w:hAnsi="Arial"/>
                <w:sz w:val="12"/>
                <w:szCs w:val="12"/>
                <w:color w:val="auto"/>
              </w:rPr>
              <w:t>9,009</w:t>
            </w:r>
            <w:r>
              <w:rPr>
                <w:rFonts w:ascii="Arial" w:cs="Arial" w:eastAsia="Arial" w:hAnsi="Arial"/>
                <w:sz w:val="19"/>
                <w:szCs w:val="19"/>
                <w:color w:val="auto"/>
                <w:vertAlign w:val="superscript"/>
              </w:rPr>
              <w:t>(60)</w:t>
            </w:r>
          </w:p>
        </w:tc>
        <w:tc>
          <w:tcPr>
            <w:tcW w:w="1280" w:type="dxa"/>
            <w:vAlign w:val="bottom"/>
            <w:tcBorders>
              <w:bottom w:val="single" w:sz="8" w:color="125288"/>
            </w:tcBorders>
          </w:tcPr>
          <w:p>
            <w:pPr>
              <w:jc w:val="right"/>
              <w:ind w:right="121"/>
              <w:spacing w:after="0"/>
              <w:rPr>
                <w:sz w:val="20"/>
                <w:szCs w:val="20"/>
                <w:color w:val="auto"/>
              </w:rPr>
            </w:pPr>
            <w:r>
              <w:rPr>
                <w:rFonts w:ascii="Arial" w:cs="Arial" w:eastAsia="Arial" w:hAnsi="Arial"/>
                <w:sz w:val="12"/>
                <w:szCs w:val="12"/>
                <w:color w:val="auto"/>
              </w:rPr>
              <w:t>599,369</w:t>
            </w:r>
          </w:p>
        </w:tc>
      </w:tr>
      <w:tr>
        <w:trPr>
          <w:trHeight w:val="206"/>
        </w:trPr>
        <w:tc>
          <w:tcPr>
            <w:tcW w:w="1060" w:type="dxa"/>
            <w:vAlign w:val="bottom"/>
          </w:tcPr>
          <w:p>
            <w:pPr>
              <w:spacing w:after="0"/>
              <w:rPr>
                <w:sz w:val="17"/>
                <w:szCs w:val="17"/>
                <w:color w:val="auto"/>
              </w:rPr>
            </w:pPr>
          </w:p>
        </w:tc>
        <w:tc>
          <w:tcPr>
            <w:tcW w:w="1600" w:type="dxa"/>
            <w:vAlign w:val="bottom"/>
            <w:tcBorders>
              <w:bottom w:val="single" w:sz="8" w:color="125288"/>
            </w:tcBorders>
          </w:tcPr>
          <w:p>
            <w:pPr>
              <w:spacing w:after="0"/>
              <w:rPr>
                <w:sz w:val="17"/>
                <w:szCs w:val="17"/>
                <w:color w:val="auto"/>
              </w:rPr>
            </w:pPr>
          </w:p>
        </w:tc>
        <w:tc>
          <w:tcPr>
            <w:tcW w:w="1160" w:type="dxa"/>
            <w:vAlign w:val="bottom"/>
            <w:tcBorders>
              <w:bottom w:val="single" w:sz="8" w:color="125288"/>
            </w:tcBorders>
          </w:tcPr>
          <w:p>
            <w:pPr>
              <w:spacing w:after="0"/>
              <w:rPr>
                <w:sz w:val="17"/>
                <w:szCs w:val="17"/>
                <w:color w:val="auto"/>
              </w:rPr>
            </w:pPr>
          </w:p>
        </w:tc>
        <w:tc>
          <w:tcPr>
            <w:tcW w:w="1260" w:type="dxa"/>
            <w:vAlign w:val="bottom"/>
            <w:tcBorders>
              <w:bottom w:val="single" w:sz="8" w:color="125288"/>
            </w:tcBorders>
          </w:tcPr>
          <w:p>
            <w:pPr>
              <w:spacing w:after="0"/>
              <w:rPr>
                <w:sz w:val="17"/>
                <w:szCs w:val="17"/>
                <w:color w:val="auto"/>
              </w:rPr>
            </w:pPr>
          </w:p>
        </w:tc>
        <w:tc>
          <w:tcPr>
            <w:tcW w:w="78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spacing w:after="0"/>
              <w:rPr>
                <w:sz w:val="17"/>
                <w:szCs w:val="17"/>
                <w:color w:val="auto"/>
              </w:rPr>
            </w:pPr>
          </w:p>
        </w:tc>
        <w:tc>
          <w:tcPr>
            <w:tcW w:w="120" w:type="dxa"/>
            <w:vAlign w:val="bottom"/>
            <w:tcBorders>
              <w:bottom w:val="single" w:sz="8" w:color="125288"/>
            </w:tcBorders>
          </w:tcPr>
          <w:p>
            <w:pPr>
              <w:spacing w:after="0"/>
              <w:rPr>
                <w:sz w:val="17"/>
                <w:szCs w:val="17"/>
                <w:color w:val="auto"/>
              </w:rPr>
            </w:pPr>
          </w:p>
        </w:tc>
        <w:tc>
          <w:tcPr>
            <w:tcW w:w="980" w:type="dxa"/>
            <w:vAlign w:val="bottom"/>
            <w:tcBorders>
              <w:bottom w:val="single" w:sz="8" w:color="125288"/>
            </w:tcBorders>
          </w:tcPr>
          <w:p>
            <w:pPr>
              <w:spacing w:after="0"/>
              <w:rPr>
                <w:sz w:val="17"/>
                <w:szCs w:val="17"/>
                <w:color w:val="auto"/>
              </w:rPr>
            </w:pPr>
          </w:p>
        </w:tc>
        <w:tc>
          <w:tcPr>
            <w:tcW w:w="820" w:type="dxa"/>
            <w:vAlign w:val="bottom"/>
            <w:tcBorders>
              <w:bottom w:val="single" w:sz="8" w:color="125288"/>
            </w:tcBorders>
          </w:tcPr>
          <w:p>
            <w:pPr>
              <w:spacing w:after="0"/>
              <w:rPr>
                <w:sz w:val="17"/>
                <w:szCs w:val="17"/>
                <w:color w:val="auto"/>
              </w:rPr>
            </w:pPr>
          </w:p>
        </w:tc>
        <w:tc>
          <w:tcPr>
            <w:tcW w:w="1440" w:type="dxa"/>
            <w:vAlign w:val="bottom"/>
            <w:tcBorders>
              <w:bottom w:val="single" w:sz="8" w:color="125288"/>
            </w:tcBorders>
          </w:tcPr>
          <w:p>
            <w:pPr>
              <w:jc w:val="right"/>
              <w:ind w:right="81"/>
              <w:spacing w:after="0" w:line="202" w:lineRule="exact"/>
              <w:rPr>
                <w:sz w:val="20"/>
                <w:szCs w:val="20"/>
                <w:color w:val="auto"/>
              </w:rPr>
            </w:pPr>
            <w:r>
              <w:rPr>
                <w:rFonts w:ascii="Arial" w:cs="Arial" w:eastAsia="Arial" w:hAnsi="Arial"/>
                <w:sz w:val="12"/>
                <w:szCs w:val="12"/>
                <w:color w:val="auto"/>
              </w:rPr>
              <w:t>14,656</w:t>
            </w:r>
            <w:r>
              <w:rPr>
                <w:rFonts w:ascii="Arial" w:cs="Arial" w:eastAsia="Arial" w:hAnsi="Arial"/>
                <w:sz w:val="19"/>
                <w:szCs w:val="19"/>
                <w:color w:val="auto"/>
                <w:vertAlign w:val="superscript"/>
              </w:rPr>
              <w:t>(61)</w:t>
            </w:r>
          </w:p>
        </w:tc>
        <w:tc>
          <w:tcPr>
            <w:tcW w:w="1280" w:type="dxa"/>
            <w:vAlign w:val="bottom"/>
            <w:tcBorders>
              <w:bottom w:val="single" w:sz="8" w:color="125288"/>
            </w:tcBorders>
          </w:tcPr>
          <w:p>
            <w:pPr>
              <w:jc w:val="right"/>
              <w:spacing w:after="0" w:line="202" w:lineRule="exact"/>
              <w:rPr>
                <w:sz w:val="20"/>
                <w:szCs w:val="20"/>
                <w:color w:val="auto"/>
              </w:rPr>
            </w:pPr>
            <w:r>
              <w:rPr>
                <w:rFonts w:ascii="Arial" w:cs="Arial" w:eastAsia="Arial" w:hAnsi="Arial"/>
                <w:sz w:val="12"/>
                <w:szCs w:val="12"/>
                <w:color w:val="auto"/>
              </w:rPr>
              <w:t>975,064</w:t>
            </w:r>
            <w:r>
              <w:rPr>
                <w:rFonts w:ascii="Arial" w:cs="Arial" w:eastAsia="Arial" w:hAnsi="Arial"/>
                <w:sz w:val="19"/>
                <w:szCs w:val="19"/>
                <w:color w:val="auto"/>
                <w:vertAlign w:val="superscript"/>
              </w:rPr>
              <w:t>(62)</w:t>
            </w:r>
          </w:p>
        </w:tc>
      </w:tr>
      <w:tr>
        <w:trPr>
          <w:trHeight w:val="206"/>
        </w:trPr>
        <w:tc>
          <w:tcPr>
            <w:tcW w:w="1060" w:type="dxa"/>
            <w:vAlign w:val="bottom"/>
            <w:tcBorders>
              <w:bottom w:val="single" w:sz="8" w:color="125288"/>
            </w:tcBorders>
          </w:tcPr>
          <w:p>
            <w:pPr>
              <w:spacing w:after="0"/>
              <w:rPr>
                <w:sz w:val="17"/>
                <w:szCs w:val="17"/>
                <w:color w:val="auto"/>
              </w:rPr>
            </w:pPr>
          </w:p>
        </w:tc>
        <w:tc>
          <w:tcPr>
            <w:tcW w:w="1600" w:type="dxa"/>
            <w:vAlign w:val="bottom"/>
            <w:tcBorders>
              <w:bottom w:val="single" w:sz="8" w:color="125288"/>
            </w:tcBorders>
          </w:tcPr>
          <w:p>
            <w:pPr>
              <w:jc w:val="right"/>
              <w:ind w:right="81"/>
              <w:spacing w:after="0" w:line="202" w:lineRule="exact"/>
              <w:rPr>
                <w:sz w:val="20"/>
                <w:szCs w:val="20"/>
                <w:color w:val="auto"/>
              </w:rPr>
            </w:pPr>
            <w:r>
              <w:rPr>
                <w:rFonts w:ascii="Arial" w:cs="Arial" w:eastAsia="Arial" w:hAnsi="Arial"/>
                <w:sz w:val="12"/>
                <w:szCs w:val="12"/>
                <w:color w:val="auto"/>
              </w:rPr>
              <w:t>15,747</w:t>
            </w:r>
            <w:r>
              <w:rPr>
                <w:rFonts w:ascii="Arial" w:cs="Arial" w:eastAsia="Arial" w:hAnsi="Arial"/>
                <w:sz w:val="19"/>
                <w:szCs w:val="19"/>
                <w:color w:val="auto"/>
                <w:vertAlign w:val="superscript"/>
              </w:rPr>
              <w:t>(63)</w:t>
            </w:r>
          </w:p>
        </w:tc>
        <w:tc>
          <w:tcPr>
            <w:tcW w:w="1160" w:type="dxa"/>
            <w:vAlign w:val="bottom"/>
            <w:tcBorders>
              <w:bottom w:val="single" w:sz="8" w:color="125288"/>
            </w:tcBorders>
          </w:tcPr>
          <w:p>
            <w:pPr>
              <w:spacing w:after="0"/>
              <w:rPr>
                <w:sz w:val="17"/>
                <w:szCs w:val="17"/>
                <w:color w:val="auto"/>
              </w:rPr>
            </w:pPr>
          </w:p>
        </w:tc>
        <w:tc>
          <w:tcPr>
            <w:tcW w:w="1260" w:type="dxa"/>
            <w:vAlign w:val="bottom"/>
            <w:tcBorders>
              <w:bottom w:val="single" w:sz="8" w:color="125288"/>
            </w:tcBorders>
          </w:tcPr>
          <w:p>
            <w:pPr>
              <w:jc w:val="right"/>
              <w:ind w:right="21"/>
              <w:spacing w:after="0" w:line="202" w:lineRule="exact"/>
              <w:rPr>
                <w:sz w:val="20"/>
                <w:szCs w:val="20"/>
                <w:color w:val="auto"/>
              </w:rPr>
            </w:pPr>
            <w:r>
              <w:rPr>
                <w:rFonts w:ascii="Arial" w:cs="Arial" w:eastAsia="Arial" w:hAnsi="Arial"/>
                <w:sz w:val="12"/>
                <w:szCs w:val="12"/>
                <w:color w:val="auto"/>
              </w:rPr>
              <w:t>31,493</w:t>
            </w:r>
            <w:r>
              <w:rPr>
                <w:rFonts w:ascii="Arial" w:cs="Arial" w:eastAsia="Arial" w:hAnsi="Arial"/>
                <w:sz w:val="19"/>
                <w:szCs w:val="19"/>
                <w:color w:val="auto"/>
                <w:vertAlign w:val="superscript"/>
              </w:rPr>
              <w:t>(64)</w:t>
            </w:r>
          </w:p>
        </w:tc>
        <w:tc>
          <w:tcPr>
            <w:tcW w:w="780" w:type="dxa"/>
            <w:vAlign w:val="bottom"/>
            <w:tcBorders>
              <w:bottom w:val="single" w:sz="8" w:color="125288"/>
            </w:tcBorders>
          </w:tcPr>
          <w:p>
            <w:pPr>
              <w:jc w:val="right"/>
              <w:ind w:right="141"/>
              <w:spacing w:after="0"/>
              <w:rPr>
                <w:sz w:val="20"/>
                <w:szCs w:val="20"/>
                <w:color w:val="auto"/>
              </w:rPr>
            </w:pPr>
            <w:r>
              <w:rPr>
                <w:rFonts w:ascii="Arial" w:cs="Arial" w:eastAsia="Arial" w:hAnsi="Arial"/>
                <w:sz w:val="12"/>
                <w:szCs w:val="12"/>
                <w:color w:val="auto"/>
              </w:rPr>
              <w:t>92.50</w:t>
            </w:r>
          </w:p>
        </w:tc>
        <w:tc>
          <w:tcPr>
            <w:tcW w:w="880" w:type="dxa"/>
            <w:vAlign w:val="bottom"/>
            <w:tcBorders>
              <w:bottom w:val="single" w:sz="8" w:color="125288"/>
            </w:tcBorders>
            <w:gridSpan w:val="2"/>
          </w:tcPr>
          <w:p>
            <w:pPr>
              <w:jc w:val="right"/>
              <w:ind w:right="120"/>
              <w:spacing w:after="0"/>
              <w:rPr>
                <w:sz w:val="20"/>
                <w:szCs w:val="20"/>
                <w:color w:val="auto"/>
              </w:rPr>
            </w:pPr>
            <w:r>
              <w:rPr>
                <w:rFonts w:ascii="Arial" w:cs="Arial" w:eastAsia="Arial" w:hAnsi="Arial"/>
                <w:sz w:val="12"/>
                <w:szCs w:val="12"/>
                <w:color w:val="auto"/>
              </w:rPr>
              <w:t>3/9/2031</w:t>
            </w:r>
          </w:p>
        </w:tc>
        <w:tc>
          <w:tcPr>
            <w:tcW w:w="980" w:type="dxa"/>
            <w:vAlign w:val="bottom"/>
            <w:tcBorders>
              <w:bottom w:val="single" w:sz="8" w:color="125288"/>
            </w:tcBorders>
          </w:tcPr>
          <w:p>
            <w:pPr>
              <w:spacing w:after="0"/>
              <w:rPr>
                <w:sz w:val="17"/>
                <w:szCs w:val="17"/>
                <w:color w:val="auto"/>
              </w:rPr>
            </w:pPr>
          </w:p>
        </w:tc>
        <w:tc>
          <w:tcPr>
            <w:tcW w:w="820" w:type="dxa"/>
            <w:vAlign w:val="bottom"/>
            <w:tcBorders>
              <w:bottom w:val="single" w:sz="8" w:color="125288"/>
            </w:tcBorders>
          </w:tcPr>
          <w:p>
            <w:pPr>
              <w:spacing w:after="0"/>
              <w:rPr>
                <w:sz w:val="17"/>
                <w:szCs w:val="17"/>
                <w:color w:val="auto"/>
              </w:rPr>
            </w:pPr>
          </w:p>
        </w:tc>
        <w:tc>
          <w:tcPr>
            <w:tcW w:w="1440" w:type="dxa"/>
            <w:vAlign w:val="bottom"/>
            <w:tcBorders>
              <w:bottom w:val="single" w:sz="8" w:color="125288"/>
            </w:tcBorders>
          </w:tcPr>
          <w:p>
            <w:pPr>
              <w:spacing w:after="0"/>
              <w:rPr>
                <w:sz w:val="17"/>
                <w:szCs w:val="17"/>
                <w:color w:val="auto"/>
              </w:rPr>
            </w:pPr>
          </w:p>
        </w:tc>
        <w:tc>
          <w:tcPr>
            <w:tcW w:w="1280" w:type="dxa"/>
            <w:vAlign w:val="bottom"/>
            <w:tcBorders>
              <w:bottom w:val="single" w:sz="8" w:color="125288"/>
            </w:tcBorders>
          </w:tcPr>
          <w:p>
            <w:pPr>
              <w:spacing w:after="0"/>
              <w:rPr>
                <w:sz w:val="17"/>
                <w:szCs w:val="17"/>
                <w:color w:val="auto"/>
              </w:rPr>
            </w:pPr>
          </w:p>
        </w:tc>
      </w:tr>
      <w:tr>
        <w:trPr>
          <w:trHeight w:val="206"/>
        </w:trPr>
        <w:tc>
          <w:tcPr>
            <w:tcW w:w="1060" w:type="dxa"/>
            <w:vAlign w:val="bottom"/>
          </w:tcPr>
          <w:p>
            <w:pPr>
              <w:ind w:left="40"/>
              <w:spacing w:after="0"/>
              <w:rPr>
                <w:sz w:val="20"/>
                <w:szCs w:val="20"/>
                <w:color w:val="auto"/>
              </w:rPr>
            </w:pPr>
            <w:r>
              <w:rPr>
                <w:rFonts w:ascii="Arial" w:cs="Arial" w:eastAsia="Arial" w:hAnsi="Arial"/>
                <w:sz w:val="12"/>
                <w:szCs w:val="12"/>
                <w:color w:val="auto"/>
              </w:rPr>
              <w:t>Grant Dixton</w:t>
            </w:r>
          </w:p>
        </w:tc>
        <w:tc>
          <w:tcPr>
            <w:tcW w:w="1600" w:type="dxa"/>
            <w:vAlign w:val="bottom"/>
            <w:tcBorders>
              <w:bottom w:val="single" w:sz="8" w:color="125288"/>
            </w:tcBorders>
          </w:tcPr>
          <w:p>
            <w:pPr>
              <w:spacing w:after="0"/>
              <w:rPr>
                <w:sz w:val="17"/>
                <w:szCs w:val="17"/>
                <w:color w:val="auto"/>
              </w:rPr>
            </w:pPr>
          </w:p>
        </w:tc>
        <w:tc>
          <w:tcPr>
            <w:tcW w:w="1160" w:type="dxa"/>
            <w:vAlign w:val="bottom"/>
            <w:tcBorders>
              <w:bottom w:val="single" w:sz="8" w:color="125288"/>
            </w:tcBorders>
          </w:tcPr>
          <w:p>
            <w:pPr>
              <w:spacing w:after="0"/>
              <w:rPr>
                <w:sz w:val="17"/>
                <w:szCs w:val="17"/>
                <w:color w:val="auto"/>
              </w:rPr>
            </w:pPr>
          </w:p>
        </w:tc>
        <w:tc>
          <w:tcPr>
            <w:tcW w:w="1260" w:type="dxa"/>
            <w:vAlign w:val="bottom"/>
            <w:tcBorders>
              <w:bottom w:val="single" w:sz="8" w:color="125288"/>
            </w:tcBorders>
          </w:tcPr>
          <w:p>
            <w:pPr>
              <w:spacing w:after="0"/>
              <w:rPr>
                <w:sz w:val="17"/>
                <w:szCs w:val="17"/>
                <w:color w:val="auto"/>
              </w:rPr>
            </w:pPr>
          </w:p>
        </w:tc>
        <w:tc>
          <w:tcPr>
            <w:tcW w:w="78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spacing w:after="0"/>
              <w:rPr>
                <w:sz w:val="17"/>
                <w:szCs w:val="17"/>
                <w:color w:val="auto"/>
              </w:rPr>
            </w:pPr>
          </w:p>
        </w:tc>
        <w:tc>
          <w:tcPr>
            <w:tcW w:w="120" w:type="dxa"/>
            <w:vAlign w:val="bottom"/>
            <w:tcBorders>
              <w:bottom w:val="single" w:sz="8" w:color="125288"/>
            </w:tcBorders>
          </w:tcPr>
          <w:p>
            <w:pPr>
              <w:spacing w:after="0"/>
              <w:rPr>
                <w:sz w:val="17"/>
                <w:szCs w:val="17"/>
                <w:color w:val="auto"/>
              </w:rPr>
            </w:pPr>
          </w:p>
        </w:tc>
        <w:tc>
          <w:tcPr>
            <w:tcW w:w="980" w:type="dxa"/>
            <w:vAlign w:val="bottom"/>
            <w:tcBorders>
              <w:bottom w:val="single" w:sz="8" w:color="125288"/>
            </w:tcBorders>
          </w:tcPr>
          <w:p>
            <w:pPr>
              <w:spacing w:after="0"/>
              <w:rPr>
                <w:sz w:val="17"/>
                <w:szCs w:val="17"/>
                <w:color w:val="auto"/>
              </w:rPr>
            </w:pPr>
          </w:p>
        </w:tc>
        <w:tc>
          <w:tcPr>
            <w:tcW w:w="820" w:type="dxa"/>
            <w:vAlign w:val="bottom"/>
            <w:tcBorders>
              <w:bottom w:val="single" w:sz="8" w:color="125288"/>
            </w:tcBorders>
          </w:tcPr>
          <w:p>
            <w:pPr>
              <w:spacing w:after="0"/>
              <w:rPr>
                <w:sz w:val="17"/>
                <w:szCs w:val="17"/>
                <w:color w:val="auto"/>
              </w:rPr>
            </w:pPr>
          </w:p>
        </w:tc>
        <w:tc>
          <w:tcPr>
            <w:tcW w:w="1440" w:type="dxa"/>
            <w:vAlign w:val="bottom"/>
            <w:tcBorders>
              <w:bottom w:val="single" w:sz="8" w:color="125288"/>
            </w:tcBorders>
          </w:tcPr>
          <w:p>
            <w:pPr>
              <w:jc w:val="right"/>
              <w:ind w:right="81"/>
              <w:spacing w:after="0" w:line="202" w:lineRule="exact"/>
              <w:rPr>
                <w:sz w:val="20"/>
                <w:szCs w:val="20"/>
                <w:color w:val="auto"/>
              </w:rPr>
            </w:pPr>
            <w:r>
              <w:rPr>
                <w:rFonts w:ascii="Arial" w:cs="Arial" w:eastAsia="Arial" w:hAnsi="Arial"/>
                <w:sz w:val="12"/>
                <w:szCs w:val="12"/>
                <w:color w:val="auto"/>
              </w:rPr>
              <w:t>12,450</w:t>
            </w:r>
            <w:r>
              <w:rPr>
                <w:rFonts w:ascii="Arial" w:cs="Arial" w:eastAsia="Arial" w:hAnsi="Arial"/>
                <w:sz w:val="19"/>
                <w:szCs w:val="19"/>
                <w:color w:val="auto"/>
                <w:vertAlign w:val="superscript"/>
              </w:rPr>
              <w:t>(65)</w:t>
            </w:r>
          </w:p>
        </w:tc>
        <w:tc>
          <w:tcPr>
            <w:tcW w:w="1280" w:type="dxa"/>
            <w:vAlign w:val="bottom"/>
            <w:tcBorders>
              <w:bottom w:val="single" w:sz="8" w:color="125288"/>
            </w:tcBorders>
          </w:tcPr>
          <w:p>
            <w:pPr>
              <w:jc w:val="right"/>
              <w:spacing w:after="0" w:line="202" w:lineRule="exact"/>
              <w:rPr>
                <w:sz w:val="20"/>
                <w:szCs w:val="20"/>
                <w:color w:val="auto"/>
              </w:rPr>
            </w:pPr>
            <w:r>
              <w:rPr>
                <w:rFonts w:ascii="Arial" w:cs="Arial" w:eastAsia="Arial" w:hAnsi="Arial"/>
                <w:sz w:val="12"/>
                <w:szCs w:val="12"/>
                <w:color w:val="auto"/>
              </w:rPr>
              <w:t>828,299</w:t>
            </w:r>
            <w:r>
              <w:rPr>
                <w:rFonts w:ascii="Arial" w:cs="Arial" w:eastAsia="Arial" w:hAnsi="Arial"/>
                <w:sz w:val="19"/>
                <w:szCs w:val="19"/>
                <w:color w:val="auto"/>
                <w:vertAlign w:val="superscript"/>
              </w:rPr>
              <w:t>(66)</w:t>
            </w:r>
          </w:p>
        </w:tc>
      </w:tr>
      <w:tr>
        <w:trPr>
          <w:trHeight w:val="206"/>
        </w:trPr>
        <w:tc>
          <w:tcPr>
            <w:tcW w:w="1060" w:type="dxa"/>
            <w:vAlign w:val="bottom"/>
          </w:tcPr>
          <w:p>
            <w:pPr>
              <w:spacing w:after="0"/>
              <w:rPr>
                <w:sz w:val="17"/>
                <w:szCs w:val="17"/>
                <w:color w:val="auto"/>
              </w:rPr>
            </w:pPr>
          </w:p>
        </w:tc>
        <w:tc>
          <w:tcPr>
            <w:tcW w:w="1600" w:type="dxa"/>
            <w:vAlign w:val="bottom"/>
            <w:tcBorders>
              <w:bottom w:val="single" w:sz="8" w:color="125288"/>
            </w:tcBorders>
          </w:tcPr>
          <w:p>
            <w:pPr>
              <w:spacing w:after="0"/>
              <w:rPr>
                <w:sz w:val="17"/>
                <w:szCs w:val="17"/>
                <w:color w:val="auto"/>
              </w:rPr>
            </w:pPr>
          </w:p>
        </w:tc>
        <w:tc>
          <w:tcPr>
            <w:tcW w:w="1160" w:type="dxa"/>
            <w:vAlign w:val="bottom"/>
            <w:tcBorders>
              <w:bottom w:val="single" w:sz="8" w:color="125288"/>
            </w:tcBorders>
          </w:tcPr>
          <w:p>
            <w:pPr>
              <w:spacing w:after="0"/>
              <w:rPr>
                <w:sz w:val="17"/>
                <w:szCs w:val="17"/>
                <w:color w:val="auto"/>
              </w:rPr>
            </w:pPr>
          </w:p>
        </w:tc>
        <w:tc>
          <w:tcPr>
            <w:tcW w:w="1260" w:type="dxa"/>
            <w:vAlign w:val="bottom"/>
            <w:tcBorders>
              <w:bottom w:val="single" w:sz="8" w:color="125288"/>
            </w:tcBorders>
          </w:tcPr>
          <w:p>
            <w:pPr>
              <w:spacing w:after="0"/>
              <w:rPr>
                <w:sz w:val="17"/>
                <w:szCs w:val="17"/>
                <w:color w:val="auto"/>
              </w:rPr>
            </w:pPr>
          </w:p>
        </w:tc>
        <w:tc>
          <w:tcPr>
            <w:tcW w:w="78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spacing w:after="0"/>
              <w:rPr>
                <w:sz w:val="17"/>
                <w:szCs w:val="17"/>
                <w:color w:val="auto"/>
              </w:rPr>
            </w:pPr>
          </w:p>
        </w:tc>
        <w:tc>
          <w:tcPr>
            <w:tcW w:w="120" w:type="dxa"/>
            <w:vAlign w:val="bottom"/>
            <w:tcBorders>
              <w:bottom w:val="single" w:sz="8" w:color="125288"/>
            </w:tcBorders>
          </w:tcPr>
          <w:p>
            <w:pPr>
              <w:spacing w:after="0"/>
              <w:rPr>
                <w:sz w:val="17"/>
                <w:szCs w:val="17"/>
                <w:color w:val="auto"/>
              </w:rPr>
            </w:pPr>
          </w:p>
        </w:tc>
        <w:tc>
          <w:tcPr>
            <w:tcW w:w="980" w:type="dxa"/>
            <w:vAlign w:val="bottom"/>
            <w:tcBorders>
              <w:bottom w:val="single" w:sz="8" w:color="125288"/>
            </w:tcBorders>
          </w:tcPr>
          <w:p>
            <w:pPr>
              <w:spacing w:after="0"/>
              <w:rPr>
                <w:sz w:val="17"/>
                <w:szCs w:val="17"/>
                <w:color w:val="auto"/>
              </w:rPr>
            </w:pPr>
          </w:p>
        </w:tc>
        <w:tc>
          <w:tcPr>
            <w:tcW w:w="820" w:type="dxa"/>
            <w:vAlign w:val="bottom"/>
            <w:tcBorders>
              <w:bottom w:val="single" w:sz="8" w:color="125288"/>
            </w:tcBorders>
          </w:tcPr>
          <w:p>
            <w:pPr>
              <w:spacing w:after="0"/>
              <w:rPr>
                <w:sz w:val="17"/>
                <w:szCs w:val="17"/>
                <w:color w:val="auto"/>
              </w:rPr>
            </w:pPr>
          </w:p>
        </w:tc>
        <w:tc>
          <w:tcPr>
            <w:tcW w:w="1440" w:type="dxa"/>
            <w:vAlign w:val="bottom"/>
            <w:tcBorders>
              <w:bottom w:val="single" w:sz="8" w:color="125288"/>
            </w:tcBorders>
          </w:tcPr>
          <w:p>
            <w:pPr>
              <w:jc w:val="right"/>
              <w:ind w:right="81"/>
              <w:spacing w:after="0" w:line="202" w:lineRule="exact"/>
              <w:rPr>
                <w:sz w:val="20"/>
                <w:szCs w:val="20"/>
                <w:color w:val="auto"/>
              </w:rPr>
            </w:pPr>
            <w:r>
              <w:rPr>
                <w:rFonts w:ascii="Arial" w:cs="Arial" w:eastAsia="Arial" w:hAnsi="Arial"/>
                <w:sz w:val="12"/>
                <w:szCs w:val="12"/>
                <w:color w:val="auto"/>
              </w:rPr>
              <w:t>12,450</w:t>
            </w:r>
            <w:r>
              <w:rPr>
                <w:rFonts w:ascii="Arial" w:cs="Arial" w:eastAsia="Arial" w:hAnsi="Arial"/>
                <w:sz w:val="19"/>
                <w:szCs w:val="19"/>
                <w:color w:val="auto"/>
                <w:vertAlign w:val="superscript"/>
              </w:rPr>
              <w:t>(67)</w:t>
            </w:r>
          </w:p>
        </w:tc>
        <w:tc>
          <w:tcPr>
            <w:tcW w:w="1280" w:type="dxa"/>
            <w:vAlign w:val="bottom"/>
            <w:tcBorders>
              <w:bottom w:val="single" w:sz="8" w:color="125288"/>
            </w:tcBorders>
          </w:tcPr>
          <w:p>
            <w:pPr>
              <w:jc w:val="right"/>
              <w:spacing w:after="0" w:line="202" w:lineRule="exact"/>
              <w:rPr>
                <w:sz w:val="20"/>
                <w:szCs w:val="20"/>
                <w:color w:val="auto"/>
              </w:rPr>
            </w:pPr>
            <w:r>
              <w:rPr>
                <w:rFonts w:ascii="Arial" w:cs="Arial" w:eastAsia="Arial" w:hAnsi="Arial"/>
                <w:sz w:val="12"/>
                <w:szCs w:val="12"/>
                <w:color w:val="auto"/>
              </w:rPr>
              <w:t>828,299</w:t>
            </w:r>
            <w:r>
              <w:rPr>
                <w:rFonts w:ascii="Arial" w:cs="Arial" w:eastAsia="Arial" w:hAnsi="Arial"/>
                <w:sz w:val="19"/>
                <w:szCs w:val="19"/>
                <w:color w:val="auto"/>
                <w:vertAlign w:val="superscript"/>
              </w:rPr>
              <w:t>(68)</w:t>
            </w:r>
          </w:p>
        </w:tc>
      </w:tr>
      <w:tr>
        <w:trPr>
          <w:trHeight w:val="206"/>
        </w:trPr>
        <w:tc>
          <w:tcPr>
            <w:tcW w:w="1060" w:type="dxa"/>
            <w:vAlign w:val="bottom"/>
          </w:tcPr>
          <w:p>
            <w:pPr>
              <w:spacing w:after="0"/>
              <w:rPr>
                <w:sz w:val="17"/>
                <w:szCs w:val="17"/>
                <w:color w:val="auto"/>
              </w:rPr>
            </w:pPr>
          </w:p>
        </w:tc>
        <w:tc>
          <w:tcPr>
            <w:tcW w:w="1600" w:type="dxa"/>
            <w:vAlign w:val="bottom"/>
            <w:tcBorders>
              <w:bottom w:val="single" w:sz="8" w:color="125288"/>
            </w:tcBorders>
          </w:tcPr>
          <w:p>
            <w:pPr>
              <w:spacing w:after="0"/>
              <w:rPr>
                <w:sz w:val="17"/>
                <w:szCs w:val="17"/>
                <w:color w:val="auto"/>
              </w:rPr>
            </w:pPr>
          </w:p>
        </w:tc>
        <w:tc>
          <w:tcPr>
            <w:tcW w:w="1160" w:type="dxa"/>
            <w:vAlign w:val="bottom"/>
            <w:tcBorders>
              <w:bottom w:val="single" w:sz="8" w:color="125288"/>
            </w:tcBorders>
          </w:tcPr>
          <w:p>
            <w:pPr>
              <w:spacing w:after="0"/>
              <w:rPr>
                <w:sz w:val="17"/>
                <w:szCs w:val="17"/>
                <w:color w:val="auto"/>
              </w:rPr>
            </w:pPr>
          </w:p>
        </w:tc>
        <w:tc>
          <w:tcPr>
            <w:tcW w:w="1260" w:type="dxa"/>
            <w:vAlign w:val="bottom"/>
            <w:tcBorders>
              <w:bottom w:val="single" w:sz="8" w:color="125288"/>
            </w:tcBorders>
          </w:tcPr>
          <w:p>
            <w:pPr>
              <w:spacing w:after="0"/>
              <w:rPr>
                <w:sz w:val="17"/>
                <w:szCs w:val="17"/>
                <w:color w:val="auto"/>
              </w:rPr>
            </w:pPr>
          </w:p>
        </w:tc>
        <w:tc>
          <w:tcPr>
            <w:tcW w:w="78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spacing w:after="0"/>
              <w:rPr>
                <w:sz w:val="17"/>
                <w:szCs w:val="17"/>
                <w:color w:val="auto"/>
              </w:rPr>
            </w:pPr>
          </w:p>
        </w:tc>
        <w:tc>
          <w:tcPr>
            <w:tcW w:w="120" w:type="dxa"/>
            <w:vAlign w:val="bottom"/>
            <w:tcBorders>
              <w:bottom w:val="single" w:sz="8" w:color="125288"/>
            </w:tcBorders>
          </w:tcPr>
          <w:p>
            <w:pPr>
              <w:spacing w:after="0"/>
              <w:rPr>
                <w:sz w:val="17"/>
                <w:szCs w:val="17"/>
                <w:color w:val="auto"/>
              </w:rPr>
            </w:pPr>
          </w:p>
        </w:tc>
        <w:tc>
          <w:tcPr>
            <w:tcW w:w="980" w:type="dxa"/>
            <w:vAlign w:val="bottom"/>
            <w:tcBorders>
              <w:bottom w:val="single" w:sz="8" w:color="125288"/>
            </w:tcBorders>
          </w:tcPr>
          <w:p>
            <w:pPr>
              <w:spacing w:after="0"/>
              <w:rPr>
                <w:sz w:val="17"/>
                <w:szCs w:val="17"/>
                <w:color w:val="auto"/>
              </w:rPr>
            </w:pPr>
          </w:p>
        </w:tc>
        <w:tc>
          <w:tcPr>
            <w:tcW w:w="820" w:type="dxa"/>
            <w:vAlign w:val="bottom"/>
            <w:tcBorders>
              <w:bottom w:val="single" w:sz="8" w:color="125288"/>
            </w:tcBorders>
          </w:tcPr>
          <w:p>
            <w:pPr>
              <w:spacing w:after="0"/>
              <w:rPr>
                <w:sz w:val="17"/>
                <w:szCs w:val="17"/>
                <w:color w:val="auto"/>
              </w:rPr>
            </w:pPr>
          </w:p>
        </w:tc>
        <w:tc>
          <w:tcPr>
            <w:tcW w:w="1440" w:type="dxa"/>
            <w:vAlign w:val="bottom"/>
            <w:tcBorders>
              <w:bottom w:val="single" w:sz="8" w:color="125288"/>
            </w:tcBorders>
          </w:tcPr>
          <w:p>
            <w:pPr>
              <w:jc w:val="right"/>
              <w:ind w:right="81"/>
              <w:spacing w:after="0" w:line="202" w:lineRule="exact"/>
              <w:rPr>
                <w:sz w:val="20"/>
                <w:szCs w:val="20"/>
                <w:color w:val="auto"/>
              </w:rPr>
            </w:pPr>
            <w:r>
              <w:rPr>
                <w:rFonts w:ascii="Arial" w:cs="Arial" w:eastAsia="Arial" w:hAnsi="Arial"/>
                <w:sz w:val="12"/>
                <w:szCs w:val="12"/>
                <w:color w:val="auto"/>
              </w:rPr>
              <w:t>6,225</w:t>
            </w:r>
            <w:r>
              <w:rPr>
                <w:rFonts w:ascii="Arial" w:cs="Arial" w:eastAsia="Arial" w:hAnsi="Arial"/>
                <w:sz w:val="19"/>
                <w:szCs w:val="19"/>
                <w:color w:val="auto"/>
                <w:vertAlign w:val="superscript"/>
              </w:rPr>
              <w:t>(69)</w:t>
            </w:r>
          </w:p>
        </w:tc>
        <w:tc>
          <w:tcPr>
            <w:tcW w:w="1280" w:type="dxa"/>
            <w:vAlign w:val="bottom"/>
            <w:tcBorders>
              <w:bottom w:val="single" w:sz="8" w:color="125288"/>
            </w:tcBorders>
          </w:tcPr>
          <w:p>
            <w:pPr>
              <w:jc w:val="right"/>
              <w:spacing w:after="0" w:line="202" w:lineRule="exact"/>
              <w:rPr>
                <w:sz w:val="20"/>
                <w:szCs w:val="20"/>
                <w:color w:val="auto"/>
              </w:rPr>
            </w:pPr>
            <w:r>
              <w:rPr>
                <w:rFonts w:ascii="Arial" w:cs="Arial" w:eastAsia="Arial" w:hAnsi="Arial"/>
                <w:sz w:val="12"/>
                <w:szCs w:val="12"/>
                <w:color w:val="auto"/>
              </w:rPr>
              <w:t>414,149</w:t>
            </w:r>
            <w:r>
              <w:rPr>
                <w:rFonts w:ascii="Arial" w:cs="Arial" w:eastAsia="Arial" w:hAnsi="Arial"/>
                <w:sz w:val="19"/>
                <w:szCs w:val="19"/>
                <w:color w:val="auto"/>
                <w:vertAlign w:val="superscript"/>
              </w:rPr>
              <w:t>(70)</w:t>
            </w:r>
          </w:p>
        </w:tc>
      </w:tr>
      <w:tr>
        <w:trPr>
          <w:trHeight w:val="206"/>
        </w:trPr>
        <w:tc>
          <w:tcPr>
            <w:tcW w:w="1060" w:type="dxa"/>
            <w:vAlign w:val="bottom"/>
          </w:tcPr>
          <w:p>
            <w:pPr>
              <w:spacing w:after="0"/>
              <w:rPr>
                <w:sz w:val="17"/>
                <w:szCs w:val="17"/>
                <w:color w:val="auto"/>
              </w:rPr>
            </w:pPr>
          </w:p>
        </w:tc>
        <w:tc>
          <w:tcPr>
            <w:tcW w:w="1600" w:type="dxa"/>
            <w:vAlign w:val="bottom"/>
            <w:tcBorders>
              <w:bottom w:val="single" w:sz="8" w:color="125288"/>
            </w:tcBorders>
          </w:tcPr>
          <w:p>
            <w:pPr>
              <w:spacing w:after="0"/>
              <w:rPr>
                <w:sz w:val="17"/>
                <w:szCs w:val="17"/>
                <w:color w:val="auto"/>
              </w:rPr>
            </w:pPr>
          </w:p>
        </w:tc>
        <w:tc>
          <w:tcPr>
            <w:tcW w:w="1160" w:type="dxa"/>
            <w:vAlign w:val="bottom"/>
            <w:tcBorders>
              <w:bottom w:val="single" w:sz="8" w:color="125288"/>
            </w:tcBorders>
          </w:tcPr>
          <w:p>
            <w:pPr>
              <w:spacing w:after="0"/>
              <w:rPr>
                <w:sz w:val="17"/>
                <w:szCs w:val="17"/>
                <w:color w:val="auto"/>
              </w:rPr>
            </w:pPr>
          </w:p>
        </w:tc>
        <w:tc>
          <w:tcPr>
            <w:tcW w:w="1260" w:type="dxa"/>
            <w:vAlign w:val="bottom"/>
            <w:tcBorders>
              <w:bottom w:val="single" w:sz="8" w:color="125288"/>
            </w:tcBorders>
          </w:tcPr>
          <w:p>
            <w:pPr>
              <w:spacing w:after="0"/>
              <w:rPr>
                <w:sz w:val="17"/>
                <w:szCs w:val="17"/>
                <w:color w:val="auto"/>
              </w:rPr>
            </w:pPr>
          </w:p>
        </w:tc>
        <w:tc>
          <w:tcPr>
            <w:tcW w:w="78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spacing w:after="0"/>
              <w:rPr>
                <w:sz w:val="17"/>
                <w:szCs w:val="17"/>
                <w:color w:val="auto"/>
              </w:rPr>
            </w:pPr>
          </w:p>
        </w:tc>
        <w:tc>
          <w:tcPr>
            <w:tcW w:w="120" w:type="dxa"/>
            <w:vAlign w:val="bottom"/>
            <w:tcBorders>
              <w:bottom w:val="single" w:sz="8" w:color="125288"/>
            </w:tcBorders>
          </w:tcPr>
          <w:p>
            <w:pPr>
              <w:spacing w:after="0"/>
              <w:rPr>
                <w:sz w:val="17"/>
                <w:szCs w:val="17"/>
                <w:color w:val="auto"/>
              </w:rPr>
            </w:pPr>
          </w:p>
        </w:tc>
        <w:tc>
          <w:tcPr>
            <w:tcW w:w="980" w:type="dxa"/>
            <w:vAlign w:val="bottom"/>
            <w:tcBorders>
              <w:bottom w:val="single" w:sz="8" w:color="125288"/>
            </w:tcBorders>
          </w:tcPr>
          <w:p>
            <w:pPr>
              <w:spacing w:after="0"/>
              <w:rPr>
                <w:sz w:val="17"/>
                <w:szCs w:val="17"/>
                <w:color w:val="auto"/>
              </w:rPr>
            </w:pPr>
          </w:p>
        </w:tc>
        <w:tc>
          <w:tcPr>
            <w:tcW w:w="820" w:type="dxa"/>
            <w:vAlign w:val="bottom"/>
            <w:tcBorders>
              <w:bottom w:val="single" w:sz="8" w:color="125288"/>
            </w:tcBorders>
          </w:tcPr>
          <w:p>
            <w:pPr>
              <w:spacing w:after="0"/>
              <w:rPr>
                <w:sz w:val="17"/>
                <w:szCs w:val="17"/>
                <w:color w:val="auto"/>
              </w:rPr>
            </w:pPr>
          </w:p>
        </w:tc>
        <w:tc>
          <w:tcPr>
            <w:tcW w:w="1440" w:type="dxa"/>
            <w:vAlign w:val="bottom"/>
            <w:tcBorders>
              <w:bottom w:val="single" w:sz="8" w:color="125288"/>
            </w:tcBorders>
          </w:tcPr>
          <w:p>
            <w:pPr>
              <w:jc w:val="right"/>
              <w:ind w:right="81"/>
              <w:spacing w:after="0" w:line="202" w:lineRule="exact"/>
              <w:rPr>
                <w:sz w:val="20"/>
                <w:szCs w:val="20"/>
                <w:color w:val="auto"/>
              </w:rPr>
            </w:pPr>
            <w:r>
              <w:rPr>
                <w:rFonts w:ascii="Arial" w:cs="Arial" w:eastAsia="Arial" w:hAnsi="Arial"/>
                <w:sz w:val="12"/>
                <w:szCs w:val="12"/>
                <w:color w:val="auto"/>
              </w:rPr>
              <w:t>14,656</w:t>
            </w:r>
            <w:r>
              <w:rPr>
                <w:rFonts w:ascii="Arial" w:cs="Arial" w:eastAsia="Arial" w:hAnsi="Arial"/>
                <w:sz w:val="19"/>
                <w:szCs w:val="19"/>
                <w:color w:val="auto"/>
                <w:vertAlign w:val="superscript"/>
              </w:rPr>
              <w:t>(71)</w:t>
            </w:r>
          </w:p>
        </w:tc>
        <w:tc>
          <w:tcPr>
            <w:tcW w:w="1280" w:type="dxa"/>
            <w:vAlign w:val="bottom"/>
            <w:tcBorders>
              <w:bottom w:val="single" w:sz="8" w:color="125288"/>
            </w:tcBorders>
          </w:tcPr>
          <w:p>
            <w:pPr>
              <w:jc w:val="right"/>
              <w:spacing w:after="0" w:line="202" w:lineRule="exact"/>
              <w:rPr>
                <w:sz w:val="20"/>
                <w:szCs w:val="20"/>
                <w:color w:val="auto"/>
              </w:rPr>
            </w:pPr>
            <w:r>
              <w:rPr>
                <w:rFonts w:ascii="Arial" w:cs="Arial" w:eastAsia="Arial" w:hAnsi="Arial"/>
                <w:sz w:val="12"/>
                <w:szCs w:val="12"/>
                <w:color w:val="auto"/>
              </w:rPr>
              <w:t>975,064</w:t>
            </w:r>
            <w:r>
              <w:rPr>
                <w:rFonts w:ascii="Arial" w:cs="Arial" w:eastAsia="Arial" w:hAnsi="Arial"/>
                <w:sz w:val="19"/>
                <w:szCs w:val="19"/>
                <w:color w:val="auto"/>
                <w:vertAlign w:val="superscript"/>
              </w:rPr>
              <w:t>(72)</w:t>
            </w:r>
          </w:p>
        </w:tc>
      </w:tr>
      <w:tr>
        <w:trPr>
          <w:trHeight w:val="206"/>
        </w:trPr>
        <w:tc>
          <w:tcPr>
            <w:tcW w:w="1060" w:type="dxa"/>
            <w:vAlign w:val="bottom"/>
          </w:tcPr>
          <w:p>
            <w:pPr>
              <w:spacing w:after="0"/>
              <w:rPr>
                <w:sz w:val="17"/>
                <w:szCs w:val="17"/>
                <w:color w:val="auto"/>
              </w:rPr>
            </w:pPr>
          </w:p>
        </w:tc>
        <w:tc>
          <w:tcPr>
            <w:tcW w:w="1600" w:type="dxa"/>
            <w:vAlign w:val="bottom"/>
            <w:tcBorders>
              <w:bottom w:val="single" w:sz="8" w:color="125288"/>
            </w:tcBorders>
          </w:tcPr>
          <w:p>
            <w:pPr>
              <w:spacing w:after="0"/>
              <w:rPr>
                <w:sz w:val="17"/>
                <w:szCs w:val="17"/>
                <w:color w:val="auto"/>
              </w:rPr>
            </w:pPr>
          </w:p>
        </w:tc>
        <w:tc>
          <w:tcPr>
            <w:tcW w:w="1160" w:type="dxa"/>
            <w:vAlign w:val="bottom"/>
            <w:tcBorders>
              <w:bottom w:val="single" w:sz="8" w:color="125288"/>
            </w:tcBorders>
          </w:tcPr>
          <w:p>
            <w:pPr>
              <w:spacing w:after="0"/>
              <w:rPr>
                <w:sz w:val="17"/>
                <w:szCs w:val="17"/>
                <w:color w:val="auto"/>
              </w:rPr>
            </w:pPr>
          </w:p>
        </w:tc>
        <w:tc>
          <w:tcPr>
            <w:tcW w:w="1260" w:type="dxa"/>
            <w:vAlign w:val="bottom"/>
            <w:tcBorders>
              <w:bottom w:val="single" w:sz="8" w:color="125288"/>
            </w:tcBorders>
          </w:tcPr>
          <w:p>
            <w:pPr>
              <w:spacing w:after="0"/>
              <w:rPr>
                <w:sz w:val="17"/>
                <w:szCs w:val="17"/>
                <w:color w:val="auto"/>
              </w:rPr>
            </w:pPr>
          </w:p>
        </w:tc>
        <w:tc>
          <w:tcPr>
            <w:tcW w:w="78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spacing w:after="0"/>
              <w:rPr>
                <w:sz w:val="17"/>
                <w:szCs w:val="17"/>
                <w:color w:val="auto"/>
              </w:rPr>
            </w:pPr>
          </w:p>
        </w:tc>
        <w:tc>
          <w:tcPr>
            <w:tcW w:w="120" w:type="dxa"/>
            <w:vAlign w:val="bottom"/>
            <w:tcBorders>
              <w:bottom w:val="single" w:sz="8" w:color="125288"/>
            </w:tcBorders>
          </w:tcPr>
          <w:p>
            <w:pPr>
              <w:spacing w:after="0"/>
              <w:rPr>
                <w:sz w:val="17"/>
                <w:szCs w:val="17"/>
                <w:color w:val="auto"/>
              </w:rPr>
            </w:pPr>
          </w:p>
        </w:tc>
        <w:tc>
          <w:tcPr>
            <w:tcW w:w="980" w:type="dxa"/>
            <w:vAlign w:val="bottom"/>
            <w:tcBorders>
              <w:bottom w:val="single" w:sz="8" w:color="125288"/>
            </w:tcBorders>
          </w:tcPr>
          <w:p>
            <w:pPr>
              <w:jc w:val="right"/>
              <w:ind w:right="81"/>
              <w:spacing w:after="0" w:line="202" w:lineRule="exact"/>
              <w:rPr>
                <w:sz w:val="20"/>
                <w:szCs w:val="20"/>
                <w:color w:val="auto"/>
              </w:rPr>
            </w:pPr>
            <w:r>
              <w:rPr>
                <w:rFonts w:ascii="Arial" w:cs="Arial" w:eastAsia="Arial" w:hAnsi="Arial"/>
                <w:sz w:val="12"/>
                <w:szCs w:val="12"/>
                <w:color w:val="auto"/>
              </w:rPr>
              <w:t>8,787</w:t>
            </w:r>
            <w:r>
              <w:rPr>
                <w:rFonts w:ascii="Arial" w:cs="Arial" w:eastAsia="Arial" w:hAnsi="Arial"/>
                <w:sz w:val="19"/>
                <w:szCs w:val="19"/>
                <w:color w:val="auto"/>
                <w:vertAlign w:val="superscript"/>
              </w:rPr>
              <w:t>(73)</w:t>
            </w:r>
          </w:p>
        </w:tc>
        <w:tc>
          <w:tcPr>
            <w:tcW w:w="820" w:type="dxa"/>
            <w:vAlign w:val="bottom"/>
            <w:tcBorders>
              <w:bottom w:val="single" w:sz="8" w:color="125288"/>
            </w:tcBorders>
          </w:tcPr>
          <w:p>
            <w:pPr>
              <w:jc w:val="right"/>
              <w:ind w:right="21"/>
              <w:spacing w:after="0"/>
              <w:rPr>
                <w:sz w:val="20"/>
                <w:szCs w:val="20"/>
                <w:color w:val="auto"/>
              </w:rPr>
            </w:pPr>
            <w:r>
              <w:rPr>
                <w:rFonts w:ascii="Arial" w:cs="Arial" w:eastAsia="Arial" w:hAnsi="Arial"/>
                <w:sz w:val="12"/>
                <w:szCs w:val="12"/>
                <w:color w:val="auto"/>
              </w:rPr>
              <w:t>584,599</w:t>
            </w:r>
          </w:p>
        </w:tc>
        <w:tc>
          <w:tcPr>
            <w:tcW w:w="1440" w:type="dxa"/>
            <w:vAlign w:val="bottom"/>
            <w:tcBorders>
              <w:bottom w:val="single" w:sz="8" w:color="125288"/>
            </w:tcBorders>
          </w:tcPr>
          <w:p>
            <w:pPr>
              <w:spacing w:after="0"/>
              <w:rPr>
                <w:sz w:val="17"/>
                <w:szCs w:val="17"/>
                <w:color w:val="auto"/>
              </w:rPr>
            </w:pPr>
          </w:p>
        </w:tc>
        <w:tc>
          <w:tcPr>
            <w:tcW w:w="1280" w:type="dxa"/>
            <w:vAlign w:val="bottom"/>
            <w:tcBorders>
              <w:bottom w:val="single" w:sz="8" w:color="125288"/>
            </w:tcBorders>
          </w:tcPr>
          <w:p>
            <w:pPr>
              <w:spacing w:after="0"/>
              <w:rPr>
                <w:sz w:val="17"/>
                <w:szCs w:val="17"/>
                <w:color w:val="auto"/>
              </w:rPr>
            </w:pPr>
          </w:p>
        </w:tc>
      </w:tr>
      <w:tr>
        <w:trPr>
          <w:trHeight w:val="206"/>
        </w:trPr>
        <w:tc>
          <w:tcPr>
            <w:tcW w:w="1060" w:type="dxa"/>
            <w:vAlign w:val="bottom"/>
            <w:tcBorders>
              <w:bottom w:val="single" w:sz="8" w:color="125288"/>
            </w:tcBorders>
          </w:tcPr>
          <w:p>
            <w:pPr>
              <w:spacing w:after="0"/>
              <w:rPr>
                <w:sz w:val="17"/>
                <w:szCs w:val="17"/>
                <w:color w:val="auto"/>
              </w:rPr>
            </w:pPr>
          </w:p>
        </w:tc>
        <w:tc>
          <w:tcPr>
            <w:tcW w:w="1600" w:type="dxa"/>
            <w:vAlign w:val="bottom"/>
            <w:tcBorders>
              <w:bottom w:val="single" w:sz="8" w:color="125288"/>
            </w:tcBorders>
          </w:tcPr>
          <w:p>
            <w:pPr>
              <w:spacing w:after="0"/>
              <w:rPr>
                <w:sz w:val="17"/>
                <w:szCs w:val="17"/>
                <w:color w:val="auto"/>
              </w:rPr>
            </w:pPr>
          </w:p>
        </w:tc>
        <w:tc>
          <w:tcPr>
            <w:tcW w:w="1160" w:type="dxa"/>
            <w:vAlign w:val="bottom"/>
            <w:tcBorders>
              <w:bottom w:val="single" w:sz="8" w:color="125288"/>
            </w:tcBorders>
          </w:tcPr>
          <w:p>
            <w:pPr>
              <w:spacing w:after="0"/>
              <w:rPr>
                <w:sz w:val="17"/>
                <w:szCs w:val="17"/>
                <w:color w:val="auto"/>
              </w:rPr>
            </w:pPr>
          </w:p>
        </w:tc>
        <w:tc>
          <w:tcPr>
            <w:tcW w:w="1260" w:type="dxa"/>
            <w:vAlign w:val="bottom"/>
            <w:tcBorders>
              <w:bottom w:val="single" w:sz="8" w:color="125288"/>
            </w:tcBorders>
          </w:tcPr>
          <w:p>
            <w:pPr>
              <w:spacing w:after="0"/>
              <w:rPr>
                <w:sz w:val="17"/>
                <w:szCs w:val="17"/>
                <w:color w:val="auto"/>
              </w:rPr>
            </w:pPr>
          </w:p>
        </w:tc>
        <w:tc>
          <w:tcPr>
            <w:tcW w:w="780" w:type="dxa"/>
            <w:vAlign w:val="bottom"/>
            <w:tcBorders>
              <w:bottom w:val="single" w:sz="8" w:color="125288"/>
            </w:tcBorders>
          </w:tcPr>
          <w:p>
            <w:pPr>
              <w:spacing w:after="0"/>
              <w:rPr>
                <w:sz w:val="17"/>
                <w:szCs w:val="17"/>
                <w:color w:val="auto"/>
              </w:rPr>
            </w:pPr>
          </w:p>
        </w:tc>
        <w:tc>
          <w:tcPr>
            <w:tcW w:w="760" w:type="dxa"/>
            <w:vAlign w:val="bottom"/>
            <w:tcBorders>
              <w:bottom w:val="single" w:sz="8" w:color="125288"/>
            </w:tcBorders>
          </w:tcPr>
          <w:p>
            <w:pPr>
              <w:spacing w:after="0"/>
              <w:rPr>
                <w:sz w:val="17"/>
                <w:szCs w:val="17"/>
                <w:color w:val="auto"/>
              </w:rPr>
            </w:pPr>
          </w:p>
        </w:tc>
        <w:tc>
          <w:tcPr>
            <w:tcW w:w="120" w:type="dxa"/>
            <w:vAlign w:val="bottom"/>
            <w:tcBorders>
              <w:bottom w:val="single" w:sz="8" w:color="125288"/>
            </w:tcBorders>
          </w:tcPr>
          <w:p>
            <w:pPr>
              <w:spacing w:after="0"/>
              <w:rPr>
                <w:sz w:val="17"/>
                <w:szCs w:val="17"/>
                <w:color w:val="auto"/>
              </w:rPr>
            </w:pPr>
          </w:p>
        </w:tc>
        <w:tc>
          <w:tcPr>
            <w:tcW w:w="980" w:type="dxa"/>
            <w:vAlign w:val="bottom"/>
            <w:tcBorders>
              <w:bottom w:val="single" w:sz="8" w:color="125288"/>
            </w:tcBorders>
          </w:tcPr>
          <w:p>
            <w:pPr>
              <w:jc w:val="right"/>
              <w:ind w:right="81"/>
              <w:spacing w:after="0" w:line="202" w:lineRule="exact"/>
              <w:rPr>
                <w:sz w:val="20"/>
                <w:szCs w:val="20"/>
                <w:color w:val="auto"/>
              </w:rPr>
            </w:pPr>
            <w:r>
              <w:rPr>
                <w:rFonts w:ascii="Arial" w:cs="Arial" w:eastAsia="Arial" w:hAnsi="Arial"/>
                <w:sz w:val="12"/>
                <w:szCs w:val="12"/>
                <w:color w:val="auto"/>
              </w:rPr>
              <w:t>24,900</w:t>
            </w:r>
            <w:r>
              <w:rPr>
                <w:rFonts w:ascii="Arial" w:cs="Arial" w:eastAsia="Arial" w:hAnsi="Arial"/>
                <w:sz w:val="19"/>
                <w:szCs w:val="19"/>
                <w:color w:val="auto"/>
                <w:vertAlign w:val="superscript"/>
              </w:rPr>
              <w:t>(74)</w:t>
            </w:r>
          </w:p>
        </w:tc>
        <w:tc>
          <w:tcPr>
            <w:tcW w:w="820" w:type="dxa"/>
            <w:vAlign w:val="bottom"/>
            <w:tcBorders>
              <w:bottom w:val="single" w:sz="8" w:color="125288"/>
            </w:tcBorders>
          </w:tcPr>
          <w:p>
            <w:pPr>
              <w:jc w:val="right"/>
              <w:ind w:right="21"/>
              <w:spacing w:after="0"/>
              <w:rPr>
                <w:sz w:val="20"/>
                <w:szCs w:val="20"/>
                <w:color w:val="auto"/>
              </w:rPr>
            </w:pPr>
            <w:r>
              <w:rPr>
                <w:rFonts w:ascii="Arial" w:cs="Arial" w:eastAsia="Arial" w:hAnsi="Arial"/>
                <w:sz w:val="12"/>
                <w:szCs w:val="12"/>
                <w:color w:val="auto"/>
              </w:rPr>
              <w:t>1,656,597</w:t>
            </w:r>
          </w:p>
        </w:tc>
        <w:tc>
          <w:tcPr>
            <w:tcW w:w="1440" w:type="dxa"/>
            <w:vAlign w:val="bottom"/>
            <w:tcBorders>
              <w:bottom w:val="single" w:sz="8" w:color="125288"/>
            </w:tcBorders>
          </w:tcPr>
          <w:p>
            <w:pPr>
              <w:spacing w:after="0"/>
              <w:rPr>
                <w:sz w:val="17"/>
                <w:szCs w:val="17"/>
                <w:color w:val="auto"/>
              </w:rPr>
            </w:pPr>
          </w:p>
        </w:tc>
        <w:tc>
          <w:tcPr>
            <w:tcW w:w="1280" w:type="dxa"/>
            <w:vAlign w:val="bottom"/>
            <w:tcBorders>
              <w:bottom w:val="single" w:sz="8" w:color="125288"/>
            </w:tcBorders>
          </w:tcPr>
          <w:p>
            <w:pPr>
              <w:spacing w:after="0"/>
              <w:rPr>
                <w:sz w:val="17"/>
                <w:szCs w:val="17"/>
                <w:color w:val="auto"/>
              </w:rPr>
            </w:pPr>
          </w:p>
        </w:tc>
      </w:tr>
    </w:tbl>
    <w:p>
      <w:pPr>
        <w:spacing w:after="0" w:line="97" w:lineRule="exact"/>
        <w:rPr>
          <w:sz w:val="20"/>
          <w:szCs w:val="20"/>
          <w:color w:val="auto"/>
        </w:rPr>
      </w:pPr>
    </w:p>
    <w:p>
      <w:pPr>
        <w:ind w:left="320" w:hanging="277"/>
        <w:spacing w:after="0"/>
        <w:tabs>
          <w:tab w:leader="none" w:pos="3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All exercisable stock options were vested as of December 31, 2021.</w:t>
      </w:r>
    </w:p>
    <w:p>
      <w:pPr>
        <w:spacing w:after="0" w:line="41" w:lineRule="exact"/>
        <w:rPr>
          <w:rFonts w:ascii="Arial" w:cs="Arial" w:eastAsia="Arial" w:hAnsi="Arial"/>
          <w:sz w:val="14"/>
          <w:szCs w:val="14"/>
          <w:color w:val="auto"/>
        </w:rPr>
      </w:pPr>
    </w:p>
    <w:p>
      <w:pPr>
        <w:ind w:left="320" w:hanging="277"/>
        <w:spacing w:after="0"/>
        <w:tabs>
          <w:tab w:leader="none" w:pos="3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Calculated using the closing price of our Common Stock on The Nasdaq Stock Market on December 31, 2021, the last trading day of 2021, which was $66.53.</w:t>
      </w:r>
    </w:p>
    <w:p>
      <w:pPr>
        <w:spacing w:after="0" w:line="41" w:lineRule="exact"/>
        <w:rPr>
          <w:rFonts w:ascii="Arial" w:cs="Arial" w:eastAsia="Arial" w:hAnsi="Arial"/>
          <w:sz w:val="14"/>
          <w:szCs w:val="14"/>
          <w:color w:val="auto"/>
        </w:rPr>
      </w:pPr>
    </w:p>
    <w:p>
      <w:pPr>
        <w:ind w:left="320" w:right="80" w:hanging="277"/>
        <w:spacing w:after="0" w:line="263" w:lineRule="auto"/>
        <w:tabs>
          <w:tab w:leader="none" w:pos="3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These options vested in full on August 7, 2021, pursuant to Section 12 of the Kotick Employment Agreement. See “Employment Agreements—Robert Kotick—Shareholder Value Creation Incentive” below. Of these options, 190,712 would have otherwise vested on December 31, 2021.</w:t>
      </w:r>
    </w:p>
    <w:p>
      <w:pPr>
        <w:spacing w:after="0" w:line="15" w:lineRule="exact"/>
        <w:rPr>
          <w:rFonts w:ascii="Arial" w:cs="Arial" w:eastAsia="Arial" w:hAnsi="Arial"/>
          <w:sz w:val="14"/>
          <w:szCs w:val="14"/>
          <w:color w:val="auto"/>
        </w:rPr>
      </w:pPr>
    </w:p>
    <w:p>
      <w:pPr>
        <w:jc w:val="both"/>
        <w:ind w:left="320" w:right="80" w:hanging="277"/>
        <w:spacing w:after="0" w:line="255" w:lineRule="auto"/>
        <w:tabs>
          <w:tab w:leader="none" w:pos="3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number of PSUs reflected in the table is the threshold amount; the target number of PSUs subject to the awards is 8,892 and the maximum number of PSUs subject to the award is 11,115. These PSUs are eligible to vest on March 30, 2023, based on the level of the Company’s performance measured by reference to the AB Adjusted OI objective set forth in our 2022 AOP, subject to Mr. Zerza’s continued employment through that date.</w:t>
      </w:r>
    </w:p>
    <w:p>
      <w:pPr>
        <w:spacing w:after="0" w:line="21" w:lineRule="exact"/>
        <w:rPr>
          <w:rFonts w:ascii="Arial" w:cs="Arial" w:eastAsia="Arial" w:hAnsi="Arial"/>
          <w:sz w:val="14"/>
          <w:szCs w:val="14"/>
          <w:color w:val="auto"/>
        </w:rPr>
      </w:pPr>
    </w:p>
    <w:p>
      <w:pPr>
        <w:ind w:left="320" w:right="80" w:hanging="277"/>
        <w:spacing w:after="0" w:line="263" w:lineRule="auto"/>
        <w:tabs>
          <w:tab w:leader="none" w:pos="3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This value is based on the threshold amount; if the target level of performance is assumed, the market value of the unvested PSUs would be $591,585, and if the highest level of performance is assumed, the market value of the unvested PSUs would be $739,481, in each case calculated in the manner described in footnote (2).</w:t>
      </w:r>
    </w:p>
    <w:p>
      <w:pPr>
        <w:spacing w:after="0" w:line="15" w:lineRule="exact"/>
        <w:rPr>
          <w:rFonts w:ascii="Arial" w:cs="Arial" w:eastAsia="Arial" w:hAnsi="Arial"/>
          <w:sz w:val="14"/>
          <w:szCs w:val="14"/>
          <w:color w:val="auto"/>
        </w:rPr>
      </w:pPr>
    </w:p>
    <w:p>
      <w:pPr>
        <w:jc w:val="both"/>
        <w:ind w:left="320" w:right="80" w:hanging="277"/>
        <w:spacing w:after="0" w:line="255" w:lineRule="auto"/>
        <w:tabs>
          <w:tab w:leader="none" w:pos="3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number of PSUs reflected in the table is the target amount; the maximum number of PSUs subject to the award is 19,040. The PSUs are eligible to vest on March 30, 2023, based on the level of the Company’s performance measured by reference to the cumulative AB Adjusted OI objective for 2020–2022 established by the Compensation Committee, subject to Mr. Zerza’s continued employment through that date.</w:t>
      </w:r>
    </w:p>
    <w:p>
      <w:pPr>
        <w:spacing w:after="0" w:line="21" w:lineRule="exact"/>
        <w:rPr>
          <w:rFonts w:ascii="Arial" w:cs="Arial" w:eastAsia="Arial" w:hAnsi="Arial"/>
          <w:sz w:val="14"/>
          <w:szCs w:val="14"/>
          <w:color w:val="auto"/>
        </w:rPr>
      </w:pPr>
    </w:p>
    <w:p>
      <w:pPr>
        <w:ind w:left="320" w:right="80" w:hanging="277"/>
        <w:spacing w:after="0" w:line="263" w:lineRule="auto"/>
        <w:tabs>
          <w:tab w:leader="none" w:pos="3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This value is based on the target amount; if the highest level of performance is assumed, the market value of the unvested PSUs, calculated in the manner described in footnote (2), would be $1,266,731.</w:t>
      </w:r>
    </w:p>
    <w:p>
      <w:pPr>
        <w:spacing w:after="0" w:line="15" w:lineRule="exact"/>
        <w:rPr>
          <w:rFonts w:ascii="Arial" w:cs="Arial" w:eastAsia="Arial" w:hAnsi="Arial"/>
          <w:sz w:val="14"/>
          <w:szCs w:val="14"/>
          <w:color w:val="auto"/>
        </w:rPr>
      </w:pPr>
    </w:p>
    <w:p>
      <w:pPr>
        <w:jc w:val="both"/>
        <w:ind w:left="320" w:right="80" w:hanging="277"/>
        <w:spacing w:after="0" w:line="255" w:lineRule="auto"/>
        <w:tabs>
          <w:tab w:leader="none" w:pos="3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number of PSUs reflected in the table is the threshold amount; the target number of PSUs subject to the award is 666 and the maximum number of PSUs subject to the award is 833. These PSUs are eligible to vest on March 30, 2023, based on the level of the Company’s performance measured by reference to the AB Adjusted OI objective set forth in our 2022 AOP, subject to Mr. Zerza’s continued employment through that date.</w:t>
      </w:r>
    </w:p>
    <w:p>
      <w:pPr>
        <w:spacing w:after="0" w:line="21" w:lineRule="exact"/>
        <w:rPr>
          <w:rFonts w:ascii="Arial" w:cs="Arial" w:eastAsia="Arial" w:hAnsi="Arial"/>
          <w:sz w:val="14"/>
          <w:szCs w:val="14"/>
          <w:color w:val="auto"/>
        </w:rPr>
      </w:pPr>
    </w:p>
    <w:p>
      <w:pPr>
        <w:ind w:left="320" w:right="80" w:hanging="277"/>
        <w:spacing w:after="0" w:line="263" w:lineRule="auto"/>
        <w:tabs>
          <w:tab w:leader="none" w:pos="3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This value is based on the threshold amount; if the target level of performance is assumed, the market value of the unvested PSUs would be $44,309, and if the highest level of performance is assumed, the market value of the unvested PSUs would be $55,419, in each case calculated in the manner described in footnote (2).</w:t>
      </w:r>
    </w:p>
    <w:p>
      <w:pPr>
        <w:spacing w:after="0" w:line="15" w:lineRule="exact"/>
        <w:rPr>
          <w:rFonts w:ascii="Arial" w:cs="Arial" w:eastAsia="Arial" w:hAnsi="Arial"/>
          <w:sz w:val="14"/>
          <w:szCs w:val="14"/>
          <w:color w:val="auto"/>
        </w:rPr>
      </w:pPr>
    </w:p>
    <w:p>
      <w:pPr>
        <w:jc w:val="both"/>
        <w:ind w:left="320" w:right="80" w:hanging="277"/>
        <w:spacing w:after="0" w:line="255" w:lineRule="auto"/>
        <w:tabs>
          <w:tab w:leader="none" w:pos="3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number of PSUs reflected in the table is the threshold amount; the target number of PSUs subject to the award is 13,089 and the maximum number of PSUs subject to the award is 16,361. The PSUs are eligible to vest on March 30, 2024, based on the level of the Company’s performance measured by reference to the cumulative AB Adjusted OI objective for 2021–2023 established by the Compensation Committee, subject to Mr. Zerza’s continued employment through that date.</w:t>
      </w:r>
    </w:p>
    <w:p>
      <w:pPr>
        <w:spacing w:after="0" w:line="21" w:lineRule="exact"/>
        <w:rPr>
          <w:rFonts w:ascii="Arial" w:cs="Arial" w:eastAsia="Arial" w:hAnsi="Arial"/>
          <w:sz w:val="14"/>
          <w:szCs w:val="14"/>
          <w:color w:val="auto"/>
        </w:rPr>
      </w:pPr>
    </w:p>
    <w:p>
      <w:pPr>
        <w:ind w:left="320" w:right="80" w:hanging="277"/>
        <w:spacing w:after="0" w:line="263" w:lineRule="auto"/>
        <w:tabs>
          <w:tab w:leader="none" w:pos="3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This value is based on the threshold amount; if the target level of performance is assumed, the market value of the unvested PSUs would be $870,811, and if the highest level of performance is assumed, the market value of the unvested PSUs would be $1,088,497, in each case calculated in the manner described in footnote (2).</w:t>
      </w:r>
    </w:p>
    <w:p>
      <w:pPr>
        <w:spacing w:after="0" w:line="15" w:lineRule="exact"/>
        <w:rPr>
          <w:rFonts w:ascii="Arial" w:cs="Arial" w:eastAsia="Arial" w:hAnsi="Arial"/>
          <w:sz w:val="14"/>
          <w:szCs w:val="14"/>
          <w:color w:val="auto"/>
        </w:rPr>
      </w:pPr>
    </w:p>
    <w:p>
      <w:pPr>
        <w:jc w:val="both"/>
        <w:ind w:left="320" w:right="80" w:hanging="277"/>
        <w:spacing w:after="0" w:line="251" w:lineRule="auto"/>
        <w:tabs>
          <w:tab w:leader="none" w:pos="3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number of PSUs reflected in the table is the threshold amount; the target number of PSUs subject to the award is 1,210 and the maximum number of PSUs subject to the award is 1,512. These PSUs are eligible to vest on March 30, 2024, one-half based on the level of the Company’s performance measured by reference to the AB Adjusted OI objective set forth in each of our 2022 AOP and 2023 AOP, subject to Mr. Zerza’s continued employment through that date. The number of PSUs reflected in the table does not include 606 PSUs that were canceled after the Compensation Committee determined that AB Adjusted OI for 2021 was less than 100% of the target objective set forth in our 2021 AOP.</w:t>
      </w:r>
    </w:p>
    <w:p>
      <w:pPr>
        <w:spacing w:after="0" w:line="25" w:lineRule="exact"/>
        <w:rPr>
          <w:rFonts w:ascii="Arial" w:cs="Arial" w:eastAsia="Arial" w:hAnsi="Arial"/>
          <w:sz w:val="14"/>
          <w:szCs w:val="14"/>
          <w:color w:val="auto"/>
        </w:rPr>
      </w:pPr>
    </w:p>
    <w:p>
      <w:pPr>
        <w:ind w:left="320" w:right="80" w:hanging="277"/>
        <w:spacing w:after="0" w:line="263" w:lineRule="auto"/>
        <w:tabs>
          <w:tab w:leader="none" w:pos="3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This value is based on the threshold amount; if the target level of performance is assumed, the market value of the unvested PSUs would be $80,501, and if the highest level of performance is assumed, the market value of the unvested PSUs would be $100,593, in each case calculated in the manner described in footnote (2).</w:t>
      </w:r>
    </w:p>
    <w:p>
      <w:pPr>
        <w:spacing w:after="0" w:line="307"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00" w:name="page101"/>
    <w:bookmarkEnd w:id="100"/>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55" w:lineRule="exact"/>
        <w:rPr>
          <w:sz w:val="20"/>
          <w:szCs w:val="20"/>
          <w:color w:val="auto"/>
        </w:rPr>
      </w:pPr>
    </w:p>
    <w:p>
      <w:pPr>
        <w:jc w:val="both"/>
        <w:ind w:left="340" w:right="100" w:hanging="285"/>
        <w:spacing w:after="0" w:line="252" w:lineRule="auto"/>
        <w:tabs>
          <w:tab w:leader="none" w:pos="353"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The number of PSUs reflected in the table is the threshold amount; the target number of PSUs subject to the award is 38,697 and the maximum number of PSUs subject to the award is 48,371. One-half of these PSUs are eligible to vest on each of March 31, 2024, and March 31, 2025, based on the level of the Company’s performance measured by reference to the cumulative AB Adjusted OI objective for 2021–2023 established by the Compensation Committee and the cumulative AB Adjusted OI objective for 2022–2024 established by the Compensation Committee, respectively, in each case subject to Mr. Zerza’s continued employment through the relevant vesting date.</w:t>
      </w:r>
    </w:p>
    <w:p>
      <w:pPr>
        <w:spacing w:after="0" w:line="21" w:lineRule="exact"/>
        <w:rPr>
          <w:rFonts w:ascii="Arial" w:cs="Arial" w:eastAsia="Arial" w:hAnsi="Arial"/>
          <w:sz w:val="15"/>
          <w:szCs w:val="15"/>
          <w:color w:val="auto"/>
        </w:rPr>
      </w:pPr>
    </w:p>
    <w:p>
      <w:pPr>
        <w:jc w:val="both"/>
        <w:ind w:left="340" w:right="100" w:hanging="285"/>
        <w:spacing w:after="0" w:line="257" w:lineRule="auto"/>
        <w:tabs>
          <w:tab w:leader="none" w:pos="353"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This value is based on the threshold amount; if the target level of performance is assumed, the market value of the unvested PSUs would be $2,574,511, and if the highest level of performance is assumed, the market value of the unvested PSUs would be $3,218,123, in each case calculated in the manner described in footnote (2).</w:t>
      </w:r>
    </w:p>
    <w:p>
      <w:pPr>
        <w:spacing w:after="0" w:line="16" w:lineRule="exact"/>
        <w:rPr>
          <w:rFonts w:ascii="Arial" w:cs="Arial" w:eastAsia="Arial" w:hAnsi="Arial"/>
          <w:sz w:val="15"/>
          <w:szCs w:val="15"/>
          <w:color w:val="auto"/>
        </w:rPr>
      </w:pPr>
    </w:p>
    <w:p>
      <w:pPr>
        <w:jc w:val="both"/>
        <w:ind w:left="340" w:right="100" w:hanging="285"/>
        <w:spacing w:after="0" w:line="254" w:lineRule="auto"/>
        <w:tabs>
          <w:tab w:leader="none" w:pos="353"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The number of PSUs reflected in the table is the target amount; the maximum number of PSUs subject to the award is 32,248. One-half of these PSUs are eligible to vest on each of March 31, 2024, and March 31, 2025, by reference to our cumulative TSR as compared to the rate of return of the S&amp;P 500 Total Return Index for the periods from January 1, 2021 through December 31, 2023 and from January 1, 2022, through December 31, 2024, respectively, in each case subject to Mr. Zerza’s continued employment through the relevant vesting date.</w:t>
      </w:r>
    </w:p>
    <w:p>
      <w:pPr>
        <w:spacing w:after="0" w:line="18" w:lineRule="exact"/>
        <w:rPr>
          <w:rFonts w:ascii="Arial" w:cs="Arial" w:eastAsia="Arial" w:hAnsi="Arial"/>
          <w:sz w:val="15"/>
          <w:szCs w:val="15"/>
          <w:color w:val="auto"/>
        </w:rPr>
      </w:pPr>
    </w:p>
    <w:p>
      <w:pPr>
        <w:ind w:left="340" w:right="100" w:hanging="285"/>
        <w:spacing w:after="0" w:line="266" w:lineRule="auto"/>
        <w:tabs>
          <w:tab w:leader="none" w:pos="353"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This value is based on the target amount; if the highest level of performance is assumed, the market value of the unvested PSUs, calculated in the manner described in footnote (2), would be $2,145,459.</w:t>
      </w:r>
    </w:p>
    <w:p>
      <w:pPr>
        <w:spacing w:after="0" w:line="9" w:lineRule="exact"/>
        <w:rPr>
          <w:rFonts w:ascii="Arial" w:cs="Arial" w:eastAsia="Arial" w:hAnsi="Arial"/>
          <w:sz w:val="15"/>
          <w:szCs w:val="15"/>
          <w:color w:val="auto"/>
        </w:rPr>
      </w:pPr>
    </w:p>
    <w:p>
      <w:pPr>
        <w:jc w:val="both"/>
        <w:ind w:left="340" w:right="100" w:hanging="285"/>
        <w:spacing w:after="0" w:line="254" w:lineRule="auto"/>
        <w:tabs>
          <w:tab w:leader="none" w:pos="353"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The number of PSUs reflected in the table is the target amount; the maximum number of PSUs subject to the award is 8,593. One-third of these PSUs are eligible to vest on each of March 30, 2023, 2024, and 2025, based on the level of the Company’s performance measured by reference our cumulative TSR as compared to the rate of return of the S&amp;P 500 Total Return Index for the year immediately preceding the vesting date, in each case subject to Mr. Zerza’s continued employment through the relevant vesting date.</w:t>
      </w:r>
    </w:p>
    <w:p>
      <w:pPr>
        <w:spacing w:after="0" w:line="18" w:lineRule="exact"/>
        <w:rPr>
          <w:rFonts w:ascii="Arial" w:cs="Arial" w:eastAsia="Arial" w:hAnsi="Arial"/>
          <w:sz w:val="15"/>
          <w:szCs w:val="15"/>
          <w:color w:val="auto"/>
        </w:rPr>
      </w:pPr>
    </w:p>
    <w:p>
      <w:pPr>
        <w:ind w:left="340" w:right="100" w:hanging="285"/>
        <w:spacing w:after="0" w:line="266" w:lineRule="auto"/>
        <w:tabs>
          <w:tab w:leader="none" w:pos="353"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This value is based on the target amount; if the highest level of performance is assumed, the market value of the unvested PSUs, calculated in the manner described in footnote (2), would be $571,692.</w:t>
      </w:r>
    </w:p>
    <w:p>
      <w:pPr>
        <w:spacing w:after="0" w:line="9" w:lineRule="exact"/>
        <w:rPr>
          <w:rFonts w:ascii="Arial" w:cs="Arial" w:eastAsia="Arial" w:hAnsi="Arial"/>
          <w:sz w:val="15"/>
          <w:szCs w:val="15"/>
          <w:color w:val="auto"/>
        </w:rPr>
      </w:pPr>
    </w:p>
    <w:p>
      <w:pPr>
        <w:jc w:val="both"/>
        <w:ind w:left="340" w:right="100" w:hanging="285"/>
        <w:spacing w:after="0" w:line="254" w:lineRule="auto"/>
        <w:tabs>
          <w:tab w:leader="none" w:pos="353"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The number of PSUs reflected in the table is the threshold amount; the target number of PSUs subject to the award is 6,874 and the maximum number of PSUs subject to the award is 8,593. One-third of these PSUs are eligible to vest on each of March 30, 2023, 2024 and 2025, based on the level of the Company’s performance measured by reference to the AB Adjusted OI objective set forth in our AOP for the year immediately preceding such vesting date, in each case subject to Mr. Zerza’s continued employment through the relevant vesting date.</w:t>
      </w:r>
    </w:p>
    <w:p>
      <w:pPr>
        <w:spacing w:after="0" w:line="18" w:lineRule="exact"/>
        <w:rPr>
          <w:rFonts w:ascii="Arial" w:cs="Arial" w:eastAsia="Arial" w:hAnsi="Arial"/>
          <w:sz w:val="15"/>
          <w:szCs w:val="15"/>
          <w:color w:val="auto"/>
        </w:rPr>
      </w:pPr>
    </w:p>
    <w:p>
      <w:pPr>
        <w:jc w:val="both"/>
        <w:ind w:left="340" w:right="100" w:hanging="285"/>
        <w:spacing w:after="0" w:line="257" w:lineRule="auto"/>
        <w:tabs>
          <w:tab w:leader="none" w:pos="353"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This value is based on the threshold amount; if the target level of performance is assumed, the market value of the unvested PSUs would be $457,327, and if the highest level of performance is assumed, the market value of the unvested PSUs would be $571,692, in each case calculated in the manner described in footnote (2).</w:t>
      </w:r>
    </w:p>
    <w:p>
      <w:pPr>
        <w:spacing w:after="0" w:line="16" w:lineRule="exact"/>
        <w:rPr>
          <w:rFonts w:ascii="Arial" w:cs="Arial" w:eastAsia="Arial" w:hAnsi="Arial"/>
          <w:sz w:val="15"/>
          <w:szCs w:val="15"/>
          <w:color w:val="auto"/>
        </w:rPr>
      </w:pPr>
    </w:p>
    <w:p>
      <w:pPr>
        <w:jc w:val="both"/>
        <w:ind w:left="340" w:right="100" w:hanging="285"/>
        <w:spacing w:after="0" w:line="254" w:lineRule="auto"/>
        <w:tabs>
          <w:tab w:leader="none" w:pos="353"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The number of PSUs reflected in the table is the threshold amount; the target number of PSUs subject to the award is 13,748 and the maximum number of PSUs subject to the award is 17,186. One-third of these PSUs are eligible to vest on each of March 30, 2023, 2024 and 2025, based on the level of the Company’s performance measured by reference to the AB Adjusted EPS objective set forth in our AOP for the year immediately preceding such vesting date, in each case subject to Mr. Zerza’s continued employment through the relevant vesting date.</w:t>
      </w:r>
    </w:p>
    <w:p>
      <w:pPr>
        <w:spacing w:after="0" w:line="18" w:lineRule="exact"/>
        <w:rPr>
          <w:rFonts w:ascii="Arial" w:cs="Arial" w:eastAsia="Arial" w:hAnsi="Arial"/>
          <w:sz w:val="15"/>
          <w:szCs w:val="15"/>
          <w:color w:val="auto"/>
        </w:rPr>
      </w:pPr>
    </w:p>
    <w:p>
      <w:pPr>
        <w:jc w:val="both"/>
        <w:ind w:left="340" w:right="100" w:hanging="285"/>
        <w:spacing w:after="0" w:line="257" w:lineRule="auto"/>
        <w:tabs>
          <w:tab w:leader="none" w:pos="353"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This value is based on the threshold amount; if the target level of performance is assumed, the market value of the unvested PSUs would be $914,654, and if the highest level of performance is assumed, the market value of the unvested PSUs would be $1,143,385, in each case calculated in the manner described in footnote (2).</w:t>
      </w:r>
    </w:p>
    <w:p>
      <w:pPr>
        <w:spacing w:after="0" w:line="16" w:lineRule="exact"/>
        <w:rPr>
          <w:rFonts w:ascii="Arial" w:cs="Arial" w:eastAsia="Arial" w:hAnsi="Arial"/>
          <w:sz w:val="15"/>
          <w:szCs w:val="15"/>
          <w:color w:val="auto"/>
        </w:rPr>
      </w:pPr>
    </w:p>
    <w:p>
      <w:pPr>
        <w:jc w:val="both"/>
        <w:ind w:left="340" w:right="100" w:hanging="285"/>
        <w:spacing w:after="0" w:line="257" w:lineRule="auto"/>
        <w:tabs>
          <w:tab w:leader="none" w:pos="353"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The number of PSUs reflected in the table is the target amount; the maximum number of PSUs subject to the award is 6,870. These PSUs are eligible to vest on March 30, 2025, based on the level of the Company’s performance measured by reference to our cumulative TSR as compared to the rate of return of the S&amp;P 500 Total Return Index for the period from January 1, 2022, through December 31, 2024, subject to Mr. Zerza’s continued employment through that date.</w:t>
      </w:r>
    </w:p>
    <w:p>
      <w:pPr>
        <w:spacing w:after="0" w:line="16" w:lineRule="exact"/>
        <w:rPr>
          <w:rFonts w:ascii="Arial" w:cs="Arial" w:eastAsia="Arial" w:hAnsi="Arial"/>
          <w:sz w:val="15"/>
          <w:szCs w:val="15"/>
          <w:color w:val="auto"/>
        </w:rPr>
      </w:pPr>
    </w:p>
    <w:p>
      <w:pPr>
        <w:ind w:left="340" w:right="100" w:hanging="285"/>
        <w:spacing w:after="0" w:line="266" w:lineRule="auto"/>
        <w:tabs>
          <w:tab w:leader="none" w:pos="353"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This value is based on the target amount; if the highest level of performance is assumed, the market value of the unvested PSUs, calculated in the manner described in footnote (2), would be $457,061.</w:t>
      </w:r>
    </w:p>
    <w:p>
      <w:pPr>
        <w:spacing w:after="0" w:line="9" w:lineRule="exact"/>
        <w:rPr>
          <w:rFonts w:ascii="Arial" w:cs="Arial" w:eastAsia="Arial" w:hAnsi="Arial"/>
          <w:sz w:val="15"/>
          <w:szCs w:val="15"/>
          <w:color w:val="auto"/>
        </w:rPr>
      </w:pPr>
    </w:p>
    <w:p>
      <w:pPr>
        <w:jc w:val="both"/>
        <w:ind w:left="340" w:right="100" w:hanging="285"/>
        <w:spacing w:after="0" w:line="257" w:lineRule="auto"/>
        <w:tabs>
          <w:tab w:leader="none" w:pos="353"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The number of PSUs reflected in the table is the target amount; the maximum number of PSUs subject to the award is 6,870. These PSUs are eligible to vest on March 30, 2025, based on the level of the Company’s performance measured by reference to the cumulative AB Adjusted OI objective for 2022–2024 established by the Compensation Committee, subject to Mr. Zerza’s continued employment through that date.</w:t>
      </w:r>
    </w:p>
    <w:p>
      <w:pPr>
        <w:spacing w:after="0" w:line="16" w:lineRule="exact"/>
        <w:rPr>
          <w:rFonts w:ascii="Arial" w:cs="Arial" w:eastAsia="Arial" w:hAnsi="Arial"/>
          <w:sz w:val="15"/>
          <w:szCs w:val="15"/>
          <w:color w:val="auto"/>
        </w:rPr>
      </w:pPr>
    </w:p>
    <w:p>
      <w:pPr>
        <w:ind w:left="340" w:right="100" w:hanging="285"/>
        <w:spacing w:after="0" w:line="266" w:lineRule="auto"/>
        <w:tabs>
          <w:tab w:leader="none" w:pos="353"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This value is based on the target amount; if the highest level of performance is assumed, the market value of the unvested PSUs, calculated in the manner described in footnote (2), would be $457,061.</w:t>
      </w:r>
    </w:p>
    <w:p>
      <w:pPr>
        <w:spacing w:after="0" w:line="9" w:lineRule="exact"/>
        <w:rPr>
          <w:rFonts w:ascii="Arial" w:cs="Arial" w:eastAsia="Arial" w:hAnsi="Arial"/>
          <w:sz w:val="15"/>
          <w:szCs w:val="15"/>
          <w:color w:val="auto"/>
        </w:rPr>
      </w:pPr>
    </w:p>
    <w:p>
      <w:pPr>
        <w:jc w:val="both"/>
        <w:ind w:left="340" w:right="100" w:hanging="285"/>
        <w:spacing w:after="0" w:line="257" w:lineRule="auto"/>
        <w:tabs>
          <w:tab w:leader="none" w:pos="353"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The number of PSUs reflected in the table is the target amount; the maximum number of PSUs subject to the award is 13,740. These PSUs are eligible to vest on March 30, 2025, based on the level of the Company’s performance measured by reference to the cumulative AB EPS for 2022–2024 established by the Compensation Committee, subject to Mr. Zerza’s continued employment through that date.</w:t>
      </w:r>
    </w:p>
    <w:p>
      <w:pPr>
        <w:spacing w:after="0" w:line="16" w:lineRule="exact"/>
        <w:rPr>
          <w:rFonts w:ascii="Arial" w:cs="Arial" w:eastAsia="Arial" w:hAnsi="Arial"/>
          <w:sz w:val="15"/>
          <w:szCs w:val="15"/>
          <w:color w:val="auto"/>
        </w:rPr>
      </w:pPr>
    </w:p>
    <w:p>
      <w:pPr>
        <w:ind w:left="340" w:right="100" w:hanging="285"/>
        <w:spacing w:after="0" w:line="266" w:lineRule="auto"/>
        <w:tabs>
          <w:tab w:leader="none" w:pos="353"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This value is based on the target amount; if the highest level of performance is assumed, the market value of the unvested PSUs, calculated in the manner described in footnote (2), would be $914,122.</w:t>
      </w:r>
    </w:p>
    <w:p>
      <w:pPr>
        <w:spacing w:after="0" w:line="9" w:lineRule="exact"/>
        <w:rPr>
          <w:rFonts w:ascii="Arial" w:cs="Arial" w:eastAsia="Arial" w:hAnsi="Arial"/>
          <w:sz w:val="15"/>
          <w:szCs w:val="15"/>
          <w:color w:val="auto"/>
        </w:rPr>
      </w:pPr>
    </w:p>
    <w:p>
      <w:pPr>
        <w:jc w:val="both"/>
        <w:ind w:left="340" w:right="100" w:hanging="285"/>
        <w:spacing w:after="0" w:line="251" w:lineRule="auto"/>
        <w:tabs>
          <w:tab w:leader="none" w:pos="353"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These PSUs vested on March 30, 2022, as follows: (a) 1,078 vested after the Compensation Committee determined that Blizzard’s adjusted operating income for 2019 was 116% of the target objective set forth in the Company’s 2019 AOP; (b) 1,051 vested after the Compensation Committee determined that Blizzard’s adjusted operating income for 2020 was 113% of the target objective set forth in the Company’s 2020 AOP; and (c) 828 vested after the Compensation Committee’s determined that AB Adjusted OI for 2021 was 89.315% of the target objective set forth in our 2021 AOP. The number of PSUs reflected in the table does not include 99 PSUs that were canceled after the Compensation Committee determined that AB Adjusted OI for 2021 was less than 100% of the target objective set forth in our 2021 AOP.</w:t>
      </w:r>
    </w:p>
    <w:p>
      <w:pPr>
        <w:spacing w:after="0" w:line="23" w:lineRule="exact"/>
        <w:rPr>
          <w:rFonts w:ascii="Arial" w:cs="Arial" w:eastAsia="Arial" w:hAnsi="Arial"/>
          <w:sz w:val="15"/>
          <w:szCs w:val="15"/>
          <w:color w:val="auto"/>
        </w:rPr>
      </w:pPr>
    </w:p>
    <w:p>
      <w:pPr>
        <w:ind w:left="340" w:right="100" w:hanging="285"/>
        <w:spacing w:after="0" w:line="266" w:lineRule="auto"/>
        <w:tabs>
          <w:tab w:leader="none" w:pos="353"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These PSUs are eligible to vest on March 30, 2023, subject to Mr. Zerza’s continued employment through that date, after the Compensation Committee determined that Blizzard’s adjusted operating income for 2020 was 113% of the target objective set forth in the Company’s 2020 AOP.</w:t>
      </w:r>
    </w:p>
    <w:p>
      <w:pPr>
        <w:spacing w:after="0" w:line="9" w:lineRule="exact"/>
        <w:rPr>
          <w:rFonts w:ascii="Arial" w:cs="Arial" w:eastAsia="Arial" w:hAnsi="Arial"/>
          <w:sz w:val="15"/>
          <w:szCs w:val="15"/>
          <w:color w:val="auto"/>
        </w:rPr>
      </w:pPr>
    </w:p>
    <w:p>
      <w:pPr>
        <w:jc w:val="both"/>
        <w:ind w:left="340" w:right="100" w:hanging="285"/>
        <w:spacing w:after="0" w:line="257" w:lineRule="auto"/>
        <w:tabs>
          <w:tab w:leader="none" w:pos="353"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These PSUs vested on March 30, 2022, after the Compensation Committee determined that AB Adjusted OI for 2021 was 89.315% of the target objective set forth in our 2021 AOP. The number of PSUs reflected in the table does not include 950 PSUs that were canceled after the Compensation Committee determined that AB Adjusted OI for 2021 was less than 100% of the target objective set forth in our 2021 AOP.</w:t>
      </w:r>
    </w:p>
    <w:p>
      <w:pPr>
        <w:spacing w:after="0" w:line="16" w:lineRule="exact"/>
        <w:rPr>
          <w:rFonts w:ascii="Arial" w:cs="Arial" w:eastAsia="Arial" w:hAnsi="Arial"/>
          <w:sz w:val="15"/>
          <w:szCs w:val="15"/>
          <w:color w:val="auto"/>
        </w:rPr>
      </w:pPr>
    </w:p>
    <w:p>
      <w:pPr>
        <w:jc w:val="both"/>
        <w:ind w:left="340" w:right="100" w:hanging="285"/>
        <w:spacing w:after="0" w:line="254" w:lineRule="auto"/>
        <w:tabs>
          <w:tab w:leader="none" w:pos="353"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These PSUs vested on March 30, 2022, after the Compensation Committee determined that the cumulative AB Adjusted OI objective for 2019–2021 was 88.779% of the target established by the Compensation Committee. The number of PSUs reflected in the table does not include 2,082 PSUs that were canceled after the Compensation Committee determined that the cumulative AB Adjusted OI objective for 2019–2021 was less than 100% of the target established by the Compensation Committee.</w:t>
      </w:r>
    </w:p>
    <w:p>
      <w:pPr>
        <w:spacing w:after="0" w:line="18" w:lineRule="exact"/>
        <w:rPr>
          <w:rFonts w:ascii="Arial" w:cs="Arial" w:eastAsia="Arial" w:hAnsi="Arial"/>
          <w:sz w:val="15"/>
          <w:szCs w:val="15"/>
          <w:color w:val="auto"/>
        </w:rPr>
      </w:pPr>
    </w:p>
    <w:p>
      <w:pPr>
        <w:jc w:val="both"/>
        <w:ind w:left="340" w:right="100" w:hanging="285"/>
        <w:spacing w:after="0" w:line="254" w:lineRule="auto"/>
        <w:tabs>
          <w:tab w:leader="none" w:pos="353"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These PSUs are eligible to vest on March 30, 2023, subject to Mr. Zerza’s continued employment through that date, after the Compensation Committee determined that AB Adjusted OI for 2021 was 89.315% of the target objective set forth in our 2021 AOP. The number of PSUs reflected in the table does not include 71 PSUs that were canceled after the Compensation Committee determined that AB Adjusted OI for 2021 was less than 100% of the target objective set forth in our 2021 AOP.</w:t>
      </w:r>
    </w:p>
    <w:p>
      <w:pPr>
        <w:sectPr>
          <w:pgSz w:w="11900" w:h="16838" w:orient="portrait"/>
          <w:cols w:equalWidth="0" w:num="1">
            <w:col w:w="11260"/>
          </w:cols>
          <w:pgMar w:left="320" w:top="144" w:right="319" w:bottom="1440" w:gutter="0" w:footer="0" w:header="0"/>
        </w:sectPr>
      </w:pPr>
    </w:p>
    <w:p>
      <w:pPr>
        <w:spacing w:after="0" w:line="297"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type w:val="continuous"/>
        </w:sectPr>
      </w:pPr>
    </w:p>
    <w:bookmarkStart w:id="101" w:name="page102"/>
    <w:bookmarkEnd w:id="101"/>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55" w:lineRule="exact"/>
        <w:rPr>
          <w:sz w:val="20"/>
          <w:szCs w:val="20"/>
          <w:color w:val="auto"/>
        </w:rPr>
      </w:pPr>
    </w:p>
    <w:p>
      <w:pPr>
        <w:ind w:left="360" w:hanging="305"/>
        <w:spacing w:after="0"/>
        <w:tabs>
          <w:tab w:leader="none" w:pos="36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These RSUs are eligible to vest on March 31, 2023, subject to Mr. Zerza’s continued employment through that date.</w:t>
      </w:r>
    </w:p>
    <w:p>
      <w:pPr>
        <w:spacing w:after="0" w:line="41" w:lineRule="exact"/>
        <w:rPr>
          <w:rFonts w:ascii="Arial" w:cs="Arial" w:eastAsia="Arial" w:hAnsi="Arial"/>
          <w:sz w:val="15"/>
          <w:szCs w:val="15"/>
          <w:color w:val="auto"/>
        </w:rPr>
      </w:pPr>
    </w:p>
    <w:p>
      <w:pPr>
        <w:ind w:left="340" w:right="100" w:hanging="285"/>
        <w:spacing w:after="0" w:line="266" w:lineRule="auto"/>
        <w:tabs>
          <w:tab w:leader="none" w:pos="353" w:val="left"/>
        </w:tabs>
        <w:numPr>
          <w:ilvl w:val="0"/>
          <w:numId w:val="114"/>
        </w:numPr>
        <w:rPr>
          <w:rFonts w:ascii="Arial" w:cs="Arial" w:eastAsia="Arial" w:hAnsi="Arial"/>
          <w:sz w:val="15"/>
          <w:szCs w:val="15"/>
          <w:color w:val="auto"/>
        </w:rPr>
      </w:pPr>
      <w:r>
        <w:rPr>
          <w:rFonts w:ascii="Arial" w:cs="Arial" w:eastAsia="Arial" w:hAnsi="Arial"/>
          <w:sz w:val="15"/>
          <w:szCs w:val="15"/>
          <w:color w:val="auto"/>
        </w:rPr>
        <w:t>One-third of these RSUs vested on March 31, 2022. One-half of the remaining RSUs are eligible to vest on each of March 31, 2023, and 2024, in each case subject to Mr. Zerza’s continued employment through the relevant vesting date.</w:t>
      </w:r>
    </w:p>
    <w:p>
      <w:pPr>
        <w:spacing w:after="0" w:line="9" w:lineRule="exact"/>
        <w:rPr>
          <w:rFonts w:ascii="Arial" w:cs="Arial" w:eastAsia="Arial" w:hAnsi="Arial"/>
          <w:sz w:val="15"/>
          <w:szCs w:val="15"/>
          <w:color w:val="auto"/>
        </w:rPr>
      </w:pPr>
    </w:p>
    <w:p>
      <w:pPr>
        <w:ind w:left="360" w:hanging="305"/>
        <w:spacing w:after="0"/>
        <w:tabs>
          <w:tab w:leader="none" w:pos="36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These options are eligible to vest on March 30, 2023, subject to Mr. Zerza’s continued employment through that date.</w:t>
      </w:r>
    </w:p>
    <w:p>
      <w:pPr>
        <w:spacing w:after="0" w:line="41" w:lineRule="exact"/>
        <w:rPr>
          <w:rFonts w:ascii="Arial" w:cs="Arial" w:eastAsia="Arial" w:hAnsi="Arial"/>
          <w:sz w:val="15"/>
          <w:szCs w:val="15"/>
          <w:color w:val="auto"/>
        </w:rPr>
      </w:pPr>
    </w:p>
    <w:p>
      <w:pPr>
        <w:ind w:left="360" w:hanging="305"/>
        <w:spacing w:after="0"/>
        <w:tabs>
          <w:tab w:leader="none" w:pos="36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These options are eligible to vest on November 11, 2022, subject to Mr. Zerza’s continued employment through that date.</w:t>
      </w:r>
    </w:p>
    <w:p>
      <w:pPr>
        <w:spacing w:after="0" w:line="41" w:lineRule="exact"/>
        <w:rPr>
          <w:rFonts w:ascii="Arial" w:cs="Arial" w:eastAsia="Arial" w:hAnsi="Arial"/>
          <w:sz w:val="15"/>
          <w:szCs w:val="15"/>
          <w:color w:val="auto"/>
        </w:rPr>
      </w:pPr>
    </w:p>
    <w:p>
      <w:pPr>
        <w:ind w:left="340" w:right="100" w:hanging="285"/>
        <w:spacing w:after="0" w:line="266" w:lineRule="auto"/>
        <w:tabs>
          <w:tab w:leader="none" w:pos="353" w:val="left"/>
        </w:tabs>
        <w:numPr>
          <w:ilvl w:val="0"/>
          <w:numId w:val="114"/>
        </w:numPr>
        <w:rPr>
          <w:rFonts w:ascii="Arial" w:cs="Arial" w:eastAsia="Arial" w:hAnsi="Arial"/>
          <w:sz w:val="15"/>
          <w:szCs w:val="15"/>
          <w:color w:val="auto"/>
        </w:rPr>
      </w:pPr>
      <w:r>
        <w:rPr>
          <w:rFonts w:ascii="Arial" w:cs="Arial" w:eastAsia="Arial" w:hAnsi="Arial"/>
          <w:sz w:val="15"/>
          <w:szCs w:val="15"/>
          <w:color w:val="auto"/>
        </w:rPr>
        <w:t>One-half of these options are eligible to vest on each of December 9, 2022, and 2023, in each case subject to Mr. Zerza’s continued employment through the relevant vesting date.</w:t>
      </w:r>
    </w:p>
    <w:p>
      <w:pPr>
        <w:spacing w:after="0" w:line="9" w:lineRule="exact"/>
        <w:rPr>
          <w:rFonts w:ascii="Arial" w:cs="Arial" w:eastAsia="Arial" w:hAnsi="Arial"/>
          <w:sz w:val="15"/>
          <w:szCs w:val="15"/>
          <w:color w:val="auto"/>
        </w:rPr>
      </w:pPr>
    </w:p>
    <w:p>
      <w:pPr>
        <w:ind w:left="340" w:right="100" w:hanging="285"/>
        <w:spacing w:after="0" w:line="266" w:lineRule="auto"/>
        <w:tabs>
          <w:tab w:leader="none" w:pos="353" w:val="left"/>
        </w:tabs>
        <w:numPr>
          <w:ilvl w:val="0"/>
          <w:numId w:val="114"/>
        </w:numPr>
        <w:rPr>
          <w:rFonts w:ascii="Arial" w:cs="Arial" w:eastAsia="Arial" w:hAnsi="Arial"/>
          <w:sz w:val="15"/>
          <w:szCs w:val="15"/>
          <w:color w:val="auto"/>
        </w:rPr>
      </w:pPr>
      <w:r>
        <w:rPr>
          <w:rFonts w:ascii="Arial" w:cs="Arial" w:eastAsia="Arial" w:hAnsi="Arial"/>
          <w:sz w:val="15"/>
          <w:szCs w:val="15"/>
          <w:color w:val="auto"/>
        </w:rPr>
        <w:t>One-half of these options are eligible to vest on each of March 31, 2024, and 2025, in each case subject to Mr. Zerza’s continued employment through the relevant vesting date.</w:t>
      </w:r>
    </w:p>
    <w:p>
      <w:pPr>
        <w:spacing w:after="0" w:line="9" w:lineRule="exact"/>
        <w:rPr>
          <w:rFonts w:ascii="Arial" w:cs="Arial" w:eastAsia="Arial" w:hAnsi="Arial"/>
          <w:sz w:val="15"/>
          <w:szCs w:val="15"/>
          <w:color w:val="auto"/>
        </w:rPr>
      </w:pPr>
    </w:p>
    <w:p>
      <w:pPr>
        <w:jc w:val="both"/>
        <w:ind w:left="340" w:right="100" w:hanging="285"/>
        <w:spacing w:after="0" w:line="257" w:lineRule="auto"/>
        <w:tabs>
          <w:tab w:leader="none" w:pos="353"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The number of PSUs reflected in the table does not include 32,723 PSUs that were canceled after the Compensation Committee determined that AB Adjusted EPS for 2021 was less than the EPS Objective. Nor does it reflect PSUs granted to Mr. Alegre on October 29, 2021, which he renounced when he was notified that they had been granted.</w:t>
      </w:r>
    </w:p>
    <w:p>
      <w:pPr>
        <w:spacing w:after="0" w:line="16" w:lineRule="exact"/>
        <w:rPr>
          <w:rFonts w:ascii="Arial" w:cs="Arial" w:eastAsia="Arial" w:hAnsi="Arial"/>
          <w:sz w:val="15"/>
          <w:szCs w:val="15"/>
          <w:color w:val="auto"/>
        </w:rPr>
      </w:pPr>
    </w:p>
    <w:p>
      <w:pPr>
        <w:jc w:val="both"/>
        <w:ind w:left="340" w:right="100" w:hanging="285"/>
        <w:spacing w:after="0" w:line="252" w:lineRule="auto"/>
        <w:tabs>
          <w:tab w:leader="none" w:pos="353"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The number of PSUs reflected in the table is the target amount; the maximum number of PSUs subject to the award is 20,520. These PSUs are eligible to vest March 30, 2023, by reference to our cumulative TSR as compared to the rate of return of the S&amp;P 500 Total Return Index for the period from the date of grant through December 31, 2022, subject to Mr. Alegre’s continued employment through such date. The number of PSUs reflected in the table does not include 13,860 PSUs that were canceled after the Compensation Committee determined that our cumulative TSR minus the rate of return of the S&amp;P 500 Total Return Index was less than 5% for the period from the date of grant through December 31, 2021.</w:t>
      </w:r>
    </w:p>
    <w:p>
      <w:pPr>
        <w:spacing w:after="0" w:line="21" w:lineRule="exact"/>
        <w:rPr>
          <w:rFonts w:ascii="Arial" w:cs="Arial" w:eastAsia="Arial" w:hAnsi="Arial"/>
          <w:sz w:val="15"/>
          <w:szCs w:val="15"/>
          <w:color w:val="auto"/>
        </w:rPr>
      </w:pPr>
    </w:p>
    <w:p>
      <w:pPr>
        <w:ind w:left="340" w:right="100" w:hanging="285"/>
        <w:spacing w:after="0" w:line="266" w:lineRule="auto"/>
        <w:tabs>
          <w:tab w:leader="none" w:pos="353"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This value is based on the target amount; if the highest level of performance is assumed, the market value of the unvested PSUs, calculated in the manner described in footnote (2), would be $1,365,196.</w:t>
      </w:r>
    </w:p>
    <w:p>
      <w:pPr>
        <w:spacing w:after="0" w:line="9" w:lineRule="exact"/>
        <w:rPr>
          <w:rFonts w:ascii="Arial" w:cs="Arial" w:eastAsia="Arial" w:hAnsi="Arial"/>
          <w:sz w:val="15"/>
          <w:szCs w:val="15"/>
          <w:color w:val="auto"/>
        </w:rPr>
      </w:pPr>
    </w:p>
    <w:p>
      <w:pPr>
        <w:jc w:val="both"/>
        <w:ind w:left="340" w:right="100" w:hanging="285"/>
        <w:spacing w:after="0" w:line="257" w:lineRule="auto"/>
        <w:tabs>
          <w:tab w:leader="none" w:pos="353"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The number of PSUs reflected in the table is the threshold amount; the target number of PSUs subject to the award is 18,240 and the maximum number of PSUs subject to the award is 36,840. These PSUs are eligible to vest March 30, 2023, based on the level of the Company’s performance measured by reference to the AB Adjusted EPS objective set forth in our 2022 AOP, subject to Mr. Alegre’s continued employment such date.</w:t>
      </w:r>
    </w:p>
    <w:p>
      <w:pPr>
        <w:spacing w:after="0" w:line="16" w:lineRule="exact"/>
        <w:rPr>
          <w:rFonts w:ascii="Arial" w:cs="Arial" w:eastAsia="Arial" w:hAnsi="Arial"/>
          <w:sz w:val="15"/>
          <w:szCs w:val="15"/>
          <w:color w:val="auto"/>
        </w:rPr>
      </w:pPr>
    </w:p>
    <w:p>
      <w:pPr>
        <w:jc w:val="both"/>
        <w:ind w:left="340" w:right="100" w:hanging="285"/>
        <w:spacing w:after="0" w:line="257" w:lineRule="auto"/>
        <w:tabs>
          <w:tab w:leader="none" w:pos="353"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This value is based on the threshold amount; if the target level of performance is assumed, the market value of the unvested PSUs would be $1,213,507, and if the highest level of performance is assumed, the market value of the unvested PSUs would be $2,450,965, in each case calculated in the manner described in footnote (2).</w:t>
      </w:r>
    </w:p>
    <w:p>
      <w:pPr>
        <w:spacing w:after="0" w:line="16" w:lineRule="exact"/>
        <w:rPr>
          <w:rFonts w:ascii="Arial" w:cs="Arial" w:eastAsia="Arial" w:hAnsi="Arial"/>
          <w:sz w:val="15"/>
          <w:szCs w:val="15"/>
          <w:color w:val="auto"/>
        </w:rPr>
      </w:pPr>
    </w:p>
    <w:p>
      <w:pPr>
        <w:jc w:val="both"/>
        <w:ind w:left="340" w:right="100" w:hanging="285"/>
        <w:spacing w:after="0" w:line="257" w:lineRule="auto"/>
        <w:tabs>
          <w:tab w:leader="none" w:pos="353"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The number of PSUs reflected in the table is the threshold amount; the target number of PSUs subject to the award is 31,919 and the maximum number of PSUs subject to the award is 79,798. These PSUs are eligible to vest on March 30, 2023, based on the level of the Company’s performance measured by reference to the AB Adjusted OI objective set forth in our 2022 AOP, subject to Mr. Alegre’s continued employment through such date.</w:t>
      </w:r>
    </w:p>
    <w:p>
      <w:pPr>
        <w:spacing w:after="0" w:line="16" w:lineRule="exact"/>
        <w:rPr>
          <w:rFonts w:ascii="Arial" w:cs="Arial" w:eastAsia="Arial" w:hAnsi="Arial"/>
          <w:sz w:val="15"/>
          <w:szCs w:val="15"/>
          <w:color w:val="auto"/>
        </w:rPr>
      </w:pPr>
    </w:p>
    <w:p>
      <w:pPr>
        <w:jc w:val="both"/>
        <w:ind w:left="340" w:right="100" w:hanging="285"/>
        <w:spacing w:after="0" w:line="257" w:lineRule="auto"/>
        <w:tabs>
          <w:tab w:leader="none" w:pos="353"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This value is based on the threshold amount; if the target level of performance is assumed, the market value of the unvested PSUs would be $2,123,571, and if the highest level of performance is assumed, the market value of the unvested PSUs would be $5,308,961, in each case calculated in the manner described in footnote (2).</w:t>
      </w:r>
    </w:p>
    <w:p>
      <w:pPr>
        <w:spacing w:after="0" w:line="16" w:lineRule="exact"/>
        <w:rPr>
          <w:rFonts w:ascii="Arial" w:cs="Arial" w:eastAsia="Arial" w:hAnsi="Arial"/>
          <w:sz w:val="15"/>
          <w:szCs w:val="15"/>
          <w:color w:val="auto"/>
        </w:rPr>
      </w:pPr>
    </w:p>
    <w:p>
      <w:pPr>
        <w:jc w:val="both"/>
        <w:ind w:left="340" w:right="100" w:hanging="285"/>
        <w:spacing w:after="0" w:line="256" w:lineRule="auto"/>
        <w:tabs>
          <w:tab w:leader="none" w:pos="353"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The number of PSUs reflected in the table is the threshold amount; the target number of PSUs subject to the award is 39,267 and the maximum number of PSUs subject to the award is 49,084. The PSUs are eligible to vest on March 30, 2024, based on the level of the Company’s performance measured by reference to the cumulative AB Adjusted OI objective for 2021–2023 established by the Compensation Committee, subject to Mr. Alegre’s continued employment through that date.</w:t>
      </w:r>
    </w:p>
    <w:p>
      <w:pPr>
        <w:spacing w:after="0" w:line="196" w:lineRule="exact"/>
        <w:rPr>
          <w:rFonts w:ascii="Arial" w:cs="Arial" w:eastAsia="Arial" w:hAnsi="Arial"/>
          <w:sz w:val="15"/>
          <w:szCs w:val="15"/>
          <w:color w:val="auto"/>
        </w:rPr>
      </w:pPr>
    </w:p>
    <w:p>
      <w:pPr>
        <w:jc w:val="both"/>
        <w:ind w:left="340" w:right="100" w:hanging="285"/>
        <w:spacing w:after="0" w:line="257" w:lineRule="auto"/>
        <w:tabs>
          <w:tab w:leader="none" w:pos="353"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This value is based on the threshold amount; if the target level of performance is assumed, the market value of the unvested PSUs would be $2,612,434, and if the highest level of performance is assumed, the market value of the unvested PSUs would be $3,265,559, in each case calculated in the manner described in footnote (2).</w:t>
      </w:r>
    </w:p>
    <w:p>
      <w:pPr>
        <w:spacing w:after="0" w:line="16" w:lineRule="exact"/>
        <w:rPr>
          <w:rFonts w:ascii="Arial" w:cs="Arial" w:eastAsia="Arial" w:hAnsi="Arial"/>
          <w:sz w:val="15"/>
          <w:szCs w:val="15"/>
          <w:color w:val="auto"/>
        </w:rPr>
      </w:pPr>
    </w:p>
    <w:p>
      <w:pPr>
        <w:jc w:val="both"/>
        <w:ind w:left="340" w:right="100" w:hanging="285"/>
        <w:spacing w:after="0" w:line="257" w:lineRule="auto"/>
        <w:tabs>
          <w:tab w:leader="none" w:pos="353"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These PSUs vested on March 30, 2022, after the Compensation Committee determined that AB Adjusted EPS for 2021 was 94.114% of the target set forth in our 2021 AOP. The number of PSUs reflected in the table does not include 1,074 PSUs that were canceled after the Compensation Committee determined that AB Adjusted EPS for 2021 was less than 100% of the target set forth in our 2021 AOP.</w:t>
      </w:r>
    </w:p>
    <w:p>
      <w:pPr>
        <w:spacing w:after="0" w:line="16" w:lineRule="exact"/>
        <w:rPr>
          <w:rFonts w:ascii="Arial" w:cs="Arial" w:eastAsia="Arial" w:hAnsi="Arial"/>
          <w:sz w:val="15"/>
          <w:szCs w:val="15"/>
          <w:color w:val="auto"/>
        </w:rPr>
      </w:pPr>
    </w:p>
    <w:p>
      <w:pPr>
        <w:jc w:val="both"/>
        <w:ind w:left="340" w:right="100" w:hanging="285"/>
        <w:spacing w:after="0" w:line="257" w:lineRule="auto"/>
        <w:tabs>
          <w:tab w:leader="none" w:pos="353"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These PSUs vested on March 30, 2022, after the Compensation Committee determined that AB Adjusted OI for 2021 was 89.315% of the target objective set forth in our 2021 AOP. The number of PSUs reflected in the table does not include 15,960 PSUs that were canceled after the Compensation Committee determined that AB Adjusted OI for 2021 was less than 100% of the target set forth in our 2021 AOP.</w:t>
      </w:r>
    </w:p>
    <w:p>
      <w:pPr>
        <w:spacing w:after="0" w:line="16" w:lineRule="exact"/>
        <w:rPr>
          <w:rFonts w:ascii="Arial" w:cs="Arial" w:eastAsia="Arial" w:hAnsi="Arial"/>
          <w:sz w:val="15"/>
          <w:szCs w:val="15"/>
          <w:color w:val="auto"/>
        </w:rPr>
      </w:pPr>
    </w:p>
    <w:p>
      <w:pPr>
        <w:jc w:val="both"/>
        <w:ind w:left="340" w:right="100" w:hanging="285"/>
        <w:spacing w:after="0" w:line="257" w:lineRule="auto"/>
        <w:tabs>
          <w:tab w:leader="none" w:pos="353"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These stock options vested on March 30, 2022, one-half after the Compensation Committee determined that AB Adjusted OI for 2020 was at least 50% of the target objective set forth in our 2020 AOP and the second half after the Compensation Committee determined that AB Adjusted OI for 2021 was at least 50% of the target objective set forth in our 2021 AOP.</w:t>
      </w:r>
    </w:p>
    <w:p>
      <w:pPr>
        <w:spacing w:after="0" w:line="16" w:lineRule="exact"/>
        <w:rPr>
          <w:rFonts w:ascii="Arial" w:cs="Arial" w:eastAsia="Arial" w:hAnsi="Arial"/>
          <w:sz w:val="15"/>
          <w:szCs w:val="15"/>
          <w:color w:val="auto"/>
        </w:rPr>
      </w:pPr>
    </w:p>
    <w:p>
      <w:pPr>
        <w:ind w:left="340" w:right="100" w:hanging="285"/>
        <w:spacing w:after="0" w:line="266" w:lineRule="auto"/>
        <w:tabs>
          <w:tab w:leader="none" w:pos="353"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These stock options are eligible to vest on March 30, 2023, if AB Adjusted OI for 2022 is at least 50% of target objective set forth in our 2022 AOP, subject to Mr. Alegre’s continued employment through the relevant vesting date.</w:t>
      </w:r>
    </w:p>
    <w:p>
      <w:pPr>
        <w:spacing w:after="0" w:line="9" w:lineRule="exact"/>
        <w:rPr>
          <w:rFonts w:ascii="Arial" w:cs="Arial" w:eastAsia="Arial" w:hAnsi="Arial"/>
          <w:sz w:val="15"/>
          <w:szCs w:val="15"/>
          <w:color w:val="auto"/>
        </w:rPr>
      </w:pPr>
    </w:p>
    <w:p>
      <w:pPr>
        <w:jc w:val="both"/>
        <w:ind w:left="340" w:right="100" w:hanging="285"/>
        <w:spacing w:after="0" w:line="254" w:lineRule="auto"/>
        <w:tabs>
          <w:tab w:leader="none" w:pos="353"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The number of PSUs reflected in the table is the threshold amount; the target number of PSUs subject to the award is 10,811 and the maximum number of PSUs subject to the award is 13,514. The PSUs are eligible to vest on March 30, 2024, based on the level of the Company’s performance measured by reference to the cumulative AB Adjusted OI objective for 2021–2023 established by the Compensation Committee, subject to Mr. Bulatao’s continued employment through that date.</w:t>
      </w:r>
    </w:p>
    <w:p>
      <w:pPr>
        <w:spacing w:after="0" w:line="18" w:lineRule="exact"/>
        <w:rPr>
          <w:rFonts w:ascii="Arial" w:cs="Arial" w:eastAsia="Arial" w:hAnsi="Arial"/>
          <w:sz w:val="15"/>
          <w:szCs w:val="15"/>
          <w:color w:val="auto"/>
        </w:rPr>
      </w:pPr>
    </w:p>
    <w:p>
      <w:pPr>
        <w:jc w:val="both"/>
        <w:ind w:left="340" w:right="100" w:hanging="285"/>
        <w:spacing w:after="0" w:line="257" w:lineRule="auto"/>
        <w:tabs>
          <w:tab w:leader="none" w:pos="353"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This value is based on the threshold amount; if the target level of performance is assumed, the market value of the unvested PSUs would be $719,256 and if the highest level of performance is assumed, the market value of the unvested PSUs would be $899,086, in each case calculated in the manner described in footnote (2).</w:t>
      </w:r>
    </w:p>
    <w:p>
      <w:pPr>
        <w:spacing w:after="0" w:line="16" w:lineRule="exact"/>
        <w:rPr>
          <w:rFonts w:ascii="Arial" w:cs="Arial" w:eastAsia="Arial" w:hAnsi="Arial"/>
          <w:sz w:val="15"/>
          <w:szCs w:val="15"/>
          <w:color w:val="auto"/>
        </w:rPr>
      </w:pPr>
    </w:p>
    <w:p>
      <w:pPr>
        <w:jc w:val="both"/>
        <w:ind w:left="340" w:right="100" w:hanging="285"/>
        <w:spacing w:after="0" w:line="252" w:lineRule="auto"/>
        <w:tabs>
          <w:tab w:leader="none" w:pos="353"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The number of PSUs reflected in the table is the threshold amount; the target number of PSUs subject to the award is 18,018 and the maximum number of PSUs subject to the award is 36,036. One-half of these PSUs are eligible to vest on each of March 30, 2023, and 2024, based on the level of the Company’s performance measured by reference to the AB Adjusted OI objective set forth in our AOP for the year immediately preceding such vesting date, subject to Mr. Bulatao’s continued employment through that date. The number of PSUs reflected in the table does not include 9,009 PSUs that were canceled after the Compensation Committee determined that AB Adjusted OI for 2021 was less than 100% of the target objective set forth in our 2021 AOP.</w:t>
      </w:r>
    </w:p>
    <w:p>
      <w:pPr>
        <w:spacing w:after="0" w:line="21" w:lineRule="exact"/>
        <w:rPr>
          <w:rFonts w:ascii="Arial" w:cs="Arial" w:eastAsia="Arial" w:hAnsi="Arial"/>
          <w:sz w:val="15"/>
          <w:szCs w:val="15"/>
          <w:color w:val="auto"/>
        </w:rPr>
      </w:pPr>
    </w:p>
    <w:p>
      <w:pPr>
        <w:jc w:val="both"/>
        <w:ind w:left="340" w:right="100" w:hanging="285"/>
        <w:spacing w:after="0" w:line="257" w:lineRule="auto"/>
        <w:tabs>
          <w:tab w:leader="none" w:pos="353"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This value is based on the threshold amount; if the target level of performance is assumed, the market value of the unvested PSUs would be $1,198,738, and if the highest level of performance is assumed, the market value of the unvested PSUs would be $2,397,475, in each case calculated in the manner described in footnote (2).</w:t>
      </w:r>
    </w:p>
    <w:p>
      <w:pPr>
        <w:spacing w:after="0" w:line="295" w:lineRule="exact"/>
        <w:rPr>
          <w:sz w:val="20"/>
          <w:szCs w:val="20"/>
          <w:color w:val="auto"/>
        </w:rPr>
      </w:pPr>
    </w:p>
    <w:p>
      <w:pPr>
        <w:spacing w:after="0"/>
        <w:tabs>
          <w:tab w:leader="none" w:pos="7360" w:val="left"/>
          <w:tab w:leader="none" w:pos="9380" w:val="left"/>
          <w:tab w:leader="none" w:pos="1108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02" w:name="page103"/>
    <w:bookmarkEnd w:id="102"/>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55" w:lineRule="exact"/>
        <w:rPr>
          <w:sz w:val="20"/>
          <w:szCs w:val="20"/>
          <w:color w:val="auto"/>
        </w:rPr>
      </w:pPr>
    </w:p>
    <w:p>
      <w:pPr>
        <w:jc w:val="both"/>
        <w:ind w:left="340" w:right="100" w:hanging="285"/>
        <w:spacing w:after="0" w:line="252" w:lineRule="auto"/>
        <w:tabs>
          <w:tab w:leader="none" w:pos="353"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The number of PSUs reflected in the table is the target amount; the maximum number of PSUs subject to the award is 14,414. One-half of these PSUs are eligible to vest on each of March 30, 2023, and 2024, based on the level of the Company’s performance measured by reference to the AB Adjusted EPS objective set forth in our AOP for the year immediately preceding such vesting date, subject to Mr. Bulatao’s continued employment through that date. The number of PSUs reflected in the table does not include 3,604 PSUs that were canceled after the Compensation Committee determined that AB Adjusted EPS for 2021 was less than 100% of the target objective set forth in our 2021 AOP.</w:t>
      </w:r>
    </w:p>
    <w:p>
      <w:pPr>
        <w:spacing w:after="0" w:line="21" w:lineRule="exact"/>
        <w:rPr>
          <w:rFonts w:ascii="Arial" w:cs="Arial" w:eastAsia="Arial" w:hAnsi="Arial"/>
          <w:sz w:val="15"/>
          <w:szCs w:val="15"/>
          <w:color w:val="auto"/>
        </w:rPr>
      </w:pPr>
    </w:p>
    <w:p>
      <w:pPr>
        <w:ind w:left="340" w:right="100" w:hanging="285"/>
        <w:spacing w:after="0" w:line="266" w:lineRule="auto"/>
        <w:tabs>
          <w:tab w:leader="none" w:pos="353"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This value is based on the target amount; if the highest level of performance is assumed, the market value of the unvested PSUs, calculated in the manner described in footnote (2), would be $958,963.</w:t>
      </w:r>
    </w:p>
    <w:p>
      <w:pPr>
        <w:spacing w:after="0" w:line="9" w:lineRule="exact"/>
        <w:rPr>
          <w:rFonts w:ascii="Arial" w:cs="Arial" w:eastAsia="Arial" w:hAnsi="Arial"/>
          <w:sz w:val="15"/>
          <w:szCs w:val="15"/>
          <w:color w:val="auto"/>
        </w:rPr>
      </w:pPr>
    </w:p>
    <w:p>
      <w:pPr>
        <w:jc w:val="both"/>
        <w:ind w:left="340" w:right="100" w:hanging="285"/>
        <w:spacing w:after="0" w:line="251" w:lineRule="auto"/>
        <w:tabs>
          <w:tab w:leader="none" w:pos="353" w:val="left"/>
        </w:tabs>
        <w:numPr>
          <w:ilvl w:val="0"/>
          <w:numId w:val="115"/>
        </w:numPr>
        <w:rPr>
          <w:rFonts w:ascii="Arial" w:cs="Arial" w:eastAsia="Arial" w:hAnsi="Arial"/>
          <w:sz w:val="15"/>
          <w:szCs w:val="15"/>
          <w:color w:val="auto"/>
        </w:rPr>
      </w:pPr>
      <w:r>
        <w:rPr>
          <w:rFonts w:ascii="Arial" w:cs="Arial" w:eastAsia="Arial" w:hAnsi="Arial"/>
          <w:sz w:val="15"/>
          <w:szCs w:val="15"/>
          <w:color w:val="auto"/>
        </w:rPr>
        <w:t>One-fifth of these PSUs are eligible to vest on each of March 30, 2023, and 2024, based on our cumulative TSR as compared to the rate of return of the S&amp;P 500 Total Return Index for the periods from January 1, 2022, through December 31, 2022, and January 1, 2023, through December 31, 2023, respectively, in each case subject to Mr. Bulatao’s continued employment through the relevant vesting date. The remaining three-fifths of these PSUs are eligible to vest on March 30, 2024, based on our cumulative TSR as compared to the rate of return of the S&amp;P 500 Total Return Index for the period from February 1, 2021, through December 31, 2023, subject to Mr. Bulatao’s continued employment through that date. The number of PSUs reflected in the table does not include 1,802 PSUs that were canceled after the Compensation Committee determined that our cumulative TSR minus the rate of return of the S&amp;P 500 Total Return Index was less than 10% for the period from the February 1, 2021, through December 31, 2021.</w:t>
      </w:r>
    </w:p>
    <w:p>
      <w:pPr>
        <w:spacing w:after="0" w:line="21" w:lineRule="exact"/>
        <w:rPr>
          <w:rFonts w:ascii="Arial" w:cs="Arial" w:eastAsia="Arial" w:hAnsi="Arial"/>
          <w:sz w:val="15"/>
          <w:szCs w:val="15"/>
          <w:color w:val="auto"/>
        </w:rPr>
      </w:pPr>
    </w:p>
    <w:p>
      <w:pPr>
        <w:jc w:val="both"/>
        <w:ind w:left="340" w:right="100" w:hanging="285"/>
        <w:spacing w:after="0" w:line="257" w:lineRule="auto"/>
        <w:tabs>
          <w:tab w:leader="none" w:pos="353"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The number of PSUs reflected in the table is the target amount; the maximum number of PSUs subject to the award is 18,320. The PSUs are eligible to vest on March 30, 2025, based on the level of the Company’s performance measured by reference to the cumulative AB Adjusted OI objective for 2022–2024 established by the Compensation Committee, subject to Mr. Bulatao’s continued employment through that date.</w:t>
      </w:r>
    </w:p>
    <w:p>
      <w:pPr>
        <w:spacing w:after="0" w:line="16" w:lineRule="exact"/>
        <w:rPr>
          <w:rFonts w:ascii="Arial" w:cs="Arial" w:eastAsia="Arial" w:hAnsi="Arial"/>
          <w:sz w:val="15"/>
          <w:szCs w:val="15"/>
          <w:color w:val="auto"/>
        </w:rPr>
      </w:pPr>
    </w:p>
    <w:p>
      <w:pPr>
        <w:ind w:left="340" w:right="100" w:hanging="285"/>
        <w:spacing w:after="0" w:line="266" w:lineRule="auto"/>
        <w:tabs>
          <w:tab w:leader="none" w:pos="353"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This value is based on the target amount; if the highest level of performance is assumed, the market value of the unvested PSUs, calculated in the manner described in footnote (2), would be $1,218,830.</w:t>
      </w:r>
    </w:p>
    <w:p>
      <w:pPr>
        <w:spacing w:after="0" w:line="9" w:lineRule="exact"/>
        <w:rPr>
          <w:rFonts w:ascii="Arial" w:cs="Arial" w:eastAsia="Arial" w:hAnsi="Arial"/>
          <w:sz w:val="15"/>
          <w:szCs w:val="15"/>
          <w:color w:val="auto"/>
        </w:rPr>
      </w:pPr>
    </w:p>
    <w:p>
      <w:pPr>
        <w:ind w:left="340" w:right="100" w:hanging="285"/>
        <w:spacing w:after="0" w:line="266" w:lineRule="auto"/>
        <w:tabs>
          <w:tab w:leader="none" w:pos="353"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These options vested on March 30, 2022, after the Compensation Committee determined that AB Adjusted OI for 2021 was at least 50% of the target objective set forth in our 2021 AOP.</w:t>
      </w:r>
    </w:p>
    <w:p>
      <w:pPr>
        <w:spacing w:after="0" w:line="9" w:lineRule="exact"/>
        <w:rPr>
          <w:rFonts w:ascii="Arial" w:cs="Arial" w:eastAsia="Arial" w:hAnsi="Arial"/>
          <w:sz w:val="15"/>
          <w:szCs w:val="15"/>
          <w:color w:val="auto"/>
        </w:rPr>
      </w:pPr>
    </w:p>
    <w:p>
      <w:pPr>
        <w:jc w:val="both"/>
        <w:ind w:left="340" w:right="100" w:hanging="285"/>
        <w:spacing w:after="0" w:line="257" w:lineRule="auto"/>
        <w:tabs>
          <w:tab w:leader="none" w:pos="353" w:val="left"/>
        </w:tabs>
        <w:numPr>
          <w:ilvl w:val="0"/>
          <w:numId w:val="115"/>
        </w:numPr>
        <w:rPr>
          <w:rFonts w:ascii="Arial" w:cs="Arial" w:eastAsia="Arial" w:hAnsi="Arial"/>
          <w:sz w:val="15"/>
          <w:szCs w:val="15"/>
          <w:color w:val="auto"/>
        </w:rPr>
      </w:pPr>
      <w:r>
        <w:rPr>
          <w:rFonts w:ascii="Arial" w:cs="Arial" w:eastAsia="Arial" w:hAnsi="Arial"/>
          <w:sz w:val="15"/>
          <w:szCs w:val="15"/>
          <w:color w:val="auto"/>
        </w:rPr>
        <w:t>One-half of these options are eligible to vest on each of March 30, 2023, and 2024, based on the level of the Company’s performance measured by reference to the AB Adjusted OI objective set forth in our AOP for the year immediately preceding such vesting date, in each case subject to Mr. Bulatao’s continued employment through the relevant vesting date.</w:t>
      </w:r>
    </w:p>
    <w:p>
      <w:pPr>
        <w:spacing w:after="0" w:line="16" w:lineRule="exact"/>
        <w:rPr>
          <w:rFonts w:ascii="Arial" w:cs="Arial" w:eastAsia="Arial" w:hAnsi="Arial"/>
          <w:sz w:val="15"/>
          <w:szCs w:val="15"/>
          <w:color w:val="auto"/>
        </w:rPr>
      </w:pPr>
    </w:p>
    <w:p>
      <w:pPr>
        <w:jc w:val="both"/>
        <w:ind w:left="340" w:right="100" w:hanging="285"/>
        <w:spacing w:after="0" w:line="254" w:lineRule="auto"/>
        <w:tabs>
          <w:tab w:leader="none" w:pos="353"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The number of PSUs reflected in the table is the threshold amount; the target number of PSUs subject to the award is 24,900 and the maximum number of PSUs subject to the award is 31,125. One-half of these PSUs are eligible to vest on June 29, 2023, and one-fourth of these PSUs are eligible to vest on each of June 29, 2024, and 2025, based on the level of the Company’s performance measured by reference to the AB Adjusted EPS objective set forth in our AOP for the year immediately preceding such vesting date, in each case subject to Mr. Dixton’s continued employment through the relevant vesting date.</w:t>
      </w:r>
    </w:p>
    <w:p>
      <w:pPr>
        <w:spacing w:after="0" w:line="18" w:lineRule="exact"/>
        <w:rPr>
          <w:rFonts w:ascii="Arial" w:cs="Arial" w:eastAsia="Arial" w:hAnsi="Arial"/>
          <w:sz w:val="15"/>
          <w:szCs w:val="15"/>
          <w:color w:val="auto"/>
        </w:rPr>
      </w:pPr>
    </w:p>
    <w:p>
      <w:pPr>
        <w:jc w:val="both"/>
        <w:ind w:left="340" w:right="100" w:hanging="285"/>
        <w:spacing w:after="0" w:line="257" w:lineRule="auto"/>
        <w:tabs>
          <w:tab w:leader="none" w:pos="353"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This value is based on the threshold amount; if the target level of performance is assumed, the market value of the unvested PSUs would be $1,656,597, and if the highest level of performance is assumed, the market value of the unvested PSUs would be $2,070,746, in each case calculated in the manner described in footnote (2).</w:t>
      </w:r>
    </w:p>
    <w:p>
      <w:pPr>
        <w:spacing w:after="0" w:line="16" w:lineRule="exact"/>
        <w:rPr>
          <w:rFonts w:ascii="Arial" w:cs="Arial" w:eastAsia="Arial" w:hAnsi="Arial"/>
          <w:sz w:val="15"/>
          <w:szCs w:val="15"/>
          <w:color w:val="auto"/>
        </w:rPr>
      </w:pPr>
    </w:p>
    <w:p>
      <w:pPr>
        <w:jc w:val="both"/>
        <w:ind w:left="340" w:right="100" w:hanging="285"/>
        <w:spacing w:after="0" w:line="251" w:lineRule="auto"/>
        <w:tabs>
          <w:tab w:leader="none" w:pos="353"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The number of PSUs reflected in the table is the threshold amount; the target number of PSUs subject to the award is 24,900 and the maximum number of PSUs subject to the award is 31,125. One-half of these PSUs are eligible to vest on June 29, 2023, and one-fourth of these PSUs are eligible to vest on each of June 29, 2024, and 2025, based on the level of the Company’s performance measured by reference to the AB Adjusted OI objective set forth in our AOP for the year immediately preceding such vesting date, in each case subject to Mr. Dixton’s continued employment through the relevant vesting date. The number of PSUs reflected in the table does not include 12,451 PSUs that were canceled after the Compensation Committee determined that AB Adjusted OI for 2021 was less than 90% of the target objective set forth in our 2021 AOP.</w:t>
      </w:r>
    </w:p>
    <w:p>
      <w:pPr>
        <w:spacing w:after="0" w:line="23" w:lineRule="exact"/>
        <w:rPr>
          <w:rFonts w:ascii="Arial" w:cs="Arial" w:eastAsia="Arial" w:hAnsi="Arial"/>
          <w:sz w:val="15"/>
          <w:szCs w:val="15"/>
          <w:color w:val="auto"/>
        </w:rPr>
      </w:pPr>
    </w:p>
    <w:p>
      <w:pPr>
        <w:jc w:val="both"/>
        <w:ind w:left="340" w:right="100" w:hanging="285"/>
        <w:spacing w:after="0" w:line="257" w:lineRule="auto"/>
        <w:tabs>
          <w:tab w:leader="none" w:pos="353"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This value is based on the threshold amount; if the target level of performance is assumed, the market value of the unvested PSUs would be $1,656,597, and if the highest level of performance is assumed, the market value of the unvested PSUs would be $2,070,746, in each case calculated in the manner described in footnote (2).</w:t>
      </w:r>
    </w:p>
    <w:p>
      <w:pPr>
        <w:spacing w:after="0" w:line="16" w:lineRule="exact"/>
        <w:rPr>
          <w:rFonts w:ascii="Arial" w:cs="Arial" w:eastAsia="Arial" w:hAnsi="Arial"/>
          <w:sz w:val="15"/>
          <w:szCs w:val="15"/>
          <w:color w:val="auto"/>
        </w:rPr>
      </w:pPr>
    </w:p>
    <w:p>
      <w:pPr>
        <w:jc w:val="both"/>
        <w:ind w:left="340" w:right="100" w:hanging="285"/>
        <w:spacing w:after="0" w:line="256" w:lineRule="auto"/>
        <w:tabs>
          <w:tab w:leader="none" w:pos="353"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The number of PSUs reflected in the table is the threshold amount; the target number of shares subject to the awards is 12,450 and the maximum number of PSUs subject to the award is 15,563. The PSUs are eligible to vest on June 29, 2024, based on the level of the Company’s performance measured by reference to the cumulative AB Adjusted OI objective for 2021–2023 established by the Compensation Committee, subject to Mr. Dixton’s continued employment through that date.</w:t>
      </w:r>
    </w:p>
    <w:p>
      <w:pPr>
        <w:spacing w:after="0" w:line="196" w:lineRule="exact"/>
        <w:rPr>
          <w:rFonts w:ascii="Arial" w:cs="Arial" w:eastAsia="Arial" w:hAnsi="Arial"/>
          <w:sz w:val="15"/>
          <w:szCs w:val="15"/>
          <w:color w:val="auto"/>
        </w:rPr>
      </w:pPr>
    </w:p>
    <w:p>
      <w:pPr>
        <w:jc w:val="both"/>
        <w:ind w:left="340" w:right="100" w:hanging="285"/>
        <w:spacing w:after="0" w:line="257" w:lineRule="auto"/>
        <w:tabs>
          <w:tab w:leader="none" w:pos="353"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This value is based on the threshold amount; if the target amount level of performance is assumed, the market value of the unvested PSUs would be $829,299, and if the highest level of performance is assumed, the market value of the unvested PSUs would be $1,035,406, in each case calculated in the manner described in footnote (2).</w:t>
      </w:r>
    </w:p>
    <w:p>
      <w:pPr>
        <w:spacing w:after="0" w:line="16" w:lineRule="exact"/>
        <w:rPr>
          <w:rFonts w:ascii="Arial" w:cs="Arial" w:eastAsia="Arial" w:hAnsi="Arial"/>
          <w:sz w:val="15"/>
          <w:szCs w:val="15"/>
          <w:color w:val="auto"/>
        </w:rPr>
      </w:pPr>
    </w:p>
    <w:p>
      <w:pPr>
        <w:jc w:val="both"/>
        <w:ind w:left="340" w:right="100" w:hanging="285"/>
        <w:spacing w:after="0" w:line="257" w:lineRule="auto"/>
        <w:tabs>
          <w:tab w:leader="none" w:pos="353"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The number of PSUs reflected in the table is the target amount; the maximum number of PSUs subject to the award is 18,320. The PSUs are eligible to vest on March 30, 2025, based on the level of the Company’s performance measured by reference to the cumulative AB Adjusted OI objective for 2022–2024 established by the Compensation Committee, subject to Mr. Dixton’s continued employment through that date.</w:t>
      </w:r>
    </w:p>
    <w:p>
      <w:pPr>
        <w:spacing w:after="0" w:line="16" w:lineRule="exact"/>
        <w:rPr>
          <w:rFonts w:ascii="Arial" w:cs="Arial" w:eastAsia="Arial" w:hAnsi="Arial"/>
          <w:sz w:val="15"/>
          <w:szCs w:val="15"/>
          <w:color w:val="auto"/>
        </w:rPr>
      </w:pPr>
    </w:p>
    <w:p>
      <w:pPr>
        <w:ind w:left="340" w:right="100" w:hanging="285"/>
        <w:spacing w:after="0" w:line="266" w:lineRule="auto"/>
        <w:tabs>
          <w:tab w:leader="none" w:pos="353"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This value is based on the target amount; if the highest level of performance is assumed, the market value of the unvested PSUs, calculated in the manner described in footnote (2), would be $1,218,830.</w:t>
      </w:r>
    </w:p>
    <w:p>
      <w:pPr>
        <w:spacing w:after="0" w:line="9" w:lineRule="exact"/>
        <w:rPr>
          <w:rFonts w:ascii="Arial" w:cs="Arial" w:eastAsia="Arial" w:hAnsi="Arial"/>
          <w:sz w:val="15"/>
          <w:szCs w:val="15"/>
          <w:color w:val="auto"/>
        </w:rPr>
      </w:pPr>
    </w:p>
    <w:p>
      <w:pPr>
        <w:jc w:val="both"/>
        <w:ind w:left="340" w:right="100" w:hanging="285"/>
        <w:spacing w:after="0" w:line="256" w:lineRule="auto"/>
        <w:tabs>
          <w:tab w:leader="none" w:pos="353"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These PSUs are eligible to vest on June 29, 2022, subject to Mr. Dixton’s continued employment through that date, after the Compensation Committee determined that AB Adjusted EPS for 2021 was 94.114% of the target set forth in our 2021 AOP. The number of PSUs reflected in the table does not include 3,664 PSUs that were canceled after the Compensation Committee determined that AB Adjusted EPS for 2021 was less than 100% of the target set forth in our 2021 AOP.</w:t>
      </w:r>
    </w:p>
    <w:p>
      <w:pPr>
        <w:spacing w:after="0" w:line="196" w:lineRule="exact"/>
        <w:rPr>
          <w:rFonts w:ascii="Arial" w:cs="Arial" w:eastAsia="Arial" w:hAnsi="Arial"/>
          <w:sz w:val="15"/>
          <w:szCs w:val="15"/>
          <w:color w:val="auto"/>
        </w:rPr>
      </w:pPr>
    </w:p>
    <w:p>
      <w:pPr>
        <w:ind w:left="360" w:hanging="305"/>
        <w:spacing w:after="0"/>
        <w:tabs>
          <w:tab w:leader="none" w:pos="36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These restricted stock units are eligible to vest in full on June 29, 2024, subject to Mr. Dixton’s continued employment through that date.</w:t>
      </w:r>
    </w:p>
    <w:p>
      <w:pPr>
        <w:spacing w:after="0" w:line="330" w:lineRule="exact"/>
        <w:rPr>
          <w:sz w:val="20"/>
          <w:szCs w:val="20"/>
          <w:color w:val="auto"/>
        </w:rPr>
      </w:pPr>
    </w:p>
    <w:p>
      <w:pPr>
        <w:jc w:val="both"/>
        <w:spacing w:after="0"/>
        <w:rPr>
          <w:sz w:val="20"/>
          <w:szCs w:val="20"/>
          <w:color w:val="auto"/>
        </w:rPr>
      </w:pPr>
      <w:r>
        <w:rPr>
          <w:rFonts w:ascii="Arial" w:cs="Arial" w:eastAsia="Arial" w:hAnsi="Arial"/>
          <w:sz w:val="19"/>
          <w:szCs w:val="19"/>
          <w:color w:val="auto"/>
        </w:rPr>
        <w:t>For the impact the termination of the employment of each NEO would have on their equity awards, please see “—Potential Payments upon Termination or Change of Control” below. For details regarding the impact the completion of the proposed transaction with Microsoft would have on the unvested equity awards then held by our NEOs, please see the Merger Proxy Statement.</w:t>
      </w:r>
    </w:p>
    <w:p>
      <w:pPr>
        <w:spacing w:after="0" w:line="249" w:lineRule="exact"/>
        <w:rPr>
          <w:sz w:val="20"/>
          <w:szCs w:val="20"/>
          <w:color w:val="auto"/>
        </w:rPr>
      </w:pPr>
    </w:p>
    <w:p>
      <w:pPr>
        <w:spacing w:after="0"/>
        <w:tabs>
          <w:tab w:leader="none" w:pos="7360" w:val="left"/>
          <w:tab w:leader="none" w:pos="9380" w:val="left"/>
          <w:tab w:leader="none" w:pos="1100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03" w:name="page104"/>
    <w:bookmarkEnd w:id="103"/>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OPTION EXERCISES AND STOCK VESTED FOR 2021</w:t>
      </w:r>
    </w:p>
    <w:p>
      <w:pPr>
        <w:spacing w:after="0" w:line="309"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The table below provides information about the value realized by our named executed officers during 2021 from the exercise of stock options and vesting of restricted share units: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00" w:type="dxa"/>
            <w:vAlign w:val="bottom"/>
          </w:tcPr>
          <w:p>
            <w:pPr>
              <w:spacing w:after="0"/>
              <w:rPr>
                <w:sz w:val="17"/>
                <w:szCs w:val="17"/>
                <w:color w:val="auto"/>
              </w:rPr>
            </w:pPr>
          </w:p>
        </w:tc>
        <w:tc>
          <w:tcPr>
            <w:tcW w:w="2660" w:type="dxa"/>
            <w:vAlign w:val="bottom"/>
          </w:tcPr>
          <w:p>
            <w:pPr>
              <w:jc w:val="right"/>
              <w:spacing w:after="0"/>
              <w:rPr>
                <w:sz w:val="20"/>
                <w:szCs w:val="20"/>
                <w:color w:val="auto"/>
              </w:rPr>
            </w:pPr>
            <w:r>
              <w:rPr>
                <w:rFonts w:ascii="Arial" w:cs="Arial" w:eastAsia="Arial" w:hAnsi="Arial"/>
                <w:sz w:val="15"/>
                <w:szCs w:val="15"/>
                <w:b w:val="1"/>
                <w:bCs w:val="1"/>
                <w:color w:val="125288"/>
              </w:rPr>
              <w:t>Option Awards</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80" w:type="dxa"/>
            <w:vAlign w:val="bottom"/>
            <w:gridSpan w:val="2"/>
          </w:tcPr>
          <w:p>
            <w:pPr>
              <w:jc w:val="right"/>
              <w:ind w:right="1322"/>
              <w:spacing w:after="0"/>
              <w:rPr>
                <w:sz w:val="20"/>
                <w:szCs w:val="20"/>
                <w:color w:val="auto"/>
              </w:rPr>
            </w:pPr>
            <w:r>
              <w:rPr>
                <w:rFonts w:ascii="Arial" w:cs="Arial" w:eastAsia="Arial" w:hAnsi="Arial"/>
                <w:sz w:val="15"/>
                <w:szCs w:val="15"/>
                <w:b w:val="1"/>
                <w:bCs w:val="1"/>
                <w:color w:val="125288"/>
              </w:rPr>
              <w:t>Stock Awards</w:t>
            </w:r>
          </w:p>
        </w:tc>
      </w:tr>
      <w:tr>
        <w:trPr>
          <w:trHeight w:val="41"/>
        </w:trPr>
        <w:tc>
          <w:tcPr>
            <w:tcW w:w="3100" w:type="dxa"/>
            <w:vAlign w:val="bottom"/>
          </w:tcPr>
          <w:p>
            <w:pPr>
              <w:spacing w:after="0"/>
              <w:rPr>
                <w:sz w:val="3"/>
                <w:szCs w:val="3"/>
                <w:color w:val="auto"/>
              </w:rPr>
            </w:pPr>
          </w:p>
        </w:tc>
        <w:tc>
          <w:tcPr>
            <w:tcW w:w="2660" w:type="dxa"/>
            <w:vAlign w:val="bottom"/>
            <w:tcBorders>
              <w:bottom w:val="single" w:sz="8" w:color="125288"/>
            </w:tcBorders>
          </w:tcPr>
          <w:p>
            <w:pPr>
              <w:spacing w:after="0"/>
              <w:rPr>
                <w:sz w:val="3"/>
                <w:szCs w:val="3"/>
                <w:color w:val="auto"/>
              </w:rPr>
            </w:pPr>
          </w:p>
        </w:tc>
        <w:tc>
          <w:tcPr>
            <w:tcW w:w="1420" w:type="dxa"/>
            <w:vAlign w:val="bottom"/>
            <w:tcBorders>
              <w:bottom w:val="single" w:sz="8" w:color="125288"/>
            </w:tcBorders>
          </w:tcPr>
          <w:p>
            <w:pPr>
              <w:spacing w:after="0"/>
              <w:rPr>
                <w:sz w:val="3"/>
                <w:szCs w:val="3"/>
                <w:color w:val="auto"/>
              </w:rPr>
            </w:pPr>
          </w:p>
        </w:tc>
        <w:tc>
          <w:tcPr>
            <w:tcW w:w="200" w:type="dxa"/>
            <w:vAlign w:val="bottom"/>
          </w:tcPr>
          <w:p>
            <w:pPr>
              <w:spacing w:after="0"/>
              <w:rPr>
                <w:sz w:val="3"/>
                <w:szCs w:val="3"/>
                <w:color w:val="auto"/>
              </w:rPr>
            </w:pPr>
          </w:p>
        </w:tc>
        <w:tc>
          <w:tcPr>
            <w:tcW w:w="2160" w:type="dxa"/>
            <w:vAlign w:val="bottom"/>
            <w:tcBorders>
              <w:bottom w:val="single" w:sz="8" w:color="125288"/>
            </w:tcBorders>
          </w:tcPr>
          <w:p>
            <w:pPr>
              <w:spacing w:after="0"/>
              <w:rPr>
                <w:sz w:val="3"/>
                <w:szCs w:val="3"/>
                <w:color w:val="auto"/>
              </w:rPr>
            </w:pPr>
          </w:p>
        </w:tc>
        <w:tc>
          <w:tcPr>
            <w:tcW w:w="1720" w:type="dxa"/>
            <w:vAlign w:val="bottom"/>
            <w:tcBorders>
              <w:bottom w:val="single" w:sz="8" w:color="125288"/>
            </w:tcBorders>
          </w:tcPr>
          <w:p>
            <w:pPr>
              <w:spacing w:after="0"/>
              <w:rPr>
                <w:sz w:val="3"/>
                <w:szCs w:val="3"/>
                <w:color w:val="auto"/>
              </w:rPr>
            </w:pPr>
          </w:p>
        </w:tc>
      </w:tr>
      <w:tr>
        <w:trPr>
          <w:trHeight w:val="212"/>
        </w:trPr>
        <w:tc>
          <w:tcPr>
            <w:tcW w:w="3100" w:type="dxa"/>
            <w:vAlign w:val="bottom"/>
          </w:tcPr>
          <w:p>
            <w:pPr>
              <w:spacing w:after="0"/>
              <w:rPr>
                <w:sz w:val="18"/>
                <w:szCs w:val="18"/>
                <w:color w:val="auto"/>
              </w:rPr>
            </w:pPr>
          </w:p>
        </w:tc>
        <w:tc>
          <w:tcPr>
            <w:tcW w:w="2660" w:type="dxa"/>
            <w:vAlign w:val="bottom"/>
          </w:tcPr>
          <w:p>
            <w:pPr>
              <w:jc w:val="right"/>
              <w:ind w:right="719"/>
              <w:spacing w:after="0"/>
              <w:rPr>
                <w:sz w:val="20"/>
                <w:szCs w:val="20"/>
                <w:color w:val="auto"/>
              </w:rPr>
            </w:pPr>
            <w:r>
              <w:rPr>
                <w:rFonts w:ascii="Arial" w:cs="Arial" w:eastAsia="Arial" w:hAnsi="Arial"/>
                <w:sz w:val="15"/>
                <w:szCs w:val="15"/>
                <w:b w:val="1"/>
                <w:bCs w:val="1"/>
                <w:color w:val="125288"/>
              </w:rPr>
              <w:t>Number of Shares</w:t>
            </w:r>
          </w:p>
        </w:tc>
        <w:tc>
          <w:tcPr>
            <w:tcW w:w="162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125288"/>
              </w:rPr>
              <w:t>Value Realized on</w:t>
            </w:r>
          </w:p>
        </w:tc>
        <w:tc>
          <w:tcPr>
            <w:tcW w:w="2160" w:type="dxa"/>
            <w:vAlign w:val="bottom"/>
          </w:tcPr>
          <w:p>
            <w:pPr>
              <w:jc w:val="right"/>
              <w:ind w:right="279"/>
              <w:spacing w:after="0"/>
              <w:rPr>
                <w:sz w:val="20"/>
                <w:szCs w:val="20"/>
                <w:color w:val="auto"/>
              </w:rPr>
            </w:pPr>
            <w:r>
              <w:rPr>
                <w:rFonts w:ascii="Arial" w:cs="Arial" w:eastAsia="Arial" w:hAnsi="Arial"/>
                <w:sz w:val="15"/>
                <w:szCs w:val="15"/>
                <w:b w:val="1"/>
                <w:bCs w:val="1"/>
                <w:color w:val="125288"/>
              </w:rPr>
              <w:t>Number of Shares</w:t>
            </w:r>
          </w:p>
        </w:tc>
        <w:tc>
          <w:tcPr>
            <w:tcW w:w="1720" w:type="dxa"/>
            <w:vAlign w:val="bottom"/>
          </w:tcPr>
          <w:p>
            <w:pPr>
              <w:jc w:val="right"/>
              <w:ind w:right="102"/>
              <w:spacing w:after="0"/>
              <w:rPr>
                <w:sz w:val="20"/>
                <w:szCs w:val="20"/>
                <w:color w:val="auto"/>
              </w:rPr>
            </w:pPr>
            <w:r>
              <w:rPr>
                <w:rFonts w:ascii="Arial" w:cs="Arial" w:eastAsia="Arial" w:hAnsi="Arial"/>
                <w:sz w:val="15"/>
                <w:szCs w:val="15"/>
                <w:b w:val="1"/>
                <w:bCs w:val="1"/>
                <w:color w:val="125288"/>
              </w:rPr>
              <w:t>Value Realized on</w:t>
            </w:r>
          </w:p>
        </w:tc>
      </w:tr>
      <w:tr>
        <w:trPr>
          <w:trHeight w:val="214"/>
        </w:trPr>
        <w:tc>
          <w:tcPr>
            <w:tcW w:w="3100" w:type="dxa"/>
            <w:vAlign w:val="bottom"/>
          </w:tcPr>
          <w:p>
            <w:pPr>
              <w:spacing w:after="0"/>
              <w:rPr>
                <w:sz w:val="18"/>
                <w:szCs w:val="18"/>
                <w:color w:val="auto"/>
              </w:rPr>
            </w:pPr>
          </w:p>
        </w:tc>
        <w:tc>
          <w:tcPr>
            <w:tcW w:w="2660" w:type="dxa"/>
            <w:vAlign w:val="bottom"/>
          </w:tcPr>
          <w:p>
            <w:pPr>
              <w:jc w:val="right"/>
              <w:ind w:right="719"/>
              <w:spacing w:after="0"/>
              <w:rPr>
                <w:sz w:val="20"/>
                <w:szCs w:val="20"/>
                <w:color w:val="auto"/>
              </w:rPr>
            </w:pPr>
            <w:r>
              <w:rPr>
                <w:rFonts w:ascii="Arial" w:cs="Arial" w:eastAsia="Arial" w:hAnsi="Arial"/>
                <w:sz w:val="15"/>
                <w:szCs w:val="15"/>
                <w:b w:val="1"/>
                <w:bCs w:val="1"/>
                <w:color w:val="125288"/>
              </w:rPr>
              <w:t>Acquired on Exercise</w:t>
            </w:r>
          </w:p>
        </w:tc>
        <w:tc>
          <w:tcPr>
            <w:tcW w:w="162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125288"/>
              </w:rPr>
              <w:t>Exercise</w:t>
            </w:r>
          </w:p>
        </w:tc>
        <w:tc>
          <w:tcPr>
            <w:tcW w:w="2160" w:type="dxa"/>
            <w:vAlign w:val="bottom"/>
          </w:tcPr>
          <w:p>
            <w:pPr>
              <w:jc w:val="right"/>
              <w:ind w:right="279"/>
              <w:spacing w:after="0"/>
              <w:rPr>
                <w:sz w:val="20"/>
                <w:szCs w:val="20"/>
                <w:color w:val="auto"/>
              </w:rPr>
            </w:pPr>
            <w:r>
              <w:rPr>
                <w:rFonts w:ascii="Arial" w:cs="Arial" w:eastAsia="Arial" w:hAnsi="Arial"/>
                <w:sz w:val="15"/>
                <w:szCs w:val="15"/>
                <w:b w:val="1"/>
                <w:bCs w:val="1"/>
                <w:color w:val="125288"/>
              </w:rPr>
              <w:t>Acquired on Vesting</w:t>
            </w:r>
          </w:p>
        </w:tc>
        <w:tc>
          <w:tcPr>
            <w:tcW w:w="1720" w:type="dxa"/>
            <w:vAlign w:val="bottom"/>
          </w:tcPr>
          <w:p>
            <w:pPr>
              <w:jc w:val="right"/>
              <w:ind w:right="102"/>
              <w:spacing w:after="0"/>
              <w:rPr>
                <w:sz w:val="20"/>
                <w:szCs w:val="20"/>
                <w:color w:val="auto"/>
              </w:rPr>
            </w:pPr>
            <w:r>
              <w:rPr>
                <w:rFonts w:ascii="Arial" w:cs="Arial" w:eastAsia="Arial" w:hAnsi="Arial"/>
                <w:sz w:val="15"/>
                <w:szCs w:val="15"/>
                <w:b w:val="1"/>
                <w:bCs w:val="1"/>
                <w:color w:val="125288"/>
              </w:rPr>
              <w:t>Vesting</w:t>
            </w:r>
          </w:p>
        </w:tc>
      </w:tr>
      <w:tr>
        <w:trPr>
          <w:trHeight w:val="255"/>
        </w:trPr>
        <w:tc>
          <w:tcPr>
            <w:tcW w:w="3100" w:type="dxa"/>
            <w:vAlign w:val="bottom"/>
            <w:tcBorders>
              <w:bottom w:val="single" w:sz="8" w:color="125288"/>
            </w:tcBorders>
          </w:tcPr>
          <w:p>
            <w:pPr>
              <w:ind w:left="40"/>
              <w:spacing w:after="0"/>
              <w:rPr>
                <w:sz w:val="20"/>
                <w:szCs w:val="20"/>
                <w:color w:val="auto"/>
              </w:rPr>
            </w:pPr>
            <w:r>
              <w:rPr>
                <w:rFonts w:ascii="Arial" w:cs="Arial" w:eastAsia="Arial" w:hAnsi="Arial"/>
                <w:sz w:val="15"/>
                <w:szCs w:val="15"/>
                <w:b w:val="1"/>
                <w:bCs w:val="1"/>
                <w:color w:val="125288"/>
              </w:rPr>
              <w:t>Name</w:t>
            </w:r>
          </w:p>
        </w:tc>
        <w:tc>
          <w:tcPr>
            <w:tcW w:w="2660" w:type="dxa"/>
            <w:vAlign w:val="bottom"/>
            <w:tcBorders>
              <w:bottom w:val="single" w:sz="8" w:color="125288"/>
            </w:tcBorders>
          </w:tcPr>
          <w:p>
            <w:pPr>
              <w:jc w:val="right"/>
              <w:ind w:right="719"/>
              <w:spacing w:after="0"/>
              <w:rPr>
                <w:sz w:val="20"/>
                <w:szCs w:val="20"/>
                <w:color w:val="auto"/>
              </w:rPr>
            </w:pPr>
            <w:r>
              <w:rPr>
                <w:rFonts w:ascii="Arial" w:cs="Arial" w:eastAsia="Arial" w:hAnsi="Arial"/>
                <w:sz w:val="15"/>
                <w:szCs w:val="15"/>
                <w:b w:val="1"/>
                <w:bCs w:val="1"/>
                <w:color w:val="125288"/>
              </w:rPr>
              <w:t>(#)</w:t>
            </w:r>
          </w:p>
        </w:tc>
        <w:tc>
          <w:tcPr>
            <w:tcW w:w="1420" w:type="dxa"/>
            <w:vAlign w:val="bottom"/>
            <w:tcBorders>
              <w:bottom w:val="single" w:sz="8" w:color="125288"/>
            </w:tcBorders>
          </w:tcPr>
          <w:p>
            <w:pPr>
              <w:jc w:val="right"/>
              <w:spacing w:after="0"/>
              <w:rPr>
                <w:sz w:val="20"/>
                <w:szCs w:val="20"/>
                <w:color w:val="auto"/>
              </w:rPr>
            </w:pPr>
            <w:r>
              <w:rPr>
                <w:rFonts w:ascii="Arial" w:cs="Arial" w:eastAsia="Arial" w:hAnsi="Arial"/>
                <w:sz w:val="15"/>
                <w:szCs w:val="15"/>
                <w:b w:val="1"/>
                <w:bCs w:val="1"/>
                <w:color w:val="125288"/>
              </w:rPr>
              <w:t>($)</w:t>
            </w:r>
          </w:p>
        </w:tc>
        <w:tc>
          <w:tcPr>
            <w:tcW w:w="200" w:type="dxa"/>
            <w:vAlign w:val="bottom"/>
            <w:tcBorders>
              <w:bottom w:val="single" w:sz="8" w:color="125288"/>
            </w:tcBorders>
          </w:tcPr>
          <w:p>
            <w:pPr>
              <w:spacing w:after="0"/>
              <w:rPr>
                <w:sz w:val="22"/>
                <w:szCs w:val="22"/>
                <w:color w:val="auto"/>
              </w:rPr>
            </w:pPr>
          </w:p>
        </w:tc>
        <w:tc>
          <w:tcPr>
            <w:tcW w:w="2160" w:type="dxa"/>
            <w:vAlign w:val="bottom"/>
            <w:tcBorders>
              <w:bottom w:val="single" w:sz="8" w:color="125288"/>
            </w:tcBorders>
          </w:tcPr>
          <w:p>
            <w:pPr>
              <w:jc w:val="right"/>
              <w:ind w:right="279"/>
              <w:spacing w:after="0"/>
              <w:rPr>
                <w:sz w:val="20"/>
                <w:szCs w:val="20"/>
                <w:color w:val="auto"/>
              </w:rPr>
            </w:pPr>
            <w:r>
              <w:rPr>
                <w:rFonts w:ascii="Arial" w:cs="Arial" w:eastAsia="Arial" w:hAnsi="Arial"/>
                <w:sz w:val="15"/>
                <w:szCs w:val="15"/>
                <w:b w:val="1"/>
                <w:bCs w:val="1"/>
                <w:color w:val="125288"/>
              </w:rPr>
              <w:t>(#)</w:t>
            </w:r>
          </w:p>
        </w:tc>
        <w:tc>
          <w:tcPr>
            <w:tcW w:w="1720" w:type="dxa"/>
            <w:vAlign w:val="bottom"/>
            <w:tcBorders>
              <w:bottom w:val="single" w:sz="8" w:color="125288"/>
            </w:tcBorders>
          </w:tcPr>
          <w:p>
            <w:pPr>
              <w:jc w:val="right"/>
              <w:ind w:right="102"/>
              <w:spacing w:after="0" w:line="251" w:lineRule="exact"/>
              <w:rPr>
                <w:sz w:val="20"/>
                <w:szCs w:val="20"/>
                <w:color w:val="auto"/>
              </w:rPr>
            </w:pPr>
            <w:r>
              <w:rPr>
                <w:rFonts w:ascii="Arial" w:cs="Arial" w:eastAsia="Arial" w:hAnsi="Arial"/>
                <w:sz w:val="29"/>
                <w:szCs w:val="29"/>
                <w:b w:val="1"/>
                <w:bCs w:val="1"/>
                <w:color w:val="125288"/>
                <w:vertAlign w:val="subscript"/>
              </w:rPr>
              <w:t>($)</w:t>
            </w:r>
            <w:r>
              <w:rPr>
                <w:rFonts w:ascii="Arial" w:cs="Arial" w:eastAsia="Arial" w:hAnsi="Arial"/>
                <w:sz w:val="9"/>
                <w:szCs w:val="9"/>
                <w:b w:val="1"/>
                <w:bCs w:val="1"/>
                <w:color w:val="125288"/>
              </w:rPr>
              <w:t>(1)</w:t>
            </w:r>
          </w:p>
        </w:tc>
      </w:tr>
      <w:tr>
        <w:trPr>
          <w:trHeight w:val="312"/>
        </w:trPr>
        <w:tc>
          <w:tcPr>
            <w:tcW w:w="3100" w:type="dxa"/>
            <w:vAlign w:val="bottom"/>
          </w:tcPr>
          <w:p>
            <w:pPr>
              <w:ind w:left="40"/>
              <w:spacing w:after="0"/>
              <w:rPr>
                <w:sz w:val="20"/>
                <w:szCs w:val="20"/>
                <w:color w:val="auto"/>
              </w:rPr>
            </w:pPr>
            <w:r>
              <w:rPr>
                <w:rFonts w:ascii="Arial" w:cs="Arial" w:eastAsia="Arial" w:hAnsi="Arial"/>
                <w:sz w:val="17"/>
                <w:szCs w:val="17"/>
                <w:b w:val="1"/>
                <w:bCs w:val="1"/>
                <w:color w:val="auto"/>
              </w:rPr>
              <w:t>Robert Kotick</w:t>
            </w:r>
          </w:p>
        </w:tc>
        <w:tc>
          <w:tcPr>
            <w:tcW w:w="2660" w:type="dxa"/>
            <w:vAlign w:val="bottom"/>
          </w:tcPr>
          <w:p>
            <w:pPr>
              <w:jc w:val="right"/>
              <w:ind w:right="719"/>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160" w:type="dxa"/>
            <w:vAlign w:val="bottom"/>
          </w:tcPr>
          <w:p>
            <w:pPr>
              <w:jc w:val="right"/>
              <w:ind w:right="159"/>
              <w:spacing w:after="0"/>
              <w:rPr>
                <w:sz w:val="20"/>
                <w:szCs w:val="20"/>
                <w:color w:val="auto"/>
              </w:rPr>
            </w:pPr>
            <w:r>
              <w:rPr>
                <w:rFonts w:ascii="Arial" w:cs="Arial" w:eastAsia="Arial" w:hAnsi="Arial"/>
                <w:sz w:val="17"/>
                <w:szCs w:val="17"/>
                <w:color w:val="auto"/>
              </w:rPr>
              <w:t>3,259,435</w:t>
            </w:r>
            <w:r>
              <w:rPr>
                <w:rFonts w:ascii="Arial" w:cs="Arial" w:eastAsia="Arial" w:hAnsi="Arial"/>
                <w:sz w:val="19"/>
                <w:szCs w:val="19"/>
                <w:color w:val="auto"/>
                <w:vertAlign w:val="superscript"/>
              </w:rPr>
              <w:t>(2)</w:t>
            </w:r>
          </w:p>
        </w:tc>
        <w:tc>
          <w:tcPr>
            <w:tcW w:w="1720" w:type="dxa"/>
            <w:vAlign w:val="bottom"/>
          </w:tcPr>
          <w:p>
            <w:pPr>
              <w:jc w:val="right"/>
              <w:spacing w:after="0"/>
              <w:rPr>
                <w:sz w:val="20"/>
                <w:szCs w:val="20"/>
                <w:color w:val="auto"/>
              </w:rPr>
            </w:pPr>
            <w:r>
              <w:rPr>
                <w:rFonts w:ascii="Arial" w:cs="Arial" w:eastAsia="Arial" w:hAnsi="Arial"/>
                <w:sz w:val="17"/>
                <w:szCs w:val="17"/>
                <w:color w:val="auto"/>
              </w:rPr>
              <w:t>295,868,124</w:t>
            </w:r>
            <w:r>
              <w:rPr>
                <w:rFonts w:ascii="Arial" w:cs="Arial" w:eastAsia="Arial" w:hAnsi="Arial"/>
                <w:sz w:val="19"/>
                <w:szCs w:val="19"/>
                <w:color w:val="auto"/>
                <w:vertAlign w:val="superscript"/>
              </w:rPr>
              <w:t>(3)</w:t>
            </w:r>
          </w:p>
        </w:tc>
      </w:tr>
      <w:tr>
        <w:trPr>
          <w:trHeight w:val="49"/>
        </w:trPr>
        <w:tc>
          <w:tcPr>
            <w:tcW w:w="3100" w:type="dxa"/>
            <w:vAlign w:val="bottom"/>
            <w:tcBorders>
              <w:bottom w:val="single" w:sz="8" w:color="125288"/>
            </w:tcBorders>
          </w:tcPr>
          <w:p>
            <w:pPr>
              <w:spacing w:after="0"/>
              <w:rPr>
                <w:sz w:val="4"/>
                <w:szCs w:val="4"/>
                <w:color w:val="auto"/>
              </w:rPr>
            </w:pPr>
          </w:p>
        </w:tc>
        <w:tc>
          <w:tcPr>
            <w:tcW w:w="2660" w:type="dxa"/>
            <w:vAlign w:val="bottom"/>
            <w:tcBorders>
              <w:bottom w:val="single" w:sz="8" w:color="125288"/>
            </w:tcBorders>
          </w:tcPr>
          <w:p>
            <w:pPr>
              <w:spacing w:after="0"/>
              <w:rPr>
                <w:sz w:val="4"/>
                <w:szCs w:val="4"/>
                <w:color w:val="auto"/>
              </w:rPr>
            </w:pPr>
          </w:p>
        </w:tc>
        <w:tc>
          <w:tcPr>
            <w:tcW w:w="1420" w:type="dxa"/>
            <w:vAlign w:val="bottom"/>
            <w:tcBorders>
              <w:bottom w:val="single" w:sz="8" w:color="125288"/>
            </w:tcBorders>
          </w:tcPr>
          <w:p>
            <w:pPr>
              <w:spacing w:after="0"/>
              <w:rPr>
                <w:sz w:val="4"/>
                <w:szCs w:val="4"/>
                <w:color w:val="auto"/>
              </w:rPr>
            </w:pPr>
          </w:p>
        </w:tc>
        <w:tc>
          <w:tcPr>
            <w:tcW w:w="200" w:type="dxa"/>
            <w:vAlign w:val="bottom"/>
            <w:tcBorders>
              <w:bottom w:val="single" w:sz="8" w:color="125288"/>
            </w:tcBorders>
          </w:tcPr>
          <w:p>
            <w:pPr>
              <w:spacing w:after="0"/>
              <w:rPr>
                <w:sz w:val="4"/>
                <w:szCs w:val="4"/>
                <w:color w:val="auto"/>
              </w:rPr>
            </w:pPr>
          </w:p>
        </w:tc>
        <w:tc>
          <w:tcPr>
            <w:tcW w:w="2160" w:type="dxa"/>
            <w:vAlign w:val="bottom"/>
            <w:tcBorders>
              <w:bottom w:val="single" w:sz="8" w:color="125288"/>
            </w:tcBorders>
          </w:tcPr>
          <w:p>
            <w:pPr>
              <w:spacing w:after="0"/>
              <w:rPr>
                <w:sz w:val="4"/>
                <w:szCs w:val="4"/>
                <w:color w:val="auto"/>
              </w:rPr>
            </w:pPr>
          </w:p>
        </w:tc>
        <w:tc>
          <w:tcPr>
            <w:tcW w:w="1720" w:type="dxa"/>
            <w:vAlign w:val="bottom"/>
            <w:tcBorders>
              <w:bottom w:val="single" w:sz="8" w:color="125288"/>
            </w:tcBorders>
          </w:tcPr>
          <w:p>
            <w:pPr>
              <w:spacing w:after="0"/>
              <w:rPr>
                <w:sz w:val="4"/>
                <w:szCs w:val="4"/>
                <w:color w:val="auto"/>
              </w:rPr>
            </w:pPr>
          </w:p>
        </w:tc>
      </w:tr>
      <w:tr>
        <w:trPr>
          <w:trHeight w:val="276"/>
        </w:trPr>
        <w:tc>
          <w:tcPr>
            <w:tcW w:w="3100" w:type="dxa"/>
            <w:vAlign w:val="bottom"/>
          </w:tcPr>
          <w:p>
            <w:pPr>
              <w:ind w:left="40"/>
              <w:spacing w:after="0"/>
              <w:rPr>
                <w:sz w:val="20"/>
                <w:szCs w:val="20"/>
                <w:color w:val="auto"/>
              </w:rPr>
            </w:pPr>
            <w:r>
              <w:rPr>
                <w:rFonts w:ascii="Arial" w:cs="Arial" w:eastAsia="Arial" w:hAnsi="Arial"/>
                <w:sz w:val="17"/>
                <w:szCs w:val="17"/>
                <w:b w:val="1"/>
                <w:bCs w:val="1"/>
                <w:color w:val="auto"/>
              </w:rPr>
              <w:t>Armin Zerza</w:t>
            </w:r>
          </w:p>
        </w:tc>
        <w:tc>
          <w:tcPr>
            <w:tcW w:w="2660" w:type="dxa"/>
            <w:vAlign w:val="bottom"/>
          </w:tcPr>
          <w:p>
            <w:pPr>
              <w:jc w:val="right"/>
              <w:ind w:right="719"/>
              <w:spacing w:after="0"/>
              <w:rPr>
                <w:sz w:val="20"/>
                <w:szCs w:val="20"/>
                <w:color w:val="auto"/>
              </w:rPr>
            </w:pPr>
            <w:r>
              <w:rPr>
                <w:rFonts w:ascii="Arial" w:cs="Arial" w:eastAsia="Arial" w:hAnsi="Arial"/>
                <w:sz w:val="17"/>
                <w:szCs w:val="17"/>
                <w:color w:val="auto"/>
              </w:rPr>
              <w:t>9,358</w:t>
            </w:r>
          </w:p>
        </w:tc>
        <w:tc>
          <w:tcPr>
            <w:tcW w:w="1420" w:type="dxa"/>
            <w:vAlign w:val="bottom"/>
          </w:tcPr>
          <w:p>
            <w:pPr>
              <w:jc w:val="right"/>
              <w:spacing w:after="0"/>
              <w:rPr>
                <w:sz w:val="20"/>
                <w:szCs w:val="20"/>
                <w:color w:val="auto"/>
              </w:rPr>
            </w:pPr>
            <w:r>
              <w:rPr>
                <w:rFonts w:ascii="Arial" w:cs="Arial" w:eastAsia="Arial" w:hAnsi="Arial"/>
                <w:sz w:val="17"/>
                <w:szCs w:val="17"/>
                <w:color w:val="auto"/>
              </w:rPr>
              <w:t>353,060</w:t>
            </w:r>
          </w:p>
        </w:tc>
        <w:tc>
          <w:tcPr>
            <w:tcW w:w="200" w:type="dxa"/>
            <w:vAlign w:val="bottom"/>
          </w:tcPr>
          <w:p>
            <w:pPr>
              <w:spacing w:after="0"/>
              <w:rPr>
                <w:sz w:val="23"/>
                <w:szCs w:val="23"/>
                <w:color w:val="auto"/>
              </w:rPr>
            </w:pPr>
          </w:p>
        </w:tc>
        <w:tc>
          <w:tcPr>
            <w:tcW w:w="2160" w:type="dxa"/>
            <w:vAlign w:val="bottom"/>
          </w:tcPr>
          <w:p>
            <w:pPr>
              <w:jc w:val="right"/>
              <w:ind w:right="279"/>
              <w:spacing w:after="0"/>
              <w:rPr>
                <w:sz w:val="20"/>
                <w:szCs w:val="20"/>
                <w:color w:val="auto"/>
              </w:rPr>
            </w:pPr>
            <w:r>
              <w:rPr>
                <w:rFonts w:ascii="Arial" w:cs="Arial" w:eastAsia="Arial" w:hAnsi="Arial"/>
                <w:sz w:val="17"/>
                <w:szCs w:val="17"/>
                <w:color w:val="auto"/>
              </w:rPr>
              <w:t>28,336</w:t>
            </w:r>
          </w:p>
        </w:tc>
        <w:tc>
          <w:tcPr>
            <w:tcW w:w="1720" w:type="dxa"/>
            <w:vAlign w:val="bottom"/>
          </w:tcPr>
          <w:p>
            <w:pPr>
              <w:jc w:val="right"/>
              <w:ind w:right="102"/>
              <w:spacing w:after="0"/>
              <w:rPr>
                <w:sz w:val="20"/>
                <w:szCs w:val="20"/>
                <w:color w:val="auto"/>
              </w:rPr>
            </w:pPr>
            <w:r>
              <w:rPr>
                <w:rFonts w:ascii="Arial" w:cs="Arial" w:eastAsia="Arial" w:hAnsi="Arial"/>
                <w:sz w:val="17"/>
                <w:szCs w:val="17"/>
                <w:color w:val="auto"/>
              </w:rPr>
              <w:t>2,625,614</w:t>
            </w:r>
          </w:p>
        </w:tc>
      </w:tr>
      <w:tr>
        <w:trPr>
          <w:trHeight w:val="85"/>
        </w:trPr>
        <w:tc>
          <w:tcPr>
            <w:tcW w:w="3100" w:type="dxa"/>
            <w:vAlign w:val="bottom"/>
            <w:tcBorders>
              <w:bottom w:val="single" w:sz="8" w:color="125288"/>
            </w:tcBorders>
          </w:tcPr>
          <w:p>
            <w:pPr>
              <w:spacing w:after="0"/>
              <w:rPr>
                <w:sz w:val="7"/>
                <w:szCs w:val="7"/>
                <w:color w:val="auto"/>
              </w:rPr>
            </w:pPr>
          </w:p>
        </w:tc>
        <w:tc>
          <w:tcPr>
            <w:tcW w:w="266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200" w:type="dxa"/>
            <w:vAlign w:val="bottom"/>
            <w:tcBorders>
              <w:bottom w:val="single" w:sz="8" w:color="125288"/>
            </w:tcBorders>
          </w:tcPr>
          <w:p>
            <w:pPr>
              <w:spacing w:after="0"/>
              <w:rPr>
                <w:sz w:val="7"/>
                <w:szCs w:val="7"/>
                <w:color w:val="auto"/>
              </w:rPr>
            </w:pPr>
          </w:p>
        </w:tc>
        <w:tc>
          <w:tcPr>
            <w:tcW w:w="2160" w:type="dxa"/>
            <w:vAlign w:val="bottom"/>
            <w:tcBorders>
              <w:bottom w:val="single" w:sz="8" w:color="125288"/>
            </w:tcBorders>
          </w:tcPr>
          <w:p>
            <w:pPr>
              <w:spacing w:after="0"/>
              <w:rPr>
                <w:sz w:val="7"/>
                <w:szCs w:val="7"/>
                <w:color w:val="auto"/>
              </w:rPr>
            </w:pPr>
          </w:p>
        </w:tc>
        <w:tc>
          <w:tcPr>
            <w:tcW w:w="1720" w:type="dxa"/>
            <w:vAlign w:val="bottom"/>
            <w:tcBorders>
              <w:bottom w:val="single" w:sz="8" w:color="125288"/>
            </w:tcBorders>
          </w:tcPr>
          <w:p>
            <w:pPr>
              <w:spacing w:after="0"/>
              <w:rPr>
                <w:sz w:val="7"/>
                <w:szCs w:val="7"/>
                <w:color w:val="auto"/>
              </w:rPr>
            </w:pPr>
          </w:p>
        </w:tc>
      </w:tr>
      <w:tr>
        <w:trPr>
          <w:trHeight w:val="276"/>
        </w:trPr>
        <w:tc>
          <w:tcPr>
            <w:tcW w:w="3100" w:type="dxa"/>
            <w:vAlign w:val="bottom"/>
          </w:tcPr>
          <w:p>
            <w:pPr>
              <w:ind w:left="40"/>
              <w:spacing w:after="0"/>
              <w:rPr>
                <w:sz w:val="20"/>
                <w:szCs w:val="20"/>
                <w:color w:val="auto"/>
              </w:rPr>
            </w:pPr>
            <w:r>
              <w:rPr>
                <w:rFonts w:ascii="Arial" w:cs="Arial" w:eastAsia="Arial" w:hAnsi="Arial"/>
                <w:sz w:val="17"/>
                <w:szCs w:val="17"/>
                <w:b w:val="1"/>
                <w:bCs w:val="1"/>
                <w:color w:val="auto"/>
              </w:rPr>
              <w:t>Dennis Durkin</w:t>
            </w:r>
          </w:p>
        </w:tc>
        <w:tc>
          <w:tcPr>
            <w:tcW w:w="2660" w:type="dxa"/>
            <w:vAlign w:val="bottom"/>
          </w:tcPr>
          <w:p>
            <w:pPr>
              <w:jc w:val="right"/>
              <w:ind w:right="719"/>
              <w:spacing w:after="0"/>
              <w:rPr>
                <w:sz w:val="20"/>
                <w:szCs w:val="20"/>
                <w:color w:val="auto"/>
              </w:rPr>
            </w:pPr>
            <w:r>
              <w:rPr>
                <w:rFonts w:ascii="Arial" w:cs="Arial" w:eastAsia="Arial" w:hAnsi="Arial"/>
                <w:sz w:val="17"/>
                <w:szCs w:val="17"/>
                <w:color w:val="auto"/>
              </w:rPr>
              <w:t>37,720</w:t>
            </w:r>
          </w:p>
        </w:tc>
        <w:tc>
          <w:tcPr>
            <w:tcW w:w="1420" w:type="dxa"/>
            <w:vAlign w:val="bottom"/>
          </w:tcPr>
          <w:p>
            <w:pPr>
              <w:jc w:val="right"/>
              <w:spacing w:after="0"/>
              <w:rPr>
                <w:sz w:val="20"/>
                <w:szCs w:val="20"/>
                <w:color w:val="auto"/>
              </w:rPr>
            </w:pPr>
            <w:r>
              <w:rPr>
                <w:rFonts w:ascii="Arial" w:cs="Arial" w:eastAsia="Arial" w:hAnsi="Arial"/>
                <w:sz w:val="17"/>
                <w:szCs w:val="17"/>
                <w:color w:val="auto"/>
              </w:rPr>
              <w:t>1,176,898</w:t>
            </w:r>
          </w:p>
        </w:tc>
        <w:tc>
          <w:tcPr>
            <w:tcW w:w="200" w:type="dxa"/>
            <w:vAlign w:val="bottom"/>
          </w:tcPr>
          <w:p>
            <w:pPr>
              <w:spacing w:after="0"/>
              <w:rPr>
                <w:sz w:val="23"/>
                <w:szCs w:val="23"/>
                <w:color w:val="auto"/>
              </w:rPr>
            </w:pPr>
          </w:p>
        </w:tc>
        <w:tc>
          <w:tcPr>
            <w:tcW w:w="2160" w:type="dxa"/>
            <w:vAlign w:val="bottom"/>
          </w:tcPr>
          <w:p>
            <w:pPr>
              <w:jc w:val="right"/>
              <w:ind w:right="279"/>
              <w:spacing w:after="0"/>
              <w:rPr>
                <w:sz w:val="20"/>
                <w:szCs w:val="20"/>
                <w:color w:val="auto"/>
              </w:rPr>
            </w:pPr>
            <w:r>
              <w:rPr>
                <w:rFonts w:ascii="Arial" w:cs="Arial" w:eastAsia="Arial" w:hAnsi="Arial"/>
                <w:sz w:val="17"/>
                <w:szCs w:val="17"/>
                <w:color w:val="auto"/>
              </w:rPr>
              <w:t>174,660</w:t>
            </w:r>
          </w:p>
        </w:tc>
        <w:tc>
          <w:tcPr>
            <w:tcW w:w="1720" w:type="dxa"/>
            <w:vAlign w:val="bottom"/>
          </w:tcPr>
          <w:p>
            <w:pPr>
              <w:jc w:val="right"/>
              <w:ind w:right="102"/>
              <w:spacing w:after="0"/>
              <w:rPr>
                <w:sz w:val="20"/>
                <w:szCs w:val="20"/>
                <w:color w:val="auto"/>
              </w:rPr>
            </w:pPr>
            <w:r>
              <w:rPr>
                <w:rFonts w:ascii="Arial" w:cs="Arial" w:eastAsia="Arial" w:hAnsi="Arial"/>
                <w:sz w:val="17"/>
                <w:szCs w:val="17"/>
                <w:color w:val="auto"/>
              </w:rPr>
              <w:t>16,183,996</w:t>
            </w:r>
          </w:p>
        </w:tc>
      </w:tr>
      <w:tr>
        <w:trPr>
          <w:trHeight w:val="85"/>
        </w:trPr>
        <w:tc>
          <w:tcPr>
            <w:tcW w:w="3100" w:type="dxa"/>
            <w:vAlign w:val="bottom"/>
            <w:tcBorders>
              <w:bottom w:val="single" w:sz="8" w:color="125288"/>
            </w:tcBorders>
          </w:tcPr>
          <w:p>
            <w:pPr>
              <w:spacing w:after="0"/>
              <w:rPr>
                <w:sz w:val="7"/>
                <w:szCs w:val="7"/>
                <w:color w:val="auto"/>
              </w:rPr>
            </w:pPr>
          </w:p>
        </w:tc>
        <w:tc>
          <w:tcPr>
            <w:tcW w:w="266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200" w:type="dxa"/>
            <w:vAlign w:val="bottom"/>
            <w:tcBorders>
              <w:bottom w:val="single" w:sz="8" w:color="125288"/>
            </w:tcBorders>
          </w:tcPr>
          <w:p>
            <w:pPr>
              <w:spacing w:after="0"/>
              <w:rPr>
                <w:sz w:val="7"/>
                <w:szCs w:val="7"/>
                <w:color w:val="auto"/>
              </w:rPr>
            </w:pPr>
          </w:p>
        </w:tc>
        <w:tc>
          <w:tcPr>
            <w:tcW w:w="2160" w:type="dxa"/>
            <w:vAlign w:val="bottom"/>
            <w:tcBorders>
              <w:bottom w:val="single" w:sz="8" w:color="125288"/>
            </w:tcBorders>
          </w:tcPr>
          <w:p>
            <w:pPr>
              <w:spacing w:after="0"/>
              <w:rPr>
                <w:sz w:val="7"/>
                <w:szCs w:val="7"/>
                <w:color w:val="auto"/>
              </w:rPr>
            </w:pPr>
          </w:p>
        </w:tc>
        <w:tc>
          <w:tcPr>
            <w:tcW w:w="1720" w:type="dxa"/>
            <w:vAlign w:val="bottom"/>
            <w:tcBorders>
              <w:bottom w:val="single" w:sz="8" w:color="125288"/>
            </w:tcBorders>
          </w:tcPr>
          <w:p>
            <w:pPr>
              <w:spacing w:after="0"/>
              <w:rPr>
                <w:sz w:val="7"/>
                <w:szCs w:val="7"/>
                <w:color w:val="auto"/>
              </w:rPr>
            </w:pPr>
          </w:p>
        </w:tc>
      </w:tr>
      <w:tr>
        <w:trPr>
          <w:trHeight w:val="276"/>
        </w:trPr>
        <w:tc>
          <w:tcPr>
            <w:tcW w:w="3100" w:type="dxa"/>
            <w:vAlign w:val="bottom"/>
          </w:tcPr>
          <w:p>
            <w:pPr>
              <w:ind w:left="40"/>
              <w:spacing w:after="0"/>
              <w:rPr>
                <w:sz w:val="20"/>
                <w:szCs w:val="20"/>
                <w:color w:val="auto"/>
              </w:rPr>
            </w:pPr>
            <w:r>
              <w:rPr>
                <w:rFonts w:ascii="Arial" w:cs="Arial" w:eastAsia="Arial" w:hAnsi="Arial"/>
                <w:sz w:val="17"/>
                <w:szCs w:val="17"/>
                <w:b w:val="1"/>
                <w:bCs w:val="1"/>
                <w:color w:val="auto"/>
              </w:rPr>
              <w:t>Daniel Alegre</w:t>
            </w:r>
          </w:p>
        </w:tc>
        <w:tc>
          <w:tcPr>
            <w:tcW w:w="2660" w:type="dxa"/>
            <w:vAlign w:val="bottom"/>
          </w:tcPr>
          <w:p>
            <w:pPr>
              <w:jc w:val="right"/>
              <w:ind w:right="719"/>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160" w:type="dxa"/>
            <w:vAlign w:val="bottom"/>
          </w:tcPr>
          <w:p>
            <w:pPr>
              <w:jc w:val="right"/>
              <w:ind w:right="279"/>
              <w:spacing w:after="0"/>
              <w:rPr>
                <w:sz w:val="20"/>
                <w:szCs w:val="20"/>
                <w:color w:val="auto"/>
              </w:rPr>
            </w:pPr>
            <w:r>
              <w:rPr>
                <w:rFonts w:ascii="Arial" w:cs="Arial" w:eastAsia="Arial" w:hAnsi="Arial"/>
                <w:sz w:val="17"/>
                <w:szCs w:val="17"/>
                <w:color w:val="auto"/>
              </w:rPr>
              <w:t>108,774</w:t>
            </w:r>
          </w:p>
        </w:tc>
        <w:tc>
          <w:tcPr>
            <w:tcW w:w="1720" w:type="dxa"/>
            <w:vAlign w:val="bottom"/>
          </w:tcPr>
          <w:p>
            <w:pPr>
              <w:jc w:val="right"/>
              <w:ind w:right="102"/>
              <w:spacing w:after="0"/>
              <w:rPr>
                <w:sz w:val="20"/>
                <w:szCs w:val="20"/>
                <w:color w:val="auto"/>
              </w:rPr>
            </w:pPr>
            <w:r>
              <w:rPr>
                <w:rFonts w:ascii="Arial" w:cs="Arial" w:eastAsia="Arial" w:hAnsi="Arial"/>
                <w:sz w:val="17"/>
                <w:szCs w:val="17"/>
                <w:color w:val="auto"/>
              </w:rPr>
              <w:t>9,998,150</w:t>
            </w:r>
          </w:p>
        </w:tc>
      </w:tr>
      <w:tr>
        <w:trPr>
          <w:trHeight w:val="85"/>
        </w:trPr>
        <w:tc>
          <w:tcPr>
            <w:tcW w:w="3100" w:type="dxa"/>
            <w:vAlign w:val="bottom"/>
            <w:tcBorders>
              <w:bottom w:val="single" w:sz="8" w:color="125288"/>
            </w:tcBorders>
          </w:tcPr>
          <w:p>
            <w:pPr>
              <w:spacing w:after="0"/>
              <w:rPr>
                <w:sz w:val="7"/>
                <w:szCs w:val="7"/>
                <w:color w:val="auto"/>
              </w:rPr>
            </w:pPr>
          </w:p>
        </w:tc>
        <w:tc>
          <w:tcPr>
            <w:tcW w:w="266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200" w:type="dxa"/>
            <w:vAlign w:val="bottom"/>
            <w:tcBorders>
              <w:bottom w:val="single" w:sz="8" w:color="125288"/>
            </w:tcBorders>
          </w:tcPr>
          <w:p>
            <w:pPr>
              <w:spacing w:after="0"/>
              <w:rPr>
                <w:sz w:val="7"/>
                <w:szCs w:val="7"/>
                <w:color w:val="auto"/>
              </w:rPr>
            </w:pPr>
          </w:p>
        </w:tc>
        <w:tc>
          <w:tcPr>
            <w:tcW w:w="2160" w:type="dxa"/>
            <w:vAlign w:val="bottom"/>
            <w:tcBorders>
              <w:bottom w:val="single" w:sz="8" w:color="125288"/>
            </w:tcBorders>
          </w:tcPr>
          <w:p>
            <w:pPr>
              <w:spacing w:after="0"/>
              <w:rPr>
                <w:sz w:val="7"/>
                <w:szCs w:val="7"/>
                <w:color w:val="auto"/>
              </w:rPr>
            </w:pPr>
          </w:p>
        </w:tc>
        <w:tc>
          <w:tcPr>
            <w:tcW w:w="1720" w:type="dxa"/>
            <w:vAlign w:val="bottom"/>
            <w:tcBorders>
              <w:bottom w:val="single" w:sz="8" w:color="125288"/>
            </w:tcBorders>
          </w:tcPr>
          <w:p>
            <w:pPr>
              <w:spacing w:after="0"/>
              <w:rPr>
                <w:sz w:val="7"/>
                <w:szCs w:val="7"/>
                <w:color w:val="auto"/>
              </w:rPr>
            </w:pPr>
          </w:p>
        </w:tc>
      </w:tr>
      <w:tr>
        <w:trPr>
          <w:trHeight w:val="276"/>
        </w:trPr>
        <w:tc>
          <w:tcPr>
            <w:tcW w:w="3100" w:type="dxa"/>
            <w:vAlign w:val="bottom"/>
          </w:tcPr>
          <w:p>
            <w:pPr>
              <w:ind w:left="40"/>
              <w:spacing w:after="0"/>
              <w:rPr>
                <w:sz w:val="20"/>
                <w:szCs w:val="20"/>
                <w:color w:val="auto"/>
              </w:rPr>
            </w:pPr>
            <w:r>
              <w:rPr>
                <w:rFonts w:ascii="Arial" w:cs="Arial" w:eastAsia="Arial" w:hAnsi="Arial"/>
                <w:sz w:val="17"/>
                <w:szCs w:val="17"/>
                <w:b w:val="1"/>
                <w:bCs w:val="1"/>
                <w:color w:val="auto"/>
              </w:rPr>
              <w:t>Brian Bulatao</w:t>
            </w:r>
          </w:p>
        </w:tc>
        <w:tc>
          <w:tcPr>
            <w:tcW w:w="2660" w:type="dxa"/>
            <w:vAlign w:val="bottom"/>
          </w:tcPr>
          <w:p>
            <w:pPr>
              <w:jc w:val="right"/>
              <w:ind w:right="719"/>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160" w:type="dxa"/>
            <w:vAlign w:val="bottom"/>
          </w:tcPr>
          <w:p>
            <w:pPr>
              <w:jc w:val="right"/>
              <w:ind w:right="279"/>
              <w:spacing w:after="0"/>
              <w:rPr>
                <w:sz w:val="20"/>
                <w:szCs w:val="20"/>
                <w:color w:val="auto"/>
              </w:rPr>
            </w:pPr>
            <w:r>
              <w:rPr>
                <w:rFonts w:ascii="Arial" w:cs="Arial" w:eastAsia="Arial" w:hAnsi="Arial"/>
                <w:sz w:val="17"/>
                <w:szCs w:val="17"/>
                <w:color w:val="auto"/>
              </w:rPr>
              <w:t>—</w:t>
            </w:r>
          </w:p>
        </w:tc>
        <w:tc>
          <w:tcPr>
            <w:tcW w:w="1720" w:type="dxa"/>
            <w:vAlign w:val="bottom"/>
          </w:tcPr>
          <w:p>
            <w:pPr>
              <w:jc w:val="right"/>
              <w:ind w:right="102"/>
              <w:spacing w:after="0"/>
              <w:rPr>
                <w:sz w:val="20"/>
                <w:szCs w:val="20"/>
                <w:color w:val="auto"/>
              </w:rPr>
            </w:pPr>
            <w:r>
              <w:rPr>
                <w:rFonts w:ascii="Arial" w:cs="Arial" w:eastAsia="Arial" w:hAnsi="Arial"/>
                <w:sz w:val="17"/>
                <w:szCs w:val="17"/>
                <w:color w:val="auto"/>
              </w:rPr>
              <w:t>—</w:t>
            </w:r>
          </w:p>
        </w:tc>
      </w:tr>
      <w:tr>
        <w:trPr>
          <w:trHeight w:val="85"/>
        </w:trPr>
        <w:tc>
          <w:tcPr>
            <w:tcW w:w="3100" w:type="dxa"/>
            <w:vAlign w:val="bottom"/>
            <w:tcBorders>
              <w:bottom w:val="single" w:sz="8" w:color="125288"/>
            </w:tcBorders>
          </w:tcPr>
          <w:p>
            <w:pPr>
              <w:spacing w:after="0"/>
              <w:rPr>
                <w:sz w:val="7"/>
                <w:szCs w:val="7"/>
                <w:color w:val="auto"/>
              </w:rPr>
            </w:pPr>
          </w:p>
        </w:tc>
        <w:tc>
          <w:tcPr>
            <w:tcW w:w="266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200" w:type="dxa"/>
            <w:vAlign w:val="bottom"/>
            <w:tcBorders>
              <w:bottom w:val="single" w:sz="8" w:color="125288"/>
            </w:tcBorders>
          </w:tcPr>
          <w:p>
            <w:pPr>
              <w:spacing w:after="0"/>
              <w:rPr>
                <w:sz w:val="7"/>
                <w:szCs w:val="7"/>
                <w:color w:val="auto"/>
              </w:rPr>
            </w:pPr>
          </w:p>
        </w:tc>
        <w:tc>
          <w:tcPr>
            <w:tcW w:w="2160" w:type="dxa"/>
            <w:vAlign w:val="bottom"/>
            <w:tcBorders>
              <w:bottom w:val="single" w:sz="8" w:color="125288"/>
            </w:tcBorders>
          </w:tcPr>
          <w:p>
            <w:pPr>
              <w:spacing w:after="0"/>
              <w:rPr>
                <w:sz w:val="7"/>
                <w:szCs w:val="7"/>
                <w:color w:val="auto"/>
              </w:rPr>
            </w:pPr>
          </w:p>
        </w:tc>
        <w:tc>
          <w:tcPr>
            <w:tcW w:w="1720" w:type="dxa"/>
            <w:vAlign w:val="bottom"/>
            <w:tcBorders>
              <w:bottom w:val="single" w:sz="8" w:color="125288"/>
            </w:tcBorders>
          </w:tcPr>
          <w:p>
            <w:pPr>
              <w:spacing w:after="0"/>
              <w:rPr>
                <w:sz w:val="7"/>
                <w:szCs w:val="7"/>
                <w:color w:val="auto"/>
              </w:rPr>
            </w:pPr>
          </w:p>
        </w:tc>
      </w:tr>
      <w:tr>
        <w:trPr>
          <w:trHeight w:val="276"/>
        </w:trPr>
        <w:tc>
          <w:tcPr>
            <w:tcW w:w="3100" w:type="dxa"/>
            <w:vAlign w:val="bottom"/>
          </w:tcPr>
          <w:p>
            <w:pPr>
              <w:ind w:left="40"/>
              <w:spacing w:after="0"/>
              <w:rPr>
                <w:sz w:val="20"/>
                <w:szCs w:val="20"/>
                <w:color w:val="auto"/>
              </w:rPr>
            </w:pPr>
            <w:r>
              <w:rPr>
                <w:rFonts w:ascii="Arial" w:cs="Arial" w:eastAsia="Arial" w:hAnsi="Arial"/>
                <w:sz w:val="17"/>
                <w:szCs w:val="17"/>
                <w:b w:val="1"/>
                <w:bCs w:val="1"/>
                <w:color w:val="auto"/>
              </w:rPr>
              <w:t>Grant Dixton</w:t>
            </w:r>
          </w:p>
        </w:tc>
        <w:tc>
          <w:tcPr>
            <w:tcW w:w="2660" w:type="dxa"/>
            <w:vAlign w:val="bottom"/>
          </w:tcPr>
          <w:p>
            <w:pPr>
              <w:jc w:val="right"/>
              <w:ind w:right="719"/>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160" w:type="dxa"/>
            <w:vAlign w:val="bottom"/>
          </w:tcPr>
          <w:p>
            <w:pPr>
              <w:jc w:val="right"/>
              <w:ind w:right="279"/>
              <w:spacing w:after="0"/>
              <w:rPr>
                <w:sz w:val="20"/>
                <w:szCs w:val="20"/>
                <w:color w:val="auto"/>
              </w:rPr>
            </w:pPr>
            <w:r>
              <w:rPr>
                <w:rFonts w:ascii="Arial" w:cs="Arial" w:eastAsia="Arial" w:hAnsi="Arial"/>
                <w:sz w:val="17"/>
                <w:szCs w:val="17"/>
                <w:color w:val="auto"/>
              </w:rPr>
              <w:t>—</w:t>
            </w:r>
          </w:p>
        </w:tc>
        <w:tc>
          <w:tcPr>
            <w:tcW w:w="1720" w:type="dxa"/>
            <w:vAlign w:val="bottom"/>
          </w:tcPr>
          <w:p>
            <w:pPr>
              <w:jc w:val="right"/>
              <w:ind w:right="102"/>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148830" cy="152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135" w:lineRule="exact"/>
        <w:rPr>
          <w:sz w:val="20"/>
          <w:szCs w:val="20"/>
          <w:color w:val="auto"/>
        </w:rPr>
      </w:pPr>
    </w:p>
    <w:p>
      <w:pPr>
        <w:ind w:left="320" w:right="80" w:hanging="277"/>
        <w:spacing w:after="0" w:line="266" w:lineRule="auto"/>
        <w:tabs>
          <w:tab w:leader="none" w:pos="32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The “Value Realized on Vesting” is computed by multiplying the number of shares of stock or units by the closing price of our Common Stock on The Nasdaq Stock Market on the vesting date (or, if that date is not a trading date, the immediately preceding trading date).</w:t>
      </w:r>
    </w:p>
    <w:p>
      <w:pPr>
        <w:spacing w:after="0" w:line="9" w:lineRule="exact"/>
        <w:rPr>
          <w:rFonts w:ascii="Arial" w:cs="Arial" w:eastAsia="Arial" w:hAnsi="Arial"/>
          <w:sz w:val="15"/>
          <w:szCs w:val="15"/>
          <w:color w:val="auto"/>
        </w:rPr>
      </w:pPr>
    </w:p>
    <w:p>
      <w:pPr>
        <w:jc w:val="both"/>
        <w:ind w:left="320" w:right="80" w:hanging="277"/>
        <w:spacing w:after="0" w:line="251" w:lineRule="auto"/>
        <w:tabs>
          <w:tab w:leader="none" w:pos="32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Of the aggregate amount of performance-based restricted share units which vested, 1,590,135 shares vested pursuant to Section 12 of the Kotick Employment Agreement, which provided for accelerated vesting at maximum performance levels for six long-term performance based awards granted to Mr. Kotick between 2017 and 2021 upon the achievement of certain performance conditions set forth therein. Specifically, prior to December 31, 2021, the average closing price of our Common Stock doubled in value (from the average closing price of our Common Stock during the period from October 1, 2016 to December 31, 2016)—and remained at or above that level for more than ninety consecutive trading days. That share price increase resulted in the creation of over $30 billion in shareholder value during the relevant time frame. See “Employment Agreements—Robert Kotick—Shareholder Value Creation Incentive” below.</w:t>
      </w:r>
    </w:p>
    <w:p>
      <w:pPr>
        <w:spacing w:after="0" w:line="201" w:lineRule="exact"/>
        <w:rPr>
          <w:rFonts w:ascii="Arial" w:cs="Arial" w:eastAsia="Arial" w:hAnsi="Arial"/>
          <w:sz w:val="15"/>
          <w:szCs w:val="15"/>
          <w:color w:val="auto"/>
        </w:rPr>
      </w:pPr>
    </w:p>
    <w:p>
      <w:pPr>
        <w:jc w:val="both"/>
        <w:ind w:left="320" w:right="80"/>
        <w:spacing w:after="0" w:line="252" w:lineRule="auto"/>
        <w:rPr>
          <w:rFonts w:ascii="Arial" w:cs="Arial" w:eastAsia="Arial" w:hAnsi="Arial"/>
          <w:sz w:val="15"/>
          <w:szCs w:val="15"/>
          <w:color w:val="auto"/>
        </w:rPr>
      </w:pPr>
      <w:r>
        <w:rPr>
          <w:rFonts w:ascii="Arial" w:cs="Arial" w:eastAsia="Arial" w:hAnsi="Arial"/>
          <w:sz w:val="15"/>
          <w:szCs w:val="15"/>
          <w:color w:val="auto"/>
        </w:rPr>
        <w:t>The remaining 1,669,300 shares vested on March 1, 2021 when the performance conditions for the four-year performance period from January 1, 2017, through December 31, 2020, underlying the 2020 long-term performance-based award were achieved at the maximum level. The performance conditions for this long-term award were based on our cumulative TSR compared to the rate of return of the S&amp;P 500 Total Return Index for the four-year performance period. The Company’s compounded annual growth rate of approximately 27% during this time exceeded the maximum performance level for this award. See “Employment Agreements—Robert Kotick—Equity Awards—2020 Equity Awards—2020 Long-Performance Incentive” below.</w:t>
      </w:r>
    </w:p>
    <w:p>
      <w:pPr>
        <w:spacing w:after="0" w:line="21" w:lineRule="exact"/>
        <w:rPr>
          <w:rFonts w:ascii="Arial" w:cs="Arial" w:eastAsia="Arial" w:hAnsi="Arial"/>
          <w:sz w:val="15"/>
          <w:szCs w:val="15"/>
          <w:color w:val="auto"/>
        </w:rPr>
      </w:pPr>
    </w:p>
    <w:p>
      <w:pPr>
        <w:ind w:left="320" w:right="80" w:hanging="277"/>
        <w:spacing w:after="0" w:line="266" w:lineRule="auto"/>
        <w:tabs>
          <w:tab w:leader="none" w:pos="32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The value Mr. Kotick realized on vesting reflects the aggregate of seven different long-term, performance-based awards granted to him over the five-year term of the Kotick Employment Agreement. See “Employment Agreements—Robert Kotick—Equity Awards” for further details about the awards.</w:t>
      </w:r>
    </w:p>
    <w:p>
      <w:pPr>
        <w:spacing w:after="0" w:line="262"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EMPLOYMENT AGREEMENTS</w:t>
      </w:r>
    </w:p>
    <w:p>
      <w:pPr>
        <w:spacing w:after="0" w:line="178" w:lineRule="exact"/>
        <w:rPr>
          <w:sz w:val="20"/>
          <w:szCs w:val="20"/>
          <w:color w:val="auto"/>
        </w:rPr>
      </w:pPr>
    </w:p>
    <w:p>
      <w:pPr>
        <w:jc w:val="both"/>
        <w:ind w:right="20"/>
        <w:spacing w:after="0" w:line="237" w:lineRule="auto"/>
        <w:rPr>
          <w:sz w:val="20"/>
          <w:szCs w:val="20"/>
          <w:color w:val="auto"/>
        </w:rPr>
      </w:pPr>
      <w:r>
        <w:rPr>
          <w:rFonts w:ascii="Arial" w:cs="Arial" w:eastAsia="Arial" w:hAnsi="Arial"/>
          <w:sz w:val="19"/>
          <w:szCs w:val="19"/>
          <w:color w:val="auto"/>
        </w:rPr>
        <w:t>The following is a summary of the material terms of each employment agreement to which Activision Blizzard and an NEO were party during 2021, except for provisions regarding payments and benefits upon termination or a change of control, which are described under “—Potential Payments upon Termination or Change of Control” below. For details regarding any amounts payable to our NEOs if the proposed transaction with Microsoft is completed, please see the Merger Proxy Statement. The description of the employment agreements referenced herein are limited in their entirety by the terms of those agreements, as filed as exhibits to the Company’s Annual Report on Form 10-K for the period ended December 31, 2021.</w:t>
      </w:r>
    </w:p>
    <w:p>
      <w:pPr>
        <w:spacing w:after="0" w:line="20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Robert Kotick</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125288"/>
        </w:rPr>
        <w:t>Term &amp; Title</w:t>
      </w:r>
    </w:p>
    <w:p>
      <w:pPr>
        <w:spacing w:after="0" w:line="149"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Our founder, Robert Kotick, has served as our senior-most executive officer since 1991. Robert Kotick is party to an employment agreement with us, dated as of October 1, 2016 (the “2016 Kotick Employment Agreement”), and amended on April 28, 2021 (such amendment, the “2021 Kotick Employment Agreement Amendment,” and as so amended and clarified in the manner described in Item 5.02 of the Company’s Current Report on Form 8-K filed with the SEC on June 21, 2021, the “Kotick Employment Agreement”). Mr. Kotick’s term of employment under the Kotick Employment Agreement began on October 1, 2016, and continues through March 31, 2023. Pursuant to the terms of the Microsoft Merger Agreement, on or after July 18, 2022 (six months after the date the Company and Microsoft entered into the Microsoft Merger Agreement), we will be permitted to extend the term of the Kotick Employment Agreement by an additional 12 months.</w:t>
      </w:r>
    </w:p>
    <w:p>
      <w:pPr>
        <w:spacing w:after="0" w:line="256" w:lineRule="exact"/>
        <w:rPr>
          <w:sz w:val="20"/>
          <w:szCs w:val="20"/>
          <w:color w:val="auto"/>
        </w:rPr>
      </w:pPr>
    </w:p>
    <w:p>
      <w:pPr>
        <w:spacing w:after="0"/>
        <w:tabs>
          <w:tab w:leader="none" w:pos="7360" w:val="left"/>
          <w:tab w:leader="none" w:pos="9380" w:val="left"/>
          <w:tab w:leader="none" w:pos="1100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04" w:name="page105"/>
    <w:bookmarkEnd w:id="104"/>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125288"/>
        </w:rPr>
        <w:t>October 2021 Commitments</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In October 2021, Mr. Kotick asked that his total compensation be reduced to the lowest amount permitted to be paid to exempt employees under California law until the Company has made appropriate progress toward the achievement of the Transformational Goals. If and when the Workplace Responsibility Committee determines that the Company has made appropriate progress toward the achievement of the Transformational Goals, the Compensation Committee may increase Mr. Kotick’s compensation to the levels provided in the Kotick Employment Agreement. Although Mr. Kotick has voluntarily reduced his total compensation, the Kotick Employment Agreement remains in full force and effect.</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125288"/>
        </w:rPr>
        <w:t>Base Salary</w:t>
      </w:r>
    </w:p>
    <w:p>
      <w:pPr>
        <w:spacing w:after="0" w:line="149"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Mr. Kotick’s annual base salary was $1.75 million as of January 1, 2017, and remained unchanged until 2020. In 2020, Mr. Kotick agreed to reduce his annual base salary for the year to $1.47 million and, in April 2021, pursuant to the 2021 Kotick Employment Agreement Amendment, further reduced it to $875,000, effective as of January 1, 2021. At his request, Mr. Kotick’s annual base salary was reduced to $62,500, effective as of October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53910" cy="52578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3910" cy="525780"/>
                    </a:xfrm>
                    <a:prstGeom prst="rect">
                      <a:avLst/>
                    </a:prstGeom>
                    <a:noFill/>
                  </pic:spPr>
                </pic:pic>
              </a:graphicData>
            </a:graphic>
          </wp:anchor>
        </w:drawing>
      </w:r>
    </w:p>
    <w:p>
      <w:pPr>
        <w:spacing w:after="0" w:line="327" w:lineRule="exact"/>
        <w:rPr>
          <w:sz w:val="20"/>
          <w:szCs w:val="20"/>
          <w:color w:val="auto"/>
        </w:rPr>
      </w:pPr>
    </w:p>
    <w:p>
      <w:pPr>
        <w:jc w:val="both"/>
        <w:ind w:left="100" w:right="100"/>
        <w:spacing w:after="0" w:line="248" w:lineRule="auto"/>
        <w:rPr>
          <w:sz w:val="20"/>
          <w:szCs w:val="20"/>
          <w:color w:val="auto"/>
        </w:rPr>
      </w:pPr>
      <w:r>
        <w:rPr>
          <w:rFonts w:ascii="Arial" w:cs="Arial" w:eastAsia="Arial" w:hAnsi="Arial"/>
          <w:sz w:val="17"/>
          <w:szCs w:val="17"/>
          <w:b w:val="1"/>
          <w:bCs w:val="1"/>
          <w:color w:val="auto"/>
        </w:rPr>
        <w:t>Mr. Kotick requested that his annual base salary be reduced to the lowest amount permitted for exempt employees under California law until the Company has made appropriate progress toward the achievement of the Transformational Goals (see “Corporate Governance Matters—Workplace and Culture—Transformational Gender-Related Goals and Other Commitments”).</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If the Workplace Responsibility Committee concludes the Company has made appropriate progress toward the achievement of the Transformational Goals, Mr. Kotick’s annual base salary will revert to $875,000 (and, pursuant to the terms of the Microsoft Merger Agreement, will not exceed $875,000). The Kotick Employment Agreement does not provide for an increase, or review, of Mr. Kotick’s annual base salary.</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125288"/>
        </w:rPr>
        <w:t>Annual Bonus</w:t>
      </w:r>
    </w:p>
    <w:p>
      <w:pPr>
        <w:spacing w:after="0" w:line="149"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 xml:space="preserve">Mr. Kotick is entitled to an annual bonus, with a target amount of 200% of his base salary. The form of such bonus (i.e., whether cash or equity), if any, is subject to the discretion of the Compensation Committee. While Mr. Kotick’s annual bonus target, as a percentage of his salary, has remained unchanged during the term of the Kotick Employment Agreement, his actual opportunity has declined because of the reductions in his base salary over the past two years. In addition, pursuant to the 2021 Kotick Employment Agreement Amendment, his </w:t>
      </w:r>
      <w:r>
        <w:rPr>
          <w:rFonts w:ascii="Arial" w:cs="Arial" w:eastAsia="Arial" w:hAnsi="Arial"/>
          <w:sz w:val="19"/>
          <w:szCs w:val="19"/>
          <w:i w:val="1"/>
          <w:iCs w:val="1"/>
          <w:color w:val="auto"/>
        </w:rPr>
        <w:t>maximum</w:t>
      </w:r>
      <w:r>
        <w:rPr>
          <w:rFonts w:ascii="Arial" w:cs="Arial" w:eastAsia="Arial" w:hAnsi="Arial"/>
          <w:sz w:val="19"/>
          <w:szCs w:val="19"/>
          <w:color w:val="auto"/>
        </w:rPr>
        <w:t xml:space="preserve"> potential annual bonus is the target (i.e., 200% of his base salary). The 2021 Kotick Employment Agreement Amendment also increased the percentage of Mr. Kotick’s target bonus opportunity for 2021 and 2022 that will be based on financial metrics—from 60% to 80%—and provides that the remaining 20% will be based on objective and measurable strategic ESG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53910" cy="51816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3910" cy="518160"/>
                    </a:xfrm>
                    <a:prstGeom prst="rect">
                      <a:avLst/>
                    </a:prstGeom>
                    <a:noFill/>
                  </pic:spPr>
                </pic:pic>
              </a:graphicData>
            </a:graphic>
          </wp:anchor>
        </w:drawing>
      </w:r>
    </w:p>
    <w:p>
      <w:pPr>
        <w:spacing w:after="0" w:line="319" w:lineRule="exact"/>
        <w:rPr>
          <w:sz w:val="20"/>
          <w:szCs w:val="20"/>
          <w:color w:val="auto"/>
        </w:rPr>
      </w:pPr>
    </w:p>
    <w:p>
      <w:pPr>
        <w:jc w:val="both"/>
        <w:ind w:left="100" w:right="100"/>
        <w:spacing w:after="0" w:line="248" w:lineRule="auto"/>
        <w:rPr>
          <w:sz w:val="20"/>
          <w:szCs w:val="20"/>
          <w:color w:val="auto"/>
        </w:rPr>
      </w:pPr>
      <w:r>
        <w:rPr>
          <w:rFonts w:ascii="Arial" w:cs="Arial" w:eastAsia="Arial" w:hAnsi="Arial"/>
          <w:sz w:val="17"/>
          <w:szCs w:val="17"/>
          <w:b w:val="1"/>
          <w:bCs w:val="1"/>
          <w:color w:val="auto"/>
        </w:rPr>
        <w:t>Notwithstanding the terms of the Kotick Employment Agreement, in October 2021, Mr. Kotick asked not to receive any bonus until the Company has made appropriate progress toward the achievement of the Transformational Goals. As such, Mr. Kotick did not receive a bonus during 2021.</w:t>
      </w:r>
    </w:p>
    <w:p>
      <w:pPr>
        <w:spacing w:after="0" w:line="213"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If and when the Workplace Responsibility Committee concludes the Company has made appropriate progress toward the achievement of the Transformational Goals, Mr. Kotick will be eligible to receive an annual bonus, as described above.</w:t>
      </w:r>
    </w:p>
    <w:p>
      <w:pPr>
        <w:spacing w:after="0" w:line="255"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For more information about Mr. Kotick’s annual bonus, see “—Compensation Discussion and Analysis—Elements of Our Executive Compensation Program for 2021—Corporate Annual Incentive Plan (CAIP) Bonuses” above.</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125288"/>
        </w:rPr>
        <w:t>Equity Awards</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9"/>
          <w:szCs w:val="19"/>
          <w:color w:val="auto"/>
        </w:rPr>
        <w:t>Mr. Kotick was, and is, entitled to equity awards pursuant to the terms of the Kotick Employment Agreement, as described below. The vesting of each of these awards was or will be, as the case may be, subject to Mr. Kotick’s continued employment through the relevant vesting date.</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2016 PSUs</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As an inducement to enter into the 2016 Kotick Employment Agreement, on November 22, 2016, Mr. Kotick received an equity award consisting of PSUs where target performance would result in the vesting of 605,327 PSUs and maximum performance would result in the vesting of 250% of the target, or 1,513,317 PSUs. Please see the proxy statement for our 2021 annual meeting of shareholders filed with the SEC on Schedule 14A on May 3, 2021, for more information about that award.</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auto"/>
        </w:rPr>
        <w:t>2017 Equity Awards</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color w:val="auto"/>
        </w:rPr>
        <w:t>On August 7, 2017, Mr. Kotick received equity awards consisting of options and PSUs.</w:t>
      </w:r>
    </w:p>
    <w:p>
      <w:pPr>
        <w:sectPr>
          <w:pgSz w:w="11900" w:h="16838" w:orient="portrait"/>
          <w:cols w:equalWidth="0" w:num="1">
            <w:col w:w="11260"/>
          </w:cols>
          <w:pgMar w:left="320" w:top="144" w:right="319" w:bottom="1440" w:gutter="0" w:footer="0" w:header="0"/>
        </w:sectPr>
      </w:pPr>
    </w:p>
    <w:p>
      <w:pPr>
        <w:spacing w:after="0" w:line="258" w:lineRule="exact"/>
        <w:rPr>
          <w:sz w:val="20"/>
          <w:szCs w:val="20"/>
          <w:color w:val="auto"/>
        </w:rPr>
      </w:pPr>
    </w:p>
    <w:p>
      <w:pPr>
        <w:spacing w:after="0"/>
        <w:tabs>
          <w:tab w:leader="none" w:pos="7360" w:val="left"/>
          <w:tab w:leader="none" w:pos="9380" w:val="left"/>
          <w:tab w:leader="none" w:pos="1100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type w:val="continuous"/>
        </w:sectPr>
      </w:pPr>
    </w:p>
    <w:bookmarkStart w:id="105" w:name="page106"/>
    <w:bookmarkEnd w:id="105"/>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125288"/>
        </w:rPr>
        <w:t>2017 Stock Options</w:t>
      </w:r>
    </w:p>
    <w:p>
      <w:pPr>
        <w:spacing w:after="0" w:line="138"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Mr. Kotick was awarded an option to purchase 190,712 shares of our Common Stock. These options were eligible to vest in full on December 31, 2021, or if earlier, following certification of certain performance criteria pursuant to Section 12 of the Kotick Employment Agreement. Pursuant to Section 12 of the Kotick Employment Agreement, these options vested on August 7, 2021. For more information, please see “—Shareholder Value Creation Incentive” below. Please see “—Outstanding Equity Awards at December 31, 2021” above for more information about these stock options.</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125288"/>
        </w:rPr>
        <w:t>2017 PSUs (Relative TSR)</w:t>
      </w:r>
    </w:p>
    <w:p>
      <w:pPr>
        <w:spacing w:after="0" w:line="138"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Mr. Kotick was awarded PSUs where target performance would result in the vesting of 71,988 PSUs and maximum performance would result in the vesting of 200% of the target, or 143,976 PSUs. These PSUs were eligible to vest on March 15, 2021, by reference to our cumulative TSR as compared to the rate of return of the S&amp;P 500 Total Return Index for the period from the date of grant through December 31, 2020. These PSUs were canceled after the Compensation Committee determined that the cumulative TSR was less than the rate of return of the S&amp;P 500 Total Return Index for the performance period.</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125288"/>
        </w:rPr>
        <w:t>2017 PSUs (Three-Year Cumulative AB Adjusted OI)</w:t>
      </w:r>
    </w:p>
    <w:p>
      <w:pPr>
        <w:spacing w:after="0" w:line="138" w:lineRule="exact"/>
        <w:rPr>
          <w:sz w:val="20"/>
          <w:szCs w:val="20"/>
          <w:color w:val="auto"/>
        </w:rPr>
      </w:pPr>
    </w:p>
    <w:p>
      <w:pPr>
        <w:jc w:val="both"/>
        <w:ind w:right="20"/>
        <w:spacing w:after="0" w:line="236" w:lineRule="auto"/>
        <w:rPr>
          <w:sz w:val="20"/>
          <w:szCs w:val="20"/>
          <w:color w:val="auto"/>
        </w:rPr>
      </w:pPr>
      <w:r>
        <w:rPr>
          <w:rFonts w:ascii="Arial" w:cs="Arial" w:eastAsia="Arial" w:hAnsi="Arial"/>
          <w:sz w:val="19"/>
          <w:szCs w:val="19"/>
          <w:color w:val="auto"/>
        </w:rPr>
        <w:t>Mr. Kotick was also awarded PSUs where target performance would result in the vesting of 175,972 PSUs and maximum performance would result in the vesting of 250% of the target, or 439,930 PSUs. These PSUs were eligible to vest on March 31, 2021, based on (1) the level of the Company’s performance measured by reference to both the cumulative AB Adjusted EPS for the period from July 1, 2017, through December 31, 2018, and the cumulative AB Adjusted OI for 2018-2020, or (2) following certification of certain performance criteria pursuant to Section 12 of the Kotick Employment Agreement. The Company’s performance measured by reference to the cumulative AB Adjusted EPS for the period from July 1, 2017, through December 31, 2018, met the objective established by the Compensation Committee, but the Company’s performance measured by reference to the cumulative AB Adjusted OI objective for 2018–2020 did not. However, the performance criteria set forth in Section 12 of the Kotick Employment Agreement were satisfied and, on August 7, 2021, 439,930 PSUs vested.</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2018 Equity Awards</w:t>
      </w:r>
    </w:p>
    <w:p>
      <w:pPr>
        <w:spacing w:after="0" w:line="149"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On November 21, 2018, Mr. Kotick received equity awards consisting of options and, on December 28, 2018, Mr. Kotick received equity awards consisting of PSUs.</w:t>
      </w: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color w:val="125288"/>
        </w:rPr>
        <w:t>2018 Stock Options</w:t>
      </w:r>
    </w:p>
    <w:p>
      <w:pPr>
        <w:spacing w:after="0" w:line="138"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Mr. Kotick was awarded an option to purchase 925,057 shares of our Common Stock. These options were eligible to vest in full on December 31, 2022, or if earlier, following certification of certain performance criteria pursuant to Section 12 of the Kotick Employment Agreement. Pursuant to Section 12 of the Kotick Employment Agreement, these options vested on August 7, 2021. Please see “—Outstanding Equity Awards at December 31, 2021” above for more information about these stock options.</w:t>
      </w:r>
    </w:p>
    <w:p>
      <w:pPr>
        <w:spacing w:after="0" w:line="263" w:lineRule="exact"/>
        <w:rPr>
          <w:sz w:val="20"/>
          <w:szCs w:val="20"/>
          <w:color w:val="auto"/>
        </w:rPr>
      </w:pPr>
    </w:p>
    <w:p>
      <w:pPr>
        <w:spacing w:after="0"/>
        <w:rPr>
          <w:sz w:val="20"/>
          <w:szCs w:val="20"/>
          <w:color w:val="auto"/>
        </w:rPr>
      </w:pPr>
      <w:r>
        <w:rPr>
          <w:rFonts w:ascii="Arial" w:cs="Arial" w:eastAsia="Arial" w:hAnsi="Arial"/>
          <w:sz w:val="19"/>
          <w:szCs w:val="19"/>
          <w:color w:val="125288"/>
        </w:rPr>
        <w:t>2018 PSUs (Relative TSR)</w:t>
      </w:r>
    </w:p>
    <w:p>
      <w:pPr>
        <w:spacing w:after="0" w:line="138" w:lineRule="exact"/>
        <w:rPr>
          <w:sz w:val="20"/>
          <w:szCs w:val="20"/>
          <w:color w:val="auto"/>
        </w:rPr>
      </w:pPr>
    </w:p>
    <w:p>
      <w:pPr>
        <w:jc w:val="both"/>
        <w:ind w:right="20"/>
        <w:spacing w:after="0" w:line="237" w:lineRule="auto"/>
        <w:rPr>
          <w:sz w:val="20"/>
          <w:szCs w:val="20"/>
          <w:color w:val="auto"/>
        </w:rPr>
      </w:pPr>
      <w:r>
        <w:rPr>
          <w:rFonts w:ascii="Arial" w:cs="Arial" w:eastAsia="Arial" w:hAnsi="Arial"/>
          <w:sz w:val="19"/>
          <w:szCs w:val="19"/>
          <w:color w:val="auto"/>
        </w:rPr>
        <w:t>Mr. Kotick was awarded PSUs where target performance would result in the vesting of 54,230 PSUs and maximum performance would result in the vesting of 250% of the target, or 135,575 PSUs. These PSUs were eligible to vest on March 31, 2022, by reference to our cumulative TSR as compared to the rate of return of the S&amp;P 500 Total Return Index for the period from the date of grant through December 31, 2021, or following certification of certain performance criteria pursuant to Section 12 of the Kotick Employment Agreement, at maximum performance. Pursuant to Section 12 of the Kotick Employment Agreement, on August 7, 2021, 135,575 PSUs vested.</w:t>
      </w:r>
    </w:p>
    <w:p>
      <w:pPr>
        <w:spacing w:after="0" w:line="263" w:lineRule="exact"/>
        <w:rPr>
          <w:sz w:val="20"/>
          <w:szCs w:val="20"/>
          <w:color w:val="auto"/>
        </w:rPr>
      </w:pPr>
    </w:p>
    <w:p>
      <w:pPr>
        <w:spacing w:after="0"/>
        <w:rPr>
          <w:sz w:val="20"/>
          <w:szCs w:val="20"/>
          <w:color w:val="auto"/>
        </w:rPr>
      </w:pPr>
      <w:r>
        <w:rPr>
          <w:rFonts w:ascii="Arial" w:cs="Arial" w:eastAsia="Arial" w:hAnsi="Arial"/>
          <w:sz w:val="19"/>
          <w:szCs w:val="19"/>
          <w:color w:val="125288"/>
        </w:rPr>
        <w:t>2018 PSUs (Three-Year Cumulative AB Adjusted EPS)</w:t>
      </w:r>
    </w:p>
    <w:p>
      <w:pPr>
        <w:spacing w:after="0" w:line="138" w:lineRule="exact"/>
        <w:rPr>
          <w:sz w:val="20"/>
          <w:szCs w:val="20"/>
          <w:color w:val="auto"/>
        </w:rPr>
      </w:pPr>
    </w:p>
    <w:p>
      <w:pPr>
        <w:jc w:val="both"/>
        <w:ind w:right="20"/>
        <w:spacing w:after="0" w:line="237" w:lineRule="auto"/>
        <w:rPr>
          <w:sz w:val="20"/>
          <w:szCs w:val="20"/>
          <w:color w:val="auto"/>
        </w:rPr>
      </w:pPr>
      <w:r>
        <w:rPr>
          <w:rFonts w:ascii="Arial" w:cs="Arial" w:eastAsia="Arial" w:hAnsi="Arial"/>
          <w:sz w:val="19"/>
          <w:szCs w:val="19"/>
          <w:color w:val="auto"/>
        </w:rPr>
        <w:t>Mr. Kotick was also awarded PSUs where target performance would result in the vesting of 106,838 PSUs and maximum performance would result in the vesting of 250% of the target, or 267,095 PSUs. These PSUs were eligible to vest on March 31, 2023, based on the level of the Company’s performance measured by reference to the cumulative AB Adjusted EPS objective for 2020–2022 established by the Compensation Committee, or following certification of certain performance criteria pursuant to Section 12 of the Kotick Employment Agreement, at maximum performance. Pursuant to Section 12 of the Kotick Employment Agreement, on August 7, 2021, 267,095 PSUs vested.</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auto"/>
        </w:rPr>
        <w:t>2019 Equity Awards</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color w:val="auto"/>
        </w:rPr>
        <w:t>On August 12, 2019, Mr. Kotick received equity awards consisting of options and PSUs.</w:t>
      </w:r>
    </w:p>
    <w:p>
      <w:pPr>
        <w:spacing w:after="0" w:line="269" w:lineRule="exact"/>
        <w:rPr>
          <w:sz w:val="20"/>
          <w:szCs w:val="20"/>
          <w:color w:val="auto"/>
        </w:rPr>
      </w:pPr>
    </w:p>
    <w:p>
      <w:pPr>
        <w:spacing w:after="0"/>
        <w:rPr>
          <w:sz w:val="20"/>
          <w:szCs w:val="20"/>
          <w:color w:val="auto"/>
        </w:rPr>
      </w:pPr>
      <w:r>
        <w:rPr>
          <w:rFonts w:ascii="Arial" w:cs="Arial" w:eastAsia="Arial" w:hAnsi="Arial"/>
          <w:sz w:val="19"/>
          <w:szCs w:val="19"/>
          <w:color w:val="125288"/>
        </w:rPr>
        <w:t>2019 Stock Options</w:t>
      </w:r>
    </w:p>
    <w:p>
      <w:pPr>
        <w:spacing w:after="0" w:line="138"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Mr. Kotick was awarded an option to purchase 925,057 shares of our Common Stock. These options were eligible to vest in full on December 31, 2023, or if earlier, following certification of certain performance criteria pursuant to Section 12 of the Kotick Employment Agreement. Pursuant to Section 12 of the</w:t>
      </w:r>
    </w:p>
    <w:p>
      <w:pPr>
        <w:sectPr>
          <w:pgSz w:w="11900" w:h="16838" w:orient="portrait"/>
          <w:cols w:equalWidth="0" w:num="1">
            <w:col w:w="11260"/>
          </w:cols>
          <w:pgMar w:left="320" w:top="144" w:right="319" w:bottom="904" w:gutter="0" w:footer="0" w:header="0"/>
        </w:sectPr>
      </w:pPr>
    </w:p>
    <w:p>
      <w:pPr>
        <w:spacing w:after="0" w:line="249" w:lineRule="exact"/>
        <w:rPr>
          <w:sz w:val="20"/>
          <w:szCs w:val="20"/>
          <w:color w:val="auto"/>
        </w:rPr>
      </w:pPr>
    </w:p>
    <w:p>
      <w:pPr>
        <w:spacing w:after="0"/>
        <w:tabs>
          <w:tab w:leader="none" w:pos="7360" w:val="left"/>
          <w:tab w:leader="none" w:pos="9380" w:val="left"/>
          <w:tab w:leader="none" w:pos="1100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904" w:gutter="0" w:footer="0" w:header="0"/>
          <w:type w:val="continuous"/>
        </w:sectPr>
      </w:pPr>
    </w:p>
    <w:bookmarkStart w:id="106" w:name="page107"/>
    <w:bookmarkEnd w:id="106"/>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35"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Kotick Employment Agreement, these options vested on August 7, 2021. Please see “—Outstanding Equity Awards at December 31, 2021” above for more information about these stock options.</w:t>
      </w: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color w:val="125288"/>
        </w:rPr>
        <w:t>2019 PSUs (Relative TSR)</w:t>
      </w:r>
    </w:p>
    <w:p>
      <w:pPr>
        <w:spacing w:after="0" w:line="138"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Mr. Kotick was awarded PSUs where target performance would result in the vesting of 53,232 PSUs and maximum performance would result in the vesting of 250% of the target, or 133,080 PSUs. These PSUs were eligible to vest on March 31, 2023, by reference to our cumulative TSR as compared to the rate of return of the S&amp;P 500 Total Return Index for the period from the date of grant through December 31, 2022, or following certification of certain performance criteria pursuant to Section 12 of the Kotick Employment Agreement, at maximum performance. Pursuant to Section 12 of the Kotick Employment Agreement, on August 7, 2021, 133,080 PSUs vested.</w:t>
      </w:r>
    </w:p>
    <w:p>
      <w:pPr>
        <w:spacing w:after="0" w:line="263" w:lineRule="exact"/>
        <w:rPr>
          <w:sz w:val="20"/>
          <w:szCs w:val="20"/>
          <w:color w:val="auto"/>
        </w:rPr>
      </w:pPr>
    </w:p>
    <w:p>
      <w:pPr>
        <w:spacing w:after="0"/>
        <w:rPr>
          <w:sz w:val="20"/>
          <w:szCs w:val="20"/>
          <w:color w:val="auto"/>
        </w:rPr>
      </w:pPr>
      <w:r>
        <w:rPr>
          <w:rFonts w:ascii="Arial" w:cs="Arial" w:eastAsia="Arial" w:hAnsi="Arial"/>
          <w:sz w:val="19"/>
          <w:szCs w:val="19"/>
          <w:color w:val="125288"/>
        </w:rPr>
        <w:t>2019 PSUs (Three-Year Cumulative AB Adjusted EPS)</w:t>
      </w:r>
    </w:p>
    <w:p>
      <w:pPr>
        <w:spacing w:after="0" w:line="138"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Mr. Kotick was also awarded PSUs where target performance would result in the vesting of 106,202 PSUs and maximum performance would result in the vesting of 250% of the target, or 265,505 PSUs. These PSUs were eligible to vest on March 31, 2022, based on the level of the Company's performance measured by reference to the cumulative AB Adjusted EPS objective for 2019-2021 established by the Compensation Committee, or following certification of certain performance criteria pursuant to Section 12 of the Kotick Employment Agreement, at maximum performance. Pursuant to Section 12 of the Kotick Employment Agreement, on August 7, 2021, 265,505 PSUs vested.</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auto"/>
        </w:rPr>
        <w:t>2020 Equity Awards</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color w:val="125288"/>
        </w:rPr>
        <w:t>2020 Long-Term Performance Incentive</w:t>
      </w:r>
    </w:p>
    <w:p>
      <w:pPr>
        <w:spacing w:after="0" w:line="138" w:lineRule="exact"/>
        <w:rPr>
          <w:sz w:val="20"/>
          <w:szCs w:val="20"/>
          <w:color w:val="auto"/>
        </w:rPr>
      </w:pPr>
    </w:p>
    <w:p>
      <w:pPr>
        <w:jc w:val="both"/>
        <w:ind w:right="20"/>
        <w:spacing w:after="0" w:line="237" w:lineRule="auto"/>
        <w:rPr>
          <w:sz w:val="20"/>
          <w:szCs w:val="20"/>
          <w:color w:val="auto"/>
        </w:rPr>
      </w:pPr>
      <w:r>
        <w:rPr>
          <w:rFonts w:ascii="Arial" w:cs="Arial" w:eastAsia="Arial" w:hAnsi="Arial"/>
          <w:sz w:val="19"/>
          <w:szCs w:val="19"/>
          <w:color w:val="auto"/>
        </w:rPr>
        <w:t>On September 9, 2020, Mr. Kotick received an equity award consisting of PSUs where target performance would result in the vesting of 226,159 PSUs and maximum performance would result in the vesting of 500% of the target, or 1,130,795 PSUs. In addition, on December 31, 2020, Mr. Kotick received an incremental equity award consisting of PSUs where target performance would result in the vesting of 107,701 PSUs and maximum performance would result in the vesting of 500% of the target, or 538,505 PSUs. Together, these equity awards represent the 2020 long-term performance grant contemplated by the 2016 Kotick Employment Agreement.</w:t>
      </w:r>
    </w:p>
    <w:p>
      <w:pPr>
        <w:spacing w:after="0" w:line="263"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These PSUs were eligible to vest on March 1, 2021, by reference to our cumulative TSR as compared to the rate of return of the S&amp;P 500 Total Return Index for the period from January 1, 2017, through December 31, 2020. After the Compensation Committee determined that our cumulative TSR as compared to the rate of return of the S&amp;P 500 Total Return Index for the four-year performance period was approximately 27%, an aggregate of 1,669,300 PSUs vested on March 1, 2021.</w:t>
      </w:r>
    </w:p>
    <w:p>
      <w:pPr>
        <w:spacing w:after="0" w:line="263" w:lineRule="exact"/>
        <w:rPr>
          <w:sz w:val="20"/>
          <w:szCs w:val="20"/>
          <w:color w:val="auto"/>
        </w:rPr>
      </w:pPr>
    </w:p>
    <w:p>
      <w:pPr>
        <w:spacing w:after="0"/>
        <w:rPr>
          <w:sz w:val="20"/>
          <w:szCs w:val="20"/>
          <w:color w:val="auto"/>
        </w:rPr>
      </w:pPr>
      <w:r>
        <w:rPr>
          <w:rFonts w:ascii="Arial" w:cs="Arial" w:eastAsia="Arial" w:hAnsi="Arial"/>
          <w:sz w:val="19"/>
          <w:szCs w:val="19"/>
          <w:color w:val="125288"/>
        </w:rPr>
        <w:t>2021 Long-Term Performance Incentive Granted in 2020</w:t>
      </w:r>
    </w:p>
    <w:p>
      <w:pPr>
        <w:spacing w:after="0" w:line="138"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On December 31, 2020, Mr. Kotick received an equity award consisting of PSUs where target performance would result in the vesting of 232,633 PSUs and maximum performance would result in the vesting of 150% of the target, or 348,950 PSUs. Although the 2016 Kotick Employment Agreement contemplated a substantially higher award, Mr. Kotick and the Compensation Committee agreed that this award fully satisfied the expectations with respect to the 2021 long-term performance incentive contemplated by that agreement.</w:t>
      </w:r>
    </w:p>
    <w:p>
      <w:pPr>
        <w:spacing w:after="0" w:line="263"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These PSUs were eligible to vest on March 31, 2022, based on the level of the Company’s performance measured by reference to the cumulative AB Adjusted OI objective for 2017–2021 to be established by the Compensation Committee, or following certification of certain performance criteria pursuant to Section 12 of the Kotick Employment Agreement, at maximum performance. Pursuant to Section 12 of the Kotick Employment Agreement, on August 7, 2021, 348,950 PSUs vested.</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auto"/>
        </w:rPr>
        <w:t>Potential 2021 and 2022 Long-Term Incentive Awards</w:t>
      </w:r>
    </w:p>
    <w:p>
      <w:pPr>
        <w:spacing w:after="0" w:line="149"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Pursuant to the 2021 Kotick Employment Agreement Amendment, Mr. Kotick is entitled to receive an award of PSUs in each of 2021 and 2022. If and when granted, the grant date value of any such award is limited to the 50</w:t>
      </w:r>
      <w:r>
        <w:rPr>
          <w:rFonts w:ascii="Arial" w:cs="Arial" w:eastAsia="Arial" w:hAnsi="Arial"/>
          <w:sz w:val="21"/>
          <w:szCs w:val="21"/>
          <w:color w:val="auto"/>
          <w:vertAlign w:val="superscript"/>
        </w:rPr>
        <w:t>th</w:t>
      </w:r>
      <w:r>
        <w:rPr>
          <w:rFonts w:ascii="Arial" w:cs="Arial" w:eastAsia="Arial" w:hAnsi="Arial"/>
          <w:sz w:val="19"/>
          <w:szCs w:val="19"/>
          <w:color w:val="auto"/>
        </w:rPr>
        <w:t xml:space="preserve"> percentile of the aggregate grant date values of the long-term incentive grants made to the chief executive officers of our then-applicable peer group, as determined by the Compensation Committee. If and when granted, each award will be eligible to vest by reference to a cumulative financial metric for a three-year period to be established by the Compensation Committee, and a portion of each will be tied to a comparison between our TSR and the TSR of that peer group.</w:t>
      </w:r>
    </w:p>
    <w:p>
      <w:pPr>
        <w:spacing w:after="0" w:line="252" w:lineRule="exact"/>
        <w:rPr>
          <w:sz w:val="20"/>
          <w:szCs w:val="20"/>
          <w:color w:val="auto"/>
        </w:rPr>
      </w:pPr>
    </w:p>
    <w:p>
      <w:pPr>
        <w:spacing w:after="0"/>
        <w:tabs>
          <w:tab w:leader="none" w:pos="7360" w:val="left"/>
          <w:tab w:leader="none" w:pos="9380" w:val="left"/>
          <w:tab w:leader="none" w:pos="1100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07" w:name="page108"/>
    <w:bookmarkEnd w:id="107"/>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53910" cy="52578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3910" cy="52578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both"/>
        <w:ind w:left="100" w:right="100"/>
        <w:spacing w:after="0" w:line="248" w:lineRule="auto"/>
        <w:rPr>
          <w:sz w:val="20"/>
          <w:szCs w:val="20"/>
          <w:color w:val="auto"/>
        </w:rPr>
      </w:pPr>
      <w:r>
        <w:rPr>
          <w:rFonts w:ascii="Arial" w:cs="Arial" w:eastAsia="Arial" w:hAnsi="Arial"/>
          <w:sz w:val="17"/>
          <w:szCs w:val="17"/>
          <w:b w:val="1"/>
          <w:bCs w:val="1"/>
          <w:color w:val="auto"/>
        </w:rPr>
        <w:t>Notwithstanding the terms of the Kotick Employment Agreement, in October 2021, Mr. Kotick asked not to receive any equity awards until the Company has made appropriate progress toward the achievement of the Transformational Goals. As such, Mr. Kotick did not receive any equity awards during 2021.</w:t>
      </w:r>
    </w:p>
    <w:p>
      <w:pPr>
        <w:spacing w:after="0" w:line="213" w:lineRule="exact"/>
        <w:rPr>
          <w:sz w:val="20"/>
          <w:szCs w:val="20"/>
          <w:color w:val="auto"/>
        </w:rPr>
      </w:pPr>
    </w:p>
    <w:p>
      <w:pPr>
        <w:jc w:val="both"/>
        <w:ind w:right="20"/>
        <w:spacing w:after="0" w:line="237" w:lineRule="auto"/>
        <w:rPr>
          <w:sz w:val="20"/>
          <w:szCs w:val="20"/>
          <w:color w:val="auto"/>
        </w:rPr>
      </w:pPr>
      <w:r>
        <w:rPr>
          <w:rFonts w:ascii="Arial" w:cs="Arial" w:eastAsia="Arial" w:hAnsi="Arial"/>
          <w:sz w:val="19"/>
          <w:szCs w:val="19"/>
          <w:color w:val="auto"/>
        </w:rPr>
        <w:t>If and when the Workplace Responsibility Committee concludes the Company has made appropriate progress toward the achievement of the Transformational Goals, Mr. Kotick will be eligible to receive an equity award pursuant to the Kotick Employment Agreement, as described above. However, pursuant to the terms of the Microsoft Merger Agreement, Mr. Kotick may not be granted an equity award before July 18, 2022. Additionally, under the terms of the Microsoft Merger Agreement, any such grant may consist only of time-based RSUs and the grant date value of any such award is limited to the lesser of (1) the 50th percentile of the aggregate grant date values of the long-term incentive grants made to the chief executive officers of our then-applicable peer group and (2) $22,000,000.</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125288"/>
        </w:rPr>
        <w:t>Shareholder Value Creation Incentive</w:t>
      </w:r>
    </w:p>
    <w:p>
      <w:pPr>
        <w:spacing w:after="0" w:line="149"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Section 12 of the Kotick Employment Agreement provides that, subject to Mr. Kotick’s continued employment, if, at any time before December 31, 2021, the average closing price of our Common Stock on The Nasdaq Stock Market was (a) at least two times the average closing price of our Common Stock on The Nasdaq Stock Market during the period from October 1, 2016, to December 31, 2016 (i.e., the average closing price was at least two times $39.98, or $79.96, per share, subject to adjustments by the Compensation Committee to prevent dilution or enlargement as a result of any dividend, stock split, or substantially similar change in our capital structure), and (b) remained at or above that level for at least 90 consecutive trading days, the equity awards granted to Mr. Kotick during 2017, 2018, 2019, and 2020 that were then outstanding (with the exception of the 2017 and 2020 PSUs that vest by reference to our relative TSR performance) would vest (assuming, for all performance-based awards, maximum performance). On August 7, 2021, the Compensation Committee certified that the closing trading price of a share of our Common Stock had equaled or exceeded $79.96 and remained at or above that level for more than 90 consecutive trading days.</w:t>
      </w:r>
    </w:p>
    <w:p>
      <w:pPr>
        <w:spacing w:after="0" w:line="241" w:lineRule="exact"/>
        <w:rPr>
          <w:sz w:val="20"/>
          <w:szCs w:val="20"/>
          <w:color w:val="auto"/>
        </w:rPr>
      </w:pPr>
    </w:p>
    <w:p>
      <w:pPr>
        <w:jc w:val="both"/>
        <w:ind w:right="20"/>
        <w:spacing w:after="0" w:line="272" w:lineRule="auto"/>
        <w:rPr>
          <w:sz w:val="20"/>
          <w:szCs w:val="20"/>
          <w:color w:val="auto"/>
        </w:rPr>
      </w:pPr>
      <w:r>
        <w:rPr>
          <w:rFonts w:ascii="Arial" w:cs="Arial" w:eastAsia="Arial" w:hAnsi="Arial"/>
          <w:sz w:val="19"/>
          <w:szCs w:val="19"/>
          <w:b w:val="1"/>
          <w:bCs w:val="1"/>
          <w:color w:val="auto"/>
        </w:rPr>
        <w:t>This “shareholder value creation incentive” will not apply to any long-term incentive awards granted after April 28, 2021— the date of the 2021 Kotick Employment Agreement Amendment—and does not apply to any outstanding awards.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125288"/>
        </w:rPr>
        <w:t>Transformative Transaction Award</w:t>
      </w:r>
    </w:p>
    <w:p>
      <w:pPr>
        <w:spacing w:after="0" w:line="149"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The “transformative transaction award” was never triggered and the applicability of it was eliminated from the Kotick Employment Agreement in April 2021 by the 2021 Kotick Employment Agreement Amendment. Please see the proxy statement for our 2021 annual meeting of shareholders filed with the SEC on Schedule 14A on May 3, 2021, for further information about this award.</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125288"/>
        </w:rPr>
        <w:t>Other Benefits</w:t>
      </w:r>
    </w:p>
    <w:p>
      <w:pPr>
        <w:spacing w:after="0" w:line="149"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Mr. Kotick is entitled to participate in all benefit plans generally available to our executive officers. In addition, we are (and have been since March 16, 2022) required to reimburse him for up to $80,000 per year of premiums in respect of life insurance policies until the tenth anniversary of his employment agreement (i.e., October 1, 2026); through March 15, 2022, we were, instead, required to maintain a supplemental term life insurance policy in the amount of $18 million for the benefit of his estate. Further, we have agreed to pay reasonable expenses related to Mr. Kotick’s use of non-commercial transportation services for business-related travel, including any such services provided by a Federal Aviation Administration-certified charter operator indirectly owned and managed by him. Please see “Certain Relationships and Related Person Transactions—Relationships and Transactions—Business Use of Aircraft Indirectly Owned by Our Chief Executive Officer” for more information about our arrangement with this charter operator.</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125288"/>
        </w:rPr>
        <w:t>Restrictive Covenants</w:t>
      </w:r>
    </w:p>
    <w:p>
      <w:pPr>
        <w:spacing w:after="0" w:line="149"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Until the second anniversary of the expiration of the term of his employment under the Kotick Employment Agreement, Mr. Kotick is restricted from soliciting the employment of anyone then employed by the Company or our affiliates (or anyone who was employed by us or them during the then-most recent six-month period). Mr. Kotick is also prohibited from competing with us during the term of his employment under the Kotick Employment Agreement.</w:t>
      </w:r>
    </w:p>
    <w:p>
      <w:pPr>
        <w:spacing w:after="0" w:line="263"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In addition, during the term of his employment under the Kotick Employment Agreement, Mr. Kotick is prohibited from disclosing or using our confidential or proprietary information except as required in the course of his employment and, until the second anniversary of the expiration of the term of his employment under the agreement, he cannot use such information to induce any of our, or any of our affiliates’, employees or business partners to terminate or alter their relationship with us.</w:t>
      </w:r>
    </w:p>
    <w:p>
      <w:pPr>
        <w:spacing w:after="0" w:line="252" w:lineRule="exact"/>
        <w:rPr>
          <w:sz w:val="20"/>
          <w:szCs w:val="20"/>
          <w:color w:val="auto"/>
        </w:rPr>
      </w:pPr>
    </w:p>
    <w:p>
      <w:pPr>
        <w:spacing w:after="0"/>
        <w:tabs>
          <w:tab w:leader="none" w:pos="7360" w:val="left"/>
          <w:tab w:leader="none" w:pos="9380" w:val="left"/>
          <w:tab w:leader="none" w:pos="1100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08" w:name="page109"/>
    <w:bookmarkEnd w:id="108"/>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Armin Zerza</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125288"/>
        </w:rPr>
        <w:t>Term &amp; Title</w:t>
      </w:r>
    </w:p>
    <w:p>
      <w:pPr>
        <w:spacing w:after="0" w:line="149"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Armin Zerza is party to the Zerza Employment Agreement, pursuant to which he serves as our Chief Financial Officer. Mr. Zerza’s term of employment under the Zerza Employment Agreement began on April 1, 2021 and continues through March 31, 2024 (subject to our right to extend such term for an additional year and, again, for a second additional year if we determine that, by March 31, 2025, he has received, or will receive, at least twice the value of his target compensation under the Zerza Employment Agreement).</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125288"/>
        </w:rPr>
        <w:t>Base Salary</w:t>
      </w:r>
    </w:p>
    <w:p>
      <w:pPr>
        <w:spacing w:after="0" w:line="149"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Mr. Zerza’s annual base salary was $800,000 as of April 1, 2021. It will be periodically reviewed and may be increased at the Compensation Committee’s discretion.</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125288"/>
        </w:rPr>
        <w:t>Annual Bonus</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Mr. Zerza is eligible for an annual bonus under the CAIP with a target amount of 150% of his base salary. The actual amount of any bonus paid to Mr. Zerza under the CAIP will be determined by the Compensation Committee and may be based on, among other things, his overall performance and the Company’s performance. The form of any such bonus (i.e., whether cash, equity, or some combination thereof) is subject to the discretion of the Compensation Committee. For more information about Mr. Zerza’s annual bonus, see “—Compensation Discussion and Analysis—Elements of Our Executive Compensation Program for 2021—Corporate Annual Incentive Plan (CAIP) Bonuses” above.</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125288"/>
        </w:rPr>
        <w:t>Contract Inducement</w:t>
      </w:r>
    </w:p>
    <w:p>
      <w:pPr>
        <w:spacing w:after="0" w:line="149"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As an inducement to enter into the Zerza Employment Agreement, on May 6, 2021, Mr. Zerza received an equity award consisting of stock options, RSUs, and PSUs. The vesting of each of these awards was or is, as the case may be, subject to Mr. Zerza’s continued employment through the relevant vesting date.</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Stock Options</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9"/>
          <w:szCs w:val="19"/>
          <w:color w:val="auto"/>
        </w:rPr>
        <w:t>Mr. Zerza was awarded 123,853 stock options, one-half of which are eligible to vest on each of March 31, 2024, and 2025. Please see “—Grants of Plan-Based Awards for 2021” and “—Outstanding Equity Awards at December 31, 2021” above for more information about these stock options.</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Restricted Share Units</w:t>
      </w:r>
    </w:p>
    <w:p>
      <w:pPr>
        <w:spacing w:after="0" w:line="149"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Mr. Zerza was awarded 10,749 RSUs, one-third of which are eligible to vest on each of March 31, 2022, 2023, and 2024. Please see “—Grants of Plan-Based Awards for 2021” and “—Outstanding Equity Awards at December 31, 2021” above for more information about these RSUs.</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PSUs (AB Adjusted OI)</w:t>
      </w:r>
    </w:p>
    <w:p>
      <w:pPr>
        <w:spacing w:after="0" w:line="149"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Mr. Zerza was also awarded PSUs where target performance would result in the vesting of 38,697 PSUs. One-half of this award is eligible to vest on each of March 31, 2024, and 2025, in each case based on the level of the Company’s performance measured by reference to the AB Adjusted OI objective established by the Compensation Committee for the three-year period immediately preceding such vesting date,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40" w:type="dxa"/>
            <w:vAlign w:val="bottom"/>
          </w:tcPr>
          <w:p>
            <w:pPr>
              <w:spacing w:after="0"/>
              <w:rPr>
                <w:sz w:val="15"/>
                <w:szCs w:val="15"/>
                <w:color w:val="auto"/>
              </w:rPr>
            </w:pPr>
          </w:p>
        </w:tc>
        <w:tc>
          <w:tcPr>
            <w:tcW w:w="7620" w:type="dxa"/>
            <w:vAlign w:val="bottom"/>
          </w:tcPr>
          <w:p>
            <w:pPr>
              <w:ind w:left="2260"/>
              <w:spacing w:after="0"/>
              <w:rPr>
                <w:sz w:val="20"/>
                <w:szCs w:val="20"/>
                <w:color w:val="auto"/>
              </w:rPr>
            </w:pPr>
            <w:r>
              <w:rPr>
                <w:rFonts w:ascii="Arial" w:cs="Arial" w:eastAsia="Arial" w:hAnsi="Arial"/>
                <w:sz w:val="15"/>
                <w:szCs w:val="15"/>
                <w:b w:val="1"/>
                <w:bCs w:val="1"/>
                <w:color w:val="125288"/>
              </w:rPr>
              <w:t>PSUs vesting on each of</w:t>
            </w:r>
          </w:p>
        </w:tc>
      </w:tr>
      <w:tr>
        <w:trPr>
          <w:trHeight w:val="204"/>
        </w:trPr>
        <w:tc>
          <w:tcPr>
            <w:tcW w:w="3640" w:type="dxa"/>
            <w:vAlign w:val="bottom"/>
          </w:tcPr>
          <w:p>
            <w:pPr>
              <w:ind w:left="40"/>
              <w:spacing w:after="0"/>
              <w:rPr>
                <w:sz w:val="20"/>
                <w:szCs w:val="20"/>
                <w:color w:val="auto"/>
              </w:rPr>
            </w:pPr>
            <w:r>
              <w:rPr>
                <w:rFonts w:ascii="Arial" w:cs="Arial" w:eastAsia="Arial" w:hAnsi="Arial"/>
                <w:sz w:val="15"/>
                <w:szCs w:val="15"/>
                <w:b w:val="1"/>
                <w:bCs w:val="1"/>
                <w:color w:val="125288"/>
              </w:rPr>
              <w:t>OI (actual vs. 3YP)</w:t>
            </w:r>
          </w:p>
        </w:tc>
        <w:tc>
          <w:tcPr>
            <w:tcW w:w="7620" w:type="dxa"/>
            <w:vAlign w:val="bottom"/>
          </w:tcPr>
          <w:p>
            <w:pPr>
              <w:ind w:left="2260"/>
              <w:spacing w:after="0"/>
              <w:rPr>
                <w:sz w:val="20"/>
                <w:szCs w:val="20"/>
                <w:color w:val="auto"/>
              </w:rPr>
            </w:pPr>
            <w:r>
              <w:rPr>
                <w:rFonts w:ascii="Arial" w:cs="Arial" w:eastAsia="Arial" w:hAnsi="Arial"/>
                <w:sz w:val="15"/>
                <w:szCs w:val="15"/>
                <w:b w:val="1"/>
                <w:bCs w:val="1"/>
                <w:color w:val="125288"/>
              </w:rPr>
              <w:t>March 31, 2024, and 2025</w:t>
            </w:r>
          </w:p>
        </w:tc>
      </w:tr>
      <w:tr>
        <w:trPr>
          <w:trHeight w:val="41"/>
        </w:trPr>
        <w:tc>
          <w:tcPr>
            <w:tcW w:w="3640" w:type="dxa"/>
            <w:vAlign w:val="bottom"/>
            <w:tcBorders>
              <w:bottom w:val="single" w:sz="8" w:color="125288"/>
            </w:tcBorders>
          </w:tcPr>
          <w:p>
            <w:pPr>
              <w:spacing w:after="0"/>
              <w:rPr>
                <w:sz w:val="3"/>
                <w:szCs w:val="3"/>
                <w:color w:val="auto"/>
              </w:rPr>
            </w:pPr>
          </w:p>
        </w:tc>
        <w:tc>
          <w:tcPr>
            <w:tcW w:w="7620" w:type="dxa"/>
            <w:vAlign w:val="bottom"/>
            <w:tcBorders>
              <w:bottom w:val="single" w:sz="8" w:color="125288"/>
            </w:tcBorders>
          </w:tcPr>
          <w:p>
            <w:pPr>
              <w:spacing w:after="0"/>
              <w:rPr>
                <w:sz w:val="3"/>
                <w:szCs w:val="3"/>
                <w:color w:val="auto"/>
              </w:rPr>
            </w:pPr>
          </w:p>
        </w:tc>
      </w:tr>
      <w:tr>
        <w:trPr>
          <w:trHeight w:val="228"/>
        </w:trPr>
        <w:tc>
          <w:tcPr>
            <w:tcW w:w="3640" w:type="dxa"/>
            <w:vAlign w:val="bottom"/>
          </w:tcPr>
          <w:p>
            <w:pPr>
              <w:ind w:left="40"/>
              <w:spacing w:after="0"/>
              <w:rPr>
                <w:sz w:val="20"/>
                <w:szCs w:val="20"/>
                <w:color w:val="auto"/>
              </w:rPr>
            </w:pPr>
            <w:r>
              <w:rPr>
                <w:rFonts w:ascii="Arial" w:cs="Arial" w:eastAsia="Arial" w:hAnsi="Arial"/>
                <w:sz w:val="15"/>
                <w:szCs w:val="15"/>
                <w:color w:val="auto"/>
              </w:rPr>
              <w:t>&lt;</w:t>
            </w:r>
            <w:r>
              <w:rPr>
                <w:rFonts w:ascii="Arial" w:cs="Arial" w:eastAsia="Arial" w:hAnsi="Arial"/>
                <w:sz w:val="16"/>
                <w:szCs w:val="16"/>
                <w:color w:val="auto"/>
              </w:rPr>
              <w:t>90%</w:t>
            </w:r>
          </w:p>
        </w:tc>
        <w:tc>
          <w:tcPr>
            <w:tcW w:w="7620" w:type="dxa"/>
            <w:vAlign w:val="bottom"/>
          </w:tcPr>
          <w:p>
            <w:pPr>
              <w:ind w:left="2260"/>
              <w:spacing w:after="0"/>
              <w:rPr>
                <w:sz w:val="20"/>
                <w:szCs w:val="20"/>
                <w:color w:val="auto"/>
              </w:rPr>
            </w:pPr>
            <w:r>
              <w:rPr>
                <w:rFonts w:ascii="Arial" w:cs="Arial" w:eastAsia="Arial" w:hAnsi="Arial"/>
                <w:sz w:val="17"/>
                <w:szCs w:val="17"/>
                <w:color w:val="auto"/>
              </w:rPr>
              <w:t>0%</w:t>
            </w:r>
          </w:p>
        </w:tc>
      </w:tr>
      <w:tr>
        <w:trPr>
          <w:trHeight w:val="37"/>
        </w:trPr>
        <w:tc>
          <w:tcPr>
            <w:tcW w:w="3640" w:type="dxa"/>
            <w:vAlign w:val="bottom"/>
            <w:tcBorders>
              <w:bottom w:val="single" w:sz="8" w:color="125288"/>
            </w:tcBorders>
          </w:tcPr>
          <w:p>
            <w:pPr>
              <w:spacing w:after="0"/>
              <w:rPr>
                <w:sz w:val="3"/>
                <w:szCs w:val="3"/>
                <w:color w:val="auto"/>
              </w:rPr>
            </w:pPr>
          </w:p>
        </w:tc>
        <w:tc>
          <w:tcPr>
            <w:tcW w:w="7620" w:type="dxa"/>
            <w:vAlign w:val="bottom"/>
            <w:tcBorders>
              <w:bottom w:val="single" w:sz="8" w:color="125288"/>
            </w:tcBorders>
          </w:tcPr>
          <w:p>
            <w:pPr>
              <w:spacing w:after="0"/>
              <w:rPr>
                <w:sz w:val="3"/>
                <w:szCs w:val="3"/>
                <w:color w:val="auto"/>
              </w:rPr>
            </w:pPr>
          </w:p>
        </w:tc>
      </w:tr>
      <w:tr>
        <w:trPr>
          <w:trHeight w:val="228"/>
        </w:trPr>
        <w:tc>
          <w:tcPr>
            <w:tcW w:w="3640" w:type="dxa"/>
            <w:vAlign w:val="bottom"/>
          </w:tcPr>
          <w:p>
            <w:pPr>
              <w:ind w:left="40"/>
              <w:spacing w:after="0"/>
              <w:rPr>
                <w:sz w:val="20"/>
                <w:szCs w:val="20"/>
                <w:color w:val="auto"/>
              </w:rPr>
            </w:pPr>
            <w:r>
              <w:rPr>
                <w:rFonts w:ascii="Arial" w:cs="Arial" w:eastAsia="Arial" w:hAnsi="Arial"/>
                <w:sz w:val="17"/>
                <w:szCs w:val="17"/>
                <w:color w:val="auto"/>
              </w:rPr>
              <w:t>90%</w:t>
            </w:r>
          </w:p>
        </w:tc>
        <w:tc>
          <w:tcPr>
            <w:tcW w:w="7620" w:type="dxa"/>
            <w:vAlign w:val="bottom"/>
          </w:tcPr>
          <w:p>
            <w:pPr>
              <w:ind w:left="2260"/>
              <w:spacing w:after="0"/>
              <w:rPr>
                <w:sz w:val="20"/>
                <w:szCs w:val="20"/>
                <w:color w:val="auto"/>
              </w:rPr>
            </w:pPr>
            <w:r>
              <w:rPr>
                <w:rFonts w:ascii="Arial" w:cs="Arial" w:eastAsia="Arial" w:hAnsi="Arial"/>
                <w:sz w:val="17"/>
                <w:szCs w:val="17"/>
                <w:color w:val="auto"/>
              </w:rPr>
              <w:t>50% of each target of 19,349*</w:t>
            </w:r>
          </w:p>
        </w:tc>
      </w:tr>
      <w:tr>
        <w:trPr>
          <w:trHeight w:val="37"/>
        </w:trPr>
        <w:tc>
          <w:tcPr>
            <w:tcW w:w="3640" w:type="dxa"/>
            <w:vAlign w:val="bottom"/>
            <w:tcBorders>
              <w:bottom w:val="single" w:sz="8" w:color="125288"/>
            </w:tcBorders>
          </w:tcPr>
          <w:p>
            <w:pPr>
              <w:spacing w:after="0"/>
              <w:rPr>
                <w:sz w:val="3"/>
                <w:szCs w:val="3"/>
                <w:color w:val="auto"/>
              </w:rPr>
            </w:pPr>
          </w:p>
        </w:tc>
        <w:tc>
          <w:tcPr>
            <w:tcW w:w="7620" w:type="dxa"/>
            <w:vAlign w:val="bottom"/>
            <w:tcBorders>
              <w:bottom w:val="single" w:sz="8" w:color="125288"/>
            </w:tcBorders>
          </w:tcPr>
          <w:p>
            <w:pPr>
              <w:spacing w:after="0"/>
              <w:rPr>
                <w:sz w:val="3"/>
                <w:szCs w:val="3"/>
                <w:color w:val="auto"/>
              </w:rPr>
            </w:pPr>
          </w:p>
        </w:tc>
      </w:tr>
      <w:tr>
        <w:trPr>
          <w:trHeight w:val="228"/>
        </w:trPr>
        <w:tc>
          <w:tcPr>
            <w:tcW w:w="3640" w:type="dxa"/>
            <w:vAlign w:val="bottom"/>
          </w:tcPr>
          <w:p>
            <w:pPr>
              <w:ind w:left="40"/>
              <w:spacing w:after="0"/>
              <w:rPr>
                <w:sz w:val="20"/>
                <w:szCs w:val="20"/>
                <w:color w:val="auto"/>
              </w:rPr>
            </w:pPr>
            <w:r>
              <w:rPr>
                <w:rFonts w:ascii="Arial" w:cs="Arial" w:eastAsia="Arial" w:hAnsi="Arial"/>
                <w:sz w:val="17"/>
                <w:szCs w:val="17"/>
                <w:color w:val="auto"/>
              </w:rPr>
              <w:t>100%</w:t>
            </w:r>
          </w:p>
        </w:tc>
        <w:tc>
          <w:tcPr>
            <w:tcW w:w="7620" w:type="dxa"/>
            <w:vAlign w:val="bottom"/>
          </w:tcPr>
          <w:p>
            <w:pPr>
              <w:ind w:left="2260"/>
              <w:spacing w:after="0"/>
              <w:rPr>
                <w:sz w:val="20"/>
                <w:szCs w:val="20"/>
                <w:color w:val="auto"/>
              </w:rPr>
            </w:pPr>
            <w:r>
              <w:rPr>
                <w:rFonts w:ascii="Arial" w:cs="Arial" w:eastAsia="Arial" w:hAnsi="Arial"/>
                <w:sz w:val="17"/>
                <w:szCs w:val="17"/>
                <w:color w:val="auto"/>
              </w:rPr>
              <w:t>100% of each target of 19,349*</w:t>
            </w:r>
          </w:p>
        </w:tc>
      </w:tr>
      <w:tr>
        <w:trPr>
          <w:trHeight w:val="37"/>
        </w:trPr>
        <w:tc>
          <w:tcPr>
            <w:tcW w:w="3640" w:type="dxa"/>
            <w:vAlign w:val="bottom"/>
            <w:tcBorders>
              <w:bottom w:val="single" w:sz="8" w:color="125288"/>
            </w:tcBorders>
          </w:tcPr>
          <w:p>
            <w:pPr>
              <w:spacing w:after="0"/>
              <w:rPr>
                <w:sz w:val="3"/>
                <w:szCs w:val="3"/>
                <w:color w:val="auto"/>
              </w:rPr>
            </w:pPr>
          </w:p>
        </w:tc>
        <w:tc>
          <w:tcPr>
            <w:tcW w:w="7620" w:type="dxa"/>
            <w:vAlign w:val="bottom"/>
            <w:tcBorders>
              <w:bottom w:val="single" w:sz="8" w:color="125288"/>
            </w:tcBorders>
          </w:tcPr>
          <w:p>
            <w:pPr>
              <w:spacing w:after="0"/>
              <w:rPr>
                <w:sz w:val="3"/>
                <w:szCs w:val="3"/>
                <w:color w:val="auto"/>
              </w:rPr>
            </w:pPr>
          </w:p>
        </w:tc>
      </w:tr>
      <w:tr>
        <w:trPr>
          <w:trHeight w:val="228"/>
        </w:trPr>
        <w:tc>
          <w:tcPr>
            <w:tcW w:w="3640" w:type="dxa"/>
            <w:vAlign w:val="bottom"/>
          </w:tcPr>
          <w:p>
            <w:pPr>
              <w:ind w:left="4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125%</w:t>
            </w:r>
          </w:p>
        </w:tc>
        <w:tc>
          <w:tcPr>
            <w:tcW w:w="7620" w:type="dxa"/>
            <w:vAlign w:val="bottom"/>
          </w:tcPr>
          <w:p>
            <w:pPr>
              <w:ind w:left="2260"/>
              <w:spacing w:after="0"/>
              <w:rPr>
                <w:sz w:val="20"/>
                <w:szCs w:val="20"/>
                <w:color w:val="auto"/>
              </w:rPr>
            </w:pPr>
            <w:r>
              <w:rPr>
                <w:rFonts w:ascii="Arial" w:cs="Arial" w:eastAsia="Arial" w:hAnsi="Arial"/>
                <w:sz w:val="17"/>
                <w:szCs w:val="17"/>
                <w:color w:val="auto"/>
              </w:rPr>
              <w:t>125% of each target of 19,349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7148830" cy="152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87"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5"/>
          <w:szCs w:val="15"/>
          <w:color w:val="auto"/>
        </w:rPr>
        <w:t>*</w:t>
        <w:tab/>
        <w:t>If actual performance is between any two points, the number of PSUs that vest will be determined using straight-line interpolation.</w:t>
      </w:r>
    </w:p>
    <w:p>
      <w:pPr>
        <w:spacing w:after="0" w:line="211"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Please see “—Grants of Plan-Based Awards for 2021” and “—Outstanding Equity Awards at December 31, 2021” above for more information about these PSUs.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PSUs (Relative TSR)</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Mr. Zerza was also awarded PSUs where target performance would result in the vesting of 25,798 PSUs. One-half of this award is eligible to vest on March 31, 2024 by reference to our cumulative TSR as compared to the rate of return of the S&amp;P 500 Total Return Index for the period from January 1, 2021, through December 31, 2023, and the other half of this award is eligible to vest on March 31, 2025, by reference to our cumulative TSR as compared to the rate of return of the S&amp;P 500 Total Return Index for the period from January 1, 2022, through December 31, 2024, as follows:</w:t>
      </w:r>
    </w:p>
    <w:p>
      <w:pPr>
        <w:sectPr>
          <w:pgSz w:w="11900" w:h="16838" w:orient="portrait"/>
          <w:cols w:equalWidth="0" w:num="1">
            <w:col w:w="11260"/>
          </w:cols>
          <w:pgMar w:left="320" w:top="144" w:right="319" w:bottom="618" w:gutter="0" w:footer="0" w:header="0"/>
        </w:sectPr>
      </w:pPr>
    </w:p>
    <w:p>
      <w:pPr>
        <w:spacing w:after="0" w:line="249" w:lineRule="exact"/>
        <w:rPr>
          <w:sz w:val="20"/>
          <w:szCs w:val="20"/>
          <w:color w:val="auto"/>
        </w:rPr>
      </w:pPr>
    </w:p>
    <w:p>
      <w:pPr>
        <w:spacing w:after="0"/>
        <w:tabs>
          <w:tab w:leader="none" w:pos="7360" w:val="left"/>
          <w:tab w:leader="none" w:pos="9380" w:val="left"/>
          <w:tab w:leader="none" w:pos="1100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618" w:gutter="0" w:footer="0" w:header="0"/>
          <w:type w:val="continuous"/>
        </w:sectPr>
      </w:pPr>
    </w:p>
    <w:bookmarkStart w:id="109" w:name="page110"/>
    <w:bookmarkEnd w:id="109"/>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60" w:type="dxa"/>
            <w:vAlign w:val="bottom"/>
          </w:tcPr>
          <w:p>
            <w:pPr>
              <w:ind w:left="60"/>
              <w:spacing w:after="0"/>
              <w:rPr>
                <w:sz w:val="20"/>
                <w:szCs w:val="20"/>
                <w:color w:val="auto"/>
              </w:rPr>
            </w:pPr>
            <w:r>
              <w:rPr>
                <w:rFonts w:ascii="Arial" w:cs="Arial" w:eastAsia="Arial" w:hAnsi="Arial"/>
                <w:sz w:val="15"/>
                <w:szCs w:val="15"/>
                <w:b w:val="1"/>
                <w:bCs w:val="1"/>
                <w:color w:val="125288"/>
              </w:rPr>
              <w:t>TSR minus the rate of return of the</w:t>
            </w:r>
          </w:p>
        </w:tc>
        <w:tc>
          <w:tcPr>
            <w:tcW w:w="6600" w:type="dxa"/>
            <w:vAlign w:val="bottom"/>
          </w:tcPr>
          <w:p>
            <w:pPr>
              <w:ind w:left="2040"/>
              <w:spacing w:after="0"/>
              <w:rPr>
                <w:sz w:val="20"/>
                <w:szCs w:val="20"/>
                <w:color w:val="auto"/>
              </w:rPr>
            </w:pPr>
            <w:r>
              <w:rPr>
                <w:rFonts w:ascii="Arial" w:cs="Arial" w:eastAsia="Arial" w:hAnsi="Arial"/>
                <w:sz w:val="15"/>
                <w:szCs w:val="15"/>
                <w:b w:val="1"/>
                <w:bCs w:val="1"/>
                <w:color w:val="125288"/>
              </w:rPr>
              <w:t>PSUs vesting on</w:t>
            </w:r>
          </w:p>
        </w:tc>
      </w:tr>
      <w:tr>
        <w:trPr>
          <w:trHeight w:val="209"/>
        </w:trPr>
        <w:tc>
          <w:tcPr>
            <w:tcW w:w="4660" w:type="dxa"/>
            <w:vAlign w:val="bottom"/>
            <w:tcBorders>
              <w:bottom w:val="single" w:sz="8" w:color="125288"/>
            </w:tcBorders>
          </w:tcPr>
          <w:p>
            <w:pPr>
              <w:ind w:left="60"/>
              <w:spacing w:after="0"/>
              <w:rPr>
                <w:sz w:val="20"/>
                <w:szCs w:val="20"/>
                <w:color w:val="auto"/>
              </w:rPr>
            </w:pPr>
            <w:r>
              <w:rPr>
                <w:rFonts w:ascii="Arial" w:cs="Arial" w:eastAsia="Arial" w:hAnsi="Arial"/>
                <w:sz w:val="15"/>
                <w:szCs w:val="15"/>
                <w:b w:val="1"/>
                <w:bCs w:val="1"/>
                <w:color w:val="125288"/>
              </w:rPr>
              <w:t>S&amp;P 500 Total Return Index</w:t>
            </w:r>
          </w:p>
        </w:tc>
        <w:tc>
          <w:tcPr>
            <w:tcW w:w="6600" w:type="dxa"/>
            <w:vAlign w:val="bottom"/>
            <w:tcBorders>
              <w:bottom w:val="single" w:sz="8" w:color="125288"/>
            </w:tcBorders>
          </w:tcPr>
          <w:p>
            <w:pPr>
              <w:ind w:left="2040"/>
              <w:spacing w:after="0"/>
              <w:rPr>
                <w:sz w:val="20"/>
                <w:szCs w:val="20"/>
                <w:color w:val="auto"/>
              </w:rPr>
            </w:pPr>
            <w:r>
              <w:rPr>
                <w:rFonts w:ascii="Arial" w:cs="Arial" w:eastAsia="Arial" w:hAnsi="Arial"/>
                <w:sz w:val="15"/>
                <w:szCs w:val="15"/>
                <w:b w:val="1"/>
                <w:bCs w:val="1"/>
                <w:color w:val="125288"/>
              </w:rPr>
              <w:t>March 31, 2024, and 2025</w:t>
            </w:r>
          </w:p>
        </w:tc>
      </w:tr>
      <w:tr>
        <w:trPr>
          <w:trHeight w:val="228"/>
        </w:trPr>
        <w:tc>
          <w:tcPr>
            <w:tcW w:w="4660" w:type="dxa"/>
            <w:vAlign w:val="bottom"/>
          </w:tcPr>
          <w:p>
            <w:pPr>
              <w:ind w:left="60"/>
              <w:spacing w:after="0"/>
              <w:rPr>
                <w:sz w:val="20"/>
                <w:szCs w:val="20"/>
                <w:color w:val="auto"/>
              </w:rPr>
            </w:pPr>
            <w:r>
              <w:rPr>
                <w:rFonts w:ascii="Arial" w:cs="Arial" w:eastAsia="Arial" w:hAnsi="Arial"/>
                <w:sz w:val="15"/>
                <w:szCs w:val="15"/>
                <w:color w:val="auto"/>
              </w:rPr>
              <w:t>&lt;</w:t>
            </w:r>
            <w:r>
              <w:rPr>
                <w:rFonts w:ascii="Arial" w:cs="Arial" w:eastAsia="Arial" w:hAnsi="Arial"/>
                <w:sz w:val="16"/>
                <w:szCs w:val="16"/>
                <w:color w:val="auto"/>
              </w:rPr>
              <w:t>10.8 percentage points</w:t>
            </w:r>
          </w:p>
        </w:tc>
        <w:tc>
          <w:tcPr>
            <w:tcW w:w="6600" w:type="dxa"/>
            <w:vAlign w:val="bottom"/>
          </w:tcPr>
          <w:p>
            <w:pPr>
              <w:ind w:left="2040"/>
              <w:spacing w:after="0"/>
              <w:rPr>
                <w:sz w:val="20"/>
                <w:szCs w:val="20"/>
                <w:color w:val="auto"/>
              </w:rPr>
            </w:pPr>
            <w:r>
              <w:rPr>
                <w:rFonts w:ascii="Arial" w:cs="Arial" w:eastAsia="Arial" w:hAnsi="Arial"/>
                <w:sz w:val="17"/>
                <w:szCs w:val="17"/>
                <w:color w:val="auto"/>
              </w:rPr>
              <w:t>0%</w:t>
            </w:r>
          </w:p>
        </w:tc>
      </w:tr>
      <w:tr>
        <w:trPr>
          <w:trHeight w:val="37"/>
        </w:trPr>
        <w:tc>
          <w:tcPr>
            <w:tcW w:w="4660" w:type="dxa"/>
            <w:vAlign w:val="bottom"/>
            <w:tcBorders>
              <w:bottom w:val="single" w:sz="8" w:color="125288"/>
            </w:tcBorders>
          </w:tcPr>
          <w:p>
            <w:pPr>
              <w:spacing w:after="0"/>
              <w:rPr>
                <w:sz w:val="3"/>
                <w:szCs w:val="3"/>
                <w:color w:val="auto"/>
              </w:rPr>
            </w:pPr>
          </w:p>
        </w:tc>
        <w:tc>
          <w:tcPr>
            <w:tcW w:w="6600" w:type="dxa"/>
            <w:vAlign w:val="bottom"/>
            <w:tcBorders>
              <w:bottom w:val="single" w:sz="8" w:color="125288"/>
            </w:tcBorders>
          </w:tcPr>
          <w:p>
            <w:pPr>
              <w:spacing w:after="0"/>
              <w:rPr>
                <w:sz w:val="3"/>
                <w:szCs w:val="3"/>
                <w:color w:val="auto"/>
              </w:rPr>
            </w:pPr>
          </w:p>
        </w:tc>
      </w:tr>
      <w:tr>
        <w:trPr>
          <w:trHeight w:val="228"/>
        </w:trPr>
        <w:tc>
          <w:tcPr>
            <w:tcW w:w="4660" w:type="dxa"/>
            <w:vAlign w:val="bottom"/>
          </w:tcPr>
          <w:p>
            <w:pPr>
              <w:ind w:left="60"/>
              <w:spacing w:after="0"/>
              <w:rPr>
                <w:sz w:val="20"/>
                <w:szCs w:val="20"/>
                <w:color w:val="auto"/>
              </w:rPr>
            </w:pPr>
            <w:r>
              <w:rPr>
                <w:rFonts w:ascii="Arial" w:cs="Arial" w:eastAsia="Arial" w:hAnsi="Arial"/>
                <w:sz w:val="17"/>
                <w:szCs w:val="17"/>
                <w:color w:val="auto"/>
              </w:rPr>
              <w:t>10.8 percentage points</w:t>
            </w:r>
          </w:p>
        </w:tc>
        <w:tc>
          <w:tcPr>
            <w:tcW w:w="6600" w:type="dxa"/>
            <w:vAlign w:val="bottom"/>
          </w:tcPr>
          <w:p>
            <w:pPr>
              <w:ind w:left="2040"/>
              <w:spacing w:after="0"/>
              <w:rPr>
                <w:sz w:val="20"/>
                <w:szCs w:val="20"/>
                <w:color w:val="auto"/>
              </w:rPr>
            </w:pPr>
            <w:r>
              <w:rPr>
                <w:rFonts w:ascii="Arial" w:cs="Arial" w:eastAsia="Arial" w:hAnsi="Arial"/>
                <w:sz w:val="17"/>
                <w:szCs w:val="17"/>
                <w:color w:val="auto"/>
              </w:rPr>
              <w:t>50% of each target of 12,899*</w:t>
            </w:r>
          </w:p>
        </w:tc>
      </w:tr>
      <w:tr>
        <w:trPr>
          <w:trHeight w:val="37"/>
        </w:trPr>
        <w:tc>
          <w:tcPr>
            <w:tcW w:w="4660" w:type="dxa"/>
            <w:vAlign w:val="bottom"/>
            <w:tcBorders>
              <w:bottom w:val="single" w:sz="8" w:color="125288"/>
            </w:tcBorders>
          </w:tcPr>
          <w:p>
            <w:pPr>
              <w:spacing w:after="0"/>
              <w:rPr>
                <w:sz w:val="3"/>
                <w:szCs w:val="3"/>
                <w:color w:val="auto"/>
              </w:rPr>
            </w:pPr>
          </w:p>
        </w:tc>
        <w:tc>
          <w:tcPr>
            <w:tcW w:w="6600" w:type="dxa"/>
            <w:vAlign w:val="bottom"/>
            <w:tcBorders>
              <w:bottom w:val="single" w:sz="8" w:color="125288"/>
            </w:tcBorders>
          </w:tcPr>
          <w:p>
            <w:pPr>
              <w:spacing w:after="0"/>
              <w:rPr>
                <w:sz w:val="3"/>
                <w:szCs w:val="3"/>
                <w:color w:val="auto"/>
              </w:rPr>
            </w:pPr>
          </w:p>
        </w:tc>
      </w:tr>
      <w:tr>
        <w:trPr>
          <w:trHeight w:val="228"/>
        </w:trPr>
        <w:tc>
          <w:tcPr>
            <w:tcW w:w="4660" w:type="dxa"/>
            <w:vAlign w:val="bottom"/>
          </w:tcPr>
          <w:p>
            <w:pPr>
              <w:ind w:left="60"/>
              <w:spacing w:after="0"/>
              <w:rPr>
                <w:sz w:val="20"/>
                <w:szCs w:val="20"/>
                <w:color w:val="auto"/>
              </w:rPr>
            </w:pPr>
            <w:r>
              <w:rPr>
                <w:rFonts w:ascii="Arial" w:cs="Arial" w:eastAsia="Arial" w:hAnsi="Arial"/>
                <w:sz w:val="17"/>
                <w:szCs w:val="17"/>
                <w:color w:val="auto"/>
              </w:rPr>
              <w:t>12 percentage points</w:t>
            </w:r>
          </w:p>
        </w:tc>
        <w:tc>
          <w:tcPr>
            <w:tcW w:w="6600" w:type="dxa"/>
            <w:vAlign w:val="bottom"/>
          </w:tcPr>
          <w:p>
            <w:pPr>
              <w:ind w:left="2040"/>
              <w:spacing w:after="0"/>
              <w:rPr>
                <w:sz w:val="20"/>
                <w:szCs w:val="20"/>
                <w:color w:val="auto"/>
              </w:rPr>
            </w:pPr>
            <w:r>
              <w:rPr>
                <w:rFonts w:ascii="Arial" w:cs="Arial" w:eastAsia="Arial" w:hAnsi="Arial"/>
                <w:sz w:val="17"/>
                <w:szCs w:val="17"/>
                <w:color w:val="auto"/>
              </w:rPr>
              <w:t>100% of each target of 12,899*</w:t>
            </w:r>
          </w:p>
        </w:tc>
      </w:tr>
      <w:tr>
        <w:trPr>
          <w:trHeight w:val="37"/>
        </w:trPr>
        <w:tc>
          <w:tcPr>
            <w:tcW w:w="4660" w:type="dxa"/>
            <w:vAlign w:val="bottom"/>
            <w:tcBorders>
              <w:bottom w:val="single" w:sz="8" w:color="125288"/>
            </w:tcBorders>
          </w:tcPr>
          <w:p>
            <w:pPr>
              <w:spacing w:after="0"/>
              <w:rPr>
                <w:sz w:val="3"/>
                <w:szCs w:val="3"/>
                <w:color w:val="auto"/>
              </w:rPr>
            </w:pPr>
          </w:p>
        </w:tc>
        <w:tc>
          <w:tcPr>
            <w:tcW w:w="6600" w:type="dxa"/>
            <w:vAlign w:val="bottom"/>
            <w:tcBorders>
              <w:bottom w:val="single" w:sz="8" w:color="125288"/>
            </w:tcBorders>
          </w:tcPr>
          <w:p>
            <w:pPr>
              <w:spacing w:after="0"/>
              <w:rPr>
                <w:sz w:val="3"/>
                <w:szCs w:val="3"/>
                <w:color w:val="auto"/>
              </w:rPr>
            </w:pPr>
          </w:p>
        </w:tc>
      </w:tr>
      <w:tr>
        <w:trPr>
          <w:trHeight w:val="228"/>
        </w:trPr>
        <w:tc>
          <w:tcPr>
            <w:tcW w:w="4660" w:type="dxa"/>
            <w:vAlign w:val="bottom"/>
          </w:tcPr>
          <w:p>
            <w:pPr>
              <w:ind w:left="6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15 percentage points or more</w:t>
            </w:r>
          </w:p>
        </w:tc>
        <w:tc>
          <w:tcPr>
            <w:tcW w:w="6600" w:type="dxa"/>
            <w:vAlign w:val="bottom"/>
          </w:tcPr>
          <w:p>
            <w:pPr>
              <w:ind w:left="2040"/>
              <w:spacing w:after="0"/>
              <w:rPr>
                <w:sz w:val="20"/>
                <w:szCs w:val="20"/>
                <w:color w:val="auto"/>
              </w:rPr>
            </w:pPr>
            <w:r>
              <w:rPr>
                <w:rFonts w:ascii="Arial" w:cs="Arial" w:eastAsia="Arial" w:hAnsi="Arial"/>
                <w:sz w:val="17"/>
                <w:szCs w:val="17"/>
                <w:color w:val="auto"/>
              </w:rPr>
              <w:t>125% of each target of 12,899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7148830" cy="152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87" w:lineRule="exact"/>
        <w:rPr>
          <w:sz w:val="20"/>
          <w:szCs w:val="20"/>
          <w:color w:val="auto"/>
        </w:rPr>
      </w:pPr>
    </w:p>
    <w:p>
      <w:pPr>
        <w:ind w:left="60"/>
        <w:spacing w:after="0"/>
        <w:tabs>
          <w:tab w:leader="none" w:pos="240" w:val="left"/>
        </w:tabs>
        <w:rPr>
          <w:sz w:val="20"/>
          <w:szCs w:val="20"/>
          <w:color w:val="auto"/>
        </w:rPr>
      </w:pPr>
      <w:r>
        <w:rPr>
          <w:rFonts w:ascii="Arial" w:cs="Arial" w:eastAsia="Arial" w:hAnsi="Arial"/>
          <w:sz w:val="15"/>
          <w:szCs w:val="15"/>
          <w:color w:val="auto"/>
        </w:rPr>
        <w:t>*</w:t>
        <w:tab/>
        <w:t>If actual performance is between any two points, the number of PSUs that vest will be determined using straight-line interpolation.</w:t>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Each tranche of this award vests only if our TSR is positive during the relevant performance period.</w:t>
      </w:r>
    </w:p>
    <w:p>
      <w:pPr>
        <w:spacing w:after="0" w:line="269" w:lineRule="exact"/>
        <w:rPr>
          <w:sz w:val="20"/>
          <w:szCs w:val="20"/>
          <w:color w:val="auto"/>
        </w:rPr>
      </w:pPr>
    </w:p>
    <w:p>
      <w:pPr>
        <w:jc w:val="both"/>
        <w:ind w:right="20"/>
        <w:spacing w:after="0" w:line="236" w:lineRule="auto"/>
        <w:rPr>
          <w:sz w:val="20"/>
          <w:szCs w:val="20"/>
          <w:color w:val="auto"/>
        </w:rPr>
      </w:pPr>
      <w:r>
        <w:rPr>
          <w:rFonts w:ascii="Arial" w:cs="Arial" w:eastAsia="Arial" w:hAnsi="Arial"/>
          <w:sz w:val="19"/>
          <w:szCs w:val="19"/>
          <w:color w:val="auto"/>
        </w:rPr>
        <w:t>Our TSR is measured by reference to the increase or decrease, as the case may be, between the average of the closing price of our Common Stock on The Nasdaq Stock Market for the 30 trading days ended on the first available trading date of the measurement period (i.e., $83.80 for the first tranche of the award and $61.64 for the second) and the average of the closing price of our Common Stock on The Nasdaq Stock Market for the 30 trading days ended on the last date of the measurement period. The rate of return of the S&amp;P 500 Total Return Index is measured by reference to the increase or decrease, as the case may be, between the average of the closing value of the S&amp;P 500 Total Return Index for the thirty trading days ended on the first available trading date of the measurement period (i.e., $7,575.70 for the first tranche of the award and $9,787.82 for the second) and the average of the closing value of the S&amp;P 500 Total Return Index for the 30 trading days ended on the last date of the measurement period.</w:t>
      </w:r>
    </w:p>
    <w:p>
      <w:pPr>
        <w:spacing w:after="0" w:line="267"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Please see “—Grants of Plan-Based Awards for 2021” and “—Outstanding Equity Awards at December 31, 2021” above for more information about these PSUs.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125288"/>
        </w:rPr>
        <w:t>Annual Equity Awards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Annual Equity Awards (Annual Performance)</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Mr. Zerza is eligible to receive annual equity grants of PSUs (1) with vesting based on the achievement of AB Adjusted OI objectives set forth in our AOP, with a target value of $469,000 per year, (2) with vesting based on the achievement of AB Adjusted EPS objectives set forth in our AOP, with a target value of $938,000 per year, and (3) with vesting based on our cumulative TSR as compared to the rate of return of the S&amp;P 500 Total Return Index for the year following the grant, with a target value of $469,000 per year. The vesting of each of these awards was or is, as the case may be, subject to Mr. Zerza’s continued employment through the relevant vesting date.</w:t>
      </w:r>
    </w:p>
    <w:p>
      <w:pPr>
        <w:spacing w:after="0" w:line="263"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On November 4, 2021, Mr. Zerza was awarded PSUs where target performance would result in the vesting of 6,874 PSUs. One-third of this award is eligible to vest on each of March 30, 2023, 2024, and 2025, in each case based on the level of the Company’s performance measured by reference to the AB Adjusted OI objective set forth in our AOP for the year immediately preceding such vesting date,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720" w:type="dxa"/>
            <w:vAlign w:val="bottom"/>
          </w:tcPr>
          <w:p>
            <w:pPr>
              <w:spacing w:after="0"/>
              <w:rPr>
                <w:sz w:val="15"/>
                <w:szCs w:val="15"/>
                <w:color w:val="auto"/>
              </w:rPr>
            </w:pPr>
          </w:p>
        </w:tc>
        <w:tc>
          <w:tcPr>
            <w:tcW w:w="7540" w:type="dxa"/>
            <w:vAlign w:val="bottom"/>
          </w:tcPr>
          <w:p>
            <w:pPr>
              <w:ind w:left="2300"/>
              <w:spacing w:after="0"/>
              <w:rPr>
                <w:sz w:val="20"/>
                <w:szCs w:val="20"/>
                <w:color w:val="auto"/>
              </w:rPr>
            </w:pPr>
            <w:r>
              <w:rPr>
                <w:rFonts w:ascii="Arial" w:cs="Arial" w:eastAsia="Arial" w:hAnsi="Arial"/>
                <w:sz w:val="15"/>
                <w:szCs w:val="15"/>
                <w:b w:val="1"/>
                <w:bCs w:val="1"/>
                <w:color w:val="125288"/>
              </w:rPr>
              <w:t>PSUs vesting on</w:t>
            </w:r>
          </w:p>
        </w:tc>
      </w:tr>
      <w:tr>
        <w:trPr>
          <w:trHeight w:val="178"/>
        </w:trPr>
        <w:tc>
          <w:tcPr>
            <w:tcW w:w="3720" w:type="dxa"/>
            <w:vAlign w:val="bottom"/>
          </w:tcPr>
          <w:p>
            <w:pPr>
              <w:spacing w:after="0"/>
              <w:rPr>
                <w:sz w:val="15"/>
                <w:szCs w:val="15"/>
                <w:color w:val="auto"/>
              </w:rPr>
            </w:pPr>
          </w:p>
        </w:tc>
        <w:tc>
          <w:tcPr>
            <w:tcW w:w="7540" w:type="dxa"/>
            <w:vAlign w:val="bottom"/>
          </w:tcPr>
          <w:p>
            <w:pPr>
              <w:ind w:left="2300"/>
              <w:spacing w:after="0"/>
              <w:rPr>
                <w:sz w:val="20"/>
                <w:szCs w:val="20"/>
                <w:color w:val="auto"/>
              </w:rPr>
            </w:pPr>
            <w:r>
              <w:rPr>
                <w:rFonts w:ascii="Arial" w:cs="Arial" w:eastAsia="Arial" w:hAnsi="Arial"/>
                <w:sz w:val="15"/>
                <w:szCs w:val="15"/>
                <w:b w:val="1"/>
                <w:bCs w:val="1"/>
                <w:color w:val="125288"/>
              </w:rPr>
              <w:t>March 30, 2023, 2024,</w:t>
            </w:r>
          </w:p>
        </w:tc>
      </w:tr>
      <w:tr>
        <w:trPr>
          <w:trHeight w:val="204"/>
        </w:trPr>
        <w:tc>
          <w:tcPr>
            <w:tcW w:w="3720" w:type="dxa"/>
            <w:vAlign w:val="bottom"/>
          </w:tcPr>
          <w:p>
            <w:pPr>
              <w:ind w:left="40"/>
              <w:spacing w:after="0"/>
              <w:rPr>
                <w:sz w:val="20"/>
                <w:szCs w:val="20"/>
                <w:color w:val="auto"/>
              </w:rPr>
            </w:pPr>
            <w:r>
              <w:rPr>
                <w:rFonts w:ascii="Arial" w:cs="Arial" w:eastAsia="Arial" w:hAnsi="Arial"/>
                <w:sz w:val="15"/>
                <w:szCs w:val="15"/>
                <w:b w:val="1"/>
                <w:bCs w:val="1"/>
                <w:color w:val="125288"/>
              </w:rPr>
              <w:t>OI (actual vs. AOP)</w:t>
            </w:r>
          </w:p>
        </w:tc>
        <w:tc>
          <w:tcPr>
            <w:tcW w:w="7540" w:type="dxa"/>
            <w:vAlign w:val="bottom"/>
          </w:tcPr>
          <w:p>
            <w:pPr>
              <w:ind w:left="2300"/>
              <w:spacing w:after="0"/>
              <w:rPr>
                <w:sz w:val="20"/>
                <w:szCs w:val="20"/>
                <w:color w:val="auto"/>
              </w:rPr>
            </w:pPr>
            <w:r>
              <w:rPr>
                <w:rFonts w:ascii="Arial" w:cs="Arial" w:eastAsia="Arial" w:hAnsi="Arial"/>
                <w:sz w:val="15"/>
                <w:szCs w:val="15"/>
                <w:b w:val="1"/>
                <w:bCs w:val="1"/>
                <w:color w:val="125288"/>
              </w:rPr>
              <w:t>and 2025</w:t>
            </w:r>
          </w:p>
        </w:tc>
      </w:tr>
      <w:tr>
        <w:trPr>
          <w:trHeight w:val="41"/>
        </w:trPr>
        <w:tc>
          <w:tcPr>
            <w:tcW w:w="3720" w:type="dxa"/>
            <w:vAlign w:val="bottom"/>
            <w:tcBorders>
              <w:bottom w:val="single" w:sz="8" w:color="125288"/>
            </w:tcBorders>
          </w:tcPr>
          <w:p>
            <w:pPr>
              <w:spacing w:after="0"/>
              <w:rPr>
                <w:sz w:val="3"/>
                <w:szCs w:val="3"/>
                <w:color w:val="auto"/>
              </w:rPr>
            </w:pPr>
          </w:p>
        </w:tc>
        <w:tc>
          <w:tcPr>
            <w:tcW w:w="7540" w:type="dxa"/>
            <w:vAlign w:val="bottom"/>
            <w:tcBorders>
              <w:bottom w:val="single" w:sz="8" w:color="125288"/>
            </w:tcBorders>
          </w:tcPr>
          <w:p>
            <w:pPr>
              <w:spacing w:after="0"/>
              <w:rPr>
                <w:sz w:val="3"/>
                <w:szCs w:val="3"/>
                <w:color w:val="auto"/>
              </w:rPr>
            </w:pPr>
          </w:p>
        </w:tc>
      </w:tr>
      <w:tr>
        <w:trPr>
          <w:trHeight w:val="228"/>
        </w:trPr>
        <w:tc>
          <w:tcPr>
            <w:tcW w:w="3720" w:type="dxa"/>
            <w:vAlign w:val="bottom"/>
          </w:tcPr>
          <w:p>
            <w:pPr>
              <w:ind w:left="40"/>
              <w:spacing w:after="0"/>
              <w:rPr>
                <w:sz w:val="20"/>
                <w:szCs w:val="20"/>
                <w:color w:val="auto"/>
              </w:rPr>
            </w:pPr>
            <w:r>
              <w:rPr>
                <w:rFonts w:ascii="Arial" w:cs="Arial" w:eastAsia="Arial" w:hAnsi="Arial"/>
                <w:sz w:val="15"/>
                <w:szCs w:val="15"/>
                <w:color w:val="auto"/>
              </w:rPr>
              <w:t>&lt;</w:t>
            </w:r>
            <w:r>
              <w:rPr>
                <w:rFonts w:ascii="Arial" w:cs="Arial" w:eastAsia="Arial" w:hAnsi="Arial"/>
                <w:sz w:val="16"/>
                <w:szCs w:val="16"/>
                <w:color w:val="auto"/>
              </w:rPr>
              <w:t>90%</w:t>
            </w:r>
          </w:p>
        </w:tc>
        <w:tc>
          <w:tcPr>
            <w:tcW w:w="7540" w:type="dxa"/>
            <w:vAlign w:val="bottom"/>
          </w:tcPr>
          <w:p>
            <w:pPr>
              <w:ind w:left="2300"/>
              <w:spacing w:after="0"/>
              <w:rPr>
                <w:sz w:val="20"/>
                <w:szCs w:val="20"/>
                <w:color w:val="auto"/>
              </w:rPr>
            </w:pPr>
            <w:r>
              <w:rPr>
                <w:rFonts w:ascii="Arial" w:cs="Arial" w:eastAsia="Arial" w:hAnsi="Arial"/>
                <w:sz w:val="17"/>
                <w:szCs w:val="17"/>
                <w:color w:val="auto"/>
              </w:rPr>
              <w:t>0%</w:t>
            </w:r>
          </w:p>
        </w:tc>
      </w:tr>
      <w:tr>
        <w:trPr>
          <w:trHeight w:val="37"/>
        </w:trPr>
        <w:tc>
          <w:tcPr>
            <w:tcW w:w="3720" w:type="dxa"/>
            <w:vAlign w:val="bottom"/>
            <w:tcBorders>
              <w:bottom w:val="single" w:sz="8" w:color="125288"/>
            </w:tcBorders>
          </w:tcPr>
          <w:p>
            <w:pPr>
              <w:spacing w:after="0"/>
              <w:rPr>
                <w:sz w:val="3"/>
                <w:szCs w:val="3"/>
                <w:color w:val="auto"/>
              </w:rPr>
            </w:pPr>
          </w:p>
        </w:tc>
        <w:tc>
          <w:tcPr>
            <w:tcW w:w="7540" w:type="dxa"/>
            <w:vAlign w:val="bottom"/>
            <w:tcBorders>
              <w:bottom w:val="single" w:sz="8" w:color="125288"/>
            </w:tcBorders>
          </w:tcPr>
          <w:p>
            <w:pPr>
              <w:spacing w:after="0"/>
              <w:rPr>
                <w:sz w:val="3"/>
                <w:szCs w:val="3"/>
                <w:color w:val="auto"/>
              </w:rPr>
            </w:pPr>
          </w:p>
        </w:tc>
      </w:tr>
      <w:tr>
        <w:trPr>
          <w:trHeight w:val="228"/>
        </w:trPr>
        <w:tc>
          <w:tcPr>
            <w:tcW w:w="3720" w:type="dxa"/>
            <w:vAlign w:val="bottom"/>
          </w:tcPr>
          <w:p>
            <w:pPr>
              <w:ind w:left="40"/>
              <w:spacing w:after="0"/>
              <w:rPr>
                <w:sz w:val="20"/>
                <w:szCs w:val="20"/>
                <w:color w:val="auto"/>
              </w:rPr>
            </w:pPr>
            <w:r>
              <w:rPr>
                <w:rFonts w:ascii="Arial" w:cs="Arial" w:eastAsia="Arial" w:hAnsi="Arial"/>
                <w:sz w:val="17"/>
                <w:szCs w:val="17"/>
                <w:color w:val="auto"/>
              </w:rPr>
              <w:t>90%</w:t>
            </w:r>
          </w:p>
        </w:tc>
        <w:tc>
          <w:tcPr>
            <w:tcW w:w="7540" w:type="dxa"/>
            <w:vAlign w:val="bottom"/>
          </w:tcPr>
          <w:p>
            <w:pPr>
              <w:ind w:left="2300"/>
              <w:spacing w:after="0"/>
              <w:rPr>
                <w:sz w:val="20"/>
                <w:szCs w:val="20"/>
                <w:color w:val="auto"/>
              </w:rPr>
            </w:pPr>
            <w:r>
              <w:rPr>
                <w:rFonts w:ascii="Arial" w:cs="Arial" w:eastAsia="Arial" w:hAnsi="Arial"/>
                <w:sz w:val="17"/>
                <w:szCs w:val="17"/>
                <w:color w:val="auto"/>
              </w:rPr>
              <w:t>50% of annual target of 2,291*</w:t>
            </w:r>
          </w:p>
        </w:tc>
      </w:tr>
      <w:tr>
        <w:trPr>
          <w:trHeight w:val="37"/>
        </w:trPr>
        <w:tc>
          <w:tcPr>
            <w:tcW w:w="3720" w:type="dxa"/>
            <w:vAlign w:val="bottom"/>
            <w:tcBorders>
              <w:bottom w:val="single" w:sz="8" w:color="125288"/>
            </w:tcBorders>
          </w:tcPr>
          <w:p>
            <w:pPr>
              <w:spacing w:after="0"/>
              <w:rPr>
                <w:sz w:val="3"/>
                <w:szCs w:val="3"/>
                <w:color w:val="auto"/>
              </w:rPr>
            </w:pPr>
          </w:p>
        </w:tc>
        <w:tc>
          <w:tcPr>
            <w:tcW w:w="7540" w:type="dxa"/>
            <w:vAlign w:val="bottom"/>
            <w:tcBorders>
              <w:bottom w:val="single" w:sz="8" w:color="125288"/>
            </w:tcBorders>
          </w:tcPr>
          <w:p>
            <w:pPr>
              <w:spacing w:after="0"/>
              <w:rPr>
                <w:sz w:val="3"/>
                <w:szCs w:val="3"/>
                <w:color w:val="auto"/>
              </w:rPr>
            </w:pPr>
          </w:p>
        </w:tc>
      </w:tr>
      <w:tr>
        <w:trPr>
          <w:trHeight w:val="228"/>
        </w:trPr>
        <w:tc>
          <w:tcPr>
            <w:tcW w:w="3720" w:type="dxa"/>
            <w:vAlign w:val="bottom"/>
          </w:tcPr>
          <w:p>
            <w:pPr>
              <w:ind w:left="40"/>
              <w:spacing w:after="0"/>
              <w:rPr>
                <w:sz w:val="20"/>
                <w:szCs w:val="20"/>
                <w:color w:val="auto"/>
              </w:rPr>
            </w:pPr>
            <w:r>
              <w:rPr>
                <w:rFonts w:ascii="Arial" w:cs="Arial" w:eastAsia="Arial" w:hAnsi="Arial"/>
                <w:sz w:val="17"/>
                <w:szCs w:val="17"/>
                <w:color w:val="auto"/>
              </w:rPr>
              <w:t>100%</w:t>
            </w:r>
          </w:p>
        </w:tc>
        <w:tc>
          <w:tcPr>
            <w:tcW w:w="7540" w:type="dxa"/>
            <w:vAlign w:val="bottom"/>
          </w:tcPr>
          <w:p>
            <w:pPr>
              <w:ind w:left="2300"/>
              <w:spacing w:after="0"/>
              <w:rPr>
                <w:sz w:val="20"/>
                <w:szCs w:val="20"/>
                <w:color w:val="auto"/>
              </w:rPr>
            </w:pPr>
            <w:r>
              <w:rPr>
                <w:rFonts w:ascii="Arial" w:cs="Arial" w:eastAsia="Arial" w:hAnsi="Arial"/>
                <w:sz w:val="17"/>
                <w:szCs w:val="17"/>
                <w:color w:val="auto"/>
              </w:rPr>
              <w:t>100% of annual target of 2,291*</w:t>
            </w:r>
          </w:p>
        </w:tc>
      </w:tr>
      <w:tr>
        <w:trPr>
          <w:trHeight w:val="37"/>
        </w:trPr>
        <w:tc>
          <w:tcPr>
            <w:tcW w:w="3720" w:type="dxa"/>
            <w:vAlign w:val="bottom"/>
            <w:tcBorders>
              <w:bottom w:val="single" w:sz="8" w:color="125288"/>
            </w:tcBorders>
          </w:tcPr>
          <w:p>
            <w:pPr>
              <w:spacing w:after="0"/>
              <w:rPr>
                <w:sz w:val="3"/>
                <w:szCs w:val="3"/>
                <w:color w:val="auto"/>
              </w:rPr>
            </w:pPr>
          </w:p>
        </w:tc>
        <w:tc>
          <w:tcPr>
            <w:tcW w:w="7540" w:type="dxa"/>
            <w:vAlign w:val="bottom"/>
            <w:tcBorders>
              <w:bottom w:val="single" w:sz="8" w:color="125288"/>
            </w:tcBorders>
          </w:tcPr>
          <w:p>
            <w:pPr>
              <w:spacing w:after="0"/>
              <w:rPr>
                <w:sz w:val="3"/>
                <w:szCs w:val="3"/>
                <w:color w:val="auto"/>
              </w:rPr>
            </w:pPr>
          </w:p>
        </w:tc>
      </w:tr>
      <w:tr>
        <w:trPr>
          <w:trHeight w:val="228"/>
        </w:trPr>
        <w:tc>
          <w:tcPr>
            <w:tcW w:w="3720" w:type="dxa"/>
            <w:vAlign w:val="bottom"/>
          </w:tcPr>
          <w:p>
            <w:pPr>
              <w:ind w:left="4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125%</w:t>
            </w:r>
          </w:p>
        </w:tc>
        <w:tc>
          <w:tcPr>
            <w:tcW w:w="7540" w:type="dxa"/>
            <w:vAlign w:val="bottom"/>
          </w:tcPr>
          <w:p>
            <w:pPr>
              <w:ind w:left="2300"/>
              <w:spacing w:after="0"/>
              <w:rPr>
                <w:sz w:val="20"/>
                <w:szCs w:val="20"/>
                <w:color w:val="auto"/>
              </w:rPr>
            </w:pPr>
            <w:r>
              <w:rPr>
                <w:rFonts w:ascii="Arial" w:cs="Arial" w:eastAsia="Arial" w:hAnsi="Arial"/>
                <w:sz w:val="17"/>
                <w:szCs w:val="17"/>
                <w:color w:val="auto"/>
              </w:rPr>
              <w:t>125% of annual target of 2,291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7148830" cy="152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87"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5"/>
          <w:szCs w:val="15"/>
          <w:color w:val="auto"/>
        </w:rPr>
        <w:t>*</w:t>
        <w:tab/>
        <w:t>If actual performance is between any two points, the number of PSUs that vest will be determined using straight-line interpolation.</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auto"/>
        </w:rPr>
        <w:t>Please see “—Outstanding Equity Awards at December 31, 2021” above for more information about these PSUs.</w:t>
      </w:r>
    </w:p>
    <w:p>
      <w:pPr>
        <w:spacing w:after="0" w:line="26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On November 4, 2021, Mr. Zerza was also awarded PSUs where target performance would result in the vesting of 13,748 PSUs. One-third of this award is eligible to vest on each of March 30, 2023, 2024, and 2025, in each case based on the level of the Company’s performance measured by reference to the AB Adjusted EPS objective set forth in our AOP for the year immediately preceding such vesting date,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740" w:type="dxa"/>
            <w:vAlign w:val="bottom"/>
          </w:tcPr>
          <w:p>
            <w:pPr>
              <w:spacing w:after="0"/>
              <w:rPr>
                <w:sz w:val="15"/>
                <w:szCs w:val="15"/>
                <w:color w:val="auto"/>
              </w:rPr>
            </w:pPr>
          </w:p>
        </w:tc>
        <w:tc>
          <w:tcPr>
            <w:tcW w:w="7520" w:type="dxa"/>
            <w:vAlign w:val="bottom"/>
          </w:tcPr>
          <w:p>
            <w:pPr>
              <w:ind w:left="2160"/>
              <w:spacing w:after="0"/>
              <w:rPr>
                <w:sz w:val="20"/>
                <w:szCs w:val="20"/>
                <w:color w:val="auto"/>
              </w:rPr>
            </w:pPr>
            <w:r>
              <w:rPr>
                <w:rFonts w:ascii="Arial" w:cs="Arial" w:eastAsia="Arial" w:hAnsi="Arial"/>
                <w:sz w:val="15"/>
                <w:szCs w:val="15"/>
                <w:b w:val="1"/>
                <w:bCs w:val="1"/>
                <w:color w:val="125288"/>
              </w:rPr>
              <w:t>PSUs vesting on</w:t>
            </w:r>
          </w:p>
        </w:tc>
      </w:tr>
      <w:tr>
        <w:trPr>
          <w:trHeight w:val="178"/>
        </w:trPr>
        <w:tc>
          <w:tcPr>
            <w:tcW w:w="3740" w:type="dxa"/>
            <w:vAlign w:val="bottom"/>
          </w:tcPr>
          <w:p>
            <w:pPr>
              <w:spacing w:after="0"/>
              <w:rPr>
                <w:sz w:val="15"/>
                <w:szCs w:val="15"/>
                <w:color w:val="auto"/>
              </w:rPr>
            </w:pPr>
          </w:p>
        </w:tc>
        <w:tc>
          <w:tcPr>
            <w:tcW w:w="7520" w:type="dxa"/>
            <w:vAlign w:val="bottom"/>
          </w:tcPr>
          <w:p>
            <w:pPr>
              <w:ind w:left="2160"/>
              <w:spacing w:after="0"/>
              <w:rPr>
                <w:sz w:val="20"/>
                <w:szCs w:val="20"/>
                <w:color w:val="auto"/>
              </w:rPr>
            </w:pPr>
            <w:r>
              <w:rPr>
                <w:rFonts w:ascii="Arial" w:cs="Arial" w:eastAsia="Arial" w:hAnsi="Arial"/>
                <w:sz w:val="15"/>
                <w:szCs w:val="15"/>
                <w:b w:val="1"/>
                <w:bCs w:val="1"/>
                <w:color w:val="125288"/>
              </w:rPr>
              <w:t>March 30, 2023, 2024,</w:t>
            </w:r>
          </w:p>
        </w:tc>
      </w:tr>
      <w:tr>
        <w:trPr>
          <w:trHeight w:val="204"/>
        </w:trPr>
        <w:tc>
          <w:tcPr>
            <w:tcW w:w="3740" w:type="dxa"/>
            <w:vAlign w:val="bottom"/>
          </w:tcPr>
          <w:p>
            <w:pPr>
              <w:ind w:left="40"/>
              <w:spacing w:after="0"/>
              <w:rPr>
                <w:sz w:val="20"/>
                <w:szCs w:val="20"/>
                <w:color w:val="auto"/>
              </w:rPr>
            </w:pPr>
            <w:r>
              <w:rPr>
                <w:rFonts w:ascii="Arial" w:cs="Arial" w:eastAsia="Arial" w:hAnsi="Arial"/>
                <w:sz w:val="15"/>
                <w:szCs w:val="15"/>
                <w:b w:val="1"/>
                <w:bCs w:val="1"/>
                <w:color w:val="125288"/>
              </w:rPr>
              <w:t>EPS (actual vs. AOP)</w:t>
            </w:r>
          </w:p>
        </w:tc>
        <w:tc>
          <w:tcPr>
            <w:tcW w:w="7520" w:type="dxa"/>
            <w:vAlign w:val="bottom"/>
          </w:tcPr>
          <w:p>
            <w:pPr>
              <w:ind w:left="2160"/>
              <w:spacing w:after="0"/>
              <w:rPr>
                <w:sz w:val="20"/>
                <w:szCs w:val="20"/>
                <w:color w:val="auto"/>
              </w:rPr>
            </w:pPr>
            <w:r>
              <w:rPr>
                <w:rFonts w:ascii="Arial" w:cs="Arial" w:eastAsia="Arial" w:hAnsi="Arial"/>
                <w:sz w:val="15"/>
                <w:szCs w:val="15"/>
                <w:b w:val="1"/>
                <w:bCs w:val="1"/>
                <w:color w:val="125288"/>
              </w:rPr>
              <w:t>and 2025</w:t>
            </w:r>
          </w:p>
        </w:tc>
      </w:tr>
      <w:tr>
        <w:trPr>
          <w:trHeight w:val="41"/>
        </w:trPr>
        <w:tc>
          <w:tcPr>
            <w:tcW w:w="3740" w:type="dxa"/>
            <w:vAlign w:val="bottom"/>
            <w:tcBorders>
              <w:bottom w:val="single" w:sz="8" w:color="125288"/>
            </w:tcBorders>
          </w:tcPr>
          <w:p>
            <w:pPr>
              <w:spacing w:after="0"/>
              <w:rPr>
                <w:sz w:val="3"/>
                <w:szCs w:val="3"/>
                <w:color w:val="auto"/>
              </w:rPr>
            </w:pPr>
          </w:p>
        </w:tc>
        <w:tc>
          <w:tcPr>
            <w:tcW w:w="7520" w:type="dxa"/>
            <w:vAlign w:val="bottom"/>
            <w:tcBorders>
              <w:bottom w:val="single" w:sz="8" w:color="125288"/>
            </w:tcBorders>
          </w:tcPr>
          <w:p>
            <w:pPr>
              <w:spacing w:after="0"/>
              <w:rPr>
                <w:sz w:val="3"/>
                <w:szCs w:val="3"/>
                <w:color w:val="auto"/>
              </w:rPr>
            </w:pPr>
          </w:p>
        </w:tc>
      </w:tr>
      <w:tr>
        <w:trPr>
          <w:trHeight w:val="228"/>
        </w:trPr>
        <w:tc>
          <w:tcPr>
            <w:tcW w:w="3740" w:type="dxa"/>
            <w:vAlign w:val="bottom"/>
          </w:tcPr>
          <w:p>
            <w:pPr>
              <w:ind w:left="40"/>
              <w:spacing w:after="0"/>
              <w:rPr>
                <w:sz w:val="20"/>
                <w:szCs w:val="20"/>
                <w:color w:val="auto"/>
              </w:rPr>
            </w:pPr>
            <w:r>
              <w:rPr>
                <w:rFonts w:ascii="Arial" w:cs="Arial" w:eastAsia="Arial" w:hAnsi="Arial"/>
                <w:sz w:val="15"/>
                <w:szCs w:val="15"/>
                <w:color w:val="auto"/>
              </w:rPr>
              <w:t>&lt;</w:t>
            </w:r>
            <w:r>
              <w:rPr>
                <w:rFonts w:ascii="Arial" w:cs="Arial" w:eastAsia="Arial" w:hAnsi="Arial"/>
                <w:sz w:val="16"/>
                <w:szCs w:val="16"/>
                <w:color w:val="auto"/>
              </w:rPr>
              <w:t>90%</w:t>
            </w:r>
          </w:p>
        </w:tc>
        <w:tc>
          <w:tcPr>
            <w:tcW w:w="7520" w:type="dxa"/>
            <w:vAlign w:val="bottom"/>
          </w:tcPr>
          <w:p>
            <w:pPr>
              <w:ind w:left="2160"/>
              <w:spacing w:after="0"/>
              <w:rPr>
                <w:sz w:val="20"/>
                <w:szCs w:val="20"/>
                <w:color w:val="auto"/>
              </w:rPr>
            </w:pPr>
            <w:r>
              <w:rPr>
                <w:rFonts w:ascii="Arial" w:cs="Arial" w:eastAsia="Arial" w:hAnsi="Arial"/>
                <w:sz w:val="17"/>
                <w:szCs w:val="17"/>
                <w:color w:val="auto"/>
              </w:rPr>
              <w:t>0%</w:t>
            </w:r>
          </w:p>
        </w:tc>
      </w:tr>
      <w:tr>
        <w:trPr>
          <w:trHeight w:val="37"/>
        </w:trPr>
        <w:tc>
          <w:tcPr>
            <w:tcW w:w="3740" w:type="dxa"/>
            <w:vAlign w:val="bottom"/>
            <w:tcBorders>
              <w:bottom w:val="single" w:sz="8" w:color="125288"/>
            </w:tcBorders>
          </w:tcPr>
          <w:p>
            <w:pPr>
              <w:spacing w:after="0"/>
              <w:rPr>
                <w:sz w:val="3"/>
                <w:szCs w:val="3"/>
                <w:color w:val="auto"/>
              </w:rPr>
            </w:pPr>
          </w:p>
        </w:tc>
        <w:tc>
          <w:tcPr>
            <w:tcW w:w="7520" w:type="dxa"/>
            <w:vAlign w:val="bottom"/>
            <w:tcBorders>
              <w:bottom w:val="single" w:sz="8" w:color="125288"/>
            </w:tcBorders>
          </w:tcPr>
          <w:p>
            <w:pPr>
              <w:spacing w:after="0"/>
              <w:rPr>
                <w:sz w:val="3"/>
                <w:szCs w:val="3"/>
                <w:color w:val="auto"/>
              </w:rPr>
            </w:pPr>
          </w:p>
        </w:tc>
      </w:tr>
      <w:tr>
        <w:trPr>
          <w:trHeight w:val="228"/>
        </w:trPr>
        <w:tc>
          <w:tcPr>
            <w:tcW w:w="3740" w:type="dxa"/>
            <w:vAlign w:val="bottom"/>
          </w:tcPr>
          <w:p>
            <w:pPr>
              <w:ind w:left="40"/>
              <w:spacing w:after="0"/>
              <w:rPr>
                <w:sz w:val="20"/>
                <w:szCs w:val="20"/>
                <w:color w:val="auto"/>
              </w:rPr>
            </w:pPr>
            <w:r>
              <w:rPr>
                <w:rFonts w:ascii="Arial" w:cs="Arial" w:eastAsia="Arial" w:hAnsi="Arial"/>
                <w:sz w:val="17"/>
                <w:szCs w:val="17"/>
                <w:color w:val="auto"/>
              </w:rPr>
              <w:t>90%</w:t>
            </w:r>
          </w:p>
        </w:tc>
        <w:tc>
          <w:tcPr>
            <w:tcW w:w="7520" w:type="dxa"/>
            <w:vAlign w:val="bottom"/>
          </w:tcPr>
          <w:p>
            <w:pPr>
              <w:ind w:left="2160"/>
              <w:spacing w:after="0"/>
              <w:rPr>
                <w:sz w:val="20"/>
                <w:szCs w:val="20"/>
                <w:color w:val="auto"/>
              </w:rPr>
            </w:pPr>
            <w:r>
              <w:rPr>
                <w:rFonts w:ascii="Arial" w:cs="Arial" w:eastAsia="Arial" w:hAnsi="Arial"/>
                <w:sz w:val="17"/>
                <w:szCs w:val="17"/>
                <w:color w:val="auto"/>
              </w:rPr>
              <w:t>50% of annual target of 4,583*</w:t>
            </w:r>
          </w:p>
        </w:tc>
      </w:tr>
      <w:tr>
        <w:trPr>
          <w:trHeight w:val="37"/>
        </w:trPr>
        <w:tc>
          <w:tcPr>
            <w:tcW w:w="3740" w:type="dxa"/>
            <w:vAlign w:val="bottom"/>
            <w:tcBorders>
              <w:bottom w:val="single" w:sz="8" w:color="125288"/>
            </w:tcBorders>
          </w:tcPr>
          <w:p>
            <w:pPr>
              <w:spacing w:after="0"/>
              <w:rPr>
                <w:sz w:val="3"/>
                <w:szCs w:val="3"/>
                <w:color w:val="auto"/>
              </w:rPr>
            </w:pPr>
          </w:p>
        </w:tc>
        <w:tc>
          <w:tcPr>
            <w:tcW w:w="7520" w:type="dxa"/>
            <w:vAlign w:val="bottom"/>
            <w:tcBorders>
              <w:bottom w:val="single" w:sz="8" w:color="125288"/>
            </w:tcBorders>
          </w:tcPr>
          <w:p>
            <w:pPr>
              <w:spacing w:after="0"/>
              <w:rPr>
                <w:sz w:val="3"/>
                <w:szCs w:val="3"/>
                <w:color w:val="auto"/>
              </w:rPr>
            </w:pPr>
          </w:p>
        </w:tc>
      </w:tr>
      <w:tr>
        <w:trPr>
          <w:trHeight w:val="228"/>
        </w:trPr>
        <w:tc>
          <w:tcPr>
            <w:tcW w:w="3740" w:type="dxa"/>
            <w:vAlign w:val="bottom"/>
          </w:tcPr>
          <w:p>
            <w:pPr>
              <w:ind w:left="40"/>
              <w:spacing w:after="0"/>
              <w:rPr>
                <w:sz w:val="20"/>
                <w:szCs w:val="20"/>
                <w:color w:val="auto"/>
              </w:rPr>
            </w:pPr>
            <w:r>
              <w:rPr>
                <w:rFonts w:ascii="Arial" w:cs="Arial" w:eastAsia="Arial" w:hAnsi="Arial"/>
                <w:sz w:val="17"/>
                <w:szCs w:val="17"/>
                <w:color w:val="auto"/>
              </w:rPr>
              <w:t>100%</w:t>
            </w:r>
          </w:p>
        </w:tc>
        <w:tc>
          <w:tcPr>
            <w:tcW w:w="7520" w:type="dxa"/>
            <w:vAlign w:val="bottom"/>
          </w:tcPr>
          <w:p>
            <w:pPr>
              <w:ind w:left="2160"/>
              <w:spacing w:after="0"/>
              <w:rPr>
                <w:sz w:val="20"/>
                <w:szCs w:val="20"/>
                <w:color w:val="auto"/>
              </w:rPr>
            </w:pPr>
            <w:r>
              <w:rPr>
                <w:rFonts w:ascii="Arial" w:cs="Arial" w:eastAsia="Arial" w:hAnsi="Arial"/>
                <w:sz w:val="17"/>
                <w:szCs w:val="17"/>
                <w:color w:val="auto"/>
              </w:rPr>
              <w:t>100% of annual target of 4,583*</w:t>
            </w:r>
          </w:p>
        </w:tc>
      </w:tr>
      <w:tr>
        <w:trPr>
          <w:trHeight w:val="37"/>
        </w:trPr>
        <w:tc>
          <w:tcPr>
            <w:tcW w:w="3740" w:type="dxa"/>
            <w:vAlign w:val="bottom"/>
            <w:tcBorders>
              <w:bottom w:val="single" w:sz="8" w:color="125288"/>
            </w:tcBorders>
          </w:tcPr>
          <w:p>
            <w:pPr>
              <w:spacing w:after="0"/>
              <w:rPr>
                <w:sz w:val="3"/>
                <w:szCs w:val="3"/>
                <w:color w:val="auto"/>
              </w:rPr>
            </w:pPr>
          </w:p>
        </w:tc>
        <w:tc>
          <w:tcPr>
            <w:tcW w:w="7520" w:type="dxa"/>
            <w:vAlign w:val="bottom"/>
            <w:tcBorders>
              <w:bottom w:val="single" w:sz="8" w:color="125288"/>
            </w:tcBorders>
          </w:tcPr>
          <w:p>
            <w:pPr>
              <w:spacing w:after="0"/>
              <w:rPr>
                <w:sz w:val="3"/>
                <w:szCs w:val="3"/>
                <w:color w:val="auto"/>
              </w:rPr>
            </w:pPr>
          </w:p>
        </w:tc>
      </w:tr>
      <w:tr>
        <w:trPr>
          <w:trHeight w:val="228"/>
        </w:trPr>
        <w:tc>
          <w:tcPr>
            <w:tcW w:w="3740" w:type="dxa"/>
            <w:vAlign w:val="bottom"/>
          </w:tcPr>
          <w:p>
            <w:pPr>
              <w:ind w:left="4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125%</w:t>
            </w:r>
          </w:p>
        </w:tc>
        <w:tc>
          <w:tcPr>
            <w:tcW w:w="7520" w:type="dxa"/>
            <w:vAlign w:val="bottom"/>
          </w:tcPr>
          <w:p>
            <w:pPr>
              <w:ind w:left="2160"/>
              <w:spacing w:after="0"/>
              <w:rPr>
                <w:sz w:val="20"/>
                <w:szCs w:val="20"/>
                <w:color w:val="auto"/>
              </w:rPr>
            </w:pPr>
            <w:r>
              <w:rPr>
                <w:rFonts w:ascii="Arial" w:cs="Arial" w:eastAsia="Arial" w:hAnsi="Arial"/>
                <w:sz w:val="17"/>
                <w:szCs w:val="17"/>
                <w:color w:val="auto"/>
              </w:rPr>
              <w:t>125% of annual target of 4,583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7148830" cy="152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87"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5"/>
          <w:szCs w:val="15"/>
          <w:color w:val="auto"/>
        </w:rPr>
        <w:t>*</w:t>
        <w:tab/>
        <w:t>If actual performance is between any two points, the number of PSUs that vest will be determined using straight-line interpolation.</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Please see “—Outstanding Equity Awards at December 31, 2021” above for more information about these PSUs.</w:t>
      </w:r>
    </w:p>
    <w:p>
      <w:pPr>
        <w:sectPr>
          <w:pgSz w:w="11900" w:h="16838" w:orient="portrait"/>
          <w:cols w:equalWidth="0" w:num="1">
            <w:col w:w="11260"/>
          </w:cols>
          <w:pgMar w:left="320" w:top="144" w:right="319" w:bottom="250" w:gutter="0" w:footer="0" w:header="0"/>
        </w:sectPr>
      </w:pPr>
    </w:p>
    <w:p>
      <w:pPr>
        <w:spacing w:after="0" w:line="258" w:lineRule="exact"/>
        <w:rPr>
          <w:sz w:val="20"/>
          <w:szCs w:val="20"/>
          <w:color w:val="auto"/>
        </w:rPr>
      </w:pPr>
    </w:p>
    <w:p>
      <w:pPr>
        <w:spacing w:after="0"/>
        <w:tabs>
          <w:tab w:leader="none" w:pos="7360" w:val="left"/>
          <w:tab w:leader="none" w:pos="9380" w:val="left"/>
          <w:tab w:leader="none" w:pos="1100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250" w:gutter="0" w:footer="0" w:header="0"/>
          <w:type w:val="continuous"/>
        </w:sectPr>
      </w:pPr>
    </w:p>
    <w:bookmarkStart w:id="110" w:name="page111"/>
    <w:bookmarkEnd w:id="110"/>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35" w:lineRule="exact"/>
        <w:rPr>
          <w:sz w:val="20"/>
          <w:szCs w:val="20"/>
          <w:color w:val="auto"/>
        </w:rPr>
      </w:pPr>
    </w:p>
    <w:p>
      <w:pPr>
        <w:jc w:val="both"/>
        <w:spacing w:after="0"/>
        <w:rPr>
          <w:sz w:val="20"/>
          <w:szCs w:val="20"/>
          <w:color w:val="auto"/>
        </w:rPr>
      </w:pPr>
      <w:r>
        <w:rPr>
          <w:rFonts w:ascii="Arial" w:cs="Arial" w:eastAsia="Arial" w:hAnsi="Arial"/>
          <w:sz w:val="19"/>
          <w:szCs w:val="19"/>
          <w:color w:val="auto"/>
        </w:rPr>
        <w:t>On November 4, 2021, Mr. Zerza was also awarded PSUs where target performance would result in the vesting of 6,874 PSUs. One-third of this award is eligible to vest on each of March 30, 2023, 2024, and 2025, in each case by reference to our cumulative TSR as compared to the rate of return of the S&amp;P 500 Total Return Index for the year immediately preceding the vesting date, as follows:</w:t>
      </w:r>
    </w:p>
    <w:p>
      <w:pPr>
        <w:sectPr>
          <w:pgSz w:w="11900" w:h="16838" w:orient="portrait"/>
          <w:cols w:equalWidth="0" w:num="1">
            <w:col w:w="11260"/>
          </w:cols>
          <w:pgMar w:left="320" w:top="144" w:right="31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125288"/>
        </w:rPr>
        <w:t>TSR minus the rate of return of</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125288"/>
        </w:rPr>
        <w:t>the S&amp;P 500 Total Return Index</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b w:val="1"/>
          <w:bCs w:val="1"/>
          <w:color w:val="125288"/>
        </w:rPr>
        <w:t>PSUs vesting on</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b w:val="1"/>
          <w:bCs w:val="1"/>
          <w:color w:val="125288"/>
        </w:rPr>
        <w:t>March 30, 2023, 2024,</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125288"/>
        </w:rPr>
        <w:t>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-3901440</wp:posOffset>
            </wp:positionH>
            <wp:positionV relativeFrom="paragraph">
              <wp:posOffset>9525</wp:posOffset>
            </wp:positionV>
            <wp:extent cx="7148830" cy="152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66" w:lineRule="exact"/>
        <w:rPr>
          <w:sz w:val="20"/>
          <w:szCs w:val="20"/>
          <w:color w:val="auto"/>
        </w:rPr>
      </w:pPr>
    </w:p>
    <w:p>
      <w:pPr>
        <w:sectPr>
          <w:pgSz w:w="11900" w:h="16838" w:orient="portrait"/>
          <w:cols w:equalWidth="0" w:num="2">
            <w:col w:w="5420" w:space="720"/>
            <w:col w:w="5120"/>
          </w:cols>
          <w:pgMar w:left="320" w:top="144" w:right="319" w:bottom="1440"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4300" w:type="dxa"/>
            <w:vAlign w:val="bottom"/>
          </w:tcPr>
          <w:p>
            <w:pPr>
              <w:ind w:left="60"/>
              <w:spacing w:after="0"/>
              <w:rPr>
                <w:sz w:val="20"/>
                <w:szCs w:val="20"/>
                <w:color w:val="auto"/>
              </w:rPr>
            </w:pPr>
            <w:r>
              <w:rPr>
                <w:rFonts w:ascii="Arial" w:cs="Arial" w:eastAsia="Arial" w:hAnsi="Arial"/>
                <w:sz w:val="15"/>
                <w:szCs w:val="15"/>
                <w:color w:val="auto"/>
              </w:rPr>
              <w:t>&lt;</w:t>
            </w:r>
            <w:r>
              <w:rPr>
                <w:rFonts w:ascii="Arial" w:cs="Arial" w:eastAsia="Arial" w:hAnsi="Arial"/>
                <w:sz w:val="16"/>
                <w:szCs w:val="16"/>
                <w:color w:val="auto"/>
              </w:rPr>
              <w:t>10 percentage points</w:t>
            </w:r>
          </w:p>
        </w:tc>
        <w:tc>
          <w:tcPr>
            <w:tcW w:w="6960" w:type="dxa"/>
            <w:vAlign w:val="bottom"/>
          </w:tcPr>
          <w:p>
            <w:pPr>
              <w:ind w:left="1840"/>
              <w:spacing w:after="0"/>
              <w:rPr>
                <w:sz w:val="20"/>
                <w:szCs w:val="20"/>
                <w:color w:val="auto"/>
              </w:rPr>
            </w:pPr>
            <w:r>
              <w:rPr>
                <w:rFonts w:ascii="Arial" w:cs="Arial" w:eastAsia="Arial" w:hAnsi="Arial"/>
                <w:sz w:val="17"/>
                <w:szCs w:val="17"/>
                <w:color w:val="auto"/>
              </w:rPr>
              <w:t>0%</w:t>
            </w:r>
          </w:p>
        </w:tc>
      </w:tr>
      <w:tr>
        <w:trPr>
          <w:trHeight w:val="37"/>
        </w:trPr>
        <w:tc>
          <w:tcPr>
            <w:tcW w:w="4300" w:type="dxa"/>
            <w:vAlign w:val="bottom"/>
            <w:tcBorders>
              <w:bottom w:val="single" w:sz="8" w:color="125288"/>
            </w:tcBorders>
          </w:tcPr>
          <w:p>
            <w:pPr>
              <w:spacing w:after="0"/>
              <w:rPr>
                <w:sz w:val="3"/>
                <w:szCs w:val="3"/>
                <w:color w:val="auto"/>
              </w:rPr>
            </w:pPr>
          </w:p>
        </w:tc>
        <w:tc>
          <w:tcPr>
            <w:tcW w:w="6960" w:type="dxa"/>
            <w:vAlign w:val="bottom"/>
            <w:tcBorders>
              <w:bottom w:val="single" w:sz="8" w:color="125288"/>
            </w:tcBorders>
          </w:tcPr>
          <w:p>
            <w:pPr>
              <w:spacing w:after="0"/>
              <w:rPr>
                <w:sz w:val="3"/>
                <w:szCs w:val="3"/>
                <w:color w:val="auto"/>
              </w:rPr>
            </w:pPr>
          </w:p>
        </w:tc>
      </w:tr>
      <w:tr>
        <w:trPr>
          <w:trHeight w:val="228"/>
        </w:trPr>
        <w:tc>
          <w:tcPr>
            <w:tcW w:w="4300" w:type="dxa"/>
            <w:vAlign w:val="bottom"/>
          </w:tcPr>
          <w:p>
            <w:pPr>
              <w:ind w:left="60"/>
              <w:spacing w:after="0"/>
              <w:rPr>
                <w:sz w:val="20"/>
                <w:szCs w:val="20"/>
                <w:color w:val="auto"/>
              </w:rPr>
            </w:pPr>
            <w:r>
              <w:rPr>
                <w:rFonts w:ascii="Arial" w:cs="Arial" w:eastAsia="Arial" w:hAnsi="Arial"/>
                <w:sz w:val="17"/>
                <w:szCs w:val="17"/>
                <w:color w:val="auto"/>
              </w:rPr>
              <w:t>10 percentage points</w:t>
            </w:r>
          </w:p>
        </w:tc>
        <w:tc>
          <w:tcPr>
            <w:tcW w:w="6960" w:type="dxa"/>
            <w:vAlign w:val="bottom"/>
          </w:tcPr>
          <w:p>
            <w:pPr>
              <w:ind w:left="1840"/>
              <w:spacing w:after="0"/>
              <w:rPr>
                <w:sz w:val="20"/>
                <w:szCs w:val="20"/>
                <w:color w:val="auto"/>
              </w:rPr>
            </w:pPr>
            <w:r>
              <w:rPr>
                <w:rFonts w:ascii="Arial" w:cs="Arial" w:eastAsia="Arial" w:hAnsi="Arial"/>
                <w:sz w:val="17"/>
                <w:szCs w:val="17"/>
                <w:color w:val="auto"/>
              </w:rPr>
              <w:t>100% of annual target of 2,291*</w:t>
            </w:r>
          </w:p>
        </w:tc>
      </w:tr>
      <w:tr>
        <w:trPr>
          <w:trHeight w:val="37"/>
        </w:trPr>
        <w:tc>
          <w:tcPr>
            <w:tcW w:w="4300" w:type="dxa"/>
            <w:vAlign w:val="bottom"/>
            <w:tcBorders>
              <w:bottom w:val="single" w:sz="8" w:color="125288"/>
            </w:tcBorders>
          </w:tcPr>
          <w:p>
            <w:pPr>
              <w:spacing w:after="0"/>
              <w:rPr>
                <w:sz w:val="3"/>
                <w:szCs w:val="3"/>
                <w:color w:val="auto"/>
              </w:rPr>
            </w:pPr>
          </w:p>
        </w:tc>
        <w:tc>
          <w:tcPr>
            <w:tcW w:w="6960" w:type="dxa"/>
            <w:vAlign w:val="bottom"/>
            <w:tcBorders>
              <w:bottom w:val="single" w:sz="8" w:color="125288"/>
            </w:tcBorders>
          </w:tcPr>
          <w:p>
            <w:pPr>
              <w:spacing w:after="0"/>
              <w:rPr>
                <w:sz w:val="3"/>
                <w:szCs w:val="3"/>
                <w:color w:val="auto"/>
              </w:rPr>
            </w:pPr>
          </w:p>
        </w:tc>
      </w:tr>
      <w:tr>
        <w:trPr>
          <w:trHeight w:val="228"/>
        </w:trPr>
        <w:tc>
          <w:tcPr>
            <w:tcW w:w="4300" w:type="dxa"/>
            <w:vAlign w:val="bottom"/>
          </w:tcPr>
          <w:p>
            <w:pPr>
              <w:ind w:left="6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12.5 percentage points or more</w:t>
            </w:r>
          </w:p>
        </w:tc>
        <w:tc>
          <w:tcPr>
            <w:tcW w:w="6960" w:type="dxa"/>
            <w:vAlign w:val="bottom"/>
          </w:tcPr>
          <w:p>
            <w:pPr>
              <w:ind w:left="1840"/>
              <w:spacing w:after="0"/>
              <w:rPr>
                <w:sz w:val="20"/>
                <w:szCs w:val="20"/>
                <w:color w:val="auto"/>
              </w:rPr>
            </w:pPr>
            <w:r>
              <w:rPr>
                <w:rFonts w:ascii="Arial" w:cs="Arial" w:eastAsia="Arial" w:hAnsi="Arial"/>
                <w:sz w:val="17"/>
                <w:szCs w:val="17"/>
                <w:color w:val="auto"/>
              </w:rPr>
              <w:t>125% of annual target of 2,291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7148830" cy="152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87" w:lineRule="exact"/>
        <w:rPr>
          <w:sz w:val="20"/>
          <w:szCs w:val="20"/>
          <w:color w:val="auto"/>
        </w:rPr>
      </w:pPr>
    </w:p>
    <w:p>
      <w:pPr>
        <w:ind w:left="60"/>
        <w:spacing w:after="0"/>
        <w:tabs>
          <w:tab w:leader="none" w:pos="240" w:val="left"/>
        </w:tabs>
        <w:rPr>
          <w:sz w:val="20"/>
          <w:szCs w:val="20"/>
          <w:color w:val="auto"/>
        </w:rPr>
      </w:pPr>
      <w:r>
        <w:rPr>
          <w:rFonts w:ascii="Arial" w:cs="Arial" w:eastAsia="Arial" w:hAnsi="Arial"/>
          <w:sz w:val="15"/>
          <w:szCs w:val="15"/>
          <w:color w:val="auto"/>
        </w:rPr>
        <w:t>*</w:t>
        <w:tab/>
        <w:t>If actual performance is between the two points, the number of PSUs that vest will be determined using straight-line interpolation.</w:t>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Each tranche of this award vests only if our TSR is positive during the relevant performance period.</w:t>
      </w:r>
    </w:p>
    <w:p>
      <w:pPr>
        <w:spacing w:after="0" w:line="174" w:lineRule="exact"/>
        <w:rPr>
          <w:sz w:val="20"/>
          <w:szCs w:val="20"/>
          <w:color w:val="auto"/>
        </w:rPr>
      </w:pPr>
    </w:p>
    <w:p>
      <w:pPr>
        <w:jc w:val="both"/>
        <w:ind w:right="20"/>
        <w:spacing w:after="0" w:line="236" w:lineRule="auto"/>
        <w:rPr>
          <w:sz w:val="20"/>
          <w:szCs w:val="20"/>
          <w:color w:val="auto"/>
        </w:rPr>
      </w:pPr>
      <w:r>
        <w:rPr>
          <w:rFonts w:ascii="Arial" w:cs="Arial" w:eastAsia="Arial" w:hAnsi="Arial"/>
          <w:sz w:val="19"/>
          <w:szCs w:val="19"/>
          <w:color w:val="auto"/>
        </w:rPr>
        <w:t>Our TSR is measured by reference to the increase or decrease, as the case may be, between the average of the closing price of our Common Stock on The Nasdaq Stock Market for the 30 trading days ended on the first available trading date of the measurement period (i.e., $61.64 for the first tranche of the award) and the average of the closing price of our Common Stock on The Nasdaq Stock Market for the 30 trading days ended on the last date of the measurement period. The rate of return of the S&amp;P 500 Total Return Index is measured by reference to the increase or decrease, as the case may be, between the average of the closing value of the S&amp;P 500 Total Return Index for the thirty trading days ended on the first date of the measurement period (i.e., $9.787.82 for the first tranche of the award) and the average of the closing value of the S&amp;P 500 Total Return Index for the 30 trading days ended on the last date of the measurement.</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auto"/>
        </w:rPr>
        <w:t>Please see “—Outstanding Equity Awards at December 31, 2021” above for more information about these PSUs.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Annual Equity Awards (Three-Year Performance)</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Mr. Zerza is eligible to receive annual equity grants of PSUs (1) with vesting based on the achievement of a cumulative AB Adjusted OI objective for the three years following the grant established by the Compensation Committee, with a target value of $375,000 per year, (2) with vesting based on the achievement of a cumulative AB Adjusted EPS objective for the three years following the grant established by the Compensation Committee, with a target value of $750,000 per year, and (3) with vesting based on our cumulative TSR as compared to the rate of return of the S&amp;P 500 Total Return Index for the three years following the grant, with a target value of $375,000 per year. The vesting of each of these awards was or is, as the case may be, subject to Mr. Zerza’s continued employment through the relevant vesting date.</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9"/>
          <w:szCs w:val="19"/>
          <w:color w:val="auto"/>
        </w:rPr>
        <w:t>On November 4, 2021, Mr. Zerza was awarded PSUs where target performance would result in the vesting of 5,496 PSUs. This award is eligible to vest in full on March 30, 2025, based on the level of the Company’s performance measured by reference to the cumulative AB Adjusted OI objective established by the Compensation Committee for 2022–2024,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40" w:type="dxa"/>
            <w:vAlign w:val="bottom"/>
          </w:tcPr>
          <w:p>
            <w:pPr>
              <w:spacing w:after="0"/>
              <w:rPr>
                <w:sz w:val="15"/>
                <w:szCs w:val="15"/>
                <w:color w:val="auto"/>
              </w:rPr>
            </w:pPr>
          </w:p>
        </w:tc>
        <w:tc>
          <w:tcPr>
            <w:tcW w:w="6720" w:type="dxa"/>
            <w:vAlign w:val="bottom"/>
          </w:tcPr>
          <w:p>
            <w:pPr>
              <w:ind w:left="3160"/>
              <w:spacing w:after="0"/>
              <w:rPr>
                <w:sz w:val="20"/>
                <w:szCs w:val="20"/>
                <w:color w:val="auto"/>
              </w:rPr>
            </w:pPr>
            <w:r>
              <w:rPr>
                <w:rFonts w:ascii="Arial" w:cs="Arial" w:eastAsia="Arial" w:hAnsi="Arial"/>
                <w:sz w:val="15"/>
                <w:szCs w:val="15"/>
                <w:b w:val="1"/>
                <w:bCs w:val="1"/>
                <w:color w:val="125288"/>
              </w:rPr>
              <w:t>PSUs vesting on</w:t>
            </w:r>
          </w:p>
        </w:tc>
      </w:tr>
      <w:tr>
        <w:trPr>
          <w:trHeight w:val="204"/>
        </w:trPr>
        <w:tc>
          <w:tcPr>
            <w:tcW w:w="4540" w:type="dxa"/>
            <w:vAlign w:val="bottom"/>
          </w:tcPr>
          <w:p>
            <w:pPr>
              <w:ind w:left="40"/>
              <w:spacing w:after="0"/>
              <w:rPr>
                <w:sz w:val="20"/>
                <w:szCs w:val="20"/>
                <w:color w:val="auto"/>
              </w:rPr>
            </w:pPr>
            <w:r>
              <w:rPr>
                <w:rFonts w:ascii="Arial" w:cs="Arial" w:eastAsia="Arial" w:hAnsi="Arial"/>
                <w:sz w:val="15"/>
                <w:szCs w:val="15"/>
                <w:b w:val="1"/>
                <w:bCs w:val="1"/>
                <w:color w:val="125288"/>
              </w:rPr>
              <w:t>OI (actual vs. 3YP)</w:t>
            </w:r>
          </w:p>
        </w:tc>
        <w:tc>
          <w:tcPr>
            <w:tcW w:w="6720" w:type="dxa"/>
            <w:vAlign w:val="bottom"/>
          </w:tcPr>
          <w:p>
            <w:pPr>
              <w:ind w:left="3160"/>
              <w:spacing w:after="0"/>
              <w:rPr>
                <w:sz w:val="20"/>
                <w:szCs w:val="20"/>
                <w:color w:val="auto"/>
              </w:rPr>
            </w:pPr>
            <w:r>
              <w:rPr>
                <w:rFonts w:ascii="Arial" w:cs="Arial" w:eastAsia="Arial" w:hAnsi="Arial"/>
                <w:sz w:val="15"/>
                <w:szCs w:val="15"/>
                <w:b w:val="1"/>
                <w:bCs w:val="1"/>
                <w:color w:val="125288"/>
              </w:rPr>
              <w:t>March 30, 2025</w:t>
            </w:r>
          </w:p>
        </w:tc>
      </w:tr>
      <w:tr>
        <w:trPr>
          <w:trHeight w:val="41"/>
        </w:trPr>
        <w:tc>
          <w:tcPr>
            <w:tcW w:w="4540" w:type="dxa"/>
            <w:vAlign w:val="bottom"/>
            <w:tcBorders>
              <w:bottom w:val="single" w:sz="8" w:color="125288"/>
            </w:tcBorders>
          </w:tcPr>
          <w:p>
            <w:pPr>
              <w:spacing w:after="0"/>
              <w:rPr>
                <w:sz w:val="3"/>
                <w:szCs w:val="3"/>
                <w:color w:val="auto"/>
              </w:rPr>
            </w:pPr>
          </w:p>
        </w:tc>
        <w:tc>
          <w:tcPr>
            <w:tcW w:w="6720" w:type="dxa"/>
            <w:vAlign w:val="bottom"/>
            <w:tcBorders>
              <w:bottom w:val="single" w:sz="8" w:color="125288"/>
            </w:tcBorders>
          </w:tcPr>
          <w:p>
            <w:pPr>
              <w:spacing w:after="0"/>
              <w:rPr>
                <w:sz w:val="3"/>
                <w:szCs w:val="3"/>
                <w:color w:val="auto"/>
              </w:rPr>
            </w:pPr>
          </w:p>
        </w:tc>
      </w:tr>
      <w:tr>
        <w:trPr>
          <w:trHeight w:val="228"/>
        </w:trPr>
        <w:tc>
          <w:tcPr>
            <w:tcW w:w="4540" w:type="dxa"/>
            <w:vAlign w:val="bottom"/>
          </w:tcPr>
          <w:p>
            <w:pPr>
              <w:ind w:left="40"/>
              <w:spacing w:after="0"/>
              <w:rPr>
                <w:sz w:val="20"/>
                <w:szCs w:val="20"/>
                <w:color w:val="auto"/>
              </w:rPr>
            </w:pPr>
            <w:r>
              <w:rPr>
                <w:rFonts w:ascii="Arial" w:cs="Arial" w:eastAsia="Arial" w:hAnsi="Arial"/>
                <w:sz w:val="15"/>
                <w:szCs w:val="15"/>
                <w:color w:val="auto"/>
              </w:rPr>
              <w:t>&lt;</w:t>
            </w:r>
            <w:r>
              <w:rPr>
                <w:rFonts w:ascii="Arial" w:cs="Arial" w:eastAsia="Arial" w:hAnsi="Arial"/>
                <w:sz w:val="16"/>
                <w:szCs w:val="16"/>
                <w:color w:val="auto"/>
              </w:rPr>
              <w:t>90%</w:t>
            </w:r>
          </w:p>
        </w:tc>
        <w:tc>
          <w:tcPr>
            <w:tcW w:w="6720" w:type="dxa"/>
            <w:vAlign w:val="bottom"/>
          </w:tcPr>
          <w:p>
            <w:pPr>
              <w:ind w:left="3160"/>
              <w:spacing w:after="0"/>
              <w:rPr>
                <w:sz w:val="20"/>
                <w:szCs w:val="20"/>
                <w:color w:val="auto"/>
              </w:rPr>
            </w:pPr>
            <w:r>
              <w:rPr>
                <w:rFonts w:ascii="Arial" w:cs="Arial" w:eastAsia="Arial" w:hAnsi="Arial"/>
                <w:sz w:val="17"/>
                <w:szCs w:val="17"/>
                <w:color w:val="auto"/>
              </w:rPr>
              <w:t>0%</w:t>
            </w:r>
          </w:p>
        </w:tc>
      </w:tr>
      <w:tr>
        <w:trPr>
          <w:trHeight w:val="37"/>
        </w:trPr>
        <w:tc>
          <w:tcPr>
            <w:tcW w:w="4540" w:type="dxa"/>
            <w:vAlign w:val="bottom"/>
            <w:tcBorders>
              <w:bottom w:val="single" w:sz="8" w:color="125288"/>
            </w:tcBorders>
          </w:tcPr>
          <w:p>
            <w:pPr>
              <w:spacing w:after="0"/>
              <w:rPr>
                <w:sz w:val="3"/>
                <w:szCs w:val="3"/>
                <w:color w:val="auto"/>
              </w:rPr>
            </w:pPr>
          </w:p>
        </w:tc>
        <w:tc>
          <w:tcPr>
            <w:tcW w:w="6720" w:type="dxa"/>
            <w:vAlign w:val="bottom"/>
            <w:tcBorders>
              <w:bottom w:val="single" w:sz="8" w:color="125288"/>
            </w:tcBorders>
          </w:tcPr>
          <w:p>
            <w:pPr>
              <w:spacing w:after="0"/>
              <w:rPr>
                <w:sz w:val="3"/>
                <w:szCs w:val="3"/>
                <w:color w:val="auto"/>
              </w:rPr>
            </w:pPr>
          </w:p>
        </w:tc>
      </w:tr>
      <w:tr>
        <w:trPr>
          <w:trHeight w:val="228"/>
        </w:trPr>
        <w:tc>
          <w:tcPr>
            <w:tcW w:w="4540" w:type="dxa"/>
            <w:vAlign w:val="bottom"/>
          </w:tcPr>
          <w:p>
            <w:pPr>
              <w:ind w:left="40"/>
              <w:spacing w:after="0"/>
              <w:rPr>
                <w:sz w:val="20"/>
                <w:szCs w:val="20"/>
                <w:color w:val="auto"/>
              </w:rPr>
            </w:pPr>
            <w:r>
              <w:rPr>
                <w:rFonts w:ascii="Arial" w:cs="Arial" w:eastAsia="Arial" w:hAnsi="Arial"/>
                <w:sz w:val="17"/>
                <w:szCs w:val="17"/>
                <w:color w:val="auto"/>
              </w:rPr>
              <w:t>90%</w:t>
            </w:r>
          </w:p>
        </w:tc>
        <w:tc>
          <w:tcPr>
            <w:tcW w:w="6720" w:type="dxa"/>
            <w:vAlign w:val="bottom"/>
          </w:tcPr>
          <w:p>
            <w:pPr>
              <w:ind w:left="3160"/>
              <w:spacing w:after="0"/>
              <w:rPr>
                <w:sz w:val="20"/>
                <w:szCs w:val="20"/>
                <w:color w:val="auto"/>
              </w:rPr>
            </w:pPr>
            <w:r>
              <w:rPr>
                <w:rFonts w:ascii="Arial" w:cs="Arial" w:eastAsia="Arial" w:hAnsi="Arial"/>
                <w:sz w:val="17"/>
                <w:szCs w:val="17"/>
                <w:color w:val="auto"/>
              </w:rPr>
              <w:t>50% of target of 5,496*</w:t>
            </w:r>
          </w:p>
        </w:tc>
      </w:tr>
      <w:tr>
        <w:trPr>
          <w:trHeight w:val="37"/>
        </w:trPr>
        <w:tc>
          <w:tcPr>
            <w:tcW w:w="4540" w:type="dxa"/>
            <w:vAlign w:val="bottom"/>
            <w:tcBorders>
              <w:bottom w:val="single" w:sz="8" w:color="125288"/>
            </w:tcBorders>
          </w:tcPr>
          <w:p>
            <w:pPr>
              <w:spacing w:after="0"/>
              <w:rPr>
                <w:sz w:val="3"/>
                <w:szCs w:val="3"/>
                <w:color w:val="auto"/>
              </w:rPr>
            </w:pPr>
          </w:p>
        </w:tc>
        <w:tc>
          <w:tcPr>
            <w:tcW w:w="6720" w:type="dxa"/>
            <w:vAlign w:val="bottom"/>
            <w:tcBorders>
              <w:bottom w:val="single" w:sz="8" w:color="125288"/>
            </w:tcBorders>
          </w:tcPr>
          <w:p>
            <w:pPr>
              <w:spacing w:after="0"/>
              <w:rPr>
                <w:sz w:val="3"/>
                <w:szCs w:val="3"/>
                <w:color w:val="auto"/>
              </w:rPr>
            </w:pPr>
          </w:p>
        </w:tc>
      </w:tr>
      <w:tr>
        <w:trPr>
          <w:trHeight w:val="228"/>
        </w:trPr>
        <w:tc>
          <w:tcPr>
            <w:tcW w:w="4540" w:type="dxa"/>
            <w:vAlign w:val="bottom"/>
          </w:tcPr>
          <w:p>
            <w:pPr>
              <w:ind w:left="40"/>
              <w:spacing w:after="0"/>
              <w:rPr>
                <w:sz w:val="20"/>
                <w:szCs w:val="20"/>
                <w:color w:val="auto"/>
              </w:rPr>
            </w:pPr>
            <w:r>
              <w:rPr>
                <w:rFonts w:ascii="Arial" w:cs="Arial" w:eastAsia="Arial" w:hAnsi="Arial"/>
                <w:sz w:val="17"/>
                <w:szCs w:val="17"/>
                <w:color w:val="auto"/>
              </w:rPr>
              <w:t>100%</w:t>
            </w:r>
          </w:p>
        </w:tc>
        <w:tc>
          <w:tcPr>
            <w:tcW w:w="6720" w:type="dxa"/>
            <w:vAlign w:val="bottom"/>
          </w:tcPr>
          <w:p>
            <w:pPr>
              <w:ind w:left="3160"/>
              <w:spacing w:after="0"/>
              <w:rPr>
                <w:sz w:val="20"/>
                <w:szCs w:val="20"/>
                <w:color w:val="auto"/>
              </w:rPr>
            </w:pPr>
            <w:r>
              <w:rPr>
                <w:rFonts w:ascii="Arial" w:cs="Arial" w:eastAsia="Arial" w:hAnsi="Arial"/>
                <w:sz w:val="17"/>
                <w:szCs w:val="17"/>
                <w:color w:val="auto"/>
              </w:rPr>
              <w:t>100% of target of 5,496*</w:t>
            </w:r>
          </w:p>
        </w:tc>
      </w:tr>
      <w:tr>
        <w:trPr>
          <w:trHeight w:val="37"/>
        </w:trPr>
        <w:tc>
          <w:tcPr>
            <w:tcW w:w="4540" w:type="dxa"/>
            <w:vAlign w:val="bottom"/>
            <w:tcBorders>
              <w:bottom w:val="single" w:sz="8" w:color="125288"/>
            </w:tcBorders>
          </w:tcPr>
          <w:p>
            <w:pPr>
              <w:spacing w:after="0"/>
              <w:rPr>
                <w:sz w:val="3"/>
                <w:szCs w:val="3"/>
                <w:color w:val="auto"/>
              </w:rPr>
            </w:pPr>
          </w:p>
        </w:tc>
        <w:tc>
          <w:tcPr>
            <w:tcW w:w="6720" w:type="dxa"/>
            <w:vAlign w:val="bottom"/>
            <w:tcBorders>
              <w:bottom w:val="single" w:sz="8" w:color="125288"/>
            </w:tcBorders>
          </w:tcPr>
          <w:p>
            <w:pPr>
              <w:spacing w:after="0"/>
              <w:rPr>
                <w:sz w:val="3"/>
                <w:szCs w:val="3"/>
                <w:color w:val="auto"/>
              </w:rPr>
            </w:pPr>
          </w:p>
        </w:tc>
      </w:tr>
      <w:tr>
        <w:trPr>
          <w:trHeight w:val="228"/>
        </w:trPr>
        <w:tc>
          <w:tcPr>
            <w:tcW w:w="4540" w:type="dxa"/>
            <w:vAlign w:val="bottom"/>
          </w:tcPr>
          <w:p>
            <w:pPr>
              <w:ind w:left="4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125%</w:t>
            </w:r>
          </w:p>
        </w:tc>
        <w:tc>
          <w:tcPr>
            <w:tcW w:w="6720" w:type="dxa"/>
            <w:vAlign w:val="bottom"/>
          </w:tcPr>
          <w:p>
            <w:pPr>
              <w:ind w:left="3160"/>
              <w:spacing w:after="0"/>
              <w:rPr>
                <w:sz w:val="20"/>
                <w:szCs w:val="20"/>
                <w:color w:val="auto"/>
              </w:rPr>
            </w:pPr>
            <w:r>
              <w:rPr>
                <w:rFonts w:ascii="Arial" w:cs="Arial" w:eastAsia="Arial" w:hAnsi="Arial"/>
                <w:sz w:val="17"/>
                <w:szCs w:val="17"/>
                <w:color w:val="auto"/>
              </w:rPr>
              <w:t>125% of target of 5,496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7148830" cy="152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87"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5"/>
          <w:szCs w:val="15"/>
          <w:color w:val="auto"/>
        </w:rPr>
        <w:t>*</w:t>
        <w:tab/>
        <w:t>If actual performance is between any two points, the number of PSUs that vest will be determined using straight-line interpolation.</w:t>
      </w:r>
    </w:p>
    <w:p>
      <w:pPr>
        <w:spacing w:after="0" w:line="199"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Please see “—Grants of Plan-Based Awards for 2021” and “—Outstanding Equity Awards at December 31, 2021” above for more information about these PSUs.</w:t>
      </w:r>
    </w:p>
    <w:p>
      <w:pPr>
        <w:spacing w:after="0" w:line="160"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On November 4, 2021, Mr. Zerza was also awarded PSUs where target performance would result in the vesting of 10,992 PSUs. This award is eligible to vest in full on March 30, 2025, based on the level of the Company’s performance measured by reference to the cumulative AB Adjusted EPS objective established by the Compensation Committee for 2022–2024,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220" w:type="dxa"/>
            <w:vAlign w:val="bottom"/>
          </w:tcPr>
          <w:p>
            <w:pPr>
              <w:spacing w:after="0"/>
              <w:rPr>
                <w:sz w:val="15"/>
                <w:szCs w:val="15"/>
                <w:color w:val="auto"/>
              </w:rPr>
            </w:pPr>
          </w:p>
        </w:tc>
        <w:tc>
          <w:tcPr>
            <w:tcW w:w="7040" w:type="dxa"/>
            <w:vAlign w:val="bottom"/>
          </w:tcPr>
          <w:p>
            <w:pPr>
              <w:ind w:left="2700"/>
              <w:spacing w:after="0"/>
              <w:rPr>
                <w:sz w:val="20"/>
                <w:szCs w:val="20"/>
                <w:color w:val="auto"/>
              </w:rPr>
            </w:pPr>
            <w:r>
              <w:rPr>
                <w:rFonts w:ascii="Arial" w:cs="Arial" w:eastAsia="Arial" w:hAnsi="Arial"/>
                <w:sz w:val="15"/>
                <w:szCs w:val="15"/>
                <w:b w:val="1"/>
                <w:bCs w:val="1"/>
                <w:color w:val="125288"/>
              </w:rPr>
              <w:t>PSUs vesting on March</w:t>
            </w:r>
          </w:p>
        </w:tc>
      </w:tr>
      <w:tr>
        <w:trPr>
          <w:trHeight w:val="204"/>
        </w:trPr>
        <w:tc>
          <w:tcPr>
            <w:tcW w:w="4220" w:type="dxa"/>
            <w:vAlign w:val="bottom"/>
          </w:tcPr>
          <w:p>
            <w:pPr>
              <w:ind w:left="40"/>
              <w:spacing w:after="0"/>
              <w:rPr>
                <w:sz w:val="20"/>
                <w:szCs w:val="20"/>
                <w:color w:val="auto"/>
              </w:rPr>
            </w:pPr>
            <w:r>
              <w:rPr>
                <w:rFonts w:ascii="Arial" w:cs="Arial" w:eastAsia="Arial" w:hAnsi="Arial"/>
                <w:sz w:val="15"/>
                <w:szCs w:val="15"/>
                <w:b w:val="1"/>
                <w:bCs w:val="1"/>
                <w:color w:val="125288"/>
              </w:rPr>
              <w:t>EPS (actual vs. 3YP)</w:t>
            </w:r>
          </w:p>
        </w:tc>
        <w:tc>
          <w:tcPr>
            <w:tcW w:w="7040" w:type="dxa"/>
            <w:vAlign w:val="bottom"/>
          </w:tcPr>
          <w:p>
            <w:pPr>
              <w:ind w:left="2700"/>
              <w:spacing w:after="0"/>
              <w:rPr>
                <w:sz w:val="20"/>
                <w:szCs w:val="20"/>
                <w:color w:val="auto"/>
              </w:rPr>
            </w:pPr>
            <w:r>
              <w:rPr>
                <w:rFonts w:ascii="Arial" w:cs="Arial" w:eastAsia="Arial" w:hAnsi="Arial"/>
                <w:sz w:val="15"/>
                <w:szCs w:val="15"/>
                <w:b w:val="1"/>
                <w:bCs w:val="1"/>
                <w:color w:val="125288"/>
              </w:rPr>
              <w:t>30, 2025</w:t>
            </w:r>
          </w:p>
        </w:tc>
      </w:tr>
      <w:tr>
        <w:trPr>
          <w:trHeight w:val="41"/>
        </w:trPr>
        <w:tc>
          <w:tcPr>
            <w:tcW w:w="4220" w:type="dxa"/>
            <w:vAlign w:val="bottom"/>
            <w:tcBorders>
              <w:bottom w:val="single" w:sz="8" w:color="125288"/>
            </w:tcBorders>
          </w:tcPr>
          <w:p>
            <w:pPr>
              <w:spacing w:after="0"/>
              <w:rPr>
                <w:sz w:val="3"/>
                <w:szCs w:val="3"/>
                <w:color w:val="auto"/>
              </w:rPr>
            </w:pPr>
          </w:p>
        </w:tc>
        <w:tc>
          <w:tcPr>
            <w:tcW w:w="7040" w:type="dxa"/>
            <w:vAlign w:val="bottom"/>
            <w:tcBorders>
              <w:bottom w:val="single" w:sz="8" w:color="125288"/>
            </w:tcBorders>
          </w:tcPr>
          <w:p>
            <w:pPr>
              <w:spacing w:after="0"/>
              <w:rPr>
                <w:sz w:val="3"/>
                <w:szCs w:val="3"/>
                <w:color w:val="auto"/>
              </w:rPr>
            </w:pPr>
          </w:p>
        </w:tc>
      </w:tr>
      <w:tr>
        <w:trPr>
          <w:trHeight w:val="228"/>
        </w:trPr>
        <w:tc>
          <w:tcPr>
            <w:tcW w:w="4220" w:type="dxa"/>
            <w:vAlign w:val="bottom"/>
          </w:tcPr>
          <w:p>
            <w:pPr>
              <w:ind w:left="40"/>
              <w:spacing w:after="0"/>
              <w:rPr>
                <w:sz w:val="20"/>
                <w:szCs w:val="20"/>
                <w:color w:val="auto"/>
              </w:rPr>
            </w:pPr>
            <w:r>
              <w:rPr>
                <w:rFonts w:ascii="Arial" w:cs="Arial" w:eastAsia="Arial" w:hAnsi="Arial"/>
                <w:sz w:val="15"/>
                <w:szCs w:val="15"/>
                <w:color w:val="auto"/>
              </w:rPr>
              <w:t>&lt;</w:t>
            </w:r>
            <w:r>
              <w:rPr>
                <w:rFonts w:ascii="Arial" w:cs="Arial" w:eastAsia="Arial" w:hAnsi="Arial"/>
                <w:sz w:val="16"/>
                <w:szCs w:val="16"/>
                <w:color w:val="auto"/>
              </w:rPr>
              <w:t>90%</w:t>
            </w:r>
          </w:p>
        </w:tc>
        <w:tc>
          <w:tcPr>
            <w:tcW w:w="7040" w:type="dxa"/>
            <w:vAlign w:val="bottom"/>
          </w:tcPr>
          <w:p>
            <w:pPr>
              <w:ind w:left="2700"/>
              <w:spacing w:after="0"/>
              <w:rPr>
                <w:sz w:val="20"/>
                <w:szCs w:val="20"/>
                <w:color w:val="auto"/>
              </w:rPr>
            </w:pPr>
            <w:r>
              <w:rPr>
                <w:rFonts w:ascii="Arial" w:cs="Arial" w:eastAsia="Arial" w:hAnsi="Arial"/>
                <w:sz w:val="17"/>
                <w:szCs w:val="17"/>
                <w:color w:val="auto"/>
              </w:rPr>
              <w:t>0%</w:t>
            </w:r>
          </w:p>
        </w:tc>
      </w:tr>
      <w:tr>
        <w:trPr>
          <w:trHeight w:val="37"/>
        </w:trPr>
        <w:tc>
          <w:tcPr>
            <w:tcW w:w="4220" w:type="dxa"/>
            <w:vAlign w:val="bottom"/>
            <w:tcBorders>
              <w:bottom w:val="single" w:sz="8" w:color="125288"/>
            </w:tcBorders>
          </w:tcPr>
          <w:p>
            <w:pPr>
              <w:spacing w:after="0"/>
              <w:rPr>
                <w:sz w:val="3"/>
                <w:szCs w:val="3"/>
                <w:color w:val="auto"/>
              </w:rPr>
            </w:pPr>
          </w:p>
        </w:tc>
        <w:tc>
          <w:tcPr>
            <w:tcW w:w="7040" w:type="dxa"/>
            <w:vAlign w:val="bottom"/>
            <w:tcBorders>
              <w:bottom w:val="single" w:sz="8" w:color="125288"/>
            </w:tcBorders>
          </w:tcPr>
          <w:p>
            <w:pPr>
              <w:spacing w:after="0"/>
              <w:rPr>
                <w:sz w:val="3"/>
                <w:szCs w:val="3"/>
                <w:color w:val="auto"/>
              </w:rPr>
            </w:pPr>
          </w:p>
        </w:tc>
      </w:tr>
      <w:tr>
        <w:trPr>
          <w:trHeight w:val="228"/>
        </w:trPr>
        <w:tc>
          <w:tcPr>
            <w:tcW w:w="4220" w:type="dxa"/>
            <w:vAlign w:val="bottom"/>
          </w:tcPr>
          <w:p>
            <w:pPr>
              <w:ind w:left="40"/>
              <w:spacing w:after="0"/>
              <w:rPr>
                <w:sz w:val="20"/>
                <w:szCs w:val="20"/>
                <w:color w:val="auto"/>
              </w:rPr>
            </w:pPr>
            <w:r>
              <w:rPr>
                <w:rFonts w:ascii="Arial" w:cs="Arial" w:eastAsia="Arial" w:hAnsi="Arial"/>
                <w:sz w:val="17"/>
                <w:szCs w:val="17"/>
                <w:color w:val="auto"/>
              </w:rPr>
              <w:t>90%</w:t>
            </w:r>
          </w:p>
        </w:tc>
        <w:tc>
          <w:tcPr>
            <w:tcW w:w="7040" w:type="dxa"/>
            <w:vAlign w:val="bottom"/>
          </w:tcPr>
          <w:p>
            <w:pPr>
              <w:ind w:left="2700"/>
              <w:spacing w:after="0"/>
              <w:rPr>
                <w:sz w:val="20"/>
                <w:szCs w:val="20"/>
                <w:color w:val="auto"/>
              </w:rPr>
            </w:pPr>
            <w:r>
              <w:rPr>
                <w:rFonts w:ascii="Arial" w:cs="Arial" w:eastAsia="Arial" w:hAnsi="Arial"/>
                <w:sz w:val="17"/>
                <w:szCs w:val="17"/>
                <w:color w:val="auto"/>
              </w:rPr>
              <w:t>50% of target of 10,992*</w:t>
            </w:r>
          </w:p>
        </w:tc>
      </w:tr>
      <w:tr>
        <w:trPr>
          <w:trHeight w:val="37"/>
        </w:trPr>
        <w:tc>
          <w:tcPr>
            <w:tcW w:w="4220" w:type="dxa"/>
            <w:vAlign w:val="bottom"/>
            <w:tcBorders>
              <w:bottom w:val="single" w:sz="8" w:color="125288"/>
            </w:tcBorders>
          </w:tcPr>
          <w:p>
            <w:pPr>
              <w:spacing w:after="0"/>
              <w:rPr>
                <w:sz w:val="3"/>
                <w:szCs w:val="3"/>
                <w:color w:val="auto"/>
              </w:rPr>
            </w:pPr>
          </w:p>
        </w:tc>
        <w:tc>
          <w:tcPr>
            <w:tcW w:w="7040" w:type="dxa"/>
            <w:vAlign w:val="bottom"/>
            <w:tcBorders>
              <w:bottom w:val="single" w:sz="8" w:color="125288"/>
            </w:tcBorders>
          </w:tcPr>
          <w:p>
            <w:pPr>
              <w:spacing w:after="0"/>
              <w:rPr>
                <w:sz w:val="3"/>
                <w:szCs w:val="3"/>
                <w:color w:val="auto"/>
              </w:rPr>
            </w:pPr>
          </w:p>
        </w:tc>
      </w:tr>
      <w:tr>
        <w:trPr>
          <w:trHeight w:val="228"/>
        </w:trPr>
        <w:tc>
          <w:tcPr>
            <w:tcW w:w="4220" w:type="dxa"/>
            <w:vAlign w:val="bottom"/>
          </w:tcPr>
          <w:p>
            <w:pPr>
              <w:ind w:left="40"/>
              <w:spacing w:after="0"/>
              <w:rPr>
                <w:sz w:val="20"/>
                <w:szCs w:val="20"/>
                <w:color w:val="auto"/>
              </w:rPr>
            </w:pPr>
            <w:r>
              <w:rPr>
                <w:rFonts w:ascii="Arial" w:cs="Arial" w:eastAsia="Arial" w:hAnsi="Arial"/>
                <w:sz w:val="17"/>
                <w:szCs w:val="17"/>
                <w:color w:val="auto"/>
              </w:rPr>
              <w:t>100%</w:t>
            </w:r>
          </w:p>
        </w:tc>
        <w:tc>
          <w:tcPr>
            <w:tcW w:w="7040" w:type="dxa"/>
            <w:vAlign w:val="bottom"/>
          </w:tcPr>
          <w:p>
            <w:pPr>
              <w:ind w:left="2700"/>
              <w:spacing w:after="0"/>
              <w:rPr>
                <w:sz w:val="20"/>
                <w:szCs w:val="20"/>
                <w:color w:val="auto"/>
              </w:rPr>
            </w:pPr>
            <w:r>
              <w:rPr>
                <w:rFonts w:ascii="Arial" w:cs="Arial" w:eastAsia="Arial" w:hAnsi="Arial"/>
                <w:sz w:val="17"/>
                <w:szCs w:val="17"/>
                <w:color w:val="auto"/>
              </w:rPr>
              <w:t>100% of target of 10,992*</w:t>
            </w:r>
          </w:p>
        </w:tc>
      </w:tr>
      <w:tr>
        <w:trPr>
          <w:trHeight w:val="37"/>
        </w:trPr>
        <w:tc>
          <w:tcPr>
            <w:tcW w:w="4220" w:type="dxa"/>
            <w:vAlign w:val="bottom"/>
            <w:tcBorders>
              <w:bottom w:val="single" w:sz="8" w:color="125288"/>
            </w:tcBorders>
          </w:tcPr>
          <w:p>
            <w:pPr>
              <w:spacing w:after="0"/>
              <w:rPr>
                <w:sz w:val="3"/>
                <w:szCs w:val="3"/>
                <w:color w:val="auto"/>
              </w:rPr>
            </w:pPr>
          </w:p>
        </w:tc>
        <w:tc>
          <w:tcPr>
            <w:tcW w:w="7040" w:type="dxa"/>
            <w:vAlign w:val="bottom"/>
            <w:tcBorders>
              <w:bottom w:val="single" w:sz="8" w:color="125288"/>
            </w:tcBorders>
          </w:tcPr>
          <w:p>
            <w:pPr>
              <w:spacing w:after="0"/>
              <w:rPr>
                <w:sz w:val="3"/>
                <w:szCs w:val="3"/>
                <w:color w:val="auto"/>
              </w:rPr>
            </w:pPr>
          </w:p>
        </w:tc>
      </w:tr>
      <w:tr>
        <w:trPr>
          <w:trHeight w:val="228"/>
        </w:trPr>
        <w:tc>
          <w:tcPr>
            <w:tcW w:w="4220" w:type="dxa"/>
            <w:vAlign w:val="bottom"/>
          </w:tcPr>
          <w:p>
            <w:pPr>
              <w:ind w:left="4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125%</w:t>
            </w:r>
          </w:p>
        </w:tc>
        <w:tc>
          <w:tcPr>
            <w:tcW w:w="7040" w:type="dxa"/>
            <w:vAlign w:val="bottom"/>
          </w:tcPr>
          <w:p>
            <w:pPr>
              <w:ind w:left="2700"/>
              <w:spacing w:after="0"/>
              <w:rPr>
                <w:sz w:val="20"/>
                <w:szCs w:val="20"/>
                <w:color w:val="auto"/>
              </w:rPr>
            </w:pPr>
            <w:r>
              <w:rPr>
                <w:rFonts w:ascii="Arial" w:cs="Arial" w:eastAsia="Arial" w:hAnsi="Arial"/>
                <w:sz w:val="17"/>
                <w:szCs w:val="17"/>
                <w:color w:val="auto"/>
              </w:rPr>
              <w:t>125% of target of 10,992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7148830" cy="152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87"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5"/>
          <w:szCs w:val="15"/>
          <w:color w:val="auto"/>
        </w:rPr>
        <w:t>*</w:t>
        <w:tab/>
        <w:t>If actual performance is between any two points, the number of PSUs that vest will be determined using straight-line interpolation.</w:t>
      </w:r>
    </w:p>
    <w:p>
      <w:pPr>
        <w:sectPr>
          <w:pgSz w:w="11900" w:h="16838" w:orient="portrait"/>
          <w:cols w:equalWidth="0" w:num="1">
            <w:col w:w="11260"/>
          </w:cols>
          <w:pgMar w:left="320" w:top="144" w:right="319" w:bottom="1440" w:gutter="0" w:footer="0" w:header="0"/>
          <w:type w:val="continuous"/>
        </w:sectPr>
      </w:pPr>
    </w:p>
    <w:p>
      <w:pPr>
        <w:spacing w:after="0" w:line="284" w:lineRule="exact"/>
        <w:rPr>
          <w:sz w:val="20"/>
          <w:szCs w:val="20"/>
          <w:color w:val="auto"/>
        </w:rPr>
      </w:pPr>
    </w:p>
    <w:p>
      <w:pPr>
        <w:spacing w:after="0"/>
        <w:tabs>
          <w:tab w:leader="none" w:pos="7360" w:val="left"/>
          <w:tab w:leader="none" w:pos="9380" w:val="left"/>
          <w:tab w:leader="none" w:pos="1100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type w:val="continuous"/>
        </w:sectPr>
      </w:pPr>
    </w:p>
    <w:bookmarkStart w:id="111" w:name="page112"/>
    <w:bookmarkEnd w:id="111"/>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35"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Please see “—Grants of Plan-Based Awards for 2021” and “—Outstanding Equity Awards at December 31, 2021” above for more information about these PSUs.</w:t>
      </w:r>
    </w:p>
    <w:p>
      <w:pPr>
        <w:spacing w:after="0" w:line="125"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On November 4, 2021, Mr. Zerza was also awarded PSUs where target performance would result in the vesting of 5,496 PSUs. This award is eligible to vest in full on March 30, 2025, by reference to our cumulative TSR as compared to the rate of return of the S&amp;P 500 Total Return Index for the period from January 1, 2022, through December 31, 2024,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20" w:type="dxa"/>
            <w:vAlign w:val="bottom"/>
          </w:tcPr>
          <w:p>
            <w:pPr>
              <w:ind w:left="40"/>
              <w:spacing w:after="0"/>
              <w:rPr>
                <w:sz w:val="20"/>
                <w:szCs w:val="20"/>
                <w:color w:val="auto"/>
              </w:rPr>
            </w:pPr>
            <w:r>
              <w:rPr>
                <w:rFonts w:ascii="Arial" w:cs="Arial" w:eastAsia="Arial" w:hAnsi="Arial"/>
                <w:sz w:val="15"/>
                <w:szCs w:val="15"/>
                <w:b w:val="1"/>
                <w:bCs w:val="1"/>
                <w:color w:val="125288"/>
              </w:rPr>
              <w:t>TSR minus the rate of return of the</w:t>
            </w:r>
          </w:p>
        </w:tc>
        <w:tc>
          <w:tcPr>
            <w:tcW w:w="6440" w:type="dxa"/>
            <w:vAlign w:val="bottom"/>
          </w:tcPr>
          <w:p>
            <w:pPr>
              <w:ind w:left="2220"/>
              <w:spacing w:after="0"/>
              <w:rPr>
                <w:sz w:val="20"/>
                <w:szCs w:val="20"/>
                <w:color w:val="auto"/>
              </w:rPr>
            </w:pPr>
            <w:r>
              <w:rPr>
                <w:rFonts w:ascii="Arial" w:cs="Arial" w:eastAsia="Arial" w:hAnsi="Arial"/>
                <w:sz w:val="15"/>
                <w:szCs w:val="15"/>
                <w:b w:val="1"/>
                <w:bCs w:val="1"/>
                <w:color w:val="125288"/>
              </w:rPr>
              <w:t>PSUs vesting on March</w:t>
            </w:r>
          </w:p>
        </w:tc>
      </w:tr>
      <w:tr>
        <w:trPr>
          <w:trHeight w:val="209"/>
        </w:trPr>
        <w:tc>
          <w:tcPr>
            <w:tcW w:w="4820" w:type="dxa"/>
            <w:vAlign w:val="bottom"/>
            <w:tcBorders>
              <w:bottom w:val="single" w:sz="8" w:color="125288"/>
            </w:tcBorders>
          </w:tcPr>
          <w:p>
            <w:pPr>
              <w:ind w:left="40"/>
              <w:spacing w:after="0"/>
              <w:rPr>
                <w:sz w:val="20"/>
                <w:szCs w:val="20"/>
                <w:color w:val="auto"/>
              </w:rPr>
            </w:pPr>
            <w:r>
              <w:rPr>
                <w:rFonts w:ascii="Arial" w:cs="Arial" w:eastAsia="Arial" w:hAnsi="Arial"/>
                <w:sz w:val="15"/>
                <w:szCs w:val="15"/>
                <w:b w:val="1"/>
                <w:bCs w:val="1"/>
                <w:color w:val="125288"/>
              </w:rPr>
              <w:t>S&amp;P 500 Total Return Index</w:t>
            </w:r>
          </w:p>
        </w:tc>
        <w:tc>
          <w:tcPr>
            <w:tcW w:w="6440" w:type="dxa"/>
            <w:vAlign w:val="bottom"/>
            <w:tcBorders>
              <w:bottom w:val="single" w:sz="8" w:color="125288"/>
            </w:tcBorders>
          </w:tcPr>
          <w:p>
            <w:pPr>
              <w:ind w:left="2220"/>
              <w:spacing w:after="0"/>
              <w:rPr>
                <w:sz w:val="20"/>
                <w:szCs w:val="20"/>
                <w:color w:val="auto"/>
              </w:rPr>
            </w:pPr>
            <w:r>
              <w:rPr>
                <w:rFonts w:ascii="Arial" w:cs="Arial" w:eastAsia="Arial" w:hAnsi="Arial"/>
                <w:sz w:val="15"/>
                <w:szCs w:val="15"/>
                <w:b w:val="1"/>
                <w:bCs w:val="1"/>
                <w:color w:val="125288"/>
              </w:rPr>
              <w:t>30, 2025</w:t>
            </w:r>
          </w:p>
        </w:tc>
      </w:tr>
      <w:tr>
        <w:trPr>
          <w:trHeight w:val="228"/>
        </w:trPr>
        <w:tc>
          <w:tcPr>
            <w:tcW w:w="4820" w:type="dxa"/>
            <w:vAlign w:val="bottom"/>
          </w:tcPr>
          <w:p>
            <w:pPr>
              <w:ind w:left="40"/>
              <w:spacing w:after="0"/>
              <w:rPr>
                <w:sz w:val="20"/>
                <w:szCs w:val="20"/>
                <w:color w:val="auto"/>
              </w:rPr>
            </w:pPr>
            <w:r>
              <w:rPr>
                <w:rFonts w:ascii="Arial" w:cs="Arial" w:eastAsia="Arial" w:hAnsi="Arial"/>
                <w:sz w:val="15"/>
                <w:szCs w:val="15"/>
                <w:color w:val="auto"/>
              </w:rPr>
              <w:t>&lt;</w:t>
            </w:r>
            <w:r>
              <w:rPr>
                <w:rFonts w:ascii="Arial" w:cs="Arial" w:eastAsia="Arial" w:hAnsi="Arial"/>
                <w:sz w:val="16"/>
                <w:szCs w:val="16"/>
                <w:color w:val="auto"/>
              </w:rPr>
              <w:t>10.8 percentage points</w:t>
            </w:r>
          </w:p>
        </w:tc>
        <w:tc>
          <w:tcPr>
            <w:tcW w:w="6440" w:type="dxa"/>
            <w:vAlign w:val="bottom"/>
          </w:tcPr>
          <w:p>
            <w:pPr>
              <w:ind w:left="2220"/>
              <w:spacing w:after="0"/>
              <w:rPr>
                <w:sz w:val="20"/>
                <w:szCs w:val="20"/>
                <w:color w:val="auto"/>
              </w:rPr>
            </w:pPr>
            <w:r>
              <w:rPr>
                <w:rFonts w:ascii="Arial" w:cs="Arial" w:eastAsia="Arial" w:hAnsi="Arial"/>
                <w:sz w:val="17"/>
                <w:szCs w:val="17"/>
                <w:color w:val="auto"/>
              </w:rPr>
              <w:t>0%</w:t>
            </w:r>
          </w:p>
        </w:tc>
      </w:tr>
      <w:tr>
        <w:trPr>
          <w:trHeight w:val="37"/>
        </w:trPr>
        <w:tc>
          <w:tcPr>
            <w:tcW w:w="4820" w:type="dxa"/>
            <w:vAlign w:val="bottom"/>
            <w:tcBorders>
              <w:bottom w:val="single" w:sz="8" w:color="125288"/>
            </w:tcBorders>
          </w:tcPr>
          <w:p>
            <w:pPr>
              <w:spacing w:after="0"/>
              <w:rPr>
                <w:sz w:val="3"/>
                <w:szCs w:val="3"/>
                <w:color w:val="auto"/>
              </w:rPr>
            </w:pPr>
          </w:p>
        </w:tc>
        <w:tc>
          <w:tcPr>
            <w:tcW w:w="6440" w:type="dxa"/>
            <w:vAlign w:val="bottom"/>
            <w:tcBorders>
              <w:bottom w:val="single" w:sz="8" w:color="125288"/>
            </w:tcBorders>
          </w:tcPr>
          <w:p>
            <w:pPr>
              <w:spacing w:after="0"/>
              <w:rPr>
                <w:sz w:val="3"/>
                <w:szCs w:val="3"/>
                <w:color w:val="auto"/>
              </w:rPr>
            </w:pPr>
          </w:p>
        </w:tc>
      </w:tr>
      <w:tr>
        <w:trPr>
          <w:trHeight w:val="228"/>
        </w:trPr>
        <w:tc>
          <w:tcPr>
            <w:tcW w:w="4820" w:type="dxa"/>
            <w:vAlign w:val="bottom"/>
          </w:tcPr>
          <w:p>
            <w:pPr>
              <w:ind w:left="40"/>
              <w:spacing w:after="0"/>
              <w:rPr>
                <w:sz w:val="20"/>
                <w:szCs w:val="20"/>
                <w:color w:val="auto"/>
              </w:rPr>
            </w:pPr>
            <w:r>
              <w:rPr>
                <w:rFonts w:ascii="Arial" w:cs="Arial" w:eastAsia="Arial" w:hAnsi="Arial"/>
                <w:sz w:val="17"/>
                <w:szCs w:val="17"/>
                <w:color w:val="auto"/>
              </w:rPr>
              <w:t>10.8 percentage points</w:t>
            </w:r>
          </w:p>
        </w:tc>
        <w:tc>
          <w:tcPr>
            <w:tcW w:w="6440" w:type="dxa"/>
            <w:vAlign w:val="bottom"/>
          </w:tcPr>
          <w:p>
            <w:pPr>
              <w:ind w:left="2220"/>
              <w:spacing w:after="0"/>
              <w:rPr>
                <w:sz w:val="20"/>
                <w:szCs w:val="20"/>
                <w:color w:val="auto"/>
              </w:rPr>
            </w:pPr>
            <w:r>
              <w:rPr>
                <w:rFonts w:ascii="Arial" w:cs="Arial" w:eastAsia="Arial" w:hAnsi="Arial"/>
                <w:sz w:val="17"/>
                <w:szCs w:val="17"/>
                <w:color w:val="auto"/>
              </w:rPr>
              <w:t>50% of target of 5,496*</w:t>
            </w:r>
          </w:p>
        </w:tc>
      </w:tr>
      <w:tr>
        <w:trPr>
          <w:trHeight w:val="37"/>
        </w:trPr>
        <w:tc>
          <w:tcPr>
            <w:tcW w:w="4820" w:type="dxa"/>
            <w:vAlign w:val="bottom"/>
            <w:tcBorders>
              <w:bottom w:val="single" w:sz="8" w:color="125288"/>
            </w:tcBorders>
          </w:tcPr>
          <w:p>
            <w:pPr>
              <w:spacing w:after="0"/>
              <w:rPr>
                <w:sz w:val="3"/>
                <w:szCs w:val="3"/>
                <w:color w:val="auto"/>
              </w:rPr>
            </w:pPr>
          </w:p>
        </w:tc>
        <w:tc>
          <w:tcPr>
            <w:tcW w:w="6440" w:type="dxa"/>
            <w:vAlign w:val="bottom"/>
            <w:tcBorders>
              <w:bottom w:val="single" w:sz="8" w:color="125288"/>
            </w:tcBorders>
          </w:tcPr>
          <w:p>
            <w:pPr>
              <w:spacing w:after="0"/>
              <w:rPr>
                <w:sz w:val="3"/>
                <w:szCs w:val="3"/>
                <w:color w:val="auto"/>
              </w:rPr>
            </w:pPr>
          </w:p>
        </w:tc>
      </w:tr>
      <w:tr>
        <w:trPr>
          <w:trHeight w:val="228"/>
        </w:trPr>
        <w:tc>
          <w:tcPr>
            <w:tcW w:w="4820" w:type="dxa"/>
            <w:vAlign w:val="bottom"/>
          </w:tcPr>
          <w:p>
            <w:pPr>
              <w:ind w:left="40"/>
              <w:spacing w:after="0"/>
              <w:rPr>
                <w:sz w:val="20"/>
                <w:szCs w:val="20"/>
                <w:color w:val="auto"/>
              </w:rPr>
            </w:pPr>
            <w:r>
              <w:rPr>
                <w:rFonts w:ascii="Arial" w:cs="Arial" w:eastAsia="Arial" w:hAnsi="Arial"/>
                <w:sz w:val="17"/>
                <w:szCs w:val="17"/>
                <w:color w:val="auto"/>
              </w:rPr>
              <w:t>12 percentage points</w:t>
            </w:r>
          </w:p>
        </w:tc>
        <w:tc>
          <w:tcPr>
            <w:tcW w:w="6440" w:type="dxa"/>
            <w:vAlign w:val="bottom"/>
          </w:tcPr>
          <w:p>
            <w:pPr>
              <w:ind w:left="2220"/>
              <w:spacing w:after="0"/>
              <w:rPr>
                <w:sz w:val="20"/>
                <w:szCs w:val="20"/>
                <w:color w:val="auto"/>
              </w:rPr>
            </w:pPr>
            <w:r>
              <w:rPr>
                <w:rFonts w:ascii="Arial" w:cs="Arial" w:eastAsia="Arial" w:hAnsi="Arial"/>
                <w:sz w:val="17"/>
                <w:szCs w:val="17"/>
                <w:color w:val="auto"/>
              </w:rPr>
              <w:t>100% of target of 5,496*</w:t>
            </w:r>
          </w:p>
        </w:tc>
      </w:tr>
      <w:tr>
        <w:trPr>
          <w:trHeight w:val="37"/>
        </w:trPr>
        <w:tc>
          <w:tcPr>
            <w:tcW w:w="4820" w:type="dxa"/>
            <w:vAlign w:val="bottom"/>
            <w:tcBorders>
              <w:bottom w:val="single" w:sz="8" w:color="125288"/>
            </w:tcBorders>
          </w:tcPr>
          <w:p>
            <w:pPr>
              <w:spacing w:after="0"/>
              <w:rPr>
                <w:sz w:val="3"/>
                <w:szCs w:val="3"/>
                <w:color w:val="auto"/>
              </w:rPr>
            </w:pPr>
          </w:p>
        </w:tc>
        <w:tc>
          <w:tcPr>
            <w:tcW w:w="6440" w:type="dxa"/>
            <w:vAlign w:val="bottom"/>
            <w:tcBorders>
              <w:bottom w:val="single" w:sz="8" w:color="125288"/>
            </w:tcBorders>
          </w:tcPr>
          <w:p>
            <w:pPr>
              <w:spacing w:after="0"/>
              <w:rPr>
                <w:sz w:val="3"/>
                <w:szCs w:val="3"/>
                <w:color w:val="auto"/>
              </w:rPr>
            </w:pPr>
          </w:p>
        </w:tc>
      </w:tr>
      <w:tr>
        <w:trPr>
          <w:trHeight w:val="228"/>
        </w:trPr>
        <w:tc>
          <w:tcPr>
            <w:tcW w:w="4820" w:type="dxa"/>
            <w:vAlign w:val="bottom"/>
          </w:tcPr>
          <w:p>
            <w:pPr>
              <w:ind w:left="4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15 percentage points or more</w:t>
            </w:r>
          </w:p>
        </w:tc>
        <w:tc>
          <w:tcPr>
            <w:tcW w:w="6440" w:type="dxa"/>
            <w:vAlign w:val="bottom"/>
          </w:tcPr>
          <w:p>
            <w:pPr>
              <w:ind w:left="2220"/>
              <w:spacing w:after="0"/>
              <w:rPr>
                <w:sz w:val="20"/>
                <w:szCs w:val="20"/>
                <w:color w:val="auto"/>
              </w:rPr>
            </w:pPr>
            <w:r>
              <w:rPr>
                <w:rFonts w:ascii="Arial" w:cs="Arial" w:eastAsia="Arial" w:hAnsi="Arial"/>
                <w:sz w:val="17"/>
                <w:szCs w:val="17"/>
                <w:color w:val="auto"/>
              </w:rPr>
              <w:t>125% of target of 5,496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7148830" cy="152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87"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5"/>
          <w:szCs w:val="15"/>
          <w:color w:val="auto"/>
        </w:rPr>
        <w:t>*</w:t>
        <w:tab/>
        <w:t>If actual performance is between any two points, the number of PSUs that vest will be determined using straight-line interpolation.</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Each tranche of this award vests only if our TSR is positive during the relevant performance period.</w:t>
      </w:r>
    </w:p>
    <w:p>
      <w:pPr>
        <w:spacing w:after="0" w:line="269" w:lineRule="exact"/>
        <w:rPr>
          <w:sz w:val="20"/>
          <w:szCs w:val="20"/>
          <w:color w:val="auto"/>
        </w:rPr>
      </w:pPr>
    </w:p>
    <w:p>
      <w:pPr>
        <w:jc w:val="both"/>
        <w:ind w:right="20"/>
        <w:spacing w:after="0" w:line="237" w:lineRule="auto"/>
        <w:rPr>
          <w:sz w:val="20"/>
          <w:szCs w:val="20"/>
          <w:color w:val="auto"/>
        </w:rPr>
      </w:pPr>
      <w:r>
        <w:rPr>
          <w:rFonts w:ascii="Arial" w:cs="Arial" w:eastAsia="Arial" w:hAnsi="Arial"/>
          <w:sz w:val="19"/>
          <w:szCs w:val="19"/>
          <w:color w:val="auto"/>
        </w:rPr>
        <w:t>Our TSR is measured by reference to the increase or decrease, as the case may be, between the average of the closing price of our Common Stock on The Nasdaq Stock Market for the 30 trading days ended on the first available trading date of the measurement period (i.e., $61.64) and the average of the closing price of our Common Stock on The Nasdaq Stock Market for the 30 trading days ended on the last date of the measurement period. The rate of return of the S&amp;P 500 Total Return Index is measured by reference to the increase or decrease, as the case may be, between the average of the closing value of the S&amp;P 500 Total Return Index for the thirty trading days ended on the first date of the measurement period (i.e., $9,787.82) and the average of the closing value of the S&amp;P 500 Total Return Index for the 30 trading days ended on the last date of the measurement period.</w:t>
      </w: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color w:val="auto"/>
        </w:rPr>
        <w:t>Please see “—Outstanding Equity Awards at December 31, 2021” above for more information about these PSUs.</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color w:val="125288"/>
        </w:rPr>
        <w:t>Potential Increases to Total Compensation</w:t>
      </w:r>
    </w:p>
    <w:p>
      <w:pPr>
        <w:spacing w:after="0" w:line="149"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If we exercise both of our one-year options and extend Mr. Zerza’s term under the Zerza Employment Agreement through March 31, 2026, then, during the final year of his term, Mr. Zerza’s annual bonus target and the target value of his annual equity grant will each be increased, as needed, to be at least equal to the median annual target bonus and target value of the annual equity grant awarded to similarly-situated executives of our then-applicable peer group in the prior year, as adjusted by our Chief Executive Officer, at his discretion and with the approval of the Compensation Committee. In addition, if the Compensation Committee determines that our performance is in the top 25th percentile of our then-applicable peer group in 2025 or later, our Chief Executive Officer, at his discretion and with the approval of the Compensation Committee, may increase Mr. Zerza’s compensation up to the average compensation awarded to the chief financial officers in that quartile of the companies in the peer group.</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125288"/>
        </w:rPr>
        <w:t>Other Benefits</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9"/>
          <w:szCs w:val="19"/>
          <w:color w:val="auto"/>
        </w:rPr>
        <w:t>Mr. Zerza is entitled to participate in all benefit plans generally available to our executive officers, and we are required to maintain a $2 million supplemental term life insurance policy for the benefit of his estate throughout the term of Mr. Zerza’s employment under the Zerza Employment Agreement.</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125288"/>
        </w:rPr>
        <w:t>Restrictive Covenants</w:t>
      </w:r>
    </w:p>
    <w:p>
      <w:pPr>
        <w:spacing w:after="0" w:line="149" w:lineRule="exact"/>
        <w:rPr>
          <w:sz w:val="20"/>
          <w:szCs w:val="20"/>
          <w:color w:val="auto"/>
        </w:rPr>
      </w:pPr>
    </w:p>
    <w:p>
      <w:pPr>
        <w:jc w:val="both"/>
        <w:ind w:right="20"/>
        <w:spacing w:after="0" w:line="237" w:lineRule="auto"/>
        <w:rPr>
          <w:sz w:val="20"/>
          <w:szCs w:val="20"/>
          <w:color w:val="auto"/>
        </w:rPr>
      </w:pPr>
      <w:r>
        <w:rPr>
          <w:rFonts w:ascii="Arial" w:cs="Arial" w:eastAsia="Arial" w:hAnsi="Arial"/>
          <w:sz w:val="19"/>
          <w:szCs w:val="19"/>
          <w:color w:val="auto"/>
        </w:rPr>
        <w:t>Until the second anniversary of the termination of his employment, Mr. Zerza is restricted from soliciting the employment of anyone then employed or otherwise engaged by the Company. In addition, Mr. Zerza is prohibited from disclosing or using our confidential or proprietary information during his employment, except as required in the course of his employment, and at all times following the termination of his employment. Mr. Zerza is also not permitted to seek or negotiate for other employment before the final six months of the term of his employment under the Zerza Employment Agreement. Finally, Mr. Zerza is prohibited from competing with us or any of our subsidiaries during the term of his employment under the Zerza Employment Agreement and is restricted from inducing any of our business partners to terminate or alter their relationship with us while he is our employee.</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125288"/>
        </w:rPr>
        <w:t>Prior Zerza Employment Agreement</w:t>
      </w:r>
    </w:p>
    <w:p>
      <w:pPr>
        <w:spacing w:after="0" w:line="149"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Prior to entering into the Zerza Employment Agreement in connection with his election as our Chief Financial Officer on April 1, 2021, Mr. Zerza’s compensation for 2021 was governed by the Prior Zerza Agreement.</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color w:val="auto"/>
        </w:rPr>
        <w:t>Term &amp; Title</w:t>
      </w:r>
    </w:p>
    <w:p>
      <w:pPr>
        <w:spacing w:after="0" w:line="149"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During 2021, Mr. Zerza served as our Chief Commercial Officer and the Chief Operating Officer of Blizzard until his election as our Chief Financial Officer.</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color w:val="auto"/>
        </w:rPr>
        <w:t>Base Salary</w:t>
      </w:r>
    </w:p>
    <w:p>
      <w:pPr>
        <w:spacing w:after="0" w:line="149"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During 2021, prior to his election as our Chief Financial Officer, Mr. Zerza’s annual base salary under the Prior Zerza Employment Agreement was $633,500.</w:t>
      </w:r>
    </w:p>
    <w:p>
      <w:pPr>
        <w:sectPr>
          <w:pgSz w:w="11900" w:h="16838" w:orient="portrait"/>
          <w:cols w:equalWidth="0" w:num="1">
            <w:col w:w="11260"/>
          </w:cols>
          <w:pgMar w:left="320" w:top="144" w:right="319" w:bottom="892" w:gutter="0" w:footer="0" w:header="0"/>
        </w:sectPr>
      </w:pPr>
    </w:p>
    <w:p>
      <w:pPr>
        <w:spacing w:after="0" w:line="245" w:lineRule="exact"/>
        <w:rPr>
          <w:sz w:val="20"/>
          <w:szCs w:val="20"/>
          <w:color w:val="auto"/>
        </w:rPr>
      </w:pPr>
    </w:p>
    <w:p>
      <w:pPr>
        <w:spacing w:after="0"/>
        <w:tabs>
          <w:tab w:leader="none" w:pos="7360" w:val="left"/>
          <w:tab w:leader="none" w:pos="9380" w:val="left"/>
          <w:tab w:leader="none" w:pos="1100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892" w:gutter="0" w:footer="0" w:header="0"/>
          <w:type w:val="continuous"/>
        </w:sectPr>
      </w:pPr>
    </w:p>
    <w:bookmarkStart w:id="112" w:name="page113"/>
    <w:bookmarkEnd w:id="112"/>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Annual Bonus</w:t>
      </w:r>
    </w:p>
    <w:p>
      <w:pPr>
        <w:spacing w:after="0" w:line="149"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Under the Prior Zerza Employment Agreement, Mr. Zerza was eligible for an annual bonus under the CAIP with a target amount of 75% of his base salary, the actual amount of which, if any, was determined by the Compensation Committee based on, among other things, his overall performance and the Company’s performance. For more information about performance-based bonuses, see “— Compensation Discussion and Analysis—Elements of Our Executive Compensation Program for 2021—Corporate Annual Incentive Plan (CAIP) Bonuses” above.</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Blizzard Profit Sharing Plan</w:t>
      </w:r>
    </w:p>
    <w:p>
      <w:pPr>
        <w:spacing w:after="0" w:line="149"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Under the Prior Zerza Employment Agreement, Mr. Zerza was eligible to participate in the BPSA, a program that predates our 2008 combination with Vivendi Games and provides employees of Blizzard the opportunity to share in the earnings generated by Blizzard. Pursuant to the Prior Zerza Employment Agreement, Mr. Zerza was eligible for an annual portion of the “profit sharing pool” established pursuant to the BPSA, with a target amount of 1.7% of that pool and a maximum of 2.3% of that pool, in each case prorated for any partial year of service. The actual amount of any payment Mr. Zerza was eligible to receive under the BPSA was determined by the Company based on, among other things, the amount of the profit sharing pool, if any, generated pursuant to the terms of the BPSA, Mr. Zerza’s overall performance, and the Company’s performance. For more information about Mr. Zerza’s participation in the BPSA for 2021, see “—Summary Compensation Table” and “—Grants of Plan Based Awards Table” above.</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Equity Awards</w:t>
      </w:r>
    </w:p>
    <w:p>
      <w:pPr>
        <w:spacing w:after="0" w:line="149"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As an inducement to enter into the Prior Zerza Employment Agreement, Mr. Zerza received an equity award consisting of stock options and PSUs and was eligible to receive annual equity awards consisting of PSUs and stock options. For more information about the equity awards to Mr. Zerza granted pursuant to the Prior Zerza Employment Agreement that were outstanding as of December 31, 2021, see “—Outstanding Equity Awards” above.</w:t>
      </w:r>
    </w:p>
    <w:p>
      <w:pPr>
        <w:spacing w:after="0" w:line="23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Dennis Durkin</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125288"/>
        </w:rPr>
        <w:t>Term &amp; Title</w:t>
      </w:r>
    </w:p>
    <w:p>
      <w:pPr>
        <w:spacing w:after="0" w:line="149"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Dennis Durkin was party to the Durkin Employment Agreement, pursuant to which he served as our Chief Financial Officer from January 2, 2019, through March 29, 2021. Mr. Durkin continued to serve “at will” as an executive advisor until May 31, 2021.</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125288"/>
        </w:rPr>
        <w:t>Base Salary</w:t>
      </w:r>
    </w:p>
    <w:p>
      <w:pPr>
        <w:spacing w:after="0" w:line="149"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Mr. Durkin’s annual base salary was $900,000 as of January 2, 2019, and was periodically reviewed by the Compensation Committee.</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125288"/>
        </w:rPr>
        <w:t>Annual Bonus</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Mr. Durkin was eligible for an annual bonus under the CAIP with a target amount of 150% of his base salary, the actual amount of which, if any, was determined by the Compensation Committee based on, among other things, his overall performance and the Company’s performance. The form of such bonus (i.e., whether cash or equity) was to be determined by the Compensation Committee at its discretion. For more information about performance-based bonuses, see “—Compensation Discussion and Analysis —Elements of Our Executive Compensation Program for 2021—Corporate Annual Incentive Plan (CAIP) Bonuses” above.</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125288"/>
        </w:rPr>
        <w:t>Contract Inducement</w:t>
      </w:r>
    </w:p>
    <w:p>
      <w:pPr>
        <w:spacing w:after="0" w:line="149"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As an inducement to enter into the Durkin Employment Agreement, on March 8, 2019, Mr. Durkin received an equity award consisting of PSUs. Please see Mr. Durkin’s Form 4 filed with the SEC on March 12, 2019, and the proxy statement for our 2020 annual meeting of shareholders filed with the SEC on Schedule 14A on April 24, 2020, for more information about that award.</w:t>
      </w:r>
    </w:p>
    <w:p>
      <w:pPr>
        <w:spacing w:after="0" w:line="260" w:lineRule="exact"/>
        <w:rPr>
          <w:sz w:val="20"/>
          <w:szCs w:val="20"/>
          <w:color w:val="auto"/>
        </w:rPr>
      </w:pPr>
    </w:p>
    <w:p>
      <w:pPr>
        <w:jc w:val="both"/>
        <w:spacing w:after="0"/>
        <w:rPr>
          <w:sz w:val="20"/>
          <w:szCs w:val="20"/>
          <w:color w:val="auto"/>
        </w:rPr>
      </w:pPr>
      <w:r>
        <w:rPr>
          <w:rFonts w:ascii="Arial" w:cs="Arial" w:eastAsia="Arial" w:hAnsi="Arial"/>
          <w:sz w:val="19"/>
          <w:szCs w:val="19"/>
          <w:color w:val="auto"/>
        </w:rPr>
        <w:t>Mr. Durkin also received a payment of $3.75 million in cash shortly after his term under the Durkin Employment Agreement began. If his employment had been terminated for any reason other than by us without cause, by him for good reason, or due to his death or disability, before December 31, 2019, Mr. Durkin would have had to repay the bonus in full.</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125288"/>
        </w:rPr>
        <w:t>Other Benefits</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9"/>
          <w:szCs w:val="19"/>
          <w:color w:val="auto"/>
        </w:rPr>
        <w:t>Mr. Durkin was entitled to participate in all benefit plans generally available to our executive officers, and we were required to maintain a $3 million supplemental term life insurance policy for the benefit of his estate throughout the term of his employment under the Durkin Employment Agreement.</w:t>
      </w:r>
    </w:p>
    <w:p>
      <w:pPr>
        <w:sectPr>
          <w:pgSz w:w="11900" w:h="16838" w:orient="portrait"/>
          <w:cols w:equalWidth="0" w:num="1">
            <w:col w:w="11260"/>
          </w:cols>
          <w:pgMar w:left="320" w:top="144" w:right="319" w:bottom="1440" w:gutter="0" w:footer="0" w:header="0"/>
        </w:sectPr>
      </w:pPr>
    </w:p>
    <w:p>
      <w:pPr>
        <w:spacing w:after="0" w:line="249" w:lineRule="exact"/>
        <w:rPr>
          <w:sz w:val="20"/>
          <w:szCs w:val="20"/>
          <w:color w:val="auto"/>
        </w:rPr>
      </w:pPr>
    </w:p>
    <w:p>
      <w:pPr>
        <w:spacing w:after="0"/>
        <w:tabs>
          <w:tab w:leader="none" w:pos="7360" w:val="left"/>
          <w:tab w:leader="none" w:pos="9380" w:val="left"/>
          <w:tab w:leader="none" w:pos="1100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type w:val="continuous"/>
        </w:sectPr>
      </w:pPr>
    </w:p>
    <w:bookmarkStart w:id="113" w:name="page114"/>
    <w:bookmarkEnd w:id="113"/>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125288"/>
        </w:rPr>
        <w:t>Restrictive Covenants</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Until May 31, 2023 (the second anniversary of his retirement), Mr. Durkin is restricted from soliciting the employment of anyone then employed or otherwise engaged by the Company or our subsidiaries. In addition, Mr. Durkin was prohibited from disclosing or using our confidential or proprietary information during his employment, except as required in the course of his employment, and is prohibited from disclosing or using our confidential or proprietary information at all times following the termination of his employment. Finally, Mr. Durkin was prohibited from competing with us or any of our subsidiaries during the term of his employment under the Durkin Employment Agreement and was restricted from inducing any of our, or any of our subsidiaries’, business partners to terminate or alter their relationship with us or any of our subsidiaries while he was our employee.</w:t>
      </w:r>
    </w:p>
    <w:p>
      <w:pPr>
        <w:spacing w:after="0" w:line="23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Daniel Alegre</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125288"/>
        </w:rPr>
        <w:t>Term &amp; Title</w:t>
      </w:r>
    </w:p>
    <w:p>
      <w:pPr>
        <w:spacing w:after="0" w:line="149"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Daniel Alegre is party to the Alegre Employment Agreement, pursuant to which he serves as our President and Chief Operating Officer. Mr. Alegre’s term of employment under the Alegre Employment Agreement began on April 7, 2020, and continues through March 31, 2023.</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125288"/>
        </w:rPr>
        <w:t>Base Salary</w:t>
      </w:r>
    </w:p>
    <w:p>
      <w:pPr>
        <w:spacing w:after="0" w:line="149"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Mr. Alegre’s annual base salary was $1.35 million as of April 7, 2020. It will be periodically reviewed and may be increased—but not decreased—at the Compensation Committee’s discretion.</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125288"/>
        </w:rPr>
        <w:t>Annual Bonus</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color w:val="auto"/>
        </w:rPr>
        <w:t>Mr. Alegre is eligible for an annual bonus under the CAIP with a target amount of 100% of his base salary.</w:t>
      </w:r>
    </w:p>
    <w:p>
      <w:pPr>
        <w:spacing w:after="0" w:line="26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He also has an opportunity to increase his CAIP target each year by up to 100% of his base salary if AB Adjusted EPS is at least 10% greater than the EPS Objective (i.e., the higher of (x) the AB Adjusted EPS objective set forth in our AOP for the immediately preceding year and (y) the immediately preceding year’s actual AB Adjusted EPS), such that his total target bonus opportunity under the CAIP for any year may be up to 200% of his base salary,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00" w:type="dxa"/>
            <w:vAlign w:val="bottom"/>
            <w:vMerge w:val="restart"/>
          </w:tcPr>
          <w:p>
            <w:pPr>
              <w:ind w:left="40"/>
              <w:spacing w:after="0"/>
              <w:rPr>
                <w:sz w:val="20"/>
                <w:szCs w:val="20"/>
                <w:color w:val="auto"/>
              </w:rPr>
            </w:pPr>
            <w:r>
              <w:rPr>
                <w:rFonts w:ascii="Arial" w:cs="Arial" w:eastAsia="Arial" w:hAnsi="Arial"/>
                <w:sz w:val="15"/>
                <w:szCs w:val="15"/>
                <w:b w:val="1"/>
                <w:bCs w:val="1"/>
                <w:color w:val="125288"/>
              </w:rPr>
              <w:t>EPS (actual vs. EPS Objective)</w:t>
            </w:r>
          </w:p>
        </w:tc>
        <w:tc>
          <w:tcPr>
            <w:tcW w:w="6660" w:type="dxa"/>
            <w:vAlign w:val="bottom"/>
          </w:tcPr>
          <w:p>
            <w:pPr>
              <w:ind w:left="2320"/>
              <w:spacing w:after="0"/>
              <w:rPr>
                <w:sz w:val="20"/>
                <w:szCs w:val="20"/>
                <w:color w:val="auto"/>
              </w:rPr>
            </w:pPr>
            <w:r>
              <w:rPr>
                <w:rFonts w:ascii="Arial" w:cs="Arial" w:eastAsia="Arial" w:hAnsi="Arial"/>
                <w:sz w:val="15"/>
                <w:szCs w:val="15"/>
                <w:b w:val="1"/>
                <w:bCs w:val="1"/>
                <w:color w:val="125288"/>
              </w:rPr>
              <w:t>Change in Mr. Alegre’s</w:t>
            </w:r>
          </w:p>
        </w:tc>
        <w:tc>
          <w:tcPr>
            <w:tcW w:w="0" w:type="dxa"/>
            <w:vAlign w:val="bottom"/>
          </w:tcPr>
          <w:p>
            <w:pPr>
              <w:spacing w:after="0"/>
              <w:rPr>
                <w:sz w:val="1"/>
                <w:szCs w:val="1"/>
                <w:color w:val="auto"/>
              </w:rPr>
            </w:pPr>
          </w:p>
        </w:tc>
      </w:tr>
      <w:tr>
        <w:trPr>
          <w:trHeight w:val="209"/>
        </w:trPr>
        <w:tc>
          <w:tcPr>
            <w:tcW w:w="4600" w:type="dxa"/>
            <w:vAlign w:val="bottom"/>
            <w:tcBorders>
              <w:bottom w:val="single" w:sz="8" w:color="125288"/>
            </w:tcBorders>
            <w:vMerge w:val="continue"/>
          </w:tcPr>
          <w:p>
            <w:pPr>
              <w:spacing w:after="0"/>
              <w:rPr>
                <w:sz w:val="18"/>
                <w:szCs w:val="18"/>
                <w:color w:val="auto"/>
              </w:rPr>
            </w:pPr>
          </w:p>
        </w:tc>
        <w:tc>
          <w:tcPr>
            <w:tcW w:w="6660" w:type="dxa"/>
            <w:vAlign w:val="bottom"/>
            <w:tcBorders>
              <w:bottom w:val="single" w:sz="8" w:color="125288"/>
            </w:tcBorders>
          </w:tcPr>
          <w:p>
            <w:pPr>
              <w:ind w:left="2320"/>
              <w:spacing w:after="0"/>
              <w:rPr>
                <w:sz w:val="20"/>
                <w:szCs w:val="20"/>
                <w:color w:val="auto"/>
              </w:rPr>
            </w:pPr>
            <w:r>
              <w:rPr>
                <w:rFonts w:ascii="Arial" w:cs="Arial" w:eastAsia="Arial" w:hAnsi="Arial"/>
                <w:sz w:val="15"/>
                <w:szCs w:val="15"/>
                <w:b w:val="1"/>
                <w:bCs w:val="1"/>
                <w:color w:val="125288"/>
              </w:rPr>
              <w:t>target bonus</w:t>
            </w:r>
          </w:p>
        </w:tc>
        <w:tc>
          <w:tcPr>
            <w:tcW w:w="0" w:type="dxa"/>
            <w:vAlign w:val="bottom"/>
          </w:tcPr>
          <w:p>
            <w:pPr>
              <w:spacing w:after="0"/>
              <w:rPr>
                <w:sz w:val="1"/>
                <w:szCs w:val="1"/>
                <w:color w:val="auto"/>
              </w:rPr>
            </w:pPr>
          </w:p>
        </w:tc>
      </w:tr>
      <w:tr>
        <w:trPr>
          <w:trHeight w:val="228"/>
        </w:trPr>
        <w:tc>
          <w:tcPr>
            <w:tcW w:w="4600" w:type="dxa"/>
            <w:vAlign w:val="bottom"/>
          </w:tcPr>
          <w:p>
            <w:pPr>
              <w:ind w:left="40"/>
              <w:spacing w:after="0"/>
              <w:rPr>
                <w:sz w:val="20"/>
                <w:szCs w:val="20"/>
                <w:color w:val="auto"/>
              </w:rPr>
            </w:pPr>
            <w:r>
              <w:rPr>
                <w:rFonts w:ascii="Arial" w:cs="Arial" w:eastAsia="Arial" w:hAnsi="Arial"/>
                <w:sz w:val="15"/>
                <w:szCs w:val="15"/>
                <w:color w:val="auto"/>
              </w:rPr>
              <w:t>&lt;</w:t>
            </w:r>
            <w:r>
              <w:rPr>
                <w:rFonts w:ascii="Arial" w:cs="Arial" w:eastAsia="Arial" w:hAnsi="Arial"/>
                <w:sz w:val="16"/>
                <w:szCs w:val="16"/>
                <w:color w:val="auto"/>
              </w:rPr>
              <w:t>110%</w:t>
            </w:r>
          </w:p>
        </w:tc>
        <w:tc>
          <w:tcPr>
            <w:tcW w:w="6660" w:type="dxa"/>
            <w:vAlign w:val="bottom"/>
          </w:tcPr>
          <w:p>
            <w:pPr>
              <w:ind w:left="2320"/>
              <w:spacing w:after="0"/>
              <w:rPr>
                <w:sz w:val="20"/>
                <w:szCs w:val="20"/>
                <w:color w:val="auto"/>
              </w:rPr>
            </w:pPr>
            <w:r>
              <w:rPr>
                <w:rFonts w:ascii="Arial" w:cs="Arial" w:eastAsia="Arial" w:hAnsi="Arial"/>
                <w:sz w:val="17"/>
                <w:szCs w:val="17"/>
                <w:color w:val="auto"/>
              </w:rPr>
              <w:t>No change</w:t>
            </w:r>
          </w:p>
        </w:tc>
        <w:tc>
          <w:tcPr>
            <w:tcW w:w="0" w:type="dxa"/>
            <w:vAlign w:val="bottom"/>
          </w:tcPr>
          <w:p>
            <w:pPr>
              <w:spacing w:after="0"/>
              <w:rPr>
                <w:sz w:val="1"/>
                <w:szCs w:val="1"/>
                <w:color w:val="auto"/>
              </w:rPr>
            </w:pPr>
          </w:p>
        </w:tc>
      </w:tr>
      <w:tr>
        <w:trPr>
          <w:trHeight w:val="37"/>
        </w:trPr>
        <w:tc>
          <w:tcPr>
            <w:tcW w:w="4600" w:type="dxa"/>
            <w:vAlign w:val="bottom"/>
            <w:tcBorders>
              <w:bottom w:val="single" w:sz="8" w:color="125288"/>
            </w:tcBorders>
          </w:tcPr>
          <w:p>
            <w:pPr>
              <w:spacing w:after="0"/>
              <w:rPr>
                <w:sz w:val="3"/>
                <w:szCs w:val="3"/>
                <w:color w:val="auto"/>
              </w:rPr>
            </w:pPr>
          </w:p>
        </w:tc>
        <w:tc>
          <w:tcPr>
            <w:tcW w:w="6660" w:type="dxa"/>
            <w:vAlign w:val="bottom"/>
            <w:tcBorders>
              <w:bottom w:val="single" w:sz="8" w:color="125288"/>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600" w:type="dxa"/>
            <w:vAlign w:val="bottom"/>
          </w:tcPr>
          <w:p>
            <w:pPr>
              <w:ind w:left="40"/>
              <w:spacing w:after="0"/>
              <w:rPr>
                <w:sz w:val="20"/>
                <w:szCs w:val="20"/>
                <w:color w:val="auto"/>
              </w:rPr>
            </w:pPr>
            <w:r>
              <w:rPr>
                <w:rFonts w:ascii="Arial" w:cs="Arial" w:eastAsia="Arial" w:hAnsi="Arial"/>
                <w:sz w:val="17"/>
                <w:szCs w:val="17"/>
                <w:color w:val="auto"/>
              </w:rPr>
              <w:t>110%</w:t>
            </w:r>
          </w:p>
        </w:tc>
        <w:tc>
          <w:tcPr>
            <w:tcW w:w="6660" w:type="dxa"/>
            <w:vAlign w:val="bottom"/>
          </w:tcPr>
          <w:p>
            <w:pPr>
              <w:ind w:left="2320"/>
              <w:spacing w:after="0"/>
              <w:rPr>
                <w:sz w:val="20"/>
                <w:szCs w:val="20"/>
                <w:color w:val="auto"/>
              </w:rPr>
            </w:pPr>
            <w:r>
              <w:rPr>
                <w:rFonts w:ascii="Arial" w:cs="Arial" w:eastAsia="Arial" w:hAnsi="Arial"/>
                <w:sz w:val="17"/>
                <w:szCs w:val="17"/>
                <w:color w:val="auto"/>
              </w:rPr>
              <w:t>Increased to 110% of base salary*</w:t>
            </w:r>
          </w:p>
        </w:tc>
        <w:tc>
          <w:tcPr>
            <w:tcW w:w="0" w:type="dxa"/>
            <w:vAlign w:val="bottom"/>
          </w:tcPr>
          <w:p>
            <w:pPr>
              <w:spacing w:after="0"/>
              <w:rPr>
                <w:sz w:val="1"/>
                <w:szCs w:val="1"/>
                <w:color w:val="auto"/>
              </w:rPr>
            </w:pPr>
          </w:p>
        </w:tc>
      </w:tr>
      <w:tr>
        <w:trPr>
          <w:trHeight w:val="37"/>
        </w:trPr>
        <w:tc>
          <w:tcPr>
            <w:tcW w:w="4600" w:type="dxa"/>
            <w:vAlign w:val="bottom"/>
            <w:tcBorders>
              <w:bottom w:val="single" w:sz="8" w:color="125288"/>
            </w:tcBorders>
          </w:tcPr>
          <w:p>
            <w:pPr>
              <w:spacing w:after="0"/>
              <w:rPr>
                <w:sz w:val="3"/>
                <w:szCs w:val="3"/>
                <w:color w:val="auto"/>
              </w:rPr>
            </w:pPr>
          </w:p>
        </w:tc>
        <w:tc>
          <w:tcPr>
            <w:tcW w:w="6660" w:type="dxa"/>
            <w:vAlign w:val="bottom"/>
            <w:tcBorders>
              <w:bottom w:val="single" w:sz="8" w:color="125288"/>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600" w:type="dxa"/>
            <w:vAlign w:val="bottom"/>
          </w:tcPr>
          <w:p>
            <w:pPr>
              <w:ind w:left="4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120%</w:t>
            </w:r>
          </w:p>
        </w:tc>
        <w:tc>
          <w:tcPr>
            <w:tcW w:w="6660" w:type="dxa"/>
            <w:vAlign w:val="bottom"/>
          </w:tcPr>
          <w:p>
            <w:pPr>
              <w:ind w:left="2320"/>
              <w:spacing w:after="0"/>
              <w:rPr>
                <w:sz w:val="20"/>
                <w:szCs w:val="20"/>
                <w:color w:val="auto"/>
              </w:rPr>
            </w:pPr>
            <w:r>
              <w:rPr>
                <w:rFonts w:ascii="Arial" w:cs="Arial" w:eastAsia="Arial" w:hAnsi="Arial"/>
                <w:sz w:val="17"/>
                <w:szCs w:val="17"/>
                <w:color w:val="auto"/>
              </w:rPr>
              <w:t>Increased to 200% of base salary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7148830" cy="152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87" w:lineRule="exact"/>
        <w:rPr>
          <w:sz w:val="20"/>
          <w:szCs w:val="20"/>
          <w:color w:val="auto"/>
        </w:rPr>
      </w:pPr>
    </w:p>
    <w:p>
      <w:pPr>
        <w:ind w:left="260" w:right="80" w:hanging="217"/>
        <w:spacing w:after="0" w:line="266" w:lineRule="auto"/>
        <w:tabs>
          <w:tab w:leader="none" w:pos="26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If actual performance is between 110% and 120%, the amount by which Mr. Alegre’s target bonus will be increased will be determined using straight-line interpolation.</w:t>
      </w:r>
    </w:p>
    <w:p>
      <w:pPr>
        <w:spacing w:after="0" w:line="180"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The actual amount of any bonus paid to Mr. Alegre under the CAIP will be determined by the Compensation Committee and may be based on, among other things, his overall performance and the Company’s performance. The form of any such bonus (i.e., whether cash, equity, or some combination thereof) is subject to the discretion of the Compensation Committee. For more information about Mr. Alegre’s annual bonus, see “—Compensation Discussion and Analysis—Elements of Our Executive Compensation Program for 2021—Corporate Annual Incentive Plan (CAIP) Bonuses” above.</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125288"/>
        </w:rPr>
        <w:t>Contract Inducement</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As an inducement to enter into the Alegre Employment Agreement, on May 7, 2020, Mr. Alegre received an equity award consisting of performance-vesting stock options and PSUs. Please see “—Grants of Plan-Based Awards for 2021” and “—Outstanding Equity Awards at December 31, 2021” above and the proxy statement for our 2021 annual meeting of shareholders filed with the SEC on Schedule 14A on May 3, 2021, for more information about that award.</w:t>
      </w:r>
    </w:p>
    <w:p>
      <w:pPr>
        <w:spacing w:after="0" w:line="263"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Mr. Alegre also received a payment of $2.5 million in cash shortly after he commenced employment. If his employment had been terminated before the first anniversary of the effective date of the Alegre Employment Agreement (i.e., before April 7, 2021), Mr. Alegre would have had to repay the bonus in full, unless the termination had been by us without cause, by him for good reason, or due to his death or disability. If his employment had been terminated before April 7, 2022, for any such reason, Mr. Alegre would have had to repay one-half of the bonus payment.</w:t>
      </w:r>
    </w:p>
    <w:p>
      <w:pPr>
        <w:spacing w:after="0" w:line="260"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These inducements were directly related to outstanding unvested equity granted to Mr. Alegre by his former employer, which he forfeited by leaving such employment and coming to work for the Company.</w:t>
      </w:r>
    </w:p>
    <w:p>
      <w:pPr>
        <w:sectPr>
          <w:pgSz w:w="11900" w:h="16838" w:orient="portrait"/>
          <w:cols w:equalWidth="0" w:num="1">
            <w:col w:w="11260"/>
          </w:cols>
          <w:pgMar w:left="320" w:top="144" w:right="319" w:bottom="1440" w:gutter="0" w:footer="0" w:header="0"/>
        </w:sectPr>
      </w:pPr>
    </w:p>
    <w:p>
      <w:pPr>
        <w:spacing w:after="0" w:line="245" w:lineRule="exact"/>
        <w:rPr>
          <w:sz w:val="20"/>
          <w:szCs w:val="20"/>
          <w:color w:val="auto"/>
        </w:rPr>
      </w:pPr>
    </w:p>
    <w:p>
      <w:pPr>
        <w:spacing w:after="0"/>
        <w:tabs>
          <w:tab w:leader="none" w:pos="7360" w:val="left"/>
          <w:tab w:leader="none" w:pos="9380" w:val="left"/>
          <w:tab w:leader="none" w:pos="1100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type w:val="continuous"/>
        </w:sectPr>
      </w:pPr>
    </w:p>
    <w:bookmarkStart w:id="114" w:name="page115"/>
    <w:bookmarkEnd w:id="114"/>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125288"/>
        </w:rPr>
        <w:t>Annual Equity Awards</w:t>
      </w:r>
    </w:p>
    <w:p>
      <w:pPr>
        <w:spacing w:after="0" w:line="149"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Mr. Alegre is eligible to receive annual equity grants of PSUs with two types of performance conditions: (1) PSUs with vesting based on the achievement of a cumulative AB Adjusted OI objective for the three years following the grant established by the Compensation Committee, with a target value of $3 million per year; and (2) PSUs with vesting based on the achievement of the EPS Objective, with a target value of $2.5 million per year.</w:t>
      </w:r>
    </w:p>
    <w:p>
      <w:pPr>
        <w:spacing w:after="0" w:line="263"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Please see “—Grants of Plan-Based Awards for 2021” and “—Outstanding Equity Awards at December 31, 2021” above and the proxy statement for our 2021 annual meeting of shareholders filed with the SEC on Schedule 14A on May 3, 2021, for information about the PSUs Mr. Alegre was awarded on November 2, 2020.</w:t>
      </w:r>
    </w:p>
    <w:p>
      <w:pPr>
        <w:spacing w:after="0" w:line="260"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Mr. Alegre renounced the PSUs he was awarded on November 4, 2021, when he was notified that they had been approved. He was not provided any other form of compensation in lieu of the renounced awards.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125288"/>
        </w:rPr>
        <w:t>Other Benefits</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Mr. Alegre is entitled to participate in all benefit plans generally available to our executive officers, and we are required to maintain a $5 million supplemental term life insurance policy for the benefit of his estate. In addition, as an inducement to enter into the Alegre Employment Agreement and to replace a comparable benefit provided by his prior employer, the Alegre Employment Agreement provides that we will maintain a $5 million supplemental term life insurance policy for the benefit of his wife’s estate throughout the term of Mr. Alegre’s employment under the Alegre Employment Agreement.</w:t>
      </w:r>
    </w:p>
    <w:p>
      <w:pPr>
        <w:spacing w:after="0" w:line="260" w:lineRule="exact"/>
        <w:rPr>
          <w:sz w:val="20"/>
          <w:szCs w:val="20"/>
          <w:color w:val="auto"/>
        </w:rPr>
      </w:pPr>
    </w:p>
    <w:p>
      <w:pPr>
        <w:jc w:val="both"/>
        <w:spacing w:after="0"/>
        <w:rPr>
          <w:sz w:val="20"/>
          <w:szCs w:val="20"/>
          <w:color w:val="auto"/>
        </w:rPr>
      </w:pPr>
      <w:r>
        <w:rPr>
          <w:rFonts w:ascii="Arial" w:cs="Arial" w:eastAsia="Arial" w:hAnsi="Arial"/>
          <w:sz w:val="19"/>
          <w:szCs w:val="19"/>
          <w:color w:val="auto"/>
        </w:rPr>
        <w:t>He also received certain relocation assistance. He would have had to repay that assistance if his employment had been terminated for any reason other than by us without cause, by him for good reason, or due to his death or disability, before the first anniversary of the effective date of the Alegre Employment Agreement (i.e., before April 7, 2021).</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125288"/>
        </w:rPr>
        <w:t>Restrictive Covenants</w:t>
      </w:r>
    </w:p>
    <w:p>
      <w:pPr>
        <w:spacing w:after="0" w:line="149"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Until the second anniversary of the termination of his employment, Mr. Alegre is restricted from soliciting the employment of anyone then employed or otherwise engaged by the Company or our subsidiaries. In addition, Mr. Alegre is prohibited from disclosing or using our confidential or proprietary information during his employment, except as required in the course of his employment, and at all times following the termination of his employment. Mr. Alegre is also not permitted to seek or negotiate for other employment before the final six months of the term of his employment under the Alegre Employment Agreement. Finally, Mr. Alegre is prohibited from competing with us or any of our subsidiaries during the term of his employment under the Alegre Employment Agreement and is restricted from inducing any of our, or any of our subsidiaries', business partners to terminate or alter their relationship with us or any of our subsidiaries while he is our employee.</w:t>
      </w:r>
    </w:p>
    <w:p>
      <w:pPr>
        <w:spacing w:after="0" w:line="24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Brian Bulatao</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125288"/>
        </w:rPr>
        <w:t>Term &amp; Title</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9"/>
          <w:szCs w:val="19"/>
          <w:color w:val="auto"/>
        </w:rPr>
        <w:t>Brian Bulatao is party to the Bulatao Employment Agreement, pursuant to which he serves as our Chief Administrative Officer. Mr. Bulatao’s term of employment under the Bulatao Employment Agreement began on February 1, 2021, and continues through March 31, 2023 (subject to our right to extend such term for an additional year).</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125288"/>
        </w:rPr>
        <w:t>Base Salary</w:t>
      </w:r>
    </w:p>
    <w:p>
      <w:pPr>
        <w:spacing w:after="0" w:line="149"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Mr. Bulatao’s annual base salary was $1 million as of February 1, 2021. It will be periodically reviewed and may be increased—but not decreased—at the Compensation Committee’s discretion.</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125288"/>
        </w:rPr>
        <w:t>Annual Bonus</w:t>
      </w:r>
    </w:p>
    <w:p>
      <w:pPr>
        <w:spacing w:after="0" w:line="149" w:lineRule="exact"/>
        <w:rPr>
          <w:sz w:val="20"/>
          <w:szCs w:val="20"/>
          <w:color w:val="auto"/>
        </w:rPr>
      </w:pPr>
    </w:p>
    <w:p>
      <w:pPr>
        <w:jc w:val="both"/>
        <w:ind w:right="20"/>
        <w:spacing w:after="0" w:line="237" w:lineRule="auto"/>
        <w:rPr>
          <w:sz w:val="20"/>
          <w:szCs w:val="20"/>
          <w:color w:val="auto"/>
        </w:rPr>
      </w:pPr>
      <w:r>
        <w:rPr>
          <w:rFonts w:ascii="Arial" w:cs="Arial" w:eastAsia="Arial" w:hAnsi="Arial"/>
          <w:sz w:val="19"/>
          <w:szCs w:val="19"/>
          <w:color w:val="auto"/>
        </w:rPr>
        <w:t>Mr. Bulatao is eligible for an annual bonus under the CAIP with a target amount of 100% of his base salary. The actual amount of any bonus paid to Mr. Bulatao under the CAIP will be determined by the Compensation Committee and may be based on, among other things, his overall performance and the Company’s performance. The form of any such bonus (i.e., whether cash, equity, or some combination thereof) is subject to the discretion of the Compensation Committee. For more information about Mr. Bulatao’s annual bonus, see “—Compensation Discussion and Analysis—Elements of Our Executive Compensation Program for 2021—Corporate Annual Incentive Plan Bonuses” above.</w:t>
      </w:r>
    </w:p>
    <w:p>
      <w:pPr>
        <w:sectPr>
          <w:pgSz w:w="11900" w:h="16838" w:orient="portrait"/>
          <w:cols w:equalWidth="0" w:num="1">
            <w:col w:w="11260"/>
          </w:cols>
          <w:pgMar w:left="320" w:top="144" w:right="319" w:bottom="1440" w:gutter="0" w:footer="0" w:header="0"/>
        </w:sectPr>
      </w:pPr>
    </w:p>
    <w:p>
      <w:pPr>
        <w:spacing w:after="0" w:line="252" w:lineRule="exact"/>
        <w:rPr>
          <w:sz w:val="20"/>
          <w:szCs w:val="20"/>
          <w:color w:val="auto"/>
        </w:rPr>
      </w:pPr>
    </w:p>
    <w:p>
      <w:pPr>
        <w:spacing w:after="0"/>
        <w:tabs>
          <w:tab w:leader="none" w:pos="7360" w:val="left"/>
          <w:tab w:leader="none" w:pos="9380" w:val="left"/>
          <w:tab w:leader="none" w:pos="1100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type w:val="continuous"/>
        </w:sectPr>
      </w:pPr>
    </w:p>
    <w:bookmarkStart w:id="115" w:name="page116"/>
    <w:bookmarkEnd w:id="115"/>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125288"/>
        </w:rPr>
        <w:t>Contract Inducement</w:t>
      </w:r>
    </w:p>
    <w:p>
      <w:pPr>
        <w:spacing w:after="0" w:line="149"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As an inducement to enter into the Bulatao Employment Agreement, on March 9, 2021, Mr. Bulatao received an equity award consisting of performance-vesting stock options and PSUs and a cash payment with a two-year clawback. The vesting of each of these awards was or is, as the case may be, subject to Mr. Bulatao’s continued employment through the relevant vesting date.</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Performance-Vesting Stock Options</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Mr. Bulatao was awarded 47,240 performance-vesting stock options, one-third of which are eligible to vest on each of March 30, 2022, 2023, and 2024, in each case if the AB Adjusted OI for the year immediately preceding such vesting date is 50% or more of the AB Adjusted OI objective set forth in our AOP for that year. Please see “—Grants of Plan-Based Awards for 2021” and “—Outstanding Equity Awards at December 31, 2021” above for more information about these stock options.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PSUs (AB Adjusted OI)</w:t>
      </w:r>
    </w:p>
    <w:p>
      <w:pPr>
        <w:spacing w:after="0" w:line="149"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Mr. Bulatao was also awarded PSUs where target performance would result in the vesting of 27,027 PSUs. One-third of this award is eligible to vest on each of March 30, 2022, 2023, and 2024, in each case based on the level of the Company’s performance measured by reference to the AB Adjusted OI objective set forth in our AOP for the year immediately preceding such vesting date,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60" w:type="dxa"/>
            <w:vAlign w:val="bottom"/>
          </w:tcPr>
          <w:p>
            <w:pPr>
              <w:spacing w:after="0"/>
              <w:rPr>
                <w:sz w:val="15"/>
                <w:szCs w:val="15"/>
                <w:color w:val="auto"/>
              </w:rPr>
            </w:pPr>
          </w:p>
        </w:tc>
        <w:tc>
          <w:tcPr>
            <w:tcW w:w="7100" w:type="dxa"/>
            <w:vAlign w:val="bottom"/>
          </w:tcPr>
          <w:p>
            <w:pPr>
              <w:ind w:left="2740"/>
              <w:spacing w:after="0"/>
              <w:rPr>
                <w:sz w:val="20"/>
                <w:szCs w:val="20"/>
                <w:color w:val="auto"/>
              </w:rPr>
            </w:pPr>
            <w:r>
              <w:rPr>
                <w:rFonts w:ascii="Arial" w:cs="Arial" w:eastAsia="Arial" w:hAnsi="Arial"/>
                <w:sz w:val="15"/>
                <w:szCs w:val="15"/>
                <w:b w:val="1"/>
                <w:bCs w:val="1"/>
                <w:color w:val="125288"/>
              </w:rPr>
              <w:t>PSUs vesting on</w:t>
            </w:r>
          </w:p>
        </w:tc>
        <w:tc>
          <w:tcPr>
            <w:tcW w:w="0" w:type="dxa"/>
            <w:vAlign w:val="bottom"/>
          </w:tcPr>
          <w:p>
            <w:pPr>
              <w:spacing w:after="0"/>
              <w:rPr>
                <w:sz w:val="1"/>
                <w:szCs w:val="1"/>
                <w:color w:val="auto"/>
              </w:rPr>
            </w:pPr>
          </w:p>
        </w:tc>
      </w:tr>
      <w:tr>
        <w:trPr>
          <w:trHeight w:val="178"/>
        </w:trPr>
        <w:tc>
          <w:tcPr>
            <w:tcW w:w="4160" w:type="dxa"/>
            <w:vAlign w:val="bottom"/>
            <w:vMerge w:val="restart"/>
          </w:tcPr>
          <w:p>
            <w:pPr>
              <w:ind w:left="40"/>
              <w:spacing w:after="0"/>
              <w:rPr>
                <w:sz w:val="20"/>
                <w:szCs w:val="20"/>
                <w:color w:val="auto"/>
              </w:rPr>
            </w:pPr>
            <w:r>
              <w:rPr>
                <w:rFonts w:ascii="Arial" w:cs="Arial" w:eastAsia="Arial" w:hAnsi="Arial"/>
                <w:sz w:val="15"/>
                <w:szCs w:val="15"/>
                <w:b w:val="1"/>
                <w:bCs w:val="1"/>
                <w:color w:val="125288"/>
              </w:rPr>
              <w:t>OI (actual vs. AOP)</w:t>
            </w:r>
          </w:p>
        </w:tc>
        <w:tc>
          <w:tcPr>
            <w:tcW w:w="7100" w:type="dxa"/>
            <w:vAlign w:val="bottom"/>
          </w:tcPr>
          <w:p>
            <w:pPr>
              <w:ind w:left="2740"/>
              <w:spacing w:after="0"/>
              <w:rPr>
                <w:sz w:val="20"/>
                <w:szCs w:val="20"/>
                <w:color w:val="auto"/>
              </w:rPr>
            </w:pPr>
            <w:r>
              <w:rPr>
                <w:rFonts w:ascii="Arial" w:cs="Arial" w:eastAsia="Arial" w:hAnsi="Arial"/>
                <w:sz w:val="15"/>
                <w:szCs w:val="15"/>
                <w:b w:val="1"/>
                <w:bCs w:val="1"/>
                <w:color w:val="125288"/>
              </w:rPr>
              <w:t>March 30, 2022, 2023,</w:t>
            </w:r>
          </w:p>
        </w:tc>
        <w:tc>
          <w:tcPr>
            <w:tcW w:w="0" w:type="dxa"/>
            <w:vAlign w:val="bottom"/>
          </w:tcPr>
          <w:p>
            <w:pPr>
              <w:spacing w:after="0"/>
              <w:rPr>
                <w:sz w:val="1"/>
                <w:szCs w:val="1"/>
                <w:color w:val="auto"/>
              </w:rPr>
            </w:pPr>
          </w:p>
        </w:tc>
      </w:tr>
      <w:tr>
        <w:trPr>
          <w:trHeight w:val="209"/>
        </w:trPr>
        <w:tc>
          <w:tcPr>
            <w:tcW w:w="4160" w:type="dxa"/>
            <w:vAlign w:val="bottom"/>
            <w:tcBorders>
              <w:bottom w:val="single" w:sz="8" w:color="125288"/>
            </w:tcBorders>
            <w:vMerge w:val="continue"/>
          </w:tcPr>
          <w:p>
            <w:pPr>
              <w:spacing w:after="0"/>
              <w:rPr>
                <w:sz w:val="18"/>
                <w:szCs w:val="18"/>
                <w:color w:val="auto"/>
              </w:rPr>
            </w:pPr>
          </w:p>
        </w:tc>
        <w:tc>
          <w:tcPr>
            <w:tcW w:w="7100" w:type="dxa"/>
            <w:vAlign w:val="bottom"/>
            <w:tcBorders>
              <w:bottom w:val="single" w:sz="8" w:color="125288"/>
            </w:tcBorders>
          </w:tcPr>
          <w:p>
            <w:pPr>
              <w:ind w:left="2740"/>
              <w:spacing w:after="0"/>
              <w:rPr>
                <w:sz w:val="20"/>
                <w:szCs w:val="20"/>
                <w:color w:val="auto"/>
              </w:rPr>
            </w:pPr>
            <w:r>
              <w:rPr>
                <w:rFonts w:ascii="Arial" w:cs="Arial" w:eastAsia="Arial" w:hAnsi="Arial"/>
                <w:sz w:val="15"/>
                <w:szCs w:val="15"/>
                <w:b w:val="1"/>
                <w:bCs w:val="1"/>
                <w:color w:val="125288"/>
              </w:rPr>
              <w:t>and 2024</w:t>
            </w:r>
          </w:p>
        </w:tc>
        <w:tc>
          <w:tcPr>
            <w:tcW w:w="0" w:type="dxa"/>
            <w:vAlign w:val="bottom"/>
          </w:tcPr>
          <w:p>
            <w:pPr>
              <w:spacing w:after="0"/>
              <w:rPr>
                <w:sz w:val="1"/>
                <w:szCs w:val="1"/>
                <w:color w:val="auto"/>
              </w:rPr>
            </w:pPr>
          </w:p>
        </w:tc>
      </w:tr>
      <w:tr>
        <w:trPr>
          <w:trHeight w:val="228"/>
        </w:trPr>
        <w:tc>
          <w:tcPr>
            <w:tcW w:w="4160" w:type="dxa"/>
            <w:vAlign w:val="bottom"/>
          </w:tcPr>
          <w:p>
            <w:pPr>
              <w:ind w:left="40"/>
              <w:spacing w:after="0"/>
              <w:rPr>
                <w:sz w:val="20"/>
                <w:szCs w:val="20"/>
                <w:color w:val="auto"/>
              </w:rPr>
            </w:pPr>
            <w:r>
              <w:rPr>
                <w:rFonts w:ascii="Arial" w:cs="Arial" w:eastAsia="Arial" w:hAnsi="Arial"/>
                <w:sz w:val="15"/>
                <w:szCs w:val="15"/>
                <w:color w:val="auto"/>
              </w:rPr>
              <w:t>&lt;</w:t>
            </w:r>
            <w:r>
              <w:rPr>
                <w:rFonts w:ascii="Arial" w:cs="Arial" w:eastAsia="Arial" w:hAnsi="Arial"/>
                <w:sz w:val="16"/>
                <w:szCs w:val="16"/>
                <w:color w:val="auto"/>
              </w:rPr>
              <w:t>90%</w:t>
            </w:r>
          </w:p>
        </w:tc>
        <w:tc>
          <w:tcPr>
            <w:tcW w:w="7100" w:type="dxa"/>
            <w:vAlign w:val="bottom"/>
          </w:tcPr>
          <w:p>
            <w:pPr>
              <w:ind w:left="274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7"/>
        </w:trPr>
        <w:tc>
          <w:tcPr>
            <w:tcW w:w="4160" w:type="dxa"/>
            <w:vAlign w:val="bottom"/>
            <w:tcBorders>
              <w:bottom w:val="single" w:sz="8" w:color="125288"/>
            </w:tcBorders>
          </w:tcPr>
          <w:p>
            <w:pPr>
              <w:spacing w:after="0"/>
              <w:rPr>
                <w:sz w:val="3"/>
                <w:szCs w:val="3"/>
                <w:color w:val="auto"/>
              </w:rPr>
            </w:pPr>
          </w:p>
        </w:tc>
        <w:tc>
          <w:tcPr>
            <w:tcW w:w="7100" w:type="dxa"/>
            <w:vAlign w:val="bottom"/>
            <w:tcBorders>
              <w:bottom w:val="single" w:sz="8" w:color="125288"/>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160" w:type="dxa"/>
            <w:vAlign w:val="bottom"/>
          </w:tcPr>
          <w:p>
            <w:pPr>
              <w:ind w:left="40"/>
              <w:spacing w:after="0"/>
              <w:rPr>
                <w:sz w:val="20"/>
                <w:szCs w:val="20"/>
                <w:color w:val="auto"/>
              </w:rPr>
            </w:pPr>
            <w:r>
              <w:rPr>
                <w:rFonts w:ascii="Arial" w:cs="Arial" w:eastAsia="Arial" w:hAnsi="Arial"/>
                <w:sz w:val="17"/>
                <w:szCs w:val="17"/>
                <w:color w:val="auto"/>
              </w:rPr>
              <w:t>90%</w:t>
            </w:r>
          </w:p>
        </w:tc>
        <w:tc>
          <w:tcPr>
            <w:tcW w:w="7100" w:type="dxa"/>
            <w:vAlign w:val="bottom"/>
          </w:tcPr>
          <w:p>
            <w:pPr>
              <w:ind w:left="2740"/>
              <w:spacing w:after="0"/>
              <w:rPr>
                <w:sz w:val="20"/>
                <w:szCs w:val="20"/>
                <w:color w:val="auto"/>
              </w:rPr>
            </w:pPr>
            <w:r>
              <w:rPr>
                <w:rFonts w:ascii="Arial" w:cs="Arial" w:eastAsia="Arial" w:hAnsi="Arial"/>
                <w:sz w:val="17"/>
                <w:szCs w:val="17"/>
                <w:color w:val="auto"/>
              </w:rPr>
              <w:t>90% of annual target of 9,009*</w:t>
            </w:r>
          </w:p>
        </w:tc>
        <w:tc>
          <w:tcPr>
            <w:tcW w:w="0" w:type="dxa"/>
            <w:vAlign w:val="bottom"/>
          </w:tcPr>
          <w:p>
            <w:pPr>
              <w:spacing w:after="0"/>
              <w:rPr>
                <w:sz w:val="1"/>
                <w:szCs w:val="1"/>
                <w:color w:val="auto"/>
              </w:rPr>
            </w:pPr>
          </w:p>
        </w:tc>
      </w:tr>
      <w:tr>
        <w:trPr>
          <w:trHeight w:val="37"/>
        </w:trPr>
        <w:tc>
          <w:tcPr>
            <w:tcW w:w="4160" w:type="dxa"/>
            <w:vAlign w:val="bottom"/>
            <w:tcBorders>
              <w:bottom w:val="single" w:sz="8" w:color="125288"/>
            </w:tcBorders>
          </w:tcPr>
          <w:p>
            <w:pPr>
              <w:spacing w:after="0"/>
              <w:rPr>
                <w:sz w:val="3"/>
                <w:szCs w:val="3"/>
                <w:color w:val="auto"/>
              </w:rPr>
            </w:pPr>
          </w:p>
        </w:tc>
        <w:tc>
          <w:tcPr>
            <w:tcW w:w="7100" w:type="dxa"/>
            <w:vAlign w:val="bottom"/>
            <w:tcBorders>
              <w:bottom w:val="single" w:sz="8" w:color="125288"/>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160" w:type="dxa"/>
            <w:vAlign w:val="bottom"/>
          </w:tcPr>
          <w:p>
            <w:pPr>
              <w:ind w:left="4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200%</w:t>
            </w:r>
          </w:p>
        </w:tc>
        <w:tc>
          <w:tcPr>
            <w:tcW w:w="7100" w:type="dxa"/>
            <w:vAlign w:val="bottom"/>
          </w:tcPr>
          <w:p>
            <w:pPr>
              <w:ind w:left="2740"/>
              <w:spacing w:after="0"/>
              <w:rPr>
                <w:sz w:val="20"/>
                <w:szCs w:val="20"/>
                <w:color w:val="auto"/>
              </w:rPr>
            </w:pPr>
            <w:r>
              <w:rPr>
                <w:rFonts w:ascii="Arial" w:cs="Arial" w:eastAsia="Arial" w:hAnsi="Arial"/>
                <w:sz w:val="17"/>
                <w:szCs w:val="17"/>
                <w:color w:val="auto"/>
              </w:rPr>
              <w:t>200% of annual target of 9,009*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7148830" cy="152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87"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5"/>
          <w:szCs w:val="15"/>
          <w:color w:val="auto"/>
        </w:rPr>
        <w:t>*</w:t>
        <w:tab/>
        <w:t>If actual performance is between any the points, the number of PSUs that vest will be determined using straight-line interpolation.</w:t>
      </w:r>
    </w:p>
    <w:p>
      <w:pPr>
        <w:spacing w:after="0" w:line="211"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Please see “—Grants of Plan-Based Awards for 2021” and “—Outstanding Equity Awards at December 31, 2021” above for more information about these PSUs.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color w:val="auto"/>
        </w:rPr>
        <w:t>PSUs (AB Adjusted EPS)</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9"/>
          <w:szCs w:val="19"/>
          <w:color w:val="auto"/>
        </w:rPr>
        <w:t>Mr. Bulatao was also awarded PSUs where target performance would result in the vesting of 10,811 PSUs. One-third of this award is eligible to vest on each of March 30, 2022, 2023, and 2024, in each case based on the level of the Company’s performance measured by reference to the AB Adjusted EPS objective set forth in our AOP for the year immediately preceding such vesting date, as follows: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240" w:type="dxa"/>
            <w:vAlign w:val="bottom"/>
          </w:tcPr>
          <w:p>
            <w:pPr>
              <w:spacing w:after="0"/>
              <w:rPr>
                <w:sz w:val="15"/>
                <w:szCs w:val="15"/>
                <w:color w:val="auto"/>
              </w:rPr>
            </w:pPr>
          </w:p>
        </w:tc>
        <w:tc>
          <w:tcPr>
            <w:tcW w:w="7020" w:type="dxa"/>
            <w:vAlign w:val="bottom"/>
          </w:tcPr>
          <w:p>
            <w:pPr>
              <w:ind w:left="2680"/>
              <w:spacing w:after="0"/>
              <w:rPr>
                <w:sz w:val="20"/>
                <w:szCs w:val="20"/>
                <w:color w:val="auto"/>
              </w:rPr>
            </w:pPr>
            <w:r>
              <w:rPr>
                <w:rFonts w:ascii="Arial" w:cs="Arial" w:eastAsia="Arial" w:hAnsi="Arial"/>
                <w:sz w:val="15"/>
                <w:szCs w:val="15"/>
                <w:b w:val="1"/>
                <w:bCs w:val="1"/>
                <w:color w:val="125288"/>
              </w:rPr>
              <w:t>PSUs vesting on</w:t>
            </w:r>
          </w:p>
        </w:tc>
      </w:tr>
      <w:tr>
        <w:trPr>
          <w:trHeight w:val="178"/>
        </w:trPr>
        <w:tc>
          <w:tcPr>
            <w:tcW w:w="4240" w:type="dxa"/>
            <w:vAlign w:val="bottom"/>
          </w:tcPr>
          <w:p>
            <w:pPr>
              <w:spacing w:after="0"/>
              <w:rPr>
                <w:sz w:val="15"/>
                <w:szCs w:val="15"/>
                <w:color w:val="auto"/>
              </w:rPr>
            </w:pPr>
          </w:p>
        </w:tc>
        <w:tc>
          <w:tcPr>
            <w:tcW w:w="7020" w:type="dxa"/>
            <w:vAlign w:val="bottom"/>
          </w:tcPr>
          <w:p>
            <w:pPr>
              <w:ind w:left="2680"/>
              <w:spacing w:after="0"/>
              <w:rPr>
                <w:sz w:val="20"/>
                <w:szCs w:val="20"/>
                <w:color w:val="auto"/>
              </w:rPr>
            </w:pPr>
            <w:r>
              <w:rPr>
                <w:rFonts w:ascii="Arial" w:cs="Arial" w:eastAsia="Arial" w:hAnsi="Arial"/>
                <w:sz w:val="15"/>
                <w:szCs w:val="15"/>
                <w:b w:val="1"/>
                <w:bCs w:val="1"/>
                <w:color w:val="125288"/>
              </w:rPr>
              <w:t>March 30, 2022, 2023,</w:t>
            </w:r>
          </w:p>
        </w:tc>
      </w:tr>
      <w:tr>
        <w:trPr>
          <w:trHeight w:val="204"/>
        </w:trPr>
        <w:tc>
          <w:tcPr>
            <w:tcW w:w="4240" w:type="dxa"/>
            <w:vAlign w:val="bottom"/>
          </w:tcPr>
          <w:p>
            <w:pPr>
              <w:ind w:left="40"/>
              <w:spacing w:after="0"/>
              <w:rPr>
                <w:sz w:val="20"/>
                <w:szCs w:val="20"/>
                <w:color w:val="auto"/>
              </w:rPr>
            </w:pPr>
            <w:r>
              <w:rPr>
                <w:rFonts w:ascii="Arial" w:cs="Arial" w:eastAsia="Arial" w:hAnsi="Arial"/>
                <w:sz w:val="15"/>
                <w:szCs w:val="15"/>
                <w:b w:val="1"/>
                <w:bCs w:val="1"/>
                <w:color w:val="125288"/>
              </w:rPr>
              <w:t>EPS (actual vs. AOP)</w:t>
            </w:r>
          </w:p>
        </w:tc>
        <w:tc>
          <w:tcPr>
            <w:tcW w:w="7020" w:type="dxa"/>
            <w:vAlign w:val="bottom"/>
          </w:tcPr>
          <w:p>
            <w:pPr>
              <w:ind w:left="2680"/>
              <w:spacing w:after="0"/>
              <w:rPr>
                <w:sz w:val="20"/>
                <w:szCs w:val="20"/>
                <w:color w:val="auto"/>
              </w:rPr>
            </w:pPr>
            <w:r>
              <w:rPr>
                <w:rFonts w:ascii="Arial" w:cs="Arial" w:eastAsia="Arial" w:hAnsi="Arial"/>
                <w:sz w:val="15"/>
                <w:szCs w:val="15"/>
                <w:b w:val="1"/>
                <w:bCs w:val="1"/>
                <w:color w:val="125288"/>
              </w:rPr>
              <w:t>and 2024</w:t>
            </w:r>
          </w:p>
        </w:tc>
      </w:tr>
      <w:tr>
        <w:trPr>
          <w:trHeight w:val="41"/>
        </w:trPr>
        <w:tc>
          <w:tcPr>
            <w:tcW w:w="4240" w:type="dxa"/>
            <w:vAlign w:val="bottom"/>
            <w:tcBorders>
              <w:bottom w:val="single" w:sz="8" w:color="125288"/>
            </w:tcBorders>
          </w:tcPr>
          <w:p>
            <w:pPr>
              <w:spacing w:after="0"/>
              <w:rPr>
                <w:sz w:val="3"/>
                <w:szCs w:val="3"/>
                <w:color w:val="auto"/>
              </w:rPr>
            </w:pPr>
          </w:p>
        </w:tc>
        <w:tc>
          <w:tcPr>
            <w:tcW w:w="7020" w:type="dxa"/>
            <w:vAlign w:val="bottom"/>
            <w:tcBorders>
              <w:bottom w:val="single" w:sz="8" w:color="125288"/>
            </w:tcBorders>
          </w:tcPr>
          <w:p>
            <w:pPr>
              <w:spacing w:after="0"/>
              <w:rPr>
                <w:sz w:val="3"/>
                <w:szCs w:val="3"/>
                <w:color w:val="auto"/>
              </w:rPr>
            </w:pPr>
          </w:p>
        </w:tc>
      </w:tr>
      <w:tr>
        <w:trPr>
          <w:trHeight w:val="228"/>
        </w:trPr>
        <w:tc>
          <w:tcPr>
            <w:tcW w:w="4240" w:type="dxa"/>
            <w:vAlign w:val="bottom"/>
          </w:tcPr>
          <w:p>
            <w:pPr>
              <w:ind w:left="40"/>
              <w:spacing w:after="0"/>
              <w:rPr>
                <w:sz w:val="20"/>
                <w:szCs w:val="20"/>
                <w:color w:val="auto"/>
              </w:rPr>
            </w:pPr>
            <w:r>
              <w:rPr>
                <w:rFonts w:ascii="Arial" w:cs="Arial" w:eastAsia="Arial" w:hAnsi="Arial"/>
                <w:sz w:val="15"/>
                <w:szCs w:val="15"/>
                <w:color w:val="auto"/>
              </w:rPr>
              <w:t>&lt;</w:t>
            </w:r>
            <w:r>
              <w:rPr>
                <w:rFonts w:ascii="Arial" w:cs="Arial" w:eastAsia="Arial" w:hAnsi="Arial"/>
                <w:sz w:val="16"/>
                <w:szCs w:val="16"/>
                <w:color w:val="auto"/>
              </w:rPr>
              <w:t>100%</w:t>
            </w:r>
          </w:p>
        </w:tc>
        <w:tc>
          <w:tcPr>
            <w:tcW w:w="7020" w:type="dxa"/>
            <w:vAlign w:val="bottom"/>
          </w:tcPr>
          <w:p>
            <w:pPr>
              <w:ind w:left="2680"/>
              <w:spacing w:after="0"/>
              <w:rPr>
                <w:sz w:val="20"/>
                <w:szCs w:val="20"/>
                <w:color w:val="auto"/>
              </w:rPr>
            </w:pPr>
            <w:r>
              <w:rPr>
                <w:rFonts w:ascii="Arial" w:cs="Arial" w:eastAsia="Arial" w:hAnsi="Arial"/>
                <w:sz w:val="17"/>
                <w:szCs w:val="17"/>
                <w:color w:val="auto"/>
              </w:rPr>
              <w:t>0%</w:t>
            </w:r>
          </w:p>
        </w:tc>
      </w:tr>
      <w:tr>
        <w:trPr>
          <w:trHeight w:val="37"/>
        </w:trPr>
        <w:tc>
          <w:tcPr>
            <w:tcW w:w="4240" w:type="dxa"/>
            <w:vAlign w:val="bottom"/>
            <w:tcBorders>
              <w:bottom w:val="single" w:sz="8" w:color="125288"/>
            </w:tcBorders>
          </w:tcPr>
          <w:p>
            <w:pPr>
              <w:spacing w:after="0"/>
              <w:rPr>
                <w:sz w:val="3"/>
                <w:szCs w:val="3"/>
                <w:color w:val="auto"/>
              </w:rPr>
            </w:pPr>
          </w:p>
        </w:tc>
        <w:tc>
          <w:tcPr>
            <w:tcW w:w="7020" w:type="dxa"/>
            <w:vAlign w:val="bottom"/>
            <w:tcBorders>
              <w:bottom w:val="single" w:sz="8" w:color="125288"/>
            </w:tcBorders>
          </w:tcPr>
          <w:p>
            <w:pPr>
              <w:spacing w:after="0"/>
              <w:rPr>
                <w:sz w:val="3"/>
                <w:szCs w:val="3"/>
                <w:color w:val="auto"/>
              </w:rPr>
            </w:pPr>
          </w:p>
        </w:tc>
      </w:tr>
      <w:tr>
        <w:trPr>
          <w:trHeight w:val="228"/>
        </w:trPr>
        <w:tc>
          <w:tcPr>
            <w:tcW w:w="4240" w:type="dxa"/>
            <w:vAlign w:val="bottom"/>
          </w:tcPr>
          <w:p>
            <w:pPr>
              <w:ind w:left="40"/>
              <w:spacing w:after="0"/>
              <w:rPr>
                <w:sz w:val="20"/>
                <w:szCs w:val="20"/>
                <w:color w:val="auto"/>
              </w:rPr>
            </w:pPr>
            <w:r>
              <w:rPr>
                <w:rFonts w:ascii="Arial" w:cs="Arial" w:eastAsia="Arial" w:hAnsi="Arial"/>
                <w:sz w:val="17"/>
                <w:szCs w:val="17"/>
                <w:color w:val="auto"/>
              </w:rPr>
              <w:t>100%</w:t>
            </w:r>
          </w:p>
        </w:tc>
        <w:tc>
          <w:tcPr>
            <w:tcW w:w="7020" w:type="dxa"/>
            <w:vAlign w:val="bottom"/>
          </w:tcPr>
          <w:p>
            <w:pPr>
              <w:ind w:left="2680"/>
              <w:spacing w:after="0"/>
              <w:rPr>
                <w:sz w:val="20"/>
                <w:szCs w:val="20"/>
                <w:color w:val="auto"/>
              </w:rPr>
            </w:pPr>
            <w:r>
              <w:rPr>
                <w:rFonts w:ascii="Arial" w:cs="Arial" w:eastAsia="Arial" w:hAnsi="Arial"/>
                <w:sz w:val="17"/>
                <w:szCs w:val="17"/>
                <w:color w:val="auto"/>
              </w:rPr>
              <w:t>100% of annual target of 3,604*</w:t>
            </w:r>
          </w:p>
        </w:tc>
      </w:tr>
      <w:tr>
        <w:trPr>
          <w:trHeight w:val="37"/>
        </w:trPr>
        <w:tc>
          <w:tcPr>
            <w:tcW w:w="4240" w:type="dxa"/>
            <w:vAlign w:val="bottom"/>
            <w:tcBorders>
              <w:bottom w:val="single" w:sz="8" w:color="125288"/>
            </w:tcBorders>
          </w:tcPr>
          <w:p>
            <w:pPr>
              <w:spacing w:after="0"/>
              <w:rPr>
                <w:sz w:val="3"/>
                <w:szCs w:val="3"/>
                <w:color w:val="auto"/>
              </w:rPr>
            </w:pPr>
          </w:p>
        </w:tc>
        <w:tc>
          <w:tcPr>
            <w:tcW w:w="7020" w:type="dxa"/>
            <w:vAlign w:val="bottom"/>
            <w:tcBorders>
              <w:bottom w:val="single" w:sz="8" w:color="125288"/>
            </w:tcBorders>
          </w:tcPr>
          <w:p>
            <w:pPr>
              <w:spacing w:after="0"/>
              <w:rPr>
                <w:sz w:val="3"/>
                <w:szCs w:val="3"/>
                <w:color w:val="auto"/>
              </w:rPr>
            </w:pPr>
          </w:p>
        </w:tc>
      </w:tr>
      <w:tr>
        <w:trPr>
          <w:trHeight w:val="228"/>
        </w:trPr>
        <w:tc>
          <w:tcPr>
            <w:tcW w:w="4240" w:type="dxa"/>
            <w:vAlign w:val="bottom"/>
          </w:tcPr>
          <w:p>
            <w:pPr>
              <w:ind w:left="4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200%</w:t>
            </w:r>
          </w:p>
        </w:tc>
        <w:tc>
          <w:tcPr>
            <w:tcW w:w="7020" w:type="dxa"/>
            <w:vAlign w:val="bottom"/>
          </w:tcPr>
          <w:p>
            <w:pPr>
              <w:ind w:left="2680"/>
              <w:spacing w:after="0"/>
              <w:rPr>
                <w:sz w:val="20"/>
                <w:szCs w:val="20"/>
                <w:color w:val="auto"/>
              </w:rPr>
            </w:pPr>
            <w:r>
              <w:rPr>
                <w:rFonts w:ascii="Arial" w:cs="Arial" w:eastAsia="Arial" w:hAnsi="Arial"/>
                <w:sz w:val="17"/>
                <w:szCs w:val="17"/>
                <w:color w:val="auto"/>
              </w:rPr>
              <w:t>200% of annual target of 3,604*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7148830" cy="152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87"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5"/>
          <w:szCs w:val="15"/>
          <w:color w:val="auto"/>
        </w:rPr>
        <w:t>*</w:t>
        <w:tab/>
        <w:t>If actual performance is between the two points, the number of PSUs that vest will be determined using straight-line interpolation.</w:t>
      </w:r>
    </w:p>
    <w:p>
      <w:pPr>
        <w:spacing w:after="0" w:line="199"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Please see “—Grants of Plan-Based Awards for 2021” and “—Outstanding Equity Awards at December 31, 2021” above for more information about these PSUs.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color w:val="auto"/>
        </w:rPr>
        <w:t>PSUs (Relative TSR)</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color w:val="auto"/>
        </w:rPr>
        <w:t>Mr. Bulatao was also awarded PSUs where target performance would result in the vesting of 10,811 PSUs.</w:t>
      </w:r>
    </w:p>
    <w:p>
      <w:pPr>
        <w:spacing w:after="0" w:line="138"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One half of this award is eligible to vest in three equal tranches on each of March 30, 2022, 2023, and 2024, by reference to our cumulative TSR as compared to the rate of return of the S&amp;P 500 Total Return Index for the period from (1) the date on which Mr. Bulatao’s employment under the Bulatao Employment Agreement began (i.e., February 1, 2021) through December 31, 2021, (2) January 1, 2022, through December 31, 2022, and (3) January 1, 2023, through December 31, 2023, respectively, as follows:</w:t>
      </w:r>
    </w:p>
    <w:p>
      <w:pPr>
        <w:sectPr>
          <w:pgSz w:w="11900" w:h="16838" w:orient="portrait"/>
          <w:cols w:equalWidth="0" w:num="1">
            <w:col w:w="11260"/>
          </w:cols>
          <w:pgMar w:left="320" w:top="144" w:right="319" w:bottom="404" w:gutter="0" w:footer="0" w:header="0"/>
        </w:sectPr>
      </w:pPr>
    </w:p>
    <w:p>
      <w:pPr>
        <w:spacing w:after="0" w:line="32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125288"/>
        </w:rPr>
        <w:t>TSR minus the rate of return of the</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125288"/>
        </w:rPr>
        <w:t>S&amp;P 500 Total Return Index</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color w:val="125288"/>
        </w:rPr>
        <w:t>PSUs vesting on</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b w:val="1"/>
          <w:bCs w:val="1"/>
          <w:color w:val="125288"/>
        </w:rPr>
        <w:t>March 30, 2022, 2023,</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125288"/>
        </w:rPr>
        <w:t>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-4396740</wp:posOffset>
            </wp:positionH>
            <wp:positionV relativeFrom="paragraph">
              <wp:posOffset>9525</wp:posOffset>
            </wp:positionV>
            <wp:extent cx="7148830" cy="152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66" w:lineRule="exact"/>
        <w:rPr>
          <w:sz w:val="20"/>
          <w:szCs w:val="20"/>
          <w:color w:val="auto"/>
        </w:rPr>
      </w:pPr>
    </w:p>
    <w:p>
      <w:pPr>
        <w:sectPr>
          <w:pgSz w:w="11900" w:h="16838" w:orient="portrait"/>
          <w:cols w:equalWidth="0" w:num="2">
            <w:col w:w="6200" w:space="720"/>
            <w:col w:w="4340"/>
          </w:cols>
          <w:pgMar w:left="320" w:top="144" w:right="319" w:bottom="404" w:gutter="0" w:footer="0" w:header="0"/>
          <w:type w:val="continuous"/>
        </w:sectPr>
      </w:pPr>
    </w:p>
    <w:p>
      <w:pPr>
        <w:ind w:left="40"/>
        <w:spacing w:after="0"/>
        <w:tabs>
          <w:tab w:leader="none" w:pos="6900" w:val="left"/>
        </w:tabs>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10 percentage points or more</w:t>
      </w:r>
      <w:r>
        <w:rPr>
          <w:sz w:val="20"/>
          <w:szCs w:val="20"/>
          <w:color w:val="auto"/>
        </w:rPr>
        <w:tab/>
      </w:r>
      <w:r>
        <w:rPr>
          <w:rFonts w:ascii="Arial" w:cs="Arial" w:eastAsia="Arial" w:hAnsi="Arial"/>
          <w:sz w:val="16"/>
          <w:szCs w:val="16"/>
          <w:color w:val="auto"/>
        </w:rPr>
        <w:t>100% of annual target of 1,802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wp:posOffset>
            </wp:positionV>
            <wp:extent cx="7148830" cy="152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179"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The other half of this award is eligible to vest on March 30, 2024, by reference to our cumulative TSR as compared to the rate of return of the S&amp;P 500 Total Return Index for the period from the date on which Mr. Bulatao’s employment under the Bulatao Employment Agreement began (i.e., February 1, 2021) through December 31, 2023,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60" w:type="dxa"/>
            <w:vAlign w:val="bottom"/>
          </w:tcPr>
          <w:p>
            <w:pPr>
              <w:ind w:left="40"/>
              <w:spacing w:after="0"/>
              <w:rPr>
                <w:sz w:val="20"/>
                <w:szCs w:val="20"/>
                <w:color w:val="auto"/>
              </w:rPr>
            </w:pPr>
            <w:r>
              <w:rPr>
                <w:rFonts w:ascii="Arial" w:cs="Arial" w:eastAsia="Arial" w:hAnsi="Arial"/>
                <w:sz w:val="15"/>
                <w:szCs w:val="15"/>
                <w:b w:val="1"/>
                <w:bCs w:val="1"/>
                <w:color w:val="125288"/>
              </w:rPr>
              <w:t>TSR minus the rate of return of the</w:t>
            </w:r>
          </w:p>
        </w:tc>
        <w:tc>
          <w:tcPr>
            <w:tcW w:w="6500" w:type="dxa"/>
            <w:vAlign w:val="bottom"/>
          </w:tcPr>
          <w:p>
            <w:pPr>
              <w:ind w:left="2160"/>
              <w:spacing w:after="0"/>
              <w:rPr>
                <w:sz w:val="20"/>
                <w:szCs w:val="20"/>
                <w:color w:val="auto"/>
              </w:rPr>
            </w:pPr>
            <w:r>
              <w:rPr>
                <w:rFonts w:ascii="Arial" w:cs="Arial" w:eastAsia="Arial" w:hAnsi="Arial"/>
                <w:sz w:val="15"/>
                <w:szCs w:val="15"/>
                <w:b w:val="1"/>
                <w:bCs w:val="1"/>
                <w:color w:val="125288"/>
              </w:rPr>
              <w:t>PSUs vesting on</w:t>
            </w:r>
          </w:p>
        </w:tc>
      </w:tr>
      <w:tr>
        <w:trPr>
          <w:trHeight w:val="209"/>
        </w:trPr>
        <w:tc>
          <w:tcPr>
            <w:tcW w:w="4760" w:type="dxa"/>
            <w:vAlign w:val="bottom"/>
            <w:tcBorders>
              <w:bottom w:val="single" w:sz="8" w:color="125288"/>
            </w:tcBorders>
          </w:tcPr>
          <w:p>
            <w:pPr>
              <w:ind w:left="40"/>
              <w:spacing w:after="0"/>
              <w:rPr>
                <w:sz w:val="20"/>
                <w:szCs w:val="20"/>
                <w:color w:val="auto"/>
              </w:rPr>
            </w:pPr>
            <w:r>
              <w:rPr>
                <w:rFonts w:ascii="Arial" w:cs="Arial" w:eastAsia="Arial" w:hAnsi="Arial"/>
                <w:sz w:val="15"/>
                <w:szCs w:val="15"/>
                <w:b w:val="1"/>
                <w:bCs w:val="1"/>
                <w:color w:val="125288"/>
              </w:rPr>
              <w:t>S&amp;P 500 Total Return Index</w:t>
            </w:r>
          </w:p>
        </w:tc>
        <w:tc>
          <w:tcPr>
            <w:tcW w:w="6500" w:type="dxa"/>
            <w:vAlign w:val="bottom"/>
            <w:tcBorders>
              <w:bottom w:val="single" w:sz="8" w:color="125288"/>
            </w:tcBorders>
          </w:tcPr>
          <w:p>
            <w:pPr>
              <w:ind w:left="2160"/>
              <w:spacing w:after="0"/>
              <w:rPr>
                <w:sz w:val="20"/>
                <w:szCs w:val="20"/>
                <w:color w:val="auto"/>
              </w:rPr>
            </w:pPr>
            <w:r>
              <w:rPr>
                <w:rFonts w:ascii="Arial" w:cs="Arial" w:eastAsia="Arial" w:hAnsi="Arial"/>
                <w:sz w:val="15"/>
                <w:szCs w:val="15"/>
                <w:b w:val="1"/>
                <w:bCs w:val="1"/>
                <w:color w:val="125288"/>
              </w:rPr>
              <w:t>March 30, 2024</w:t>
            </w:r>
          </w:p>
        </w:tc>
      </w:tr>
      <w:tr>
        <w:trPr>
          <w:trHeight w:val="228"/>
        </w:trPr>
        <w:tc>
          <w:tcPr>
            <w:tcW w:w="4760" w:type="dxa"/>
            <w:vAlign w:val="bottom"/>
          </w:tcPr>
          <w:p>
            <w:pPr>
              <w:ind w:left="4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10 percentage points or more</w:t>
            </w:r>
          </w:p>
        </w:tc>
        <w:tc>
          <w:tcPr>
            <w:tcW w:w="6500" w:type="dxa"/>
            <w:vAlign w:val="bottom"/>
          </w:tcPr>
          <w:p>
            <w:pPr>
              <w:ind w:left="2160"/>
              <w:spacing w:after="0"/>
              <w:rPr>
                <w:sz w:val="20"/>
                <w:szCs w:val="20"/>
                <w:color w:val="auto"/>
              </w:rPr>
            </w:pPr>
            <w:r>
              <w:rPr>
                <w:rFonts w:ascii="Arial" w:cs="Arial" w:eastAsia="Arial" w:hAnsi="Arial"/>
                <w:sz w:val="17"/>
                <w:szCs w:val="17"/>
                <w:color w:val="auto"/>
              </w:rPr>
              <w:t>100% of target of 5,405</w:t>
            </w:r>
          </w:p>
        </w:tc>
      </w:tr>
      <w:tr>
        <w:trPr>
          <w:trHeight w:val="37"/>
        </w:trPr>
        <w:tc>
          <w:tcPr>
            <w:tcW w:w="4760" w:type="dxa"/>
            <w:vAlign w:val="bottom"/>
            <w:tcBorders>
              <w:bottom w:val="single" w:sz="8" w:color="125288"/>
            </w:tcBorders>
          </w:tcPr>
          <w:p>
            <w:pPr>
              <w:spacing w:after="0"/>
              <w:rPr>
                <w:sz w:val="3"/>
                <w:szCs w:val="3"/>
                <w:color w:val="auto"/>
              </w:rPr>
            </w:pPr>
          </w:p>
        </w:tc>
        <w:tc>
          <w:tcPr>
            <w:tcW w:w="6500" w:type="dxa"/>
            <w:vAlign w:val="bottom"/>
            <w:tcBorders>
              <w:bottom w:val="single" w:sz="8" w:color="125288"/>
            </w:tcBorders>
          </w:tcPr>
          <w:p>
            <w:pPr>
              <w:spacing w:after="0"/>
              <w:rPr>
                <w:sz w:val="3"/>
                <w:szCs w:val="3"/>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9"/>
          <w:szCs w:val="19"/>
          <w:color w:val="auto"/>
        </w:rPr>
        <w:t>Each tranche of this award vests only if our TSR is positive during the relevant performance period.</w:t>
      </w:r>
    </w:p>
    <w:p>
      <w:pPr>
        <w:sectPr>
          <w:pgSz w:w="11900" w:h="16838" w:orient="portrait"/>
          <w:cols w:equalWidth="0" w:num="1">
            <w:col w:w="11260"/>
          </w:cols>
          <w:pgMar w:left="320" w:top="144" w:right="319" w:bottom="404" w:gutter="0" w:footer="0" w:header="0"/>
          <w:type w:val="continuous"/>
        </w:sectPr>
      </w:pPr>
    </w:p>
    <w:p>
      <w:pPr>
        <w:spacing w:after="0" w:line="128" w:lineRule="exact"/>
        <w:rPr>
          <w:sz w:val="20"/>
          <w:szCs w:val="20"/>
          <w:color w:val="auto"/>
        </w:rPr>
      </w:pPr>
    </w:p>
    <w:p>
      <w:pPr>
        <w:spacing w:after="0"/>
        <w:tabs>
          <w:tab w:leader="none" w:pos="7360" w:val="left"/>
          <w:tab w:leader="none" w:pos="9380" w:val="left"/>
          <w:tab w:leader="none" w:pos="1100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404" w:gutter="0" w:footer="0" w:header="0"/>
          <w:type w:val="continuous"/>
        </w:sectPr>
      </w:pPr>
    </w:p>
    <w:bookmarkStart w:id="116" w:name="page117"/>
    <w:bookmarkEnd w:id="116"/>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35" w:lineRule="exact"/>
        <w:rPr>
          <w:sz w:val="20"/>
          <w:szCs w:val="20"/>
          <w:color w:val="auto"/>
        </w:rPr>
      </w:pPr>
    </w:p>
    <w:p>
      <w:pPr>
        <w:jc w:val="both"/>
        <w:ind w:right="20"/>
        <w:spacing w:after="0" w:line="236" w:lineRule="auto"/>
        <w:rPr>
          <w:sz w:val="20"/>
          <w:szCs w:val="20"/>
          <w:color w:val="auto"/>
        </w:rPr>
      </w:pPr>
      <w:r>
        <w:rPr>
          <w:rFonts w:ascii="Arial" w:cs="Arial" w:eastAsia="Arial" w:hAnsi="Arial"/>
          <w:sz w:val="19"/>
          <w:szCs w:val="19"/>
          <w:color w:val="auto"/>
        </w:rPr>
        <w:t>Our TSR is measured by reference to the increase or decrease, as the case may be, between the average of the closing price of our Common Stock on The Nasdaq Stock Market for the 30 trading days ended on the first date of the measurement period (i.e., (1) $91.00 for both the first tranche of the first half of the award and the second half of the award and (2) $61.64 for the second tranche of the first half of the award) and the average of the closing price of our Common Stock on The Nasdaq Stock Market for the 30 trading days ended on the last date of the measurement period (i.e., $61.78 for the first tranche of the first half of the award). The rate of return of the S&amp;P 500 Total Return Index is measured by reference to the increase or decrease, as the case may be, between the average of the closing value of the S&amp;P 500 Total Return Index for the thirty trading days ended on the first date of the measurement period ((1) $7,784.82 for both the first tranche of the first half of the award and the second half of the award and (2) $9,787.82 for the second tranche of the first half of the award) and the average of the closing value of the S&amp;P 500 Total Return Index for the 30 trading days ended on the last date of the measurement period (i.e., $9,780.89 for the first tranche of the first half of the award).</w:t>
      </w:r>
    </w:p>
    <w:p>
      <w:pPr>
        <w:spacing w:after="0" w:line="170"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Please see “—Grants of Plan-Based Awards for 2021” and “—Outstanding Equity Awards at December 31, 2021” above for more information about these PSUs.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Long-Term Commitment Bonus</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Mr. Bulatao received a payment of $500,000 in cash shortly after he commenced employment and an additional payment of $500,000 in cash shortly after the first anniversary of the effective date of the Bulatao Employment Agreement. If his employment had been terminated before December 31, 2021, Mr. Bulatao would have had to repay the first $500,000 payment unless the termination had been by us without cause, by him for good reason, or due to his death or disability. If his employment is terminated before December 31, 2022, other than for any such reason, Mr. Bulatao will have to repay the second $500,000 payment.</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125288"/>
        </w:rPr>
        <w:t>Annual Equity Awards</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Mr. Bulatao is eligible to receive annual equity grants of PSUs, with vesting based on the achievement of a cumulative AB Adjusted OI objective for the three years following the grant established by the Compensation Committee, with a target value of $1 million per year. The vesting of each of these awards was or is, as the case may be, subject to Mr. Bulatao’s continued employment through the relevant vesting date.</w:t>
      </w:r>
    </w:p>
    <w:p>
      <w:pPr>
        <w:spacing w:after="0" w:line="168" w:lineRule="exact"/>
        <w:rPr>
          <w:sz w:val="20"/>
          <w:szCs w:val="20"/>
          <w:color w:val="auto"/>
        </w:rPr>
      </w:pPr>
    </w:p>
    <w:p>
      <w:pPr>
        <w:jc w:val="both"/>
        <w:spacing w:after="0"/>
        <w:rPr>
          <w:sz w:val="20"/>
          <w:szCs w:val="20"/>
          <w:color w:val="auto"/>
        </w:rPr>
      </w:pPr>
      <w:r>
        <w:rPr>
          <w:rFonts w:ascii="Arial" w:cs="Arial" w:eastAsia="Arial" w:hAnsi="Arial"/>
          <w:sz w:val="19"/>
          <w:szCs w:val="19"/>
          <w:color w:val="auto"/>
        </w:rPr>
        <w:t>On March 9, 2021, Mr. Bulatao was awarded PSUs where target performance would result in the vesting of 10,811 PSUs. This award is eligible to vest in full on March 30, 2024, based on the level of the Company’s performance measured by reference to the cumulative AB Adjusted OI objective established by the Compensation Committee for 2021–2023,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60" w:type="dxa"/>
            <w:vAlign w:val="bottom"/>
            <w:vMerge w:val="restart"/>
          </w:tcPr>
          <w:p>
            <w:pPr>
              <w:ind w:left="40"/>
              <w:spacing w:after="0"/>
              <w:rPr>
                <w:sz w:val="20"/>
                <w:szCs w:val="20"/>
                <w:color w:val="auto"/>
              </w:rPr>
            </w:pPr>
            <w:r>
              <w:rPr>
                <w:rFonts w:ascii="Arial" w:cs="Arial" w:eastAsia="Arial" w:hAnsi="Arial"/>
                <w:sz w:val="15"/>
                <w:szCs w:val="15"/>
                <w:b w:val="1"/>
                <w:bCs w:val="1"/>
                <w:color w:val="125288"/>
              </w:rPr>
              <w:t>OI (actual vs. 3YP)</w:t>
            </w:r>
          </w:p>
        </w:tc>
        <w:tc>
          <w:tcPr>
            <w:tcW w:w="7100" w:type="dxa"/>
            <w:vAlign w:val="bottom"/>
          </w:tcPr>
          <w:p>
            <w:pPr>
              <w:ind w:left="2760"/>
              <w:spacing w:after="0"/>
              <w:rPr>
                <w:sz w:val="20"/>
                <w:szCs w:val="20"/>
                <w:color w:val="auto"/>
              </w:rPr>
            </w:pPr>
            <w:r>
              <w:rPr>
                <w:rFonts w:ascii="Arial" w:cs="Arial" w:eastAsia="Arial" w:hAnsi="Arial"/>
                <w:sz w:val="15"/>
                <w:szCs w:val="15"/>
                <w:b w:val="1"/>
                <w:bCs w:val="1"/>
                <w:color w:val="125288"/>
              </w:rPr>
              <w:t>PSUs vesting on</w:t>
            </w:r>
          </w:p>
        </w:tc>
        <w:tc>
          <w:tcPr>
            <w:tcW w:w="0" w:type="dxa"/>
            <w:vAlign w:val="bottom"/>
          </w:tcPr>
          <w:p>
            <w:pPr>
              <w:spacing w:after="0"/>
              <w:rPr>
                <w:sz w:val="1"/>
                <w:szCs w:val="1"/>
                <w:color w:val="auto"/>
              </w:rPr>
            </w:pPr>
          </w:p>
        </w:tc>
      </w:tr>
      <w:tr>
        <w:trPr>
          <w:trHeight w:val="209"/>
        </w:trPr>
        <w:tc>
          <w:tcPr>
            <w:tcW w:w="4160" w:type="dxa"/>
            <w:vAlign w:val="bottom"/>
            <w:tcBorders>
              <w:bottom w:val="single" w:sz="8" w:color="125288"/>
            </w:tcBorders>
            <w:vMerge w:val="continue"/>
          </w:tcPr>
          <w:p>
            <w:pPr>
              <w:spacing w:after="0"/>
              <w:rPr>
                <w:sz w:val="18"/>
                <w:szCs w:val="18"/>
                <w:color w:val="auto"/>
              </w:rPr>
            </w:pPr>
          </w:p>
        </w:tc>
        <w:tc>
          <w:tcPr>
            <w:tcW w:w="7100" w:type="dxa"/>
            <w:vAlign w:val="bottom"/>
            <w:tcBorders>
              <w:bottom w:val="single" w:sz="8" w:color="125288"/>
            </w:tcBorders>
          </w:tcPr>
          <w:p>
            <w:pPr>
              <w:ind w:left="2760"/>
              <w:spacing w:after="0"/>
              <w:rPr>
                <w:sz w:val="20"/>
                <w:szCs w:val="20"/>
                <w:color w:val="auto"/>
              </w:rPr>
            </w:pPr>
            <w:r>
              <w:rPr>
                <w:rFonts w:ascii="Arial" w:cs="Arial" w:eastAsia="Arial" w:hAnsi="Arial"/>
                <w:sz w:val="15"/>
                <w:szCs w:val="15"/>
                <w:b w:val="1"/>
                <w:bCs w:val="1"/>
                <w:color w:val="125288"/>
              </w:rPr>
              <w:t>March 30, 2024</w:t>
            </w:r>
          </w:p>
        </w:tc>
        <w:tc>
          <w:tcPr>
            <w:tcW w:w="0" w:type="dxa"/>
            <w:vAlign w:val="bottom"/>
          </w:tcPr>
          <w:p>
            <w:pPr>
              <w:spacing w:after="0"/>
              <w:rPr>
                <w:sz w:val="1"/>
                <w:szCs w:val="1"/>
                <w:color w:val="auto"/>
              </w:rPr>
            </w:pPr>
          </w:p>
        </w:tc>
      </w:tr>
      <w:tr>
        <w:trPr>
          <w:trHeight w:val="228"/>
        </w:trPr>
        <w:tc>
          <w:tcPr>
            <w:tcW w:w="4160" w:type="dxa"/>
            <w:vAlign w:val="bottom"/>
          </w:tcPr>
          <w:p>
            <w:pPr>
              <w:ind w:left="40"/>
              <w:spacing w:after="0"/>
              <w:rPr>
                <w:sz w:val="20"/>
                <w:szCs w:val="20"/>
                <w:color w:val="auto"/>
              </w:rPr>
            </w:pPr>
            <w:r>
              <w:rPr>
                <w:rFonts w:ascii="Arial" w:cs="Arial" w:eastAsia="Arial" w:hAnsi="Arial"/>
                <w:sz w:val="15"/>
                <w:szCs w:val="15"/>
                <w:color w:val="auto"/>
              </w:rPr>
              <w:t>&lt;</w:t>
            </w:r>
            <w:r>
              <w:rPr>
                <w:rFonts w:ascii="Arial" w:cs="Arial" w:eastAsia="Arial" w:hAnsi="Arial"/>
                <w:sz w:val="16"/>
                <w:szCs w:val="16"/>
                <w:color w:val="auto"/>
              </w:rPr>
              <w:t>90%</w:t>
            </w:r>
          </w:p>
        </w:tc>
        <w:tc>
          <w:tcPr>
            <w:tcW w:w="7100" w:type="dxa"/>
            <w:vAlign w:val="bottom"/>
          </w:tcPr>
          <w:p>
            <w:pPr>
              <w:ind w:left="27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7"/>
        </w:trPr>
        <w:tc>
          <w:tcPr>
            <w:tcW w:w="4160" w:type="dxa"/>
            <w:vAlign w:val="bottom"/>
            <w:tcBorders>
              <w:bottom w:val="single" w:sz="8" w:color="125288"/>
            </w:tcBorders>
          </w:tcPr>
          <w:p>
            <w:pPr>
              <w:spacing w:after="0"/>
              <w:rPr>
                <w:sz w:val="3"/>
                <w:szCs w:val="3"/>
                <w:color w:val="auto"/>
              </w:rPr>
            </w:pPr>
          </w:p>
        </w:tc>
        <w:tc>
          <w:tcPr>
            <w:tcW w:w="7100" w:type="dxa"/>
            <w:vAlign w:val="bottom"/>
            <w:tcBorders>
              <w:bottom w:val="single" w:sz="8" w:color="125288"/>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160" w:type="dxa"/>
            <w:vAlign w:val="bottom"/>
          </w:tcPr>
          <w:p>
            <w:pPr>
              <w:ind w:left="40"/>
              <w:spacing w:after="0"/>
              <w:rPr>
                <w:sz w:val="20"/>
                <w:szCs w:val="20"/>
                <w:color w:val="auto"/>
              </w:rPr>
            </w:pPr>
            <w:r>
              <w:rPr>
                <w:rFonts w:ascii="Arial" w:cs="Arial" w:eastAsia="Arial" w:hAnsi="Arial"/>
                <w:sz w:val="17"/>
                <w:szCs w:val="17"/>
                <w:color w:val="auto"/>
              </w:rPr>
              <w:t>90%</w:t>
            </w:r>
          </w:p>
        </w:tc>
        <w:tc>
          <w:tcPr>
            <w:tcW w:w="7100" w:type="dxa"/>
            <w:vAlign w:val="bottom"/>
          </w:tcPr>
          <w:p>
            <w:pPr>
              <w:ind w:left="2760"/>
              <w:spacing w:after="0"/>
              <w:rPr>
                <w:sz w:val="20"/>
                <w:szCs w:val="20"/>
                <w:color w:val="auto"/>
              </w:rPr>
            </w:pPr>
            <w:r>
              <w:rPr>
                <w:rFonts w:ascii="Arial" w:cs="Arial" w:eastAsia="Arial" w:hAnsi="Arial"/>
                <w:sz w:val="17"/>
                <w:szCs w:val="17"/>
                <w:color w:val="auto"/>
              </w:rPr>
              <w:t>90% of target of 10,811*</w:t>
            </w:r>
          </w:p>
        </w:tc>
        <w:tc>
          <w:tcPr>
            <w:tcW w:w="0" w:type="dxa"/>
            <w:vAlign w:val="bottom"/>
          </w:tcPr>
          <w:p>
            <w:pPr>
              <w:spacing w:after="0"/>
              <w:rPr>
                <w:sz w:val="1"/>
                <w:szCs w:val="1"/>
                <w:color w:val="auto"/>
              </w:rPr>
            </w:pPr>
          </w:p>
        </w:tc>
      </w:tr>
      <w:tr>
        <w:trPr>
          <w:trHeight w:val="37"/>
        </w:trPr>
        <w:tc>
          <w:tcPr>
            <w:tcW w:w="4160" w:type="dxa"/>
            <w:vAlign w:val="bottom"/>
            <w:tcBorders>
              <w:bottom w:val="single" w:sz="8" w:color="125288"/>
            </w:tcBorders>
          </w:tcPr>
          <w:p>
            <w:pPr>
              <w:spacing w:after="0"/>
              <w:rPr>
                <w:sz w:val="3"/>
                <w:szCs w:val="3"/>
                <w:color w:val="auto"/>
              </w:rPr>
            </w:pPr>
          </w:p>
        </w:tc>
        <w:tc>
          <w:tcPr>
            <w:tcW w:w="7100" w:type="dxa"/>
            <w:vAlign w:val="bottom"/>
            <w:tcBorders>
              <w:bottom w:val="single" w:sz="8" w:color="125288"/>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160" w:type="dxa"/>
            <w:vAlign w:val="bottom"/>
          </w:tcPr>
          <w:p>
            <w:pPr>
              <w:ind w:left="40"/>
              <w:spacing w:after="0"/>
              <w:rPr>
                <w:sz w:val="20"/>
                <w:szCs w:val="20"/>
                <w:color w:val="auto"/>
              </w:rPr>
            </w:pPr>
            <w:r>
              <w:rPr>
                <w:rFonts w:ascii="Arial" w:cs="Arial" w:eastAsia="Arial" w:hAnsi="Arial"/>
                <w:sz w:val="17"/>
                <w:szCs w:val="17"/>
                <w:color w:val="auto"/>
              </w:rPr>
              <w:t>100%</w:t>
            </w:r>
          </w:p>
        </w:tc>
        <w:tc>
          <w:tcPr>
            <w:tcW w:w="7100" w:type="dxa"/>
            <w:vAlign w:val="bottom"/>
          </w:tcPr>
          <w:p>
            <w:pPr>
              <w:ind w:left="2760"/>
              <w:spacing w:after="0"/>
              <w:rPr>
                <w:sz w:val="20"/>
                <w:szCs w:val="20"/>
                <w:color w:val="auto"/>
              </w:rPr>
            </w:pPr>
            <w:r>
              <w:rPr>
                <w:rFonts w:ascii="Arial" w:cs="Arial" w:eastAsia="Arial" w:hAnsi="Arial"/>
                <w:sz w:val="17"/>
                <w:szCs w:val="17"/>
                <w:color w:val="auto"/>
              </w:rPr>
              <w:t>100% of target of 10,811*</w:t>
            </w:r>
          </w:p>
        </w:tc>
        <w:tc>
          <w:tcPr>
            <w:tcW w:w="0" w:type="dxa"/>
            <w:vAlign w:val="bottom"/>
          </w:tcPr>
          <w:p>
            <w:pPr>
              <w:spacing w:after="0"/>
              <w:rPr>
                <w:sz w:val="1"/>
                <w:szCs w:val="1"/>
                <w:color w:val="auto"/>
              </w:rPr>
            </w:pPr>
          </w:p>
        </w:tc>
      </w:tr>
      <w:tr>
        <w:trPr>
          <w:trHeight w:val="37"/>
        </w:trPr>
        <w:tc>
          <w:tcPr>
            <w:tcW w:w="4160" w:type="dxa"/>
            <w:vAlign w:val="bottom"/>
            <w:tcBorders>
              <w:bottom w:val="single" w:sz="8" w:color="125288"/>
            </w:tcBorders>
          </w:tcPr>
          <w:p>
            <w:pPr>
              <w:spacing w:after="0"/>
              <w:rPr>
                <w:sz w:val="3"/>
                <w:szCs w:val="3"/>
                <w:color w:val="auto"/>
              </w:rPr>
            </w:pPr>
          </w:p>
        </w:tc>
        <w:tc>
          <w:tcPr>
            <w:tcW w:w="7100" w:type="dxa"/>
            <w:vAlign w:val="bottom"/>
            <w:tcBorders>
              <w:bottom w:val="single" w:sz="8" w:color="125288"/>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160" w:type="dxa"/>
            <w:vAlign w:val="bottom"/>
          </w:tcPr>
          <w:p>
            <w:pPr>
              <w:ind w:left="4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125%</w:t>
            </w:r>
          </w:p>
        </w:tc>
        <w:tc>
          <w:tcPr>
            <w:tcW w:w="7100" w:type="dxa"/>
            <w:vAlign w:val="bottom"/>
          </w:tcPr>
          <w:p>
            <w:pPr>
              <w:ind w:left="2760"/>
              <w:spacing w:after="0"/>
              <w:rPr>
                <w:sz w:val="20"/>
                <w:szCs w:val="20"/>
                <w:color w:val="auto"/>
              </w:rPr>
            </w:pPr>
            <w:r>
              <w:rPr>
                <w:rFonts w:ascii="Arial" w:cs="Arial" w:eastAsia="Arial" w:hAnsi="Arial"/>
                <w:sz w:val="17"/>
                <w:szCs w:val="17"/>
                <w:color w:val="auto"/>
              </w:rPr>
              <w:t>125% of target of 10,811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7148830" cy="152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87"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5"/>
          <w:szCs w:val="15"/>
          <w:color w:val="auto"/>
        </w:rPr>
        <w:t>*</w:t>
        <w:tab/>
        <w:t>If actual performance is between any two points, the number of PSUs that vest will be determined using straight-line interpolation.</w:t>
      </w:r>
    </w:p>
    <w:p>
      <w:pPr>
        <w:spacing w:after="0" w:line="211"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Please see “—Grants of Plan-Based Awards for 2021” and “—Outstanding Equity Awards at December 31, 2021” above for more information about these PSUs.</w:t>
      </w:r>
    </w:p>
    <w:p>
      <w:pPr>
        <w:spacing w:after="0" w:line="160"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Additionally, on November 4, 2021, Mr. Bulatao was awarded PSUs where target performance would result in the vesting of 14,656 PSUs. This award is eligible to vest in full on March 30, 2025, based on the level of the Company’s performance measured by reference to the cumulative AB Adjusted OI objective established by the Compensation Committee for 2022–2024,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60" w:type="dxa"/>
            <w:vAlign w:val="bottom"/>
          </w:tcPr>
          <w:p>
            <w:pPr>
              <w:spacing w:after="0"/>
              <w:rPr>
                <w:sz w:val="15"/>
                <w:szCs w:val="15"/>
                <w:color w:val="auto"/>
              </w:rPr>
            </w:pPr>
          </w:p>
        </w:tc>
        <w:tc>
          <w:tcPr>
            <w:tcW w:w="7100" w:type="dxa"/>
            <w:vAlign w:val="bottom"/>
          </w:tcPr>
          <w:p>
            <w:pPr>
              <w:ind w:left="2760"/>
              <w:spacing w:after="0"/>
              <w:rPr>
                <w:sz w:val="20"/>
                <w:szCs w:val="20"/>
                <w:color w:val="auto"/>
              </w:rPr>
            </w:pPr>
            <w:r>
              <w:rPr>
                <w:rFonts w:ascii="Arial" w:cs="Arial" w:eastAsia="Arial" w:hAnsi="Arial"/>
                <w:sz w:val="15"/>
                <w:szCs w:val="15"/>
                <w:b w:val="1"/>
                <w:bCs w:val="1"/>
                <w:color w:val="125288"/>
              </w:rPr>
              <w:t>PSUs vesting on</w:t>
            </w:r>
          </w:p>
        </w:tc>
      </w:tr>
      <w:tr>
        <w:trPr>
          <w:trHeight w:val="204"/>
        </w:trPr>
        <w:tc>
          <w:tcPr>
            <w:tcW w:w="4160" w:type="dxa"/>
            <w:vAlign w:val="bottom"/>
          </w:tcPr>
          <w:p>
            <w:pPr>
              <w:ind w:left="40"/>
              <w:spacing w:after="0"/>
              <w:rPr>
                <w:sz w:val="20"/>
                <w:szCs w:val="20"/>
                <w:color w:val="auto"/>
              </w:rPr>
            </w:pPr>
            <w:r>
              <w:rPr>
                <w:rFonts w:ascii="Arial" w:cs="Arial" w:eastAsia="Arial" w:hAnsi="Arial"/>
                <w:sz w:val="15"/>
                <w:szCs w:val="15"/>
                <w:b w:val="1"/>
                <w:bCs w:val="1"/>
                <w:color w:val="125288"/>
              </w:rPr>
              <w:t>OI (actual vs. 3YP)</w:t>
            </w:r>
          </w:p>
        </w:tc>
        <w:tc>
          <w:tcPr>
            <w:tcW w:w="7100" w:type="dxa"/>
            <w:vAlign w:val="bottom"/>
          </w:tcPr>
          <w:p>
            <w:pPr>
              <w:ind w:left="2760"/>
              <w:spacing w:after="0"/>
              <w:rPr>
                <w:sz w:val="20"/>
                <w:szCs w:val="20"/>
                <w:color w:val="auto"/>
              </w:rPr>
            </w:pPr>
            <w:r>
              <w:rPr>
                <w:rFonts w:ascii="Arial" w:cs="Arial" w:eastAsia="Arial" w:hAnsi="Arial"/>
                <w:sz w:val="15"/>
                <w:szCs w:val="15"/>
                <w:b w:val="1"/>
                <w:bCs w:val="1"/>
                <w:color w:val="125288"/>
              </w:rPr>
              <w:t>March 30, 2025</w:t>
            </w:r>
          </w:p>
        </w:tc>
      </w:tr>
      <w:tr>
        <w:trPr>
          <w:trHeight w:val="41"/>
        </w:trPr>
        <w:tc>
          <w:tcPr>
            <w:tcW w:w="4160" w:type="dxa"/>
            <w:vAlign w:val="bottom"/>
            <w:tcBorders>
              <w:bottom w:val="single" w:sz="8" w:color="125288"/>
            </w:tcBorders>
          </w:tcPr>
          <w:p>
            <w:pPr>
              <w:spacing w:after="0"/>
              <w:rPr>
                <w:sz w:val="3"/>
                <w:szCs w:val="3"/>
                <w:color w:val="auto"/>
              </w:rPr>
            </w:pPr>
          </w:p>
        </w:tc>
        <w:tc>
          <w:tcPr>
            <w:tcW w:w="7100" w:type="dxa"/>
            <w:vAlign w:val="bottom"/>
            <w:tcBorders>
              <w:bottom w:val="single" w:sz="8" w:color="125288"/>
            </w:tcBorders>
          </w:tcPr>
          <w:p>
            <w:pPr>
              <w:spacing w:after="0"/>
              <w:rPr>
                <w:sz w:val="3"/>
                <w:szCs w:val="3"/>
                <w:color w:val="auto"/>
              </w:rPr>
            </w:pPr>
          </w:p>
        </w:tc>
      </w:tr>
      <w:tr>
        <w:trPr>
          <w:trHeight w:val="228"/>
        </w:trPr>
        <w:tc>
          <w:tcPr>
            <w:tcW w:w="4160" w:type="dxa"/>
            <w:vAlign w:val="bottom"/>
          </w:tcPr>
          <w:p>
            <w:pPr>
              <w:ind w:left="40"/>
              <w:spacing w:after="0"/>
              <w:rPr>
                <w:sz w:val="20"/>
                <w:szCs w:val="20"/>
                <w:color w:val="auto"/>
              </w:rPr>
            </w:pPr>
            <w:r>
              <w:rPr>
                <w:rFonts w:ascii="Arial" w:cs="Arial" w:eastAsia="Arial" w:hAnsi="Arial"/>
                <w:sz w:val="15"/>
                <w:szCs w:val="15"/>
                <w:color w:val="auto"/>
              </w:rPr>
              <w:t>&lt;</w:t>
            </w:r>
            <w:r>
              <w:rPr>
                <w:rFonts w:ascii="Arial" w:cs="Arial" w:eastAsia="Arial" w:hAnsi="Arial"/>
                <w:sz w:val="16"/>
                <w:szCs w:val="16"/>
                <w:color w:val="auto"/>
              </w:rPr>
              <w:t>90%</w:t>
            </w:r>
          </w:p>
        </w:tc>
        <w:tc>
          <w:tcPr>
            <w:tcW w:w="7100" w:type="dxa"/>
            <w:vAlign w:val="bottom"/>
          </w:tcPr>
          <w:p>
            <w:pPr>
              <w:ind w:left="2760"/>
              <w:spacing w:after="0"/>
              <w:rPr>
                <w:sz w:val="20"/>
                <w:szCs w:val="20"/>
                <w:color w:val="auto"/>
              </w:rPr>
            </w:pPr>
            <w:r>
              <w:rPr>
                <w:rFonts w:ascii="Arial" w:cs="Arial" w:eastAsia="Arial" w:hAnsi="Arial"/>
                <w:sz w:val="17"/>
                <w:szCs w:val="17"/>
                <w:color w:val="auto"/>
              </w:rPr>
              <w:t>0%</w:t>
            </w:r>
          </w:p>
        </w:tc>
      </w:tr>
      <w:tr>
        <w:trPr>
          <w:trHeight w:val="37"/>
        </w:trPr>
        <w:tc>
          <w:tcPr>
            <w:tcW w:w="4160" w:type="dxa"/>
            <w:vAlign w:val="bottom"/>
            <w:tcBorders>
              <w:bottom w:val="single" w:sz="8" w:color="125288"/>
            </w:tcBorders>
          </w:tcPr>
          <w:p>
            <w:pPr>
              <w:spacing w:after="0"/>
              <w:rPr>
                <w:sz w:val="3"/>
                <w:szCs w:val="3"/>
                <w:color w:val="auto"/>
              </w:rPr>
            </w:pPr>
          </w:p>
        </w:tc>
        <w:tc>
          <w:tcPr>
            <w:tcW w:w="7100" w:type="dxa"/>
            <w:vAlign w:val="bottom"/>
            <w:tcBorders>
              <w:bottom w:val="single" w:sz="8" w:color="125288"/>
            </w:tcBorders>
          </w:tcPr>
          <w:p>
            <w:pPr>
              <w:spacing w:after="0"/>
              <w:rPr>
                <w:sz w:val="3"/>
                <w:szCs w:val="3"/>
                <w:color w:val="auto"/>
              </w:rPr>
            </w:pPr>
          </w:p>
        </w:tc>
      </w:tr>
      <w:tr>
        <w:trPr>
          <w:trHeight w:val="228"/>
        </w:trPr>
        <w:tc>
          <w:tcPr>
            <w:tcW w:w="4160" w:type="dxa"/>
            <w:vAlign w:val="bottom"/>
          </w:tcPr>
          <w:p>
            <w:pPr>
              <w:ind w:left="40"/>
              <w:spacing w:after="0"/>
              <w:rPr>
                <w:sz w:val="20"/>
                <w:szCs w:val="20"/>
                <w:color w:val="auto"/>
              </w:rPr>
            </w:pPr>
            <w:r>
              <w:rPr>
                <w:rFonts w:ascii="Arial" w:cs="Arial" w:eastAsia="Arial" w:hAnsi="Arial"/>
                <w:sz w:val="17"/>
                <w:szCs w:val="17"/>
                <w:color w:val="auto"/>
              </w:rPr>
              <w:t>90%</w:t>
            </w:r>
          </w:p>
        </w:tc>
        <w:tc>
          <w:tcPr>
            <w:tcW w:w="7100" w:type="dxa"/>
            <w:vAlign w:val="bottom"/>
          </w:tcPr>
          <w:p>
            <w:pPr>
              <w:ind w:left="2760"/>
              <w:spacing w:after="0"/>
              <w:rPr>
                <w:sz w:val="20"/>
                <w:szCs w:val="20"/>
                <w:color w:val="auto"/>
              </w:rPr>
            </w:pPr>
            <w:r>
              <w:rPr>
                <w:rFonts w:ascii="Arial" w:cs="Arial" w:eastAsia="Arial" w:hAnsi="Arial"/>
                <w:sz w:val="17"/>
                <w:szCs w:val="17"/>
                <w:color w:val="auto"/>
              </w:rPr>
              <w:t>50% of target of 14,656*</w:t>
            </w:r>
          </w:p>
        </w:tc>
      </w:tr>
      <w:tr>
        <w:trPr>
          <w:trHeight w:val="37"/>
        </w:trPr>
        <w:tc>
          <w:tcPr>
            <w:tcW w:w="4160" w:type="dxa"/>
            <w:vAlign w:val="bottom"/>
            <w:tcBorders>
              <w:bottom w:val="single" w:sz="8" w:color="125288"/>
            </w:tcBorders>
          </w:tcPr>
          <w:p>
            <w:pPr>
              <w:spacing w:after="0"/>
              <w:rPr>
                <w:sz w:val="3"/>
                <w:szCs w:val="3"/>
                <w:color w:val="auto"/>
              </w:rPr>
            </w:pPr>
          </w:p>
        </w:tc>
        <w:tc>
          <w:tcPr>
            <w:tcW w:w="7100" w:type="dxa"/>
            <w:vAlign w:val="bottom"/>
            <w:tcBorders>
              <w:bottom w:val="single" w:sz="8" w:color="125288"/>
            </w:tcBorders>
          </w:tcPr>
          <w:p>
            <w:pPr>
              <w:spacing w:after="0"/>
              <w:rPr>
                <w:sz w:val="3"/>
                <w:szCs w:val="3"/>
                <w:color w:val="auto"/>
              </w:rPr>
            </w:pPr>
          </w:p>
        </w:tc>
      </w:tr>
      <w:tr>
        <w:trPr>
          <w:trHeight w:val="228"/>
        </w:trPr>
        <w:tc>
          <w:tcPr>
            <w:tcW w:w="4160" w:type="dxa"/>
            <w:vAlign w:val="bottom"/>
          </w:tcPr>
          <w:p>
            <w:pPr>
              <w:ind w:left="40"/>
              <w:spacing w:after="0"/>
              <w:rPr>
                <w:sz w:val="20"/>
                <w:szCs w:val="20"/>
                <w:color w:val="auto"/>
              </w:rPr>
            </w:pPr>
            <w:r>
              <w:rPr>
                <w:rFonts w:ascii="Arial" w:cs="Arial" w:eastAsia="Arial" w:hAnsi="Arial"/>
                <w:sz w:val="17"/>
                <w:szCs w:val="17"/>
                <w:color w:val="auto"/>
              </w:rPr>
              <w:t>100%</w:t>
            </w:r>
          </w:p>
        </w:tc>
        <w:tc>
          <w:tcPr>
            <w:tcW w:w="7100" w:type="dxa"/>
            <w:vAlign w:val="bottom"/>
          </w:tcPr>
          <w:p>
            <w:pPr>
              <w:ind w:left="2760"/>
              <w:spacing w:after="0"/>
              <w:rPr>
                <w:sz w:val="20"/>
                <w:szCs w:val="20"/>
                <w:color w:val="auto"/>
              </w:rPr>
            </w:pPr>
            <w:r>
              <w:rPr>
                <w:rFonts w:ascii="Arial" w:cs="Arial" w:eastAsia="Arial" w:hAnsi="Arial"/>
                <w:sz w:val="17"/>
                <w:szCs w:val="17"/>
                <w:color w:val="auto"/>
              </w:rPr>
              <w:t>100% of target of 14,656*</w:t>
            </w:r>
          </w:p>
        </w:tc>
      </w:tr>
      <w:tr>
        <w:trPr>
          <w:trHeight w:val="37"/>
        </w:trPr>
        <w:tc>
          <w:tcPr>
            <w:tcW w:w="4160" w:type="dxa"/>
            <w:vAlign w:val="bottom"/>
            <w:tcBorders>
              <w:bottom w:val="single" w:sz="8" w:color="125288"/>
            </w:tcBorders>
          </w:tcPr>
          <w:p>
            <w:pPr>
              <w:spacing w:after="0"/>
              <w:rPr>
                <w:sz w:val="3"/>
                <w:szCs w:val="3"/>
                <w:color w:val="auto"/>
              </w:rPr>
            </w:pPr>
          </w:p>
        </w:tc>
        <w:tc>
          <w:tcPr>
            <w:tcW w:w="7100" w:type="dxa"/>
            <w:vAlign w:val="bottom"/>
            <w:tcBorders>
              <w:bottom w:val="single" w:sz="8" w:color="125288"/>
            </w:tcBorders>
          </w:tcPr>
          <w:p>
            <w:pPr>
              <w:spacing w:after="0"/>
              <w:rPr>
                <w:sz w:val="3"/>
                <w:szCs w:val="3"/>
                <w:color w:val="auto"/>
              </w:rPr>
            </w:pPr>
          </w:p>
        </w:tc>
      </w:tr>
      <w:tr>
        <w:trPr>
          <w:trHeight w:val="228"/>
        </w:trPr>
        <w:tc>
          <w:tcPr>
            <w:tcW w:w="4160" w:type="dxa"/>
            <w:vAlign w:val="bottom"/>
          </w:tcPr>
          <w:p>
            <w:pPr>
              <w:ind w:left="4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125%</w:t>
            </w:r>
          </w:p>
        </w:tc>
        <w:tc>
          <w:tcPr>
            <w:tcW w:w="7100" w:type="dxa"/>
            <w:vAlign w:val="bottom"/>
          </w:tcPr>
          <w:p>
            <w:pPr>
              <w:ind w:left="2760"/>
              <w:spacing w:after="0"/>
              <w:rPr>
                <w:sz w:val="20"/>
                <w:szCs w:val="20"/>
                <w:color w:val="auto"/>
              </w:rPr>
            </w:pPr>
            <w:r>
              <w:rPr>
                <w:rFonts w:ascii="Arial" w:cs="Arial" w:eastAsia="Arial" w:hAnsi="Arial"/>
                <w:sz w:val="17"/>
                <w:szCs w:val="17"/>
                <w:color w:val="auto"/>
              </w:rPr>
              <w:t>125% of target of 14,656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7148830" cy="152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87"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5"/>
          <w:szCs w:val="15"/>
          <w:color w:val="auto"/>
        </w:rPr>
        <w:t>*</w:t>
        <w:tab/>
        <w:t>If actual performance is between any two points, the number of PSUs that vest will be determined using straight-line interpolation.</w:t>
      </w:r>
    </w:p>
    <w:p>
      <w:pPr>
        <w:spacing w:after="0" w:line="199"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Please see “—Grants of Plan-Based Awards for 2021” and “—Outstanding Equity Awards at December 31, 2021” above for more information about these PSUs.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125288"/>
        </w:rPr>
        <w:t>Other Benefits</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9"/>
          <w:szCs w:val="19"/>
          <w:color w:val="auto"/>
        </w:rPr>
        <w:t>Mr. Bulatao is entitled to participate in all benefit plans generally available to our executive officers, and we are required to maintain a $2.5 million supplemental term life insurance policy for the benefit of his estate throughout the term of Mr. Bulatao’s employment under the Bulatao Employment Agreement.</w:t>
      </w:r>
    </w:p>
    <w:p>
      <w:pPr>
        <w:sectPr>
          <w:pgSz w:w="11900" w:h="16838" w:orient="portrait"/>
          <w:cols w:equalWidth="0" w:num="1">
            <w:col w:w="11260"/>
          </w:cols>
          <w:pgMar w:left="320" w:top="144" w:right="319" w:bottom="1440" w:gutter="0" w:footer="0" w:header="0"/>
        </w:sectPr>
      </w:pPr>
    </w:p>
    <w:p>
      <w:pPr>
        <w:spacing w:after="0" w:line="166" w:lineRule="exact"/>
        <w:rPr>
          <w:sz w:val="20"/>
          <w:szCs w:val="20"/>
          <w:color w:val="auto"/>
        </w:rPr>
      </w:pPr>
    </w:p>
    <w:p>
      <w:pPr>
        <w:spacing w:after="0"/>
        <w:tabs>
          <w:tab w:leader="none" w:pos="7360" w:val="left"/>
          <w:tab w:leader="none" w:pos="9380" w:val="left"/>
          <w:tab w:leader="none" w:pos="1100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type w:val="continuous"/>
        </w:sectPr>
      </w:pPr>
    </w:p>
    <w:bookmarkStart w:id="117" w:name="page118"/>
    <w:bookmarkEnd w:id="117"/>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125288"/>
        </w:rPr>
        <w:t>Restrictive Covenants</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Until the second anniversary of the termination of his employment, Mr. Bulatao is restricted from soliciting the employment of anyone then employed or otherwise engaged by the Company. In addition, Mr. Bulatao is prohibited from disclosing or using our confidential or proprietary information during his employment, except as required in the course of his employment, and at all times following the termination of his employment. Mr. Bulatao is also not permitted to seek or negotiate for other employment before the final six months of the term of his employment under the Bulatao Employment Agreement. Finally, Mr. Bulatao is prohibited from competing with us or any of our subsidiaries during the term of his employment under the Bulatao Employment Agreement and is restricted from inducing any of our business partners to terminate or alter their relationship with us while he is our employee.</w:t>
      </w:r>
    </w:p>
    <w:p>
      <w:pPr>
        <w:spacing w:after="0" w:line="23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Grant Dixton</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125288"/>
        </w:rPr>
        <w:t>Term &amp; Title</w:t>
      </w:r>
    </w:p>
    <w:p>
      <w:pPr>
        <w:spacing w:after="0" w:line="149"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Grant Dixton is party to the Dixton Employment Agreement, pursuant to which he serves as our Chief Legal Officer. Mr. Dixton’s term of employment under the Dixton Employment Agreement began on June 14, 2021, and continues through June 30, 2024 (subject to our right to extend such term for an additional year).</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125288"/>
        </w:rPr>
        <w:t>Base Salary</w:t>
      </w:r>
    </w:p>
    <w:p>
      <w:pPr>
        <w:spacing w:after="0" w:line="149"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Mr. Dixton’s annual base salary was $750,000 as of June 14, 2021. It will be periodically reviewed and may be increased at the Compensation Committee’s discretion.</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125288"/>
        </w:rPr>
        <w:t>Annual Bonus</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Mr. Dixton is eligible for an annual bonus under the CAIP with a target amount of 75% of his base salary. The actual amount of any bonus paid to Mr. Dixton under the CAIP will be determined by the Compensation Committee and may be based on, among other things, his overall performance and the Company’s performance. The form of any such bonus (i.e., whether cash, equity, or some combination thereof) is subject to the discretion of the Compensation Committee. For more information about Mr. Dixton’s annual bonus, see “—Compensation Discussion and Analysis—Elements of Our Executive Compensation Program for 2021—Corporate Annual Incentive Plan Bonuses” above.</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125288"/>
        </w:rPr>
        <w:t>Contract Inducement</w:t>
      </w:r>
    </w:p>
    <w:p>
      <w:pPr>
        <w:spacing w:after="0" w:line="149"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As an inducement to enter into the Dixton Employment Agreement, on August 5, 2021, Mr. Dixton received an equity award consisting of RSUs and PSUs and a cash payment with a three-year clawback. The vesting of each of these awards was or is, as the case may be, subject to Mr. Dixton’s continued employment through the relevant vesting date.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Restricted Share Units</w:t>
      </w:r>
    </w:p>
    <w:p>
      <w:pPr>
        <w:spacing w:after="0" w:line="149"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Mr. Dixton was awarded 24,900 RSUs, which vest in full on June 29, 2024. Please see “—Grants of Plan-Based Awards for 2021” and “—Outstanding Equity Awards at December 31, 2021” above for more information about these RSUs.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PSUs (AB Adjusted OI)</w:t>
      </w:r>
    </w:p>
    <w:p>
      <w:pPr>
        <w:spacing w:after="0" w:line="161"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Mr. Dixton was awarded PSUs where target performance would result in the vesting of 37,351 PSUs. One-third of this award is eligible to vest on each of June 29, 2022, and 2023, and one-sixth of this award is eligible to vest on each of June 29, 2024, and 2025, in each case based on the level of the Company’s performance measured by reference to the AB Adjusted OI objective set forth in our AOP for the year immediately preceding such vesting date,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80" w:type="dxa"/>
            <w:vAlign w:val="bottom"/>
          </w:tcPr>
          <w:p>
            <w:pPr>
              <w:ind w:left="40"/>
              <w:spacing w:after="0"/>
              <w:rPr>
                <w:sz w:val="20"/>
                <w:szCs w:val="20"/>
                <w:color w:val="auto"/>
              </w:rPr>
            </w:pPr>
            <w:r>
              <w:rPr>
                <w:rFonts w:ascii="Arial" w:cs="Arial" w:eastAsia="Arial" w:hAnsi="Arial"/>
                <w:sz w:val="15"/>
                <w:szCs w:val="15"/>
                <w:b w:val="1"/>
                <w:bCs w:val="1"/>
                <w:color w:val="125288"/>
              </w:rPr>
              <w:t>OI (actual vs. AOP)</w:t>
            </w:r>
          </w:p>
        </w:tc>
        <w:tc>
          <w:tcPr>
            <w:tcW w:w="4600" w:type="dxa"/>
            <w:vAlign w:val="bottom"/>
          </w:tcPr>
          <w:p>
            <w:pPr>
              <w:ind w:left="540"/>
              <w:spacing w:after="0"/>
              <w:rPr>
                <w:sz w:val="20"/>
                <w:szCs w:val="20"/>
                <w:color w:val="auto"/>
              </w:rPr>
            </w:pPr>
            <w:r>
              <w:rPr>
                <w:rFonts w:ascii="Arial" w:cs="Arial" w:eastAsia="Arial" w:hAnsi="Arial"/>
                <w:sz w:val="15"/>
                <w:szCs w:val="15"/>
                <w:b w:val="1"/>
                <w:bCs w:val="1"/>
                <w:color w:val="125288"/>
              </w:rPr>
              <w:t>PSUs vesting on each of June 29, 2022, and 2023</w:t>
            </w:r>
          </w:p>
        </w:tc>
        <w:tc>
          <w:tcPr>
            <w:tcW w:w="4680" w:type="dxa"/>
            <w:vAlign w:val="bottom"/>
          </w:tcPr>
          <w:p>
            <w:pPr>
              <w:ind w:left="460"/>
              <w:spacing w:after="0"/>
              <w:rPr>
                <w:sz w:val="20"/>
                <w:szCs w:val="20"/>
                <w:color w:val="auto"/>
              </w:rPr>
            </w:pPr>
            <w:r>
              <w:rPr>
                <w:rFonts w:ascii="Arial" w:cs="Arial" w:eastAsia="Arial" w:hAnsi="Arial"/>
                <w:sz w:val="15"/>
                <w:szCs w:val="15"/>
                <w:b w:val="1"/>
                <w:bCs w:val="1"/>
                <w:color w:val="125288"/>
              </w:rPr>
              <w:t>PSUs vesting on each of June 29, 2024, and 2025</w:t>
            </w:r>
          </w:p>
        </w:tc>
      </w:tr>
      <w:tr>
        <w:trPr>
          <w:trHeight w:val="41"/>
        </w:trPr>
        <w:tc>
          <w:tcPr>
            <w:tcW w:w="1980" w:type="dxa"/>
            <w:vAlign w:val="bottom"/>
            <w:tcBorders>
              <w:bottom w:val="single" w:sz="8" w:color="125288"/>
            </w:tcBorders>
          </w:tcPr>
          <w:p>
            <w:pPr>
              <w:spacing w:after="0"/>
              <w:rPr>
                <w:sz w:val="3"/>
                <w:szCs w:val="3"/>
                <w:color w:val="auto"/>
              </w:rPr>
            </w:pPr>
          </w:p>
        </w:tc>
        <w:tc>
          <w:tcPr>
            <w:tcW w:w="4600" w:type="dxa"/>
            <w:vAlign w:val="bottom"/>
            <w:tcBorders>
              <w:bottom w:val="single" w:sz="8" w:color="125288"/>
            </w:tcBorders>
          </w:tcPr>
          <w:p>
            <w:pPr>
              <w:spacing w:after="0"/>
              <w:rPr>
                <w:sz w:val="3"/>
                <w:szCs w:val="3"/>
                <w:color w:val="auto"/>
              </w:rPr>
            </w:pPr>
          </w:p>
        </w:tc>
        <w:tc>
          <w:tcPr>
            <w:tcW w:w="4680" w:type="dxa"/>
            <w:vAlign w:val="bottom"/>
            <w:tcBorders>
              <w:bottom w:val="single" w:sz="8" w:color="125288"/>
            </w:tcBorders>
          </w:tcPr>
          <w:p>
            <w:pPr>
              <w:spacing w:after="0"/>
              <w:rPr>
                <w:sz w:val="3"/>
                <w:szCs w:val="3"/>
                <w:color w:val="auto"/>
              </w:rPr>
            </w:pPr>
          </w:p>
        </w:tc>
      </w:tr>
      <w:tr>
        <w:trPr>
          <w:trHeight w:val="276"/>
        </w:trPr>
        <w:tc>
          <w:tcPr>
            <w:tcW w:w="1980" w:type="dxa"/>
            <w:vAlign w:val="bottom"/>
          </w:tcPr>
          <w:p>
            <w:pPr>
              <w:ind w:left="40"/>
              <w:spacing w:after="0"/>
              <w:rPr>
                <w:sz w:val="20"/>
                <w:szCs w:val="20"/>
                <w:color w:val="auto"/>
              </w:rPr>
            </w:pPr>
            <w:r>
              <w:rPr>
                <w:rFonts w:ascii="Arial" w:cs="Arial" w:eastAsia="Arial" w:hAnsi="Arial"/>
                <w:sz w:val="15"/>
                <w:szCs w:val="15"/>
                <w:color w:val="auto"/>
              </w:rPr>
              <w:t>&lt;</w:t>
            </w:r>
            <w:r>
              <w:rPr>
                <w:rFonts w:ascii="Arial" w:cs="Arial" w:eastAsia="Arial" w:hAnsi="Arial"/>
                <w:sz w:val="16"/>
                <w:szCs w:val="16"/>
                <w:color w:val="auto"/>
              </w:rPr>
              <w:t>90%</w:t>
            </w:r>
          </w:p>
        </w:tc>
        <w:tc>
          <w:tcPr>
            <w:tcW w:w="4600" w:type="dxa"/>
            <w:vAlign w:val="bottom"/>
          </w:tcPr>
          <w:p>
            <w:pPr>
              <w:ind w:left="540"/>
              <w:spacing w:after="0"/>
              <w:rPr>
                <w:sz w:val="20"/>
                <w:szCs w:val="20"/>
                <w:color w:val="auto"/>
              </w:rPr>
            </w:pPr>
            <w:r>
              <w:rPr>
                <w:rFonts w:ascii="Arial" w:cs="Arial" w:eastAsia="Arial" w:hAnsi="Arial"/>
                <w:sz w:val="17"/>
                <w:szCs w:val="17"/>
                <w:color w:val="auto"/>
              </w:rPr>
              <w:t>0%</w:t>
            </w:r>
          </w:p>
        </w:tc>
        <w:tc>
          <w:tcPr>
            <w:tcW w:w="4680" w:type="dxa"/>
            <w:vAlign w:val="bottom"/>
          </w:tcPr>
          <w:p>
            <w:pPr>
              <w:ind w:left="460"/>
              <w:spacing w:after="0"/>
              <w:rPr>
                <w:sz w:val="20"/>
                <w:szCs w:val="20"/>
                <w:color w:val="auto"/>
              </w:rPr>
            </w:pPr>
            <w:r>
              <w:rPr>
                <w:rFonts w:ascii="Arial" w:cs="Arial" w:eastAsia="Arial" w:hAnsi="Arial"/>
                <w:sz w:val="17"/>
                <w:szCs w:val="17"/>
                <w:color w:val="auto"/>
              </w:rPr>
              <w:t>0%</w:t>
            </w:r>
          </w:p>
        </w:tc>
      </w:tr>
      <w:tr>
        <w:trPr>
          <w:trHeight w:val="85"/>
        </w:trPr>
        <w:tc>
          <w:tcPr>
            <w:tcW w:w="1980" w:type="dxa"/>
            <w:vAlign w:val="bottom"/>
            <w:tcBorders>
              <w:bottom w:val="single" w:sz="8" w:color="125288"/>
            </w:tcBorders>
          </w:tcPr>
          <w:p>
            <w:pPr>
              <w:spacing w:after="0"/>
              <w:rPr>
                <w:sz w:val="7"/>
                <w:szCs w:val="7"/>
                <w:color w:val="auto"/>
              </w:rPr>
            </w:pPr>
          </w:p>
        </w:tc>
        <w:tc>
          <w:tcPr>
            <w:tcW w:w="4600" w:type="dxa"/>
            <w:vAlign w:val="bottom"/>
            <w:tcBorders>
              <w:bottom w:val="single" w:sz="8" w:color="125288"/>
            </w:tcBorders>
          </w:tcPr>
          <w:p>
            <w:pPr>
              <w:spacing w:after="0"/>
              <w:rPr>
                <w:sz w:val="7"/>
                <w:szCs w:val="7"/>
                <w:color w:val="auto"/>
              </w:rPr>
            </w:pPr>
          </w:p>
        </w:tc>
        <w:tc>
          <w:tcPr>
            <w:tcW w:w="4680" w:type="dxa"/>
            <w:vAlign w:val="bottom"/>
            <w:tcBorders>
              <w:bottom w:val="single" w:sz="8" w:color="125288"/>
            </w:tcBorders>
          </w:tcPr>
          <w:p>
            <w:pPr>
              <w:spacing w:after="0"/>
              <w:rPr>
                <w:sz w:val="7"/>
                <w:szCs w:val="7"/>
                <w:color w:val="auto"/>
              </w:rPr>
            </w:pPr>
          </w:p>
        </w:tc>
      </w:tr>
      <w:tr>
        <w:trPr>
          <w:trHeight w:val="276"/>
        </w:trPr>
        <w:tc>
          <w:tcPr>
            <w:tcW w:w="1980" w:type="dxa"/>
            <w:vAlign w:val="bottom"/>
          </w:tcPr>
          <w:p>
            <w:pPr>
              <w:ind w:left="40"/>
              <w:spacing w:after="0"/>
              <w:rPr>
                <w:sz w:val="20"/>
                <w:szCs w:val="20"/>
                <w:color w:val="auto"/>
              </w:rPr>
            </w:pPr>
            <w:r>
              <w:rPr>
                <w:rFonts w:ascii="Arial" w:cs="Arial" w:eastAsia="Arial" w:hAnsi="Arial"/>
                <w:sz w:val="17"/>
                <w:szCs w:val="17"/>
                <w:color w:val="auto"/>
              </w:rPr>
              <w:t>90%</w:t>
            </w:r>
          </w:p>
        </w:tc>
        <w:tc>
          <w:tcPr>
            <w:tcW w:w="4600" w:type="dxa"/>
            <w:vAlign w:val="bottom"/>
          </w:tcPr>
          <w:p>
            <w:pPr>
              <w:ind w:left="540"/>
              <w:spacing w:after="0"/>
              <w:rPr>
                <w:sz w:val="20"/>
                <w:szCs w:val="20"/>
                <w:color w:val="auto"/>
              </w:rPr>
            </w:pPr>
            <w:r>
              <w:rPr>
                <w:rFonts w:ascii="Arial" w:cs="Arial" w:eastAsia="Arial" w:hAnsi="Arial"/>
                <w:sz w:val="17"/>
                <w:szCs w:val="17"/>
                <w:color w:val="auto"/>
              </w:rPr>
              <w:t>50% of annual target of 12,450*</w:t>
            </w:r>
          </w:p>
        </w:tc>
        <w:tc>
          <w:tcPr>
            <w:tcW w:w="4680" w:type="dxa"/>
            <w:vAlign w:val="bottom"/>
          </w:tcPr>
          <w:p>
            <w:pPr>
              <w:ind w:left="460"/>
              <w:spacing w:after="0"/>
              <w:rPr>
                <w:sz w:val="20"/>
                <w:szCs w:val="20"/>
                <w:color w:val="auto"/>
              </w:rPr>
            </w:pPr>
            <w:r>
              <w:rPr>
                <w:rFonts w:ascii="Arial" w:cs="Arial" w:eastAsia="Arial" w:hAnsi="Arial"/>
                <w:sz w:val="17"/>
                <w:szCs w:val="17"/>
                <w:color w:val="auto"/>
              </w:rPr>
              <w:t>50% of annual target of 6,225*</w:t>
            </w:r>
          </w:p>
        </w:tc>
      </w:tr>
      <w:tr>
        <w:trPr>
          <w:trHeight w:val="85"/>
        </w:trPr>
        <w:tc>
          <w:tcPr>
            <w:tcW w:w="1980" w:type="dxa"/>
            <w:vAlign w:val="bottom"/>
            <w:tcBorders>
              <w:bottom w:val="single" w:sz="8" w:color="125288"/>
            </w:tcBorders>
          </w:tcPr>
          <w:p>
            <w:pPr>
              <w:spacing w:after="0"/>
              <w:rPr>
                <w:sz w:val="7"/>
                <w:szCs w:val="7"/>
                <w:color w:val="auto"/>
              </w:rPr>
            </w:pPr>
          </w:p>
        </w:tc>
        <w:tc>
          <w:tcPr>
            <w:tcW w:w="4600" w:type="dxa"/>
            <w:vAlign w:val="bottom"/>
            <w:tcBorders>
              <w:bottom w:val="single" w:sz="8" w:color="125288"/>
            </w:tcBorders>
          </w:tcPr>
          <w:p>
            <w:pPr>
              <w:spacing w:after="0"/>
              <w:rPr>
                <w:sz w:val="7"/>
                <w:szCs w:val="7"/>
                <w:color w:val="auto"/>
              </w:rPr>
            </w:pPr>
          </w:p>
        </w:tc>
        <w:tc>
          <w:tcPr>
            <w:tcW w:w="4680" w:type="dxa"/>
            <w:vAlign w:val="bottom"/>
            <w:tcBorders>
              <w:bottom w:val="single" w:sz="8" w:color="125288"/>
            </w:tcBorders>
          </w:tcPr>
          <w:p>
            <w:pPr>
              <w:spacing w:after="0"/>
              <w:rPr>
                <w:sz w:val="7"/>
                <w:szCs w:val="7"/>
                <w:color w:val="auto"/>
              </w:rPr>
            </w:pPr>
          </w:p>
        </w:tc>
      </w:tr>
      <w:tr>
        <w:trPr>
          <w:trHeight w:val="276"/>
        </w:trPr>
        <w:tc>
          <w:tcPr>
            <w:tcW w:w="1980" w:type="dxa"/>
            <w:vAlign w:val="bottom"/>
          </w:tcPr>
          <w:p>
            <w:pPr>
              <w:ind w:left="40"/>
              <w:spacing w:after="0"/>
              <w:rPr>
                <w:sz w:val="20"/>
                <w:szCs w:val="20"/>
                <w:color w:val="auto"/>
              </w:rPr>
            </w:pPr>
            <w:r>
              <w:rPr>
                <w:rFonts w:ascii="Arial" w:cs="Arial" w:eastAsia="Arial" w:hAnsi="Arial"/>
                <w:sz w:val="17"/>
                <w:szCs w:val="17"/>
                <w:color w:val="auto"/>
              </w:rPr>
              <w:t>100%</w:t>
            </w:r>
          </w:p>
        </w:tc>
        <w:tc>
          <w:tcPr>
            <w:tcW w:w="4600" w:type="dxa"/>
            <w:vAlign w:val="bottom"/>
          </w:tcPr>
          <w:p>
            <w:pPr>
              <w:ind w:left="540"/>
              <w:spacing w:after="0"/>
              <w:rPr>
                <w:sz w:val="20"/>
                <w:szCs w:val="20"/>
                <w:color w:val="auto"/>
              </w:rPr>
            </w:pPr>
            <w:r>
              <w:rPr>
                <w:rFonts w:ascii="Arial" w:cs="Arial" w:eastAsia="Arial" w:hAnsi="Arial"/>
                <w:sz w:val="17"/>
                <w:szCs w:val="17"/>
                <w:color w:val="auto"/>
              </w:rPr>
              <w:t>100% of annual target of 12,450*</w:t>
            </w:r>
          </w:p>
        </w:tc>
        <w:tc>
          <w:tcPr>
            <w:tcW w:w="4680" w:type="dxa"/>
            <w:vAlign w:val="bottom"/>
          </w:tcPr>
          <w:p>
            <w:pPr>
              <w:ind w:left="460"/>
              <w:spacing w:after="0"/>
              <w:rPr>
                <w:sz w:val="20"/>
                <w:szCs w:val="20"/>
                <w:color w:val="auto"/>
              </w:rPr>
            </w:pPr>
            <w:r>
              <w:rPr>
                <w:rFonts w:ascii="Arial" w:cs="Arial" w:eastAsia="Arial" w:hAnsi="Arial"/>
                <w:sz w:val="17"/>
                <w:szCs w:val="17"/>
                <w:color w:val="auto"/>
              </w:rPr>
              <w:t>100% of annual target of 6,225*</w:t>
            </w:r>
          </w:p>
        </w:tc>
      </w:tr>
      <w:tr>
        <w:trPr>
          <w:trHeight w:val="85"/>
        </w:trPr>
        <w:tc>
          <w:tcPr>
            <w:tcW w:w="1980" w:type="dxa"/>
            <w:vAlign w:val="bottom"/>
            <w:tcBorders>
              <w:bottom w:val="single" w:sz="8" w:color="125288"/>
            </w:tcBorders>
          </w:tcPr>
          <w:p>
            <w:pPr>
              <w:spacing w:after="0"/>
              <w:rPr>
                <w:sz w:val="7"/>
                <w:szCs w:val="7"/>
                <w:color w:val="auto"/>
              </w:rPr>
            </w:pPr>
          </w:p>
        </w:tc>
        <w:tc>
          <w:tcPr>
            <w:tcW w:w="4600" w:type="dxa"/>
            <w:vAlign w:val="bottom"/>
            <w:tcBorders>
              <w:bottom w:val="single" w:sz="8" w:color="125288"/>
            </w:tcBorders>
          </w:tcPr>
          <w:p>
            <w:pPr>
              <w:spacing w:after="0"/>
              <w:rPr>
                <w:sz w:val="7"/>
                <w:szCs w:val="7"/>
                <w:color w:val="auto"/>
              </w:rPr>
            </w:pPr>
          </w:p>
        </w:tc>
        <w:tc>
          <w:tcPr>
            <w:tcW w:w="4680" w:type="dxa"/>
            <w:vAlign w:val="bottom"/>
            <w:tcBorders>
              <w:bottom w:val="single" w:sz="8" w:color="125288"/>
            </w:tcBorders>
          </w:tcPr>
          <w:p>
            <w:pPr>
              <w:spacing w:after="0"/>
              <w:rPr>
                <w:sz w:val="7"/>
                <w:szCs w:val="7"/>
                <w:color w:val="auto"/>
              </w:rPr>
            </w:pPr>
          </w:p>
        </w:tc>
      </w:tr>
      <w:tr>
        <w:trPr>
          <w:trHeight w:val="276"/>
        </w:trPr>
        <w:tc>
          <w:tcPr>
            <w:tcW w:w="1980" w:type="dxa"/>
            <w:vAlign w:val="bottom"/>
          </w:tcPr>
          <w:p>
            <w:pPr>
              <w:ind w:left="4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125%</w:t>
            </w:r>
          </w:p>
        </w:tc>
        <w:tc>
          <w:tcPr>
            <w:tcW w:w="4600" w:type="dxa"/>
            <w:vAlign w:val="bottom"/>
          </w:tcPr>
          <w:p>
            <w:pPr>
              <w:ind w:left="540"/>
              <w:spacing w:after="0"/>
              <w:rPr>
                <w:sz w:val="20"/>
                <w:szCs w:val="20"/>
                <w:color w:val="auto"/>
              </w:rPr>
            </w:pPr>
            <w:r>
              <w:rPr>
                <w:rFonts w:ascii="Arial" w:cs="Arial" w:eastAsia="Arial" w:hAnsi="Arial"/>
                <w:sz w:val="17"/>
                <w:szCs w:val="17"/>
                <w:color w:val="auto"/>
              </w:rPr>
              <w:t>125% of target of 12,450</w:t>
            </w:r>
          </w:p>
        </w:tc>
        <w:tc>
          <w:tcPr>
            <w:tcW w:w="4680" w:type="dxa"/>
            <w:vAlign w:val="bottom"/>
          </w:tcPr>
          <w:p>
            <w:pPr>
              <w:ind w:left="460"/>
              <w:spacing w:after="0"/>
              <w:rPr>
                <w:sz w:val="20"/>
                <w:szCs w:val="20"/>
                <w:color w:val="auto"/>
              </w:rPr>
            </w:pPr>
            <w:r>
              <w:rPr>
                <w:rFonts w:ascii="Arial" w:cs="Arial" w:eastAsia="Arial" w:hAnsi="Arial"/>
                <w:sz w:val="17"/>
                <w:szCs w:val="17"/>
                <w:color w:val="auto"/>
              </w:rPr>
              <w:t>125% of annual target of 6,225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148830" cy="152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135"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5"/>
          <w:szCs w:val="15"/>
          <w:color w:val="auto"/>
        </w:rPr>
        <w:t>*</w:t>
        <w:tab/>
        <w:t>If actual performance is between any two points, the number of PSUs that vest will be determined using straight-line interpolation.</w:t>
      </w:r>
    </w:p>
    <w:p>
      <w:pPr>
        <w:spacing w:after="0" w:line="199"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Please see “—Grants of Plan-Based Awards for 2021” and “—Outstanding Equity Awards at December 31, 2021” above for more information about these PSUs.</w:t>
      </w:r>
    </w:p>
    <w:p>
      <w:pPr>
        <w:sectPr>
          <w:pgSz w:w="11900" w:h="16838" w:orient="portrait"/>
          <w:cols w:equalWidth="0" w:num="1">
            <w:col w:w="11260"/>
          </w:cols>
          <w:pgMar w:left="320" w:top="144" w:right="319" w:bottom="1440" w:gutter="0" w:footer="0" w:header="0"/>
        </w:sectPr>
      </w:pPr>
    </w:p>
    <w:p>
      <w:pPr>
        <w:spacing w:after="0" w:line="245" w:lineRule="exact"/>
        <w:rPr>
          <w:sz w:val="20"/>
          <w:szCs w:val="20"/>
          <w:color w:val="auto"/>
        </w:rPr>
      </w:pPr>
    </w:p>
    <w:p>
      <w:pPr>
        <w:spacing w:after="0"/>
        <w:tabs>
          <w:tab w:leader="none" w:pos="7360" w:val="left"/>
          <w:tab w:leader="none" w:pos="9380" w:val="left"/>
          <w:tab w:leader="none" w:pos="1100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type w:val="continuous"/>
        </w:sectPr>
      </w:pPr>
    </w:p>
    <w:bookmarkStart w:id="118" w:name="page119"/>
    <w:bookmarkEnd w:id="118"/>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PSUs (AB Adjusted EPS)</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Mr. Dixton was also awarded PSUs where target performance would result in the vesting of 37,351 PSUs. One-third of this award is eligible to vest on each of June 29, 2022, and June 29, 2023, and one-sixth of this award is eligible to vest on each of June 29, 2024, and June 29, 2025, in each case based on the level of the Company’s performance measured by reference to the AB Adjusted EPS objective set forth in our AOP for the year immediately preceding such vesting date,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ind w:left="40"/>
              <w:spacing w:after="0"/>
              <w:rPr>
                <w:sz w:val="20"/>
                <w:szCs w:val="20"/>
                <w:color w:val="auto"/>
              </w:rPr>
            </w:pPr>
            <w:r>
              <w:rPr>
                <w:rFonts w:ascii="Arial" w:cs="Arial" w:eastAsia="Arial" w:hAnsi="Arial"/>
                <w:sz w:val="15"/>
                <w:szCs w:val="15"/>
                <w:b w:val="1"/>
                <w:bCs w:val="1"/>
                <w:color w:val="125288"/>
              </w:rPr>
              <w:t>EPS (actual vs. AOP)</w:t>
            </w:r>
          </w:p>
        </w:tc>
        <w:tc>
          <w:tcPr>
            <w:tcW w:w="4520" w:type="dxa"/>
            <w:vAlign w:val="bottom"/>
          </w:tcPr>
          <w:p>
            <w:pPr>
              <w:ind w:left="460"/>
              <w:spacing w:after="0"/>
              <w:rPr>
                <w:sz w:val="20"/>
                <w:szCs w:val="20"/>
                <w:color w:val="auto"/>
              </w:rPr>
            </w:pPr>
            <w:r>
              <w:rPr>
                <w:rFonts w:ascii="Arial" w:cs="Arial" w:eastAsia="Arial" w:hAnsi="Arial"/>
                <w:sz w:val="15"/>
                <w:szCs w:val="15"/>
                <w:b w:val="1"/>
                <w:bCs w:val="1"/>
                <w:color w:val="125288"/>
              </w:rPr>
              <w:t>PSUs vesting on each of June 29, 2022, and 2023</w:t>
            </w:r>
          </w:p>
        </w:tc>
        <w:tc>
          <w:tcPr>
            <w:tcW w:w="4680" w:type="dxa"/>
            <w:vAlign w:val="bottom"/>
          </w:tcPr>
          <w:p>
            <w:pPr>
              <w:ind w:left="460"/>
              <w:spacing w:after="0"/>
              <w:rPr>
                <w:sz w:val="20"/>
                <w:szCs w:val="20"/>
                <w:color w:val="auto"/>
              </w:rPr>
            </w:pPr>
            <w:r>
              <w:rPr>
                <w:rFonts w:ascii="Arial" w:cs="Arial" w:eastAsia="Arial" w:hAnsi="Arial"/>
                <w:sz w:val="15"/>
                <w:szCs w:val="15"/>
                <w:b w:val="1"/>
                <w:bCs w:val="1"/>
                <w:color w:val="125288"/>
              </w:rPr>
              <w:t>PSUs vesting on each of June 29, 2024, and 2025</w:t>
            </w:r>
          </w:p>
        </w:tc>
      </w:tr>
      <w:tr>
        <w:trPr>
          <w:trHeight w:val="41"/>
        </w:trPr>
        <w:tc>
          <w:tcPr>
            <w:tcW w:w="2060" w:type="dxa"/>
            <w:vAlign w:val="bottom"/>
            <w:tcBorders>
              <w:bottom w:val="single" w:sz="8" w:color="125288"/>
            </w:tcBorders>
          </w:tcPr>
          <w:p>
            <w:pPr>
              <w:spacing w:after="0"/>
              <w:rPr>
                <w:sz w:val="3"/>
                <w:szCs w:val="3"/>
                <w:color w:val="auto"/>
              </w:rPr>
            </w:pPr>
          </w:p>
        </w:tc>
        <w:tc>
          <w:tcPr>
            <w:tcW w:w="4520" w:type="dxa"/>
            <w:vAlign w:val="bottom"/>
            <w:tcBorders>
              <w:bottom w:val="single" w:sz="8" w:color="125288"/>
            </w:tcBorders>
          </w:tcPr>
          <w:p>
            <w:pPr>
              <w:spacing w:after="0"/>
              <w:rPr>
                <w:sz w:val="3"/>
                <w:szCs w:val="3"/>
                <w:color w:val="auto"/>
              </w:rPr>
            </w:pPr>
          </w:p>
        </w:tc>
        <w:tc>
          <w:tcPr>
            <w:tcW w:w="4680" w:type="dxa"/>
            <w:vAlign w:val="bottom"/>
            <w:tcBorders>
              <w:bottom w:val="single" w:sz="8" w:color="125288"/>
            </w:tcBorders>
          </w:tcPr>
          <w:p>
            <w:pPr>
              <w:spacing w:after="0"/>
              <w:rPr>
                <w:sz w:val="3"/>
                <w:szCs w:val="3"/>
                <w:color w:val="auto"/>
              </w:rPr>
            </w:pPr>
          </w:p>
        </w:tc>
      </w:tr>
      <w:tr>
        <w:trPr>
          <w:trHeight w:val="276"/>
        </w:trPr>
        <w:tc>
          <w:tcPr>
            <w:tcW w:w="2060" w:type="dxa"/>
            <w:vAlign w:val="bottom"/>
          </w:tcPr>
          <w:p>
            <w:pPr>
              <w:ind w:left="40"/>
              <w:spacing w:after="0"/>
              <w:rPr>
                <w:sz w:val="20"/>
                <w:szCs w:val="20"/>
                <w:color w:val="auto"/>
              </w:rPr>
            </w:pPr>
            <w:r>
              <w:rPr>
                <w:rFonts w:ascii="Arial" w:cs="Arial" w:eastAsia="Arial" w:hAnsi="Arial"/>
                <w:sz w:val="15"/>
                <w:szCs w:val="15"/>
                <w:color w:val="auto"/>
              </w:rPr>
              <w:t>&lt;</w:t>
            </w:r>
            <w:r>
              <w:rPr>
                <w:rFonts w:ascii="Arial" w:cs="Arial" w:eastAsia="Arial" w:hAnsi="Arial"/>
                <w:sz w:val="16"/>
                <w:szCs w:val="16"/>
                <w:color w:val="auto"/>
              </w:rPr>
              <w:t>90%</w:t>
            </w:r>
          </w:p>
        </w:tc>
        <w:tc>
          <w:tcPr>
            <w:tcW w:w="4520" w:type="dxa"/>
            <w:vAlign w:val="bottom"/>
          </w:tcPr>
          <w:p>
            <w:pPr>
              <w:ind w:left="460"/>
              <w:spacing w:after="0"/>
              <w:rPr>
                <w:sz w:val="20"/>
                <w:szCs w:val="20"/>
                <w:color w:val="auto"/>
              </w:rPr>
            </w:pPr>
            <w:r>
              <w:rPr>
                <w:rFonts w:ascii="Arial" w:cs="Arial" w:eastAsia="Arial" w:hAnsi="Arial"/>
                <w:sz w:val="17"/>
                <w:szCs w:val="17"/>
                <w:color w:val="auto"/>
              </w:rPr>
              <w:t>0%</w:t>
            </w:r>
          </w:p>
        </w:tc>
        <w:tc>
          <w:tcPr>
            <w:tcW w:w="4680" w:type="dxa"/>
            <w:vAlign w:val="bottom"/>
          </w:tcPr>
          <w:p>
            <w:pPr>
              <w:ind w:left="460"/>
              <w:spacing w:after="0"/>
              <w:rPr>
                <w:sz w:val="20"/>
                <w:szCs w:val="20"/>
                <w:color w:val="auto"/>
              </w:rPr>
            </w:pPr>
            <w:r>
              <w:rPr>
                <w:rFonts w:ascii="Arial" w:cs="Arial" w:eastAsia="Arial" w:hAnsi="Arial"/>
                <w:sz w:val="17"/>
                <w:szCs w:val="17"/>
                <w:color w:val="auto"/>
              </w:rPr>
              <w:t>0%</w:t>
            </w:r>
          </w:p>
        </w:tc>
      </w:tr>
      <w:tr>
        <w:trPr>
          <w:trHeight w:val="85"/>
        </w:trPr>
        <w:tc>
          <w:tcPr>
            <w:tcW w:w="2060" w:type="dxa"/>
            <w:vAlign w:val="bottom"/>
            <w:tcBorders>
              <w:bottom w:val="single" w:sz="8" w:color="125288"/>
            </w:tcBorders>
          </w:tcPr>
          <w:p>
            <w:pPr>
              <w:spacing w:after="0"/>
              <w:rPr>
                <w:sz w:val="7"/>
                <w:szCs w:val="7"/>
                <w:color w:val="auto"/>
              </w:rPr>
            </w:pPr>
          </w:p>
        </w:tc>
        <w:tc>
          <w:tcPr>
            <w:tcW w:w="4520" w:type="dxa"/>
            <w:vAlign w:val="bottom"/>
            <w:tcBorders>
              <w:bottom w:val="single" w:sz="8" w:color="125288"/>
            </w:tcBorders>
          </w:tcPr>
          <w:p>
            <w:pPr>
              <w:spacing w:after="0"/>
              <w:rPr>
                <w:sz w:val="7"/>
                <w:szCs w:val="7"/>
                <w:color w:val="auto"/>
              </w:rPr>
            </w:pPr>
          </w:p>
        </w:tc>
        <w:tc>
          <w:tcPr>
            <w:tcW w:w="4680" w:type="dxa"/>
            <w:vAlign w:val="bottom"/>
            <w:tcBorders>
              <w:bottom w:val="single" w:sz="8" w:color="125288"/>
            </w:tcBorders>
          </w:tcPr>
          <w:p>
            <w:pPr>
              <w:spacing w:after="0"/>
              <w:rPr>
                <w:sz w:val="7"/>
                <w:szCs w:val="7"/>
                <w:color w:val="auto"/>
              </w:rPr>
            </w:pPr>
          </w:p>
        </w:tc>
      </w:tr>
      <w:tr>
        <w:trPr>
          <w:trHeight w:val="276"/>
        </w:trPr>
        <w:tc>
          <w:tcPr>
            <w:tcW w:w="2060" w:type="dxa"/>
            <w:vAlign w:val="bottom"/>
          </w:tcPr>
          <w:p>
            <w:pPr>
              <w:ind w:left="40"/>
              <w:spacing w:after="0"/>
              <w:rPr>
                <w:sz w:val="20"/>
                <w:szCs w:val="20"/>
                <w:color w:val="auto"/>
              </w:rPr>
            </w:pPr>
            <w:r>
              <w:rPr>
                <w:rFonts w:ascii="Arial" w:cs="Arial" w:eastAsia="Arial" w:hAnsi="Arial"/>
                <w:sz w:val="17"/>
                <w:szCs w:val="17"/>
                <w:color w:val="auto"/>
              </w:rPr>
              <w:t>90%</w:t>
            </w:r>
          </w:p>
        </w:tc>
        <w:tc>
          <w:tcPr>
            <w:tcW w:w="4520" w:type="dxa"/>
            <w:vAlign w:val="bottom"/>
          </w:tcPr>
          <w:p>
            <w:pPr>
              <w:ind w:left="460"/>
              <w:spacing w:after="0"/>
              <w:rPr>
                <w:sz w:val="20"/>
                <w:szCs w:val="20"/>
                <w:color w:val="auto"/>
              </w:rPr>
            </w:pPr>
            <w:r>
              <w:rPr>
                <w:rFonts w:ascii="Arial" w:cs="Arial" w:eastAsia="Arial" w:hAnsi="Arial"/>
                <w:sz w:val="17"/>
                <w:szCs w:val="17"/>
                <w:color w:val="auto"/>
              </w:rPr>
              <w:t>50% of annual target of 12,450*</w:t>
            </w:r>
          </w:p>
        </w:tc>
        <w:tc>
          <w:tcPr>
            <w:tcW w:w="4680" w:type="dxa"/>
            <w:vAlign w:val="bottom"/>
          </w:tcPr>
          <w:p>
            <w:pPr>
              <w:ind w:left="460"/>
              <w:spacing w:after="0"/>
              <w:rPr>
                <w:sz w:val="20"/>
                <w:szCs w:val="20"/>
                <w:color w:val="auto"/>
              </w:rPr>
            </w:pPr>
            <w:r>
              <w:rPr>
                <w:rFonts w:ascii="Arial" w:cs="Arial" w:eastAsia="Arial" w:hAnsi="Arial"/>
                <w:sz w:val="17"/>
                <w:szCs w:val="17"/>
                <w:color w:val="auto"/>
              </w:rPr>
              <w:t>50% of annual target of 6,225*</w:t>
            </w:r>
          </w:p>
        </w:tc>
      </w:tr>
      <w:tr>
        <w:trPr>
          <w:trHeight w:val="85"/>
        </w:trPr>
        <w:tc>
          <w:tcPr>
            <w:tcW w:w="2060" w:type="dxa"/>
            <w:vAlign w:val="bottom"/>
            <w:tcBorders>
              <w:bottom w:val="single" w:sz="8" w:color="125288"/>
            </w:tcBorders>
          </w:tcPr>
          <w:p>
            <w:pPr>
              <w:spacing w:after="0"/>
              <w:rPr>
                <w:sz w:val="7"/>
                <w:szCs w:val="7"/>
                <w:color w:val="auto"/>
              </w:rPr>
            </w:pPr>
          </w:p>
        </w:tc>
        <w:tc>
          <w:tcPr>
            <w:tcW w:w="4520" w:type="dxa"/>
            <w:vAlign w:val="bottom"/>
            <w:tcBorders>
              <w:bottom w:val="single" w:sz="8" w:color="125288"/>
            </w:tcBorders>
          </w:tcPr>
          <w:p>
            <w:pPr>
              <w:spacing w:after="0"/>
              <w:rPr>
                <w:sz w:val="7"/>
                <w:szCs w:val="7"/>
                <w:color w:val="auto"/>
              </w:rPr>
            </w:pPr>
          </w:p>
        </w:tc>
        <w:tc>
          <w:tcPr>
            <w:tcW w:w="4680" w:type="dxa"/>
            <w:vAlign w:val="bottom"/>
            <w:tcBorders>
              <w:bottom w:val="single" w:sz="8" w:color="125288"/>
            </w:tcBorders>
          </w:tcPr>
          <w:p>
            <w:pPr>
              <w:spacing w:after="0"/>
              <w:rPr>
                <w:sz w:val="7"/>
                <w:szCs w:val="7"/>
                <w:color w:val="auto"/>
              </w:rPr>
            </w:pPr>
          </w:p>
        </w:tc>
      </w:tr>
      <w:tr>
        <w:trPr>
          <w:trHeight w:val="276"/>
        </w:trPr>
        <w:tc>
          <w:tcPr>
            <w:tcW w:w="2060" w:type="dxa"/>
            <w:vAlign w:val="bottom"/>
          </w:tcPr>
          <w:p>
            <w:pPr>
              <w:ind w:left="40"/>
              <w:spacing w:after="0"/>
              <w:rPr>
                <w:sz w:val="20"/>
                <w:szCs w:val="20"/>
                <w:color w:val="auto"/>
              </w:rPr>
            </w:pPr>
            <w:r>
              <w:rPr>
                <w:rFonts w:ascii="Arial" w:cs="Arial" w:eastAsia="Arial" w:hAnsi="Arial"/>
                <w:sz w:val="17"/>
                <w:szCs w:val="17"/>
                <w:color w:val="auto"/>
              </w:rPr>
              <w:t>100%</w:t>
            </w:r>
          </w:p>
        </w:tc>
        <w:tc>
          <w:tcPr>
            <w:tcW w:w="4520" w:type="dxa"/>
            <w:vAlign w:val="bottom"/>
          </w:tcPr>
          <w:p>
            <w:pPr>
              <w:ind w:left="460"/>
              <w:spacing w:after="0"/>
              <w:rPr>
                <w:sz w:val="20"/>
                <w:szCs w:val="20"/>
                <w:color w:val="auto"/>
              </w:rPr>
            </w:pPr>
            <w:r>
              <w:rPr>
                <w:rFonts w:ascii="Arial" w:cs="Arial" w:eastAsia="Arial" w:hAnsi="Arial"/>
                <w:sz w:val="17"/>
                <w:szCs w:val="17"/>
                <w:color w:val="auto"/>
              </w:rPr>
              <w:t>100% of annual target of 12,450*</w:t>
            </w:r>
          </w:p>
        </w:tc>
        <w:tc>
          <w:tcPr>
            <w:tcW w:w="4680" w:type="dxa"/>
            <w:vAlign w:val="bottom"/>
          </w:tcPr>
          <w:p>
            <w:pPr>
              <w:ind w:left="460"/>
              <w:spacing w:after="0"/>
              <w:rPr>
                <w:sz w:val="20"/>
                <w:szCs w:val="20"/>
                <w:color w:val="auto"/>
              </w:rPr>
            </w:pPr>
            <w:r>
              <w:rPr>
                <w:rFonts w:ascii="Arial" w:cs="Arial" w:eastAsia="Arial" w:hAnsi="Arial"/>
                <w:sz w:val="17"/>
                <w:szCs w:val="17"/>
                <w:color w:val="auto"/>
              </w:rPr>
              <w:t>100% of annual target of 6,225*</w:t>
            </w:r>
          </w:p>
        </w:tc>
      </w:tr>
      <w:tr>
        <w:trPr>
          <w:trHeight w:val="85"/>
        </w:trPr>
        <w:tc>
          <w:tcPr>
            <w:tcW w:w="2060" w:type="dxa"/>
            <w:vAlign w:val="bottom"/>
            <w:tcBorders>
              <w:bottom w:val="single" w:sz="8" w:color="125288"/>
            </w:tcBorders>
          </w:tcPr>
          <w:p>
            <w:pPr>
              <w:spacing w:after="0"/>
              <w:rPr>
                <w:sz w:val="7"/>
                <w:szCs w:val="7"/>
                <w:color w:val="auto"/>
              </w:rPr>
            </w:pPr>
          </w:p>
        </w:tc>
        <w:tc>
          <w:tcPr>
            <w:tcW w:w="4520" w:type="dxa"/>
            <w:vAlign w:val="bottom"/>
            <w:tcBorders>
              <w:bottom w:val="single" w:sz="8" w:color="125288"/>
            </w:tcBorders>
          </w:tcPr>
          <w:p>
            <w:pPr>
              <w:spacing w:after="0"/>
              <w:rPr>
                <w:sz w:val="7"/>
                <w:szCs w:val="7"/>
                <w:color w:val="auto"/>
              </w:rPr>
            </w:pPr>
          </w:p>
        </w:tc>
        <w:tc>
          <w:tcPr>
            <w:tcW w:w="4680" w:type="dxa"/>
            <w:vAlign w:val="bottom"/>
            <w:tcBorders>
              <w:bottom w:val="single" w:sz="8" w:color="125288"/>
            </w:tcBorders>
          </w:tcPr>
          <w:p>
            <w:pPr>
              <w:spacing w:after="0"/>
              <w:rPr>
                <w:sz w:val="7"/>
                <w:szCs w:val="7"/>
                <w:color w:val="auto"/>
              </w:rPr>
            </w:pPr>
          </w:p>
        </w:tc>
      </w:tr>
      <w:tr>
        <w:trPr>
          <w:trHeight w:val="276"/>
        </w:trPr>
        <w:tc>
          <w:tcPr>
            <w:tcW w:w="2060" w:type="dxa"/>
            <w:vAlign w:val="bottom"/>
          </w:tcPr>
          <w:p>
            <w:pPr>
              <w:ind w:left="4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125%</w:t>
            </w:r>
          </w:p>
        </w:tc>
        <w:tc>
          <w:tcPr>
            <w:tcW w:w="4520" w:type="dxa"/>
            <w:vAlign w:val="bottom"/>
          </w:tcPr>
          <w:p>
            <w:pPr>
              <w:ind w:left="460"/>
              <w:spacing w:after="0"/>
              <w:rPr>
                <w:sz w:val="20"/>
                <w:szCs w:val="20"/>
                <w:color w:val="auto"/>
              </w:rPr>
            </w:pPr>
            <w:r>
              <w:rPr>
                <w:rFonts w:ascii="Arial" w:cs="Arial" w:eastAsia="Arial" w:hAnsi="Arial"/>
                <w:sz w:val="17"/>
                <w:szCs w:val="17"/>
                <w:color w:val="auto"/>
              </w:rPr>
              <w:t>125% of target of 12,450</w:t>
            </w:r>
          </w:p>
        </w:tc>
        <w:tc>
          <w:tcPr>
            <w:tcW w:w="4680" w:type="dxa"/>
            <w:vAlign w:val="bottom"/>
          </w:tcPr>
          <w:p>
            <w:pPr>
              <w:ind w:left="460"/>
              <w:spacing w:after="0"/>
              <w:rPr>
                <w:sz w:val="20"/>
                <w:szCs w:val="20"/>
                <w:color w:val="auto"/>
              </w:rPr>
            </w:pPr>
            <w:r>
              <w:rPr>
                <w:rFonts w:ascii="Arial" w:cs="Arial" w:eastAsia="Arial" w:hAnsi="Arial"/>
                <w:sz w:val="17"/>
                <w:szCs w:val="17"/>
                <w:color w:val="auto"/>
              </w:rPr>
              <w:t>125% of annual target of 6,225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148830" cy="152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135"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5"/>
          <w:szCs w:val="15"/>
          <w:color w:val="auto"/>
        </w:rPr>
        <w:t>*</w:t>
        <w:tab/>
        <w:t>If actual performance is between any two points, the number of PSUs that vest will be determined using straight-line interpolation.</w:t>
      </w:r>
    </w:p>
    <w:p>
      <w:pPr>
        <w:spacing w:after="0" w:line="318"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Please see “—Grants of Plan-Based Awards for 2021” and “—Outstanding Equity Awards at December 31, 2021” above for more information about these PSUs.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Long-Term Commitment Bonus</w:t>
      </w:r>
    </w:p>
    <w:p>
      <w:pPr>
        <w:spacing w:after="0" w:line="28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Mr. Dixton received a payment of $1.75 million in cash shortly after he commenced employment. If his employment is terminated before June 29, 2022 (approximately the first anniversary of the effective date of the Dixton Employment Agreement), Mr. Dixton will have to repay the payment in its entirety unless the termination is by us without cause, by him for good reason, or due to his death or disability. If his employment is terminated before June 29, 2023 (approximately the second anniversary of the effective date of the Dixton Employment Agreement), other than for any such reason, Mr. Dixton will have to repay two-thirds of such payment. If his employment is terminated before June 29, 2024 (approximately the third anniversary of the effective date of the Dixton Employment Agreement), other than for any such reason, Mr. Dixton will have to repay one-third of such payment.</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125288"/>
        </w:rPr>
        <w:t>Annual Equity Awards</w:t>
      </w:r>
    </w:p>
    <w:p>
      <w:pPr>
        <w:spacing w:after="0" w:line="149"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Mr. Dixton is eligible to receive annual equity grants of PSUs, with vesting based on the achievement of a cumulative AB Adjusted OI objective for the three years following the grant established by the Compensation Committee, with a target value of $1 million per year.</w:t>
      </w:r>
    </w:p>
    <w:p>
      <w:pPr>
        <w:spacing w:after="0" w:line="260"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On August 5, 2021, Mr. Dixton was awarded PSUs where target performance would result in the vesting of 12,450 PSUs. This award is eligible to vest in full on June 29, 2024, based on the level of the Company’s performance measured by reference to the cumulative AB Adjusted OI objective for 2021–2023 established by the Compensation Committee,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60" w:type="dxa"/>
            <w:vAlign w:val="bottom"/>
          </w:tcPr>
          <w:p>
            <w:pPr>
              <w:spacing w:after="0"/>
              <w:rPr>
                <w:sz w:val="15"/>
                <w:szCs w:val="15"/>
                <w:color w:val="auto"/>
              </w:rPr>
            </w:pPr>
          </w:p>
        </w:tc>
        <w:tc>
          <w:tcPr>
            <w:tcW w:w="7100" w:type="dxa"/>
            <w:vAlign w:val="bottom"/>
          </w:tcPr>
          <w:p>
            <w:pPr>
              <w:ind w:left="2760"/>
              <w:spacing w:after="0"/>
              <w:rPr>
                <w:sz w:val="20"/>
                <w:szCs w:val="20"/>
                <w:color w:val="auto"/>
              </w:rPr>
            </w:pPr>
            <w:r>
              <w:rPr>
                <w:rFonts w:ascii="Arial" w:cs="Arial" w:eastAsia="Arial" w:hAnsi="Arial"/>
                <w:sz w:val="15"/>
                <w:szCs w:val="15"/>
                <w:b w:val="1"/>
                <w:bCs w:val="1"/>
                <w:color w:val="125288"/>
              </w:rPr>
              <w:t>PSUs vesting on</w:t>
            </w:r>
          </w:p>
        </w:tc>
      </w:tr>
      <w:tr>
        <w:trPr>
          <w:trHeight w:val="204"/>
        </w:trPr>
        <w:tc>
          <w:tcPr>
            <w:tcW w:w="4160" w:type="dxa"/>
            <w:vAlign w:val="bottom"/>
          </w:tcPr>
          <w:p>
            <w:pPr>
              <w:ind w:left="40"/>
              <w:spacing w:after="0"/>
              <w:rPr>
                <w:sz w:val="20"/>
                <w:szCs w:val="20"/>
                <w:color w:val="auto"/>
              </w:rPr>
            </w:pPr>
            <w:r>
              <w:rPr>
                <w:rFonts w:ascii="Arial" w:cs="Arial" w:eastAsia="Arial" w:hAnsi="Arial"/>
                <w:sz w:val="15"/>
                <w:szCs w:val="15"/>
                <w:b w:val="1"/>
                <w:bCs w:val="1"/>
                <w:color w:val="125288"/>
              </w:rPr>
              <w:t>OI (actual vs. 3YP)</w:t>
            </w:r>
          </w:p>
        </w:tc>
        <w:tc>
          <w:tcPr>
            <w:tcW w:w="7100" w:type="dxa"/>
            <w:vAlign w:val="bottom"/>
          </w:tcPr>
          <w:p>
            <w:pPr>
              <w:ind w:left="2760"/>
              <w:spacing w:after="0"/>
              <w:rPr>
                <w:sz w:val="20"/>
                <w:szCs w:val="20"/>
                <w:color w:val="auto"/>
              </w:rPr>
            </w:pPr>
            <w:r>
              <w:rPr>
                <w:rFonts w:ascii="Arial" w:cs="Arial" w:eastAsia="Arial" w:hAnsi="Arial"/>
                <w:sz w:val="15"/>
                <w:szCs w:val="15"/>
                <w:b w:val="1"/>
                <w:bCs w:val="1"/>
                <w:color w:val="125288"/>
              </w:rPr>
              <w:t>June 29, 2024</w:t>
            </w:r>
          </w:p>
        </w:tc>
      </w:tr>
      <w:tr>
        <w:trPr>
          <w:trHeight w:val="41"/>
        </w:trPr>
        <w:tc>
          <w:tcPr>
            <w:tcW w:w="4160" w:type="dxa"/>
            <w:vAlign w:val="bottom"/>
            <w:tcBorders>
              <w:bottom w:val="single" w:sz="8" w:color="125288"/>
            </w:tcBorders>
          </w:tcPr>
          <w:p>
            <w:pPr>
              <w:spacing w:after="0"/>
              <w:rPr>
                <w:sz w:val="3"/>
                <w:szCs w:val="3"/>
                <w:color w:val="auto"/>
              </w:rPr>
            </w:pPr>
          </w:p>
        </w:tc>
        <w:tc>
          <w:tcPr>
            <w:tcW w:w="7100" w:type="dxa"/>
            <w:vAlign w:val="bottom"/>
            <w:tcBorders>
              <w:bottom w:val="single" w:sz="8" w:color="125288"/>
            </w:tcBorders>
          </w:tcPr>
          <w:p>
            <w:pPr>
              <w:spacing w:after="0"/>
              <w:rPr>
                <w:sz w:val="3"/>
                <w:szCs w:val="3"/>
                <w:color w:val="auto"/>
              </w:rPr>
            </w:pPr>
          </w:p>
        </w:tc>
      </w:tr>
      <w:tr>
        <w:trPr>
          <w:trHeight w:val="228"/>
        </w:trPr>
        <w:tc>
          <w:tcPr>
            <w:tcW w:w="4160" w:type="dxa"/>
            <w:vAlign w:val="bottom"/>
          </w:tcPr>
          <w:p>
            <w:pPr>
              <w:ind w:left="40"/>
              <w:spacing w:after="0"/>
              <w:rPr>
                <w:sz w:val="20"/>
                <w:szCs w:val="20"/>
                <w:color w:val="auto"/>
              </w:rPr>
            </w:pPr>
            <w:r>
              <w:rPr>
                <w:rFonts w:ascii="Arial" w:cs="Arial" w:eastAsia="Arial" w:hAnsi="Arial"/>
                <w:sz w:val="15"/>
                <w:szCs w:val="15"/>
                <w:color w:val="auto"/>
              </w:rPr>
              <w:t>&lt;</w:t>
            </w:r>
            <w:r>
              <w:rPr>
                <w:rFonts w:ascii="Arial" w:cs="Arial" w:eastAsia="Arial" w:hAnsi="Arial"/>
                <w:sz w:val="16"/>
                <w:szCs w:val="16"/>
                <w:color w:val="auto"/>
              </w:rPr>
              <w:t>90%</w:t>
            </w:r>
          </w:p>
        </w:tc>
        <w:tc>
          <w:tcPr>
            <w:tcW w:w="7100" w:type="dxa"/>
            <w:vAlign w:val="bottom"/>
          </w:tcPr>
          <w:p>
            <w:pPr>
              <w:ind w:left="2760"/>
              <w:spacing w:after="0"/>
              <w:rPr>
                <w:sz w:val="20"/>
                <w:szCs w:val="20"/>
                <w:color w:val="auto"/>
              </w:rPr>
            </w:pPr>
            <w:r>
              <w:rPr>
                <w:rFonts w:ascii="Arial" w:cs="Arial" w:eastAsia="Arial" w:hAnsi="Arial"/>
                <w:sz w:val="17"/>
                <w:szCs w:val="17"/>
                <w:color w:val="auto"/>
              </w:rPr>
              <w:t>0%</w:t>
            </w:r>
          </w:p>
        </w:tc>
      </w:tr>
      <w:tr>
        <w:trPr>
          <w:trHeight w:val="37"/>
        </w:trPr>
        <w:tc>
          <w:tcPr>
            <w:tcW w:w="4160" w:type="dxa"/>
            <w:vAlign w:val="bottom"/>
            <w:tcBorders>
              <w:bottom w:val="single" w:sz="8" w:color="125288"/>
            </w:tcBorders>
          </w:tcPr>
          <w:p>
            <w:pPr>
              <w:spacing w:after="0"/>
              <w:rPr>
                <w:sz w:val="3"/>
                <w:szCs w:val="3"/>
                <w:color w:val="auto"/>
              </w:rPr>
            </w:pPr>
          </w:p>
        </w:tc>
        <w:tc>
          <w:tcPr>
            <w:tcW w:w="7100" w:type="dxa"/>
            <w:vAlign w:val="bottom"/>
            <w:tcBorders>
              <w:bottom w:val="single" w:sz="8" w:color="125288"/>
            </w:tcBorders>
          </w:tcPr>
          <w:p>
            <w:pPr>
              <w:spacing w:after="0"/>
              <w:rPr>
                <w:sz w:val="3"/>
                <w:szCs w:val="3"/>
                <w:color w:val="auto"/>
              </w:rPr>
            </w:pPr>
          </w:p>
        </w:tc>
      </w:tr>
      <w:tr>
        <w:trPr>
          <w:trHeight w:val="228"/>
        </w:trPr>
        <w:tc>
          <w:tcPr>
            <w:tcW w:w="4160" w:type="dxa"/>
            <w:vAlign w:val="bottom"/>
          </w:tcPr>
          <w:p>
            <w:pPr>
              <w:ind w:left="40"/>
              <w:spacing w:after="0"/>
              <w:rPr>
                <w:sz w:val="20"/>
                <w:szCs w:val="20"/>
                <w:color w:val="auto"/>
              </w:rPr>
            </w:pPr>
            <w:r>
              <w:rPr>
                <w:rFonts w:ascii="Arial" w:cs="Arial" w:eastAsia="Arial" w:hAnsi="Arial"/>
                <w:sz w:val="17"/>
                <w:szCs w:val="17"/>
                <w:color w:val="auto"/>
              </w:rPr>
              <w:t>90%</w:t>
            </w:r>
          </w:p>
        </w:tc>
        <w:tc>
          <w:tcPr>
            <w:tcW w:w="7100" w:type="dxa"/>
            <w:vAlign w:val="bottom"/>
          </w:tcPr>
          <w:p>
            <w:pPr>
              <w:ind w:left="2760"/>
              <w:spacing w:after="0"/>
              <w:rPr>
                <w:sz w:val="20"/>
                <w:szCs w:val="20"/>
                <w:color w:val="auto"/>
              </w:rPr>
            </w:pPr>
            <w:r>
              <w:rPr>
                <w:rFonts w:ascii="Arial" w:cs="Arial" w:eastAsia="Arial" w:hAnsi="Arial"/>
                <w:sz w:val="17"/>
                <w:szCs w:val="17"/>
                <w:color w:val="auto"/>
              </w:rPr>
              <w:t>50% of target of 12,450*</w:t>
            </w:r>
          </w:p>
        </w:tc>
      </w:tr>
      <w:tr>
        <w:trPr>
          <w:trHeight w:val="37"/>
        </w:trPr>
        <w:tc>
          <w:tcPr>
            <w:tcW w:w="4160" w:type="dxa"/>
            <w:vAlign w:val="bottom"/>
            <w:tcBorders>
              <w:bottom w:val="single" w:sz="8" w:color="125288"/>
            </w:tcBorders>
          </w:tcPr>
          <w:p>
            <w:pPr>
              <w:spacing w:after="0"/>
              <w:rPr>
                <w:sz w:val="3"/>
                <w:szCs w:val="3"/>
                <w:color w:val="auto"/>
              </w:rPr>
            </w:pPr>
          </w:p>
        </w:tc>
        <w:tc>
          <w:tcPr>
            <w:tcW w:w="7100" w:type="dxa"/>
            <w:vAlign w:val="bottom"/>
            <w:tcBorders>
              <w:bottom w:val="single" w:sz="8" w:color="125288"/>
            </w:tcBorders>
          </w:tcPr>
          <w:p>
            <w:pPr>
              <w:spacing w:after="0"/>
              <w:rPr>
                <w:sz w:val="3"/>
                <w:szCs w:val="3"/>
                <w:color w:val="auto"/>
              </w:rPr>
            </w:pPr>
          </w:p>
        </w:tc>
      </w:tr>
      <w:tr>
        <w:trPr>
          <w:trHeight w:val="228"/>
        </w:trPr>
        <w:tc>
          <w:tcPr>
            <w:tcW w:w="4160" w:type="dxa"/>
            <w:vAlign w:val="bottom"/>
          </w:tcPr>
          <w:p>
            <w:pPr>
              <w:ind w:left="40"/>
              <w:spacing w:after="0"/>
              <w:rPr>
                <w:sz w:val="20"/>
                <w:szCs w:val="20"/>
                <w:color w:val="auto"/>
              </w:rPr>
            </w:pPr>
            <w:r>
              <w:rPr>
                <w:rFonts w:ascii="Arial" w:cs="Arial" w:eastAsia="Arial" w:hAnsi="Arial"/>
                <w:sz w:val="17"/>
                <w:szCs w:val="17"/>
                <w:color w:val="auto"/>
              </w:rPr>
              <w:t>100%</w:t>
            </w:r>
          </w:p>
        </w:tc>
        <w:tc>
          <w:tcPr>
            <w:tcW w:w="7100" w:type="dxa"/>
            <w:vAlign w:val="bottom"/>
          </w:tcPr>
          <w:p>
            <w:pPr>
              <w:ind w:left="2760"/>
              <w:spacing w:after="0"/>
              <w:rPr>
                <w:sz w:val="20"/>
                <w:szCs w:val="20"/>
                <w:color w:val="auto"/>
              </w:rPr>
            </w:pPr>
            <w:r>
              <w:rPr>
                <w:rFonts w:ascii="Arial" w:cs="Arial" w:eastAsia="Arial" w:hAnsi="Arial"/>
                <w:sz w:val="17"/>
                <w:szCs w:val="17"/>
                <w:color w:val="auto"/>
              </w:rPr>
              <w:t>100% of target of 12,450*</w:t>
            </w:r>
          </w:p>
        </w:tc>
      </w:tr>
      <w:tr>
        <w:trPr>
          <w:trHeight w:val="37"/>
        </w:trPr>
        <w:tc>
          <w:tcPr>
            <w:tcW w:w="4160" w:type="dxa"/>
            <w:vAlign w:val="bottom"/>
            <w:tcBorders>
              <w:bottom w:val="single" w:sz="8" w:color="125288"/>
            </w:tcBorders>
          </w:tcPr>
          <w:p>
            <w:pPr>
              <w:spacing w:after="0"/>
              <w:rPr>
                <w:sz w:val="3"/>
                <w:szCs w:val="3"/>
                <w:color w:val="auto"/>
              </w:rPr>
            </w:pPr>
          </w:p>
        </w:tc>
        <w:tc>
          <w:tcPr>
            <w:tcW w:w="7100" w:type="dxa"/>
            <w:vAlign w:val="bottom"/>
            <w:tcBorders>
              <w:bottom w:val="single" w:sz="8" w:color="125288"/>
            </w:tcBorders>
          </w:tcPr>
          <w:p>
            <w:pPr>
              <w:spacing w:after="0"/>
              <w:rPr>
                <w:sz w:val="3"/>
                <w:szCs w:val="3"/>
                <w:color w:val="auto"/>
              </w:rPr>
            </w:pPr>
          </w:p>
        </w:tc>
      </w:tr>
      <w:tr>
        <w:trPr>
          <w:trHeight w:val="228"/>
        </w:trPr>
        <w:tc>
          <w:tcPr>
            <w:tcW w:w="4160" w:type="dxa"/>
            <w:vAlign w:val="bottom"/>
          </w:tcPr>
          <w:p>
            <w:pPr>
              <w:ind w:left="4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125%</w:t>
            </w:r>
          </w:p>
        </w:tc>
        <w:tc>
          <w:tcPr>
            <w:tcW w:w="7100" w:type="dxa"/>
            <w:vAlign w:val="bottom"/>
          </w:tcPr>
          <w:p>
            <w:pPr>
              <w:ind w:left="2760"/>
              <w:spacing w:after="0"/>
              <w:rPr>
                <w:sz w:val="20"/>
                <w:szCs w:val="20"/>
                <w:color w:val="auto"/>
              </w:rPr>
            </w:pPr>
            <w:r>
              <w:rPr>
                <w:rFonts w:ascii="Arial" w:cs="Arial" w:eastAsia="Arial" w:hAnsi="Arial"/>
                <w:sz w:val="17"/>
                <w:szCs w:val="17"/>
                <w:color w:val="auto"/>
              </w:rPr>
              <w:t>125% of target of 12,450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7148830" cy="152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87"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5"/>
          <w:szCs w:val="15"/>
          <w:color w:val="auto"/>
        </w:rPr>
        <w:t>*</w:t>
        <w:tab/>
        <w:t>If actual performance is between any two points, the number of PSUs that vest will be determined using straight-line interpolation.</w:t>
      </w:r>
    </w:p>
    <w:p>
      <w:pPr>
        <w:spacing w:after="0" w:line="199"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Please see “—Grants of Plan-Based Awards for 2021” and “—Outstanding Equity Awards at December 31, 2021” above for more information about these PSUs.</w:t>
      </w:r>
    </w:p>
    <w:p>
      <w:pPr>
        <w:spacing w:after="0" w:line="245" w:lineRule="exact"/>
        <w:rPr>
          <w:sz w:val="20"/>
          <w:szCs w:val="20"/>
          <w:color w:val="auto"/>
        </w:rPr>
      </w:pPr>
    </w:p>
    <w:p>
      <w:pPr>
        <w:spacing w:after="0"/>
        <w:tabs>
          <w:tab w:leader="none" w:pos="7360" w:val="left"/>
          <w:tab w:leader="none" w:pos="9380" w:val="left"/>
          <w:tab w:leader="none" w:pos="1100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19" w:name="page120"/>
    <w:bookmarkEnd w:id="119"/>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35"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Additionally, on November 4, 2021, Mr. Dixton was awarded PSUs where target performance would result in the vesting of 14,656 PSUs. This award is eligible to vest in full on March 30, 2025, based on the level of the Company’s performance measured by reference to the cumulative AB Adjusted OI objective for 2022–2024 established by the Compensation Committee,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15"/>
                <w:szCs w:val="15"/>
                <w:color w:val="auto"/>
              </w:rPr>
            </w:pPr>
          </w:p>
        </w:tc>
        <w:tc>
          <w:tcPr>
            <w:tcW w:w="6940" w:type="dxa"/>
            <w:vAlign w:val="bottom"/>
          </w:tcPr>
          <w:p>
            <w:pPr>
              <w:ind w:left="2600"/>
              <w:spacing w:after="0"/>
              <w:rPr>
                <w:sz w:val="20"/>
                <w:szCs w:val="20"/>
                <w:color w:val="auto"/>
              </w:rPr>
            </w:pPr>
            <w:r>
              <w:rPr>
                <w:rFonts w:ascii="Arial" w:cs="Arial" w:eastAsia="Arial" w:hAnsi="Arial"/>
                <w:sz w:val="15"/>
                <w:szCs w:val="15"/>
                <w:b w:val="1"/>
                <w:bCs w:val="1"/>
                <w:color w:val="125288"/>
              </w:rPr>
              <w:t>PSUs vesting on</w:t>
            </w:r>
          </w:p>
        </w:tc>
      </w:tr>
      <w:tr>
        <w:trPr>
          <w:trHeight w:val="204"/>
        </w:trPr>
        <w:tc>
          <w:tcPr>
            <w:tcW w:w="4320" w:type="dxa"/>
            <w:vAlign w:val="bottom"/>
          </w:tcPr>
          <w:p>
            <w:pPr>
              <w:ind w:left="40"/>
              <w:spacing w:after="0"/>
              <w:rPr>
                <w:sz w:val="20"/>
                <w:szCs w:val="20"/>
                <w:color w:val="auto"/>
              </w:rPr>
            </w:pPr>
            <w:r>
              <w:rPr>
                <w:rFonts w:ascii="Arial" w:cs="Arial" w:eastAsia="Arial" w:hAnsi="Arial"/>
                <w:sz w:val="15"/>
                <w:szCs w:val="15"/>
                <w:b w:val="1"/>
                <w:bCs w:val="1"/>
                <w:color w:val="125288"/>
              </w:rPr>
              <w:t>OI (actual vs. 3YP)</w:t>
            </w:r>
          </w:p>
        </w:tc>
        <w:tc>
          <w:tcPr>
            <w:tcW w:w="6940" w:type="dxa"/>
            <w:vAlign w:val="bottom"/>
          </w:tcPr>
          <w:p>
            <w:pPr>
              <w:ind w:left="2600"/>
              <w:spacing w:after="0"/>
              <w:rPr>
                <w:sz w:val="20"/>
                <w:szCs w:val="20"/>
                <w:color w:val="auto"/>
              </w:rPr>
            </w:pPr>
            <w:r>
              <w:rPr>
                <w:rFonts w:ascii="Arial" w:cs="Arial" w:eastAsia="Arial" w:hAnsi="Arial"/>
                <w:sz w:val="15"/>
                <w:szCs w:val="15"/>
                <w:b w:val="1"/>
                <w:bCs w:val="1"/>
                <w:color w:val="125288"/>
              </w:rPr>
              <w:t>March 30, 2025</w:t>
            </w:r>
          </w:p>
        </w:tc>
      </w:tr>
      <w:tr>
        <w:trPr>
          <w:trHeight w:val="41"/>
        </w:trPr>
        <w:tc>
          <w:tcPr>
            <w:tcW w:w="4320" w:type="dxa"/>
            <w:vAlign w:val="bottom"/>
            <w:tcBorders>
              <w:bottom w:val="single" w:sz="8" w:color="125288"/>
            </w:tcBorders>
          </w:tcPr>
          <w:p>
            <w:pPr>
              <w:spacing w:after="0"/>
              <w:rPr>
                <w:sz w:val="3"/>
                <w:szCs w:val="3"/>
                <w:color w:val="auto"/>
              </w:rPr>
            </w:pPr>
          </w:p>
        </w:tc>
        <w:tc>
          <w:tcPr>
            <w:tcW w:w="6940" w:type="dxa"/>
            <w:vAlign w:val="bottom"/>
            <w:tcBorders>
              <w:bottom w:val="single" w:sz="8" w:color="125288"/>
            </w:tcBorders>
          </w:tcPr>
          <w:p>
            <w:pPr>
              <w:spacing w:after="0"/>
              <w:rPr>
                <w:sz w:val="3"/>
                <w:szCs w:val="3"/>
                <w:color w:val="auto"/>
              </w:rPr>
            </w:pPr>
          </w:p>
        </w:tc>
      </w:tr>
      <w:tr>
        <w:trPr>
          <w:trHeight w:val="228"/>
        </w:trPr>
        <w:tc>
          <w:tcPr>
            <w:tcW w:w="4320" w:type="dxa"/>
            <w:vAlign w:val="bottom"/>
          </w:tcPr>
          <w:p>
            <w:pPr>
              <w:ind w:left="40"/>
              <w:spacing w:after="0"/>
              <w:rPr>
                <w:sz w:val="20"/>
                <w:szCs w:val="20"/>
                <w:color w:val="auto"/>
              </w:rPr>
            </w:pPr>
            <w:r>
              <w:rPr>
                <w:rFonts w:ascii="Arial" w:cs="Arial" w:eastAsia="Arial" w:hAnsi="Arial"/>
                <w:sz w:val="15"/>
                <w:szCs w:val="15"/>
                <w:color w:val="auto"/>
              </w:rPr>
              <w:t>&lt;</w:t>
            </w:r>
            <w:r>
              <w:rPr>
                <w:rFonts w:ascii="Arial" w:cs="Arial" w:eastAsia="Arial" w:hAnsi="Arial"/>
                <w:sz w:val="16"/>
                <w:szCs w:val="16"/>
                <w:color w:val="auto"/>
              </w:rPr>
              <w:t>90%</w:t>
            </w:r>
          </w:p>
        </w:tc>
        <w:tc>
          <w:tcPr>
            <w:tcW w:w="6940" w:type="dxa"/>
            <w:vAlign w:val="bottom"/>
          </w:tcPr>
          <w:p>
            <w:pPr>
              <w:ind w:left="2600"/>
              <w:spacing w:after="0"/>
              <w:rPr>
                <w:sz w:val="20"/>
                <w:szCs w:val="20"/>
                <w:color w:val="auto"/>
              </w:rPr>
            </w:pPr>
            <w:r>
              <w:rPr>
                <w:rFonts w:ascii="Arial" w:cs="Arial" w:eastAsia="Arial" w:hAnsi="Arial"/>
                <w:sz w:val="17"/>
                <w:szCs w:val="17"/>
                <w:color w:val="auto"/>
              </w:rPr>
              <w:t>0%</w:t>
            </w:r>
          </w:p>
        </w:tc>
      </w:tr>
      <w:tr>
        <w:trPr>
          <w:trHeight w:val="37"/>
        </w:trPr>
        <w:tc>
          <w:tcPr>
            <w:tcW w:w="4320" w:type="dxa"/>
            <w:vAlign w:val="bottom"/>
            <w:tcBorders>
              <w:bottom w:val="single" w:sz="8" w:color="125288"/>
            </w:tcBorders>
          </w:tcPr>
          <w:p>
            <w:pPr>
              <w:spacing w:after="0"/>
              <w:rPr>
                <w:sz w:val="3"/>
                <w:szCs w:val="3"/>
                <w:color w:val="auto"/>
              </w:rPr>
            </w:pPr>
          </w:p>
        </w:tc>
        <w:tc>
          <w:tcPr>
            <w:tcW w:w="6940" w:type="dxa"/>
            <w:vAlign w:val="bottom"/>
            <w:tcBorders>
              <w:bottom w:val="single" w:sz="8" w:color="125288"/>
            </w:tcBorders>
          </w:tcPr>
          <w:p>
            <w:pPr>
              <w:spacing w:after="0"/>
              <w:rPr>
                <w:sz w:val="3"/>
                <w:szCs w:val="3"/>
                <w:color w:val="auto"/>
              </w:rPr>
            </w:pPr>
          </w:p>
        </w:tc>
      </w:tr>
      <w:tr>
        <w:trPr>
          <w:trHeight w:val="228"/>
        </w:trPr>
        <w:tc>
          <w:tcPr>
            <w:tcW w:w="4320" w:type="dxa"/>
            <w:vAlign w:val="bottom"/>
          </w:tcPr>
          <w:p>
            <w:pPr>
              <w:ind w:left="40"/>
              <w:spacing w:after="0"/>
              <w:rPr>
                <w:sz w:val="20"/>
                <w:szCs w:val="20"/>
                <w:color w:val="auto"/>
              </w:rPr>
            </w:pPr>
            <w:r>
              <w:rPr>
                <w:rFonts w:ascii="Arial" w:cs="Arial" w:eastAsia="Arial" w:hAnsi="Arial"/>
                <w:sz w:val="17"/>
                <w:szCs w:val="17"/>
                <w:color w:val="auto"/>
              </w:rPr>
              <w:t>90%</w:t>
            </w:r>
          </w:p>
        </w:tc>
        <w:tc>
          <w:tcPr>
            <w:tcW w:w="6940" w:type="dxa"/>
            <w:vAlign w:val="bottom"/>
          </w:tcPr>
          <w:p>
            <w:pPr>
              <w:ind w:left="2600"/>
              <w:spacing w:after="0"/>
              <w:rPr>
                <w:sz w:val="20"/>
                <w:szCs w:val="20"/>
                <w:color w:val="auto"/>
              </w:rPr>
            </w:pPr>
            <w:r>
              <w:rPr>
                <w:rFonts w:ascii="Arial" w:cs="Arial" w:eastAsia="Arial" w:hAnsi="Arial"/>
                <w:sz w:val="17"/>
                <w:szCs w:val="17"/>
                <w:color w:val="auto"/>
              </w:rPr>
              <w:t>50% of target of 14,656*</w:t>
            </w:r>
          </w:p>
        </w:tc>
      </w:tr>
      <w:tr>
        <w:trPr>
          <w:trHeight w:val="37"/>
        </w:trPr>
        <w:tc>
          <w:tcPr>
            <w:tcW w:w="4320" w:type="dxa"/>
            <w:vAlign w:val="bottom"/>
            <w:tcBorders>
              <w:bottom w:val="single" w:sz="8" w:color="125288"/>
            </w:tcBorders>
          </w:tcPr>
          <w:p>
            <w:pPr>
              <w:spacing w:after="0"/>
              <w:rPr>
                <w:sz w:val="3"/>
                <w:szCs w:val="3"/>
                <w:color w:val="auto"/>
              </w:rPr>
            </w:pPr>
          </w:p>
        </w:tc>
        <w:tc>
          <w:tcPr>
            <w:tcW w:w="6940" w:type="dxa"/>
            <w:vAlign w:val="bottom"/>
            <w:tcBorders>
              <w:bottom w:val="single" w:sz="8" w:color="125288"/>
            </w:tcBorders>
          </w:tcPr>
          <w:p>
            <w:pPr>
              <w:spacing w:after="0"/>
              <w:rPr>
                <w:sz w:val="3"/>
                <w:szCs w:val="3"/>
                <w:color w:val="auto"/>
              </w:rPr>
            </w:pPr>
          </w:p>
        </w:tc>
      </w:tr>
      <w:tr>
        <w:trPr>
          <w:trHeight w:val="228"/>
        </w:trPr>
        <w:tc>
          <w:tcPr>
            <w:tcW w:w="4320" w:type="dxa"/>
            <w:vAlign w:val="bottom"/>
          </w:tcPr>
          <w:p>
            <w:pPr>
              <w:ind w:left="40"/>
              <w:spacing w:after="0"/>
              <w:rPr>
                <w:sz w:val="20"/>
                <w:szCs w:val="20"/>
                <w:color w:val="auto"/>
              </w:rPr>
            </w:pPr>
            <w:r>
              <w:rPr>
                <w:rFonts w:ascii="Arial" w:cs="Arial" w:eastAsia="Arial" w:hAnsi="Arial"/>
                <w:sz w:val="17"/>
                <w:szCs w:val="17"/>
                <w:color w:val="auto"/>
              </w:rPr>
              <w:t>100%</w:t>
            </w:r>
          </w:p>
        </w:tc>
        <w:tc>
          <w:tcPr>
            <w:tcW w:w="6940" w:type="dxa"/>
            <w:vAlign w:val="bottom"/>
          </w:tcPr>
          <w:p>
            <w:pPr>
              <w:ind w:left="2600"/>
              <w:spacing w:after="0"/>
              <w:rPr>
                <w:sz w:val="20"/>
                <w:szCs w:val="20"/>
                <w:color w:val="auto"/>
              </w:rPr>
            </w:pPr>
            <w:r>
              <w:rPr>
                <w:rFonts w:ascii="Arial" w:cs="Arial" w:eastAsia="Arial" w:hAnsi="Arial"/>
                <w:sz w:val="17"/>
                <w:szCs w:val="17"/>
                <w:color w:val="auto"/>
              </w:rPr>
              <w:t>100% of target of 14,656*</w:t>
            </w:r>
          </w:p>
        </w:tc>
      </w:tr>
      <w:tr>
        <w:trPr>
          <w:trHeight w:val="37"/>
        </w:trPr>
        <w:tc>
          <w:tcPr>
            <w:tcW w:w="4320" w:type="dxa"/>
            <w:vAlign w:val="bottom"/>
            <w:tcBorders>
              <w:bottom w:val="single" w:sz="8" w:color="125288"/>
            </w:tcBorders>
          </w:tcPr>
          <w:p>
            <w:pPr>
              <w:spacing w:after="0"/>
              <w:rPr>
                <w:sz w:val="3"/>
                <w:szCs w:val="3"/>
                <w:color w:val="auto"/>
              </w:rPr>
            </w:pPr>
          </w:p>
        </w:tc>
        <w:tc>
          <w:tcPr>
            <w:tcW w:w="6940" w:type="dxa"/>
            <w:vAlign w:val="bottom"/>
            <w:tcBorders>
              <w:bottom w:val="single" w:sz="8" w:color="125288"/>
            </w:tcBorders>
          </w:tcPr>
          <w:p>
            <w:pPr>
              <w:spacing w:after="0"/>
              <w:rPr>
                <w:sz w:val="3"/>
                <w:szCs w:val="3"/>
                <w:color w:val="auto"/>
              </w:rPr>
            </w:pPr>
          </w:p>
        </w:tc>
      </w:tr>
      <w:tr>
        <w:trPr>
          <w:trHeight w:val="228"/>
        </w:trPr>
        <w:tc>
          <w:tcPr>
            <w:tcW w:w="4320" w:type="dxa"/>
            <w:vAlign w:val="bottom"/>
          </w:tcPr>
          <w:p>
            <w:pPr>
              <w:ind w:left="4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125%</w:t>
            </w:r>
          </w:p>
        </w:tc>
        <w:tc>
          <w:tcPr>
            <w:tcW w:w="6940" w:type="dxa"/>
            <w:vAlign w:val="bottom"/>
          </w:tcPr>
          <w:p>
            <w:pPr>
              <w:ind w:left="2600"/>
              <w:spacing w:after="0"/>
              <w:rPr>
                <w:sz w:val="20"/>
                <w:szCs w:val="20"/>
                <w:color w:val="auto"/>
              </w:rPr>
            </w:pPr>
            <w:r>
              <w:rPr>
                <w:rFonts w:ascii="Arial" w:cs="Arial" w:eastAsia="Arial" w:hAnsi="Arial"/>
                <w:sz w:val="17"/>
                <w:szCs w:val="17"/>
                <w:color w:val="auto"/>
              </w:rPr>
              <w:t>125% of target of 14,656</w:t>
            </w:r>
          </w:p>
        </w:tc>
      </w:tr>
      <w:tr>
        <w:trPr>
          <w:trHeight w:val="37"/>
        </w:trPr>
        <w:tc>
          <w:tcPr>
            <w:tcW w:w="4320" w:type="dxa"/>
            <w:vAlign w:val="bottom"/>
            <w:tcBorders>
              <w:bottom w:val="single" w:sz="8" w:color="125288"/>
            </w:tcBorders>
          </w:tcPr>
          <w:p>
            <w:pPr>
              <w:spacing w:after="0"/>
              <w:rPr>
                <w:sz w:val="3"/>
                <w:szCs w:val="3"/>
                <w:color w:val="auto"/>
              </w:rPr>
            </w:pPr>
          </w:p>
        </w:tc>
        <w:tc>
          <w:tcPr>
            <w:tcW w:w="6940" w:type="dxa"/>
            <w:vAlign w:val="bottom"/>
            <w:tcBorders>
              <w:bottom w:val="single" w:sz="8" w:color="125288"/>
            </w:tcBorders>
          </w:tcPr>
          <w:p>
            <w:pPr>
              <w:spacing w:after="0"/>
              <w:rPr>
                <w:sz w:val="3"/>
                <w:szCs w:val="3"/>
                <w:color w:val="auto"/>
              </w:rPr>
            </w:pPr>
          </w:p>
        </w:tc>
      </w:tr>
      <w:tr>
        <w:trPr>
          <w:trHeight w:val="236"/>
        </w:trPr>
        <w:tc>
          <w:tcPr>
            <w:tcW w:w="4320" w:type="dxa"/>
            <w:vAlign w:val="bottom"/>
          </w:tcPr>
          <w:p>
            <w:pPr>
              <w:ind w:left="40"/>
              <w:spacing w:after="0"/>
              <w:rPr>
                <w:sz w:val="20"/>
                <w:szCs w:val="20"/>
                <w:color w:val="auto"/>
              </w:rPr>
            </w:pPr>
            <w:r>
              <w:rPr>
                <w:rFonts w:ascii="Arial" w:cs="Arial" w:eastAsia="Arial" w:hAnsi="Arial"/>
                <w:sz w:val="15"/>
                <w:szCs w:val="15"/>
                <w:color w:val="auto"/>
              </w:rPr>
              <w:t>*  If actual performance</w:t>
            </w:r>
          </w:p>
        </w:tc>
        <w:tc>
          <w:tcPr>
            <w:tcW w:w="6940" w:type="dxa"/>
            <w:vAlign w:val="bottom"/>
          </w:tcPr>
          <w:p>
            <w:pPr>
              <w:spacing w:after="0"/>
              <w:rPr>
                <w:sz w:val="20"/>
                <w:szCs w:val="20"/>
                <w:color w:val="auto"/>
              </w:rPr>
            </w:pPr>
          </w:p>
        </w:tc>
      </w:tr>
    </w:tbl>
    <w:p>
      <w:pPr>
        <w:spacing w:after="0" w:line="198"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Please see “—Grants of Plan-Based Awards for 2021” and “—Outstanding Equity Awards at December 31, 2021” above for more information about these PSUs.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125288"/>
        </w:rPr>
        <w:t>Other Benefits</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9"/>
          <w:szCs w:val="19"/>
          <w:color w:val="auto"/>
        </w:rPr>
        <w:t>Mr. Dixton is entitled to participate in all benefit plans generally available to our executive officers, and we are required to maintain a $2 million supplemental term life insurance policy for the benefit of his estate throughout the term of Mr. Dixton’s employment under the Dixton Employment Agreement.</w:t>
      </w:r>
    </w:p>
    <w:p>
      <w:pPr>
        <w:spacing w:after="0" w:line="260" w:lineRule="exact"/>
        <w:rPr>
          <w:sz w:val="20"/>
          <w:szCs w:val="20"/>
          <w:color w:val="auto"/>
        </w:rPr>
      </w:pPr>
    </w:p>
    <w:p>
      <w:pPr>
        <w:jc w:val="both"/>
        <w:spacing w:after="0"/>
        <w:rPr>
          <w:sz w:val="20"/>
          <w:szCs w:val="20"/>
          <w:color w:val="auto"/>
        </w:rPr>
      </w:pPr>
      <w:r>
        <w:rPr>
          <w:rFonts w:ascii="Arial" w:cs="Arial" w:eastAsia="Arial" w:hAnsi="Arial"/>
          <w:sz w:val="19"/>
          <w:szCs w:val="19"/>
          <w:color w:val="auto"/>
        </w:rPr>
        <w:t>He also received certain relocation assistance. He will have to repay that assistance if his employment is terminated for any reason other than by us without cause, by him for good reason, or due to his death or disability, before the first anniversary of the effective date of the Dixton Employment Agreement (i.e., before June 14, 2022).</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125288"/>
        </w:rPr>
        <w:t>Restrictive Covenants</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Until the second anniversary of the termination of his employment, Mr. Dixton is restricted from soliciting the employment of anyone then employed or otherwise engaged by the Company. In addition, Mr. Dixton is prohibited from disclosing or using our confidential or proprietary information during his employment, except as required in the course of his employment, and at all times following the termination of his employment. Mr. Dixton is also not permitted to seek or negotiate for other employment before the final six months of the term of his employment under the Dixton Employment Agreement. Finally, Mr. Dixton is prohibited from competing with us or any of our subsidiaries during the term of his employment under the Dixton Employment Agreement and is restricted from inducing any of our business partners to terminate or alter their relationship with us while he is our employee.</w:t>
      </w:r>
    </w:p>
    <w:p>
      <w:pPr>
        <w:spacing w:after="0" w:line="250" w:lineRule="exact"/>
        <w:rPr>
          <w:sz w:val="20"/>
          <w:szCs w:val="20"/>
          <w:color w:val="auto"/>
        </w:rPr>
      </w:pPr>
    </w:p>
    <w:p>
      <w:pPr>
        <w:spacing w:after="0"/>
        <w:tabs>
          <w:tab w:leader="none" w:pos="7360" w:val="left"/>
          <w:tab w:leader="none" w:pos="9380" w:val="left"/>
          <w:tab w:leader="none" w:pos="1100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20" w:name="page121"/>
    <w:bookmarkEnd w:id="120"/>
    <w:p>
      <w:pPr>
        <w:ind w:left="5"/>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10" w:lineRule="exact"/>
        <w:rPr>
          <w:sz w:val="20"/>
          <w:szCs w:val="20"/>
          <w:color w:val="auto"/>
        </w:rPr>
      </w:pPr>
    </w:p>
    <w:p>
      <w:pPr>
        <w:ind w:left="5"/>
        <w:spacing w:after="0"/>
        <w:rPr>
          <w:sz w:val="20"/>
          <w:szCs w:val="20"/>
          <w:color w:val="auto"/>
        </w:rPr>
      </w:pPr>
      <w:r>
        <w:rPr>
          <w:rFonts w:ascii="Arial" w:cs="Arial" w:eastAsia="Arial" w:hAnsi="Arial"/>
          <w:sz w:val="26"/>
          <w:szCs w:val="26"/>
          <w:b w:val="1"/>
          <w:bCs w:val="1"/>
          <w:color w:val="auto"/>
        </w:rPr>
        <w:t>POTENTIAL PAYMENTS UPON TERMINATION OR CHANGE OF CONTROL</w:t>
      </w:r>
    </w:p>
    <w:p>
      <w:pPr>
        <w:spacing w:after="0" w:line="178" w:lineRule="exact"/>
        <w:rPr>
          <w:sz w:val="20"/>
          <w:szCs w:val="20"/>
          <w:color w:val="auto"/>
        </w:rPr>
      </w:pPr>
    </w:p>
    <w:p>
      <w:pPr>
        <w:jc w:val="both"/>
        <w:ind w:left="5"/>
        <w:spacing w:after="0" w:line="238" w:lineRule="auto"/>
        <w:rPr>
          <w:sz w:val="20"/>
          <w:szCs w:val="20"/>
          <w:color w:val="auto"/>
        </w:rPr>
      </w:pPr>
      <w:r>
        <w:rPr>
          <w:rFonts w:ascii="Arial" w:cs="Arial" w:eastAsia="Arial" w:hAnsi="Arial"/>
          <w:sz w:val="19"/>
          <w:szCs w:val="19"/>
          <w:color w:val="auto"/>
        </w:rPr>
        <w:t>The tables below outline the potential payments to our NEOs upon the occurrence of certain termination events or a change of control, assuming that each of these events occurred on December 31, 2021. Amounts shown do not include earned but unpaid salary, accrued but unused vacation, unreimbursed business expenses, and any amounts then due under our benefit plans, programs, or policies (collectively, “accrued obligations”). Mr. Durkin is excluded from the tables below, as his employment ended on May 31, 2021, and he did not receive any payments or other benefits in connection with his retirement.</w:t>
      </w:r>
    </w:p>
    <w:p>
      <w:pPr>
        <w:spacing w:after="0" w:line="224" w:lineRule="exact"/>
        <w:rPr>
          <w:sz w:val="20"/>
          <w:szCs w:val="20"/>
          <w:color w:val="auto"/>
        </w:rPr>
      </w:pPr>
    </w:p>
    <w:p>
      <w:pPr>
        <w:jc w:val="both"/>
        <w:ind w:left="5"/>
        <w:spacing w:after="0"/>
        <w:rPr>
          <w:sz w:val="20"/>
          <w:szCs w:val="20"/>
          <w:color w:val="auto"/>
        </w:rPr>
      </w:pPr>
      <w:r>
        <w:rPr>
          <w:rFonts w:ascii="Arial" w:cs="Arial" w:eastAsia="Arial" w:hAnsi="Arial"/>
          <w:sz w:val="19"/>
          <w:szCs w:val="19"/>
          <w:color w:val="auto"/>
        </w:rPr>
        <w:t>As described below (see “—Enhanced Severance Plan”), in connection with the proposed Microsoft transaction, in March 2022, the Company approved the key terms of an enhanced severance plan, which provides enhanced severance benefits to some of our NEOs, in the event their employment is terminated under certain circumstances in connection with the proposed Microsoft transaction.</w:t>
      </w:r>
    </w:p>
    <w:p>
      <w:pPr>
        <w:spacing w:after="0" w:line="200" w:lineRule="exact"/>
        <w:rPr>
          <w:sz w:val="20"/>
          <w:szCs w:val="20"/>
          <w:color w:val="auto"/>
        </w:rPr>
      </w:pPr>
    </w:p>
    <w:p>
      <w:pPr>
        <w:spacing w:after="0" w:line="213" w:lineRule="exact"/>
        <w:rPr>
          <w:sz w:val="20"/>
          <w:szCs w:val="20"/>
          <w:color w:val="auto"/>
        </w:rPr>
      </w:pPr>
    </w:p>
    <w:p>
      <w:pPr>
        <w:ind w:left="5"/>
        <w:spacing w:after="0"/>
        <w:rPr>
          <w:sz w:val="20"/>
          <w:szCs w:val="20"/>
          <w:color w:val="auto"/>
        </w:rPr>
      </w:pPr>
      <w:r>
        <w:rPr>
          <w:rFonts w:ascii="Arial" w:cs="Arial" w:eastAsia="Arial" w:hAnsi="Arial"/>
          <w:sz w:val="24"/>
          <w:szCs w:val="24"/>
          <w:b w:val="1"/>
          <w:bCs w:val="1"/>
          <w:color w:val="auto"/>
        </w:rPr>
        <w:t>Potential Payments upon Termination or Change of Control to Robert Kotick</w:t>
      </w:r>
    </w:p>
    <w:p>
      <w:pPr>
        <w:spacing w:after="0" w:line="156" w:lineRule="exact"/>
        <w:rPr>
          <w:sz w:val="20"/>
          <w:szCs w:val="20"/>
          <w:color w:val="auto"/>
        </w:rPr>
      </w:pPr>
    </w:p>
    <w:tbl>
      <w:tblPr>
        <w:tblLayout w:type="fixed"/>
        <w:tblInd w:w="5" w:type="dxa"/>
        <w:tblCellMar>
          <w:top w:w="0" w:type="dxa"/>
          <w:left w:w="0" w:type="dxa"/>
          <w:bottom w:w="0" w:type="dxa"/>
          <w:right w:w="0" w:type="dxa"/>
        </w:tblCellMar>
      </w:tblPr>
      <w:tr>
        <w:trPr>
          <w:trHeight w:val="204"/>
        </w:trPr>
        <w:tc>
          <w:tcPr>
            <w:tcW w:w="33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60" w:type="dxa"/>
            <w:vAlign w:val="bottom"/>
          </w:tcPr>
          <w:p>
            <w:pPr>
              <w:jc w:val="right"/>
              <w:ind w:right="21"/>
              <w:spacing w:after="0"/>
              <w:rPr>
                <w:sz w:val="20"/>
                <w:szCs w:val="20"/>
                <w:color w:val="auto"/>
              </w:rPr>
            </w:pPr>
            <w:r>
              <w:rPr>
                <w:rFonts w:ascii="Arial" w:cs="Arial" w:eastAsia="Arial" w:hAnsi="Arial"/>
                <w:sz w:val="15"/>
                <w:szCs w:val="15"/>
                <w:b w:val="1"/>
                <w:bCs w:val="1"/>
                <w:color w:val="125288"/>
              </w:rPr>
              <w:t>Termination</w:t>
            </w:r>
          </w:p>
        </w:tc>
      </w:tr>
      <w:tr>
        <w:trPr>
          <w:trHeight w:val="214"/>
        </w:trPr>
        <w:tc>
          <w:tcPr>
            <w:tcW w:w="3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5"/>
                <w:szCs w:val="15"/>
                <w:b w:val="1"/>
                <w:bCs w:val="1"/>
                <w:color w:val="125288"/>
              </w:rPr>
              <w:t>by Activision</w:t>
            </w:r>
          </w:p>
        </w:tc>
      </w:tr>
      <w:tr>
        <w:trPr>
          <w:trHeight w:val="214"/>
        </w:trPr>
        <w:tc>
          <w:tcPr>
            <w:tcW w:w="3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60" w:type="dxa"/>
            <w:vAlign w:val="bottom"/>
          </w:tcPr>
          <w:p>
            <w:pPr>
              <w:jc w:val="right"/>
              <w:ind w:right="21"/>
              <w:spacing w:after="0"/>
              <w:rPr>
                <w:sz w:val="20"/>
                <w:szCs w:val="20"/>
                <w:color w:val="auto"/>
              </w:rPr>
            </w:pPr>
            <w:r>
              <w:rPr>
                <w:rFonts w:ascii="Arial" w:cs="Arial" w:eastAsia="Arial" w:hAnsi="Arial"/>
                <w:sz w:val="15"/>
                <w:szCs w:val="15"/>
                <w:b w:val="1"/>
                <w:bCs w:val="1"/>
                <w:color w:val="125288"/>
              </w:rPr>
              <w:t>Blizzard</w:t>
            </w:r>
          </w:p>
        </w:tc>
      </w:tr>
      <w:tr>
        <w:trPr>
          <w:trHeight w:val="214"/>
        </w:trPr>
        <w:tc>
          <w:tcPr>
            <w:tcW w:w="3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80" w:type="dxa"/>
            <w:vAlign w:val="bottom"/>
          </w:tcPr>
          <w:p>
            <w:pPr>
              <w:jc w:val="right"/>
              <w:ind w:right="120"/>
              <w:spacing w:after="0"/>
              <w:rPr>
                <w:sz w:val="20"/>
                <w:szCs w:val="20"/>
                <w:color w:val="auto"/>
              </w:rPr>
            </w:pPr>
            <w:r>
              <w:rPr>
                <w:rFonts w:ascii="Arial" w:cs="Arial" w:eastAsia="Arial" w:hAnsi="Arial"/>
                <w:sz w:val="15"/>
                <w:szCs w:val="15"/>
                <w:b w:val="1"/>
                <w:bCs w:val="1"/>
                <w:color w:val="125288"/>
              </w:rPr>
              <w:t>Termination</w:t>
            </w:r>
          </w:p>
        </w:tc>
        <w:tc>
          <w:tcPr>
            <w:tcW w:w="1460" w:type="dxa"/>
            <w:vAlign w:val="bottom"/>
          </w:tcPr>
          <w:p>
            <w:pPr>
              <w:jc w:val="right"/>
              <w:ind w:right="21"/>
              <w:spacing w:after="0"/>
              <w:rPr>
                <w:sz w:val="20"/>
                <w:szCs w:val="20"/>
                <w:color w:val="auto"/>
              </w:rPr>
            </w:pPr>
            <w:r>
              <w:rPr>
                <w:rFonts w:ascii="Arial" w:cs="Arial" w:eastAsia="Arial" w:hAnsi="Arial"/>
                <w:sz w:val="15"/>
                <w:szCs w:val="15"/>
                <w:b w:val="1"/>
                <w:bCs w:val="1"/>
                <w:color w:val="125288"/>
              </w:rPr>
              <w:t>Without Cause</w:t>
            </w:r>
          </w:p>
        </w:tc>
      </w:tr>
      <w:tr>
        <w:trPr>
          <w:trHeight w:val="214"/>
        </w:trPr>
        <w:tc>
          <w:tcPr>
            <w:tcW w:w="3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80" w:type="dxa"/>
            <w:vAlign w:val="bottom"/>
          </w:tcPr>
          <w:p>
            <w:pPr>
              <w:jc w:val="right"/>
              <w:ind w:right="120"/>
              <w:spacing w:after="0"/>
              <w:rPr>
                <w:sz w:val="20"/>
                <w:szCs w:val="20"/>
                <w:color w:val="auto"/>
              </w:rPr>
            </w:pPr>
            <w:r>
              <w:rPr>
                <w:rFonts w:ascii="Arial" w:cs="Arial" w:eastAsia="Arial" w:hAnsi="Arial"/>
                <w:sz w:val="15"/>
                <w:szCs w:val="15"/>
                <w:b w:val="1"/>
                <w:bCs w:val="1"/>
                <w:color w:val="125288"/>
              </w:rPr>
              <w:t>by Activision</w:t>
            </w:r>
          </w:p>
        </w:tc>
        <w:tc>
          <w:tcPr>
            <w:tcW w:w="1460" w:type="dxa"/>
            <w:vAlign w:val="bottom"/>
          </w:tcPr>
          <w:p>
            <w:pPr>
              <w:jc w:val="right"/>
              <w:ind w:right="21"/>
              <w:spacing w:after="0"/>
              <w:rPr>
                <w:sz w:val="20"/>
                <w:szCs w:val="20"/>
                <w:color w:val="auto"/>
              </w:rPr>
            </w:pPr>
            <w:r>
              <w:rPr>
                <w:rFonts w:ascii="Arial" w:cs="Arial" w:eastAsia="Arial" w:hAnsi="Arial"/>
                <w:sz w:val="15"/>
                <w:szCs w:val="15"/>
                <w:b w:val="1"/>
                <w:bCs w:val="1"/>
                <w:color w:val="125288"/>
              </w:rPr>
              <w:t>or Termination</w:t>
            </w:r>
          </w:p>
        </w:tc>
      </w:tr>
      <w:tr>
        <w:trPr>
          <w:trHeight w:val="214"/>
        </w:trPr>
        <w:tc>
          <w:tcPr>
            <w:tcW w:w="3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80" w:type="dxa"/>
            <w:vAlign w:val="bottom"/>
          </w:tcPr>
          <w:p>
            <w:pPr>
              <w:jc w:val="right"/>
              <w:ind w:right="120"/>
              <w:spacing w:after="0"/>
              <w:rPr>
                <w:sz w:val="20"/>
                <w:szCs w:val="20"/>
                <w:color w:val="auto"/>
              </w:rPr>
            </w:pPr>
            <w:r>
              <w:rPr>
                <w:rFonts w:ascii="Arial" w:cs="Arial" w:eastAsia="Arial" w:hAnsi="Arial"/>
                <w:sz w:val="15"/>
                <w:szCs w:val="15"/>
                <w:b w:val="1"/>
                <w:bCs w:val="1"/>
                <w:color w:val="125288"/>
              </w:rPr>
              <w:t>Blizzard</w:t>
            </w:r>
          </w:p>
        </w:tc>
        <w:tc>
          <w:tcPr>
            <w:tcW w:w="1460" w:type="dxa"/>
            <w:vAlign w:val="bottom"/>
          </w:tcPr>
          <w:p>
            <w:pPr>
              <w:jc w:val="right"/>
              <w:ind w:right="21"/>
              <w:spacing w:after="0"/>
              <w:rPr>
                <w:sz w:val="20"/>
                <w:szCs w:val="20"/>
                <w:color w:val="auto"/>
              </w:rPr>
            </w:pPr>
            <w:r>
              <w:rPr>
                <w:rFonts w:ascii="Arial" w:cs="Arial" w:eastAsia="Arial" w:hAnsi="Arial"/>
                <w:sz w:val="15"/>
                <w:szCs w:val="15"/>
                <w:b w:val="1"/>
                <w:bCs w:val="1"/>
                <w:color w:val="125288"/>
              </w:rPr>
              <w:t>by Employee</w:t>
            </w:r>
          </w:p>
        </w:tc>
      </w:tr>
      <w:tr>
        <w:trPr>
          <w:trHeight w:val="214"/>
        </w:trPr>
        <w:tc>
          <w:tcPr>
            <w:tcW w:w="3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00" w:type="dxa"/>
            <w:vAlign w:val="bottom"/>
          </w:tcPr>
          <w:p>
            <w:pPr>
              <w:jc w:val="right"/>
              <w:ind w:right="120"/>
              <w:spacing w:after="0"/>
              <w:rPr>
                <w:sz w:val="20"/>
                <w:szCs w:val="20"/>
                <w:color w:val="auto"/>
              </w:rPr>
            </w:pPr>
            <w:r>
              <w:rPr>
                <w:rFonts w:ascii="Arial" w:cs="Arial" w:eastAsia="Arial" w:hAnsi="Arial"/>
                <w:sz w:val="15"/>
                <w:szCs w:val="15"/>
                <w:b w:val="1"/>
                <w:bCs w:val="1"/>
                <w:color w:val="125288"/>
              </w:rPr>
              <w:t>Termination</w:t>
            </w:r>
          </w:p>
        </w:tc>
        <w:tc>
          <w:tcPr>
            <w:tcW w:w="1680" w:type="dxa"/>
            <w:vAlign w:val="bottom"/>
          </w:tcPr>
          <w:p>
            <w:pPr>
              <w:jc w:val="right"/>
              <w:ind w:right="120"/>
              <w:spacing w:after="0"/>
              <w:rPr>
                <w:sz w:val="20"/>
                <w:szCs w:val="20"/>
                <w:color w:val="auto"/>
              </w:rPr>
            </w:pPr>
            <w:r>
              <w:rPr>
                <w:rFonts w:ascii="Arial" w:cs="Arial" w:eastAsia="Arial" w:hAnsi="Arial"/>
                <w:sz w:val="15"/>
                <w:szCs w:val="15"/>
                <w:b w:val="1"/>
                <w:bCs w:val="1"/>
                <w:color w:val="125288"/>
              </w:rPr>
              <w:t>Without Cause</w:t>
            </w:r>
          </w:p>
        </w:tc>
        <w:tc>
          <w:tcPr>
            <w:tcW w:w="1460" w:type="dxa"/>
            <w:vAlign w:val="bottom"/>
          </w:tcPr>
          <w:p>
            <w:pPr>
              <w:jc w:val="right"/>
              <w:spacing w:after="0"/>
              <w:rPr>
                <w:sz w:val="20"/>
                <w:szCs w:val="20"/>
                <w:color w:val="auto"/>
              </w:rPr>
            </w:pPr>
            <w:r>
              <w:rPr>
                <w:rFonts w:ascii="Arial" w:cs="Arial" w:eastAsia="Arial" w:hAnsi="Arial"/>
                <w:sz w:val="15"/>
                <w:szCs w:val="15"/>
                <w:b w:val="1"/>
                <w:bCs w:val="1"/>
                <w:color w:val="125288"/>
              </w:rPr>
              <w:t>for Good Reason</w:t>
            </w:r>
          </w:p>
        </w:tc>
      </w:tr>
      <w:tr>
        <w:trPr>
          <w:trHeight w:val="214"/>
        </w:trPr>
        <w:tc>
          <w:tcPr>
            <w:tcW w:w="3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00" w:type="dxa"/>
            <w:vAlign w:val="bottom"/>
          </w:tcPr>
          <w:p>
            <w:pPr>
              <w:jc w:val="right"/>
              <w:ind w:right="120"/>
              <w:spacing w:after="0"/>
              <w:rPr>
                <w:sz w:val="20"/>
                <w:szCs w:val="20"/>
                <w:color w:val="auto"/>
              </w:rPr>
            </w:pPr>
            <w:r>
              <w:rPr>
                <w:rFonts w:ascii="Arial" w:cs="Arial" w:eastAsia="Arial" w:hAnsi="Arial"/>
                <w:sz w:val="15"/>
                <w:szCs w:val="15"/>
                <w:b w:val="1"/>
                <w:bCs w:val="1"/>
                <w:color w:val="125288"/>
              </w:rPr>
              <w:t>by Activision</w:t>
            </w:r>
          </w:p>
        </w:tc>
        <w:tc>
          <w:tcPr>
            <w:tcW w:w="1680" w:type="dxa"/>
            <w:vAlign w:val="bottom"/>
          </w:tcPr>
          <w:p>
            <w:pPr>
              <w:jc w:val="right"/>
              <w:ind w:right="120"/>
              <w:spacing w:after="0"/>
              <w:rPr>
                <w:sz w:val="20"/>
                <w:szCs w:val="20"/>
                <w:color w:val="auto"/>
              </w:rPr>
            </w:pPr>
            <w:r>
              <w:rPr>
                <w:rFonts w:ascii="Arial" w:cs="Arial" w:eastAsia="Arial" w:hAnsi="Arial"/>
                <w:sz w:val="15"/>
                <w:szCs w:val="15"/>
                <w:b w:val="1"/>
                <w:bCs w:val="1"/>
                <w:color w:val="125288"/>
              </w:rPr>
              <w:t>or Termination</w:t>
            </w:r>
          </w:p>
        </w:tc>
        <w:tc>
          <w:tcPr>
            <w:tcW w:w="1460" w:type="dxa"/>
            <w:vAlign w:val="bottom"/>
          </w:tcPr>
          <w:p>
            <w:pPr>
              <w:jc w:val="right"/>
              <w:spacing w:after="0"/>
              <w:rPr>
                <w:sz w:val="20"/>
                <w:szCs w:val="20"/>
                <w:color w:val="auto"/>
              </w:rPr>
            </w:pPr>
            <w:r>
              <w:rPr>
                <w:rFonts w:ascii="Arial" w:cs="Arial" w:eastAsia="Arial" w:hAnsi="Arial"/>
                <w:sz w:val="15"/>
                <w:szCs w:val="15"/>
                <w:b w:val="1"/>
                <w:bCs w:val="1"/>
                <w:color w:val="125288"/>
              </w:rPr>
              <w:t>Following a</w:t>
            </w:r>
          </w:p>
        </w:tc>
      </w:tr>
      <w:tr>
        <w:trPr>
          <w:trHeight w:val="214"/>
        </w:trPr>
        <w:tc>
          <w:tcPr>
            <w:tcW w:w="3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00" w:type="dxa"/>
            <w:vAlign w:val="bottom"/>
          </w:tcPr>
          <w:p>
            <w:pPr>
              <w:jc w:val="right"/>
              <w:ind w:right="120"/>
              <w:spacing w:after="0"/>
              <w:rPr>
                <w:sz w:val="20"/>
                <w:szCs w:val="20"/>
                <w:color w:val="auto"/>
              </w:rPr>
            </w:pPr>
            <w:r>
              <w:rPr>
                <w:rFonts w:ascii="Arial" w:cs="Arial" w:eastAsia="Arial" w:hAnsi="Arial"/>
                <w:sz w:val="15"/>
                <w:szCs w:val="15"/>
                <w:b w:val="1"/>
                <w:bCs w:val="1"/>
                <w:color w:val="125288"/>
              </w:rPr>
              <w:t>Blizzard</w:t>
            </w:r>
          </w:p>
        </w:tc>
        <w:tc>
          <w:tcPr>
            <w:tcW w:w="1680" w:type="dxa"/>
            <w:vAlign w:val="bottom"/>
          </w:tcPr>
          <w:p>
            <w:pPr>
              <w:jc w:val="right"/>
              <w:ind w:right="120"/>
              <w:spacing w:after="0"/>
              <w:rPr>
                <w:sz w:val="20"/>
                <w:szCs w:val="20"/>
                <w:color w:val="auto"/>
              </w:rPr>
            </w:pPr>
            <w:r>
              <w:rPr>
                <w:rFonts w:ascii="Arial" w:cs="Arial" w:eastAsia="Arial" w:hAnsi="Arial"/>
                <w:sz w:val="15"/>
                <w:szCs w:val="15"/>
                <w:b w:val="1"/>
                <w:bCs w:val="1"/>
                <w:color w:val="125288"/>
              </w:rPr>
              <w:t>by Employee</w:t>
            </w:r>
          </w:p>
        </w:tc>
        <w:tc>
          <w:tcPr>
            <w:tcW w:w="1460" w:type="dxa"/>
            <w:vAlign w:val="bottom"/>
          </w:tcPr>
          <w:p>
            <w:pPr>
              <w:jc w:val="right"/>
              <w:spacing w:after="0"/>
              <w:rPr>
                <w:sz w:val="20"/>
                <w:szCs w:val="20"/>
                <w:color w:val="auto"/>
              </w:rPr>
            </w:pPr>
            <w:r>
              <w:rPr>
                <w:rFonts w:ascii="Arial" w:cs="Arial" w:eastAsia="Arial" w:hAnsi="Arial"/>
                <w:sz w:val="15"/>
                <w:szCs w:val="15"/>
                <w:b w:val="1"/>
                <w:bCs w:val="1"/>
                <w:color w:val="125288"/>
              </w:rPr>
              <w:t>Change of</w:t>
            </w:r>
          </w:p>
        </w:tc>
      </w:tr>
      <w:tr>
        <w:trPr>
          <w:trHeight w:val="224"/>
        </w:trPr>
        <w:tc>
          <w:tcPr>
            <w:tcW w:w="3360" w:type="dxa"/>
            <w:vAlign w:val="bottom"/>
          </w:tcPr>
          <w:p>
            <w:pPr>
              <w:spacing w:after="0"/>
              <w:rPr>
                <w:sz w:val="19"/>
                <w:szCs w:val="19"/>
                <w:color w:val="auto"/>
              </w:rPr>
            </w:pPr>
          </w:p>
        </w:tc>
        <w:tc>
          <w:tcPr>
            <w:tcW w:w="1740" w:type="dxa"/>
            <w:vAlign w:val="bottom"/>
          </w:tcPr>
          <w:p>
            <w:pPr>
              <w:jc w:val="right"/>
              <w:ind w:right="318"/>
              <w:spacing w:after="0"/>
              <w:rPr>
                <w:sz w:val="20"/>
                <w:szCs w:val="20"/>
                <w:color w:val="auto"/>
              </w:rPr>
            </w:pPr>
            <w:r>
              <w:rPr>
                <w:rFonts w:ascii="Arial" w:cs="Arial" w:eastAsia="Arial" w:hAnsi="Arial"/>
                <w:sz w:val="15"/>
                <w:szCs w:val="15"/>
                <w:b w:val="1"/>
                <w:bCs w:val="1"/>
                <w:color w:val="125288"/>
              </w:rPr>
              <w:t>Death</w:t>
            </w:r>
            <w:r>
              <w:rPr>
                <w:rFonts w:ascii="Arial" w:cs="Arial" w:eastAsia="Arial" w:hAnsi="Arial"/>
                <w:sz w:val="19"/>
                <w:szCs w:val="19"/>
                <w:b w:val="1"/>
                <w:bCs w:val="1"/>
                <w:color w:val="125288"/>
                <w:vertAlign w:val="superscript"/>
              </w:rPr>
              <w:t>(1)</w:t>
            </w:r>
          </w:p>
        </w:tc>
        <w:tc>
          <w:tcPr>
            <w:tcW w:w="1520" w:type="dxa"/>
            <w:vAlign w:val="bottom"/>
          </w:tcPr>
          <w:p>
            <w:pPr>
              <w:jc w:val="right"/>
              <w:ind w:right="258"/>
              <w:spacing w:after="0"/>
              <w:rPr>
                <w:sz w:val="20"/>
                <w:szCs w:val="20"/>
                <w:color w:val="auto"/>
              </w:rPr>
            </w:pPr>
            <w:r>
              <w:rPr>
                <w:rFonts w:ascii="Arial" w:cs="Arial" w:eastAsia="Arial" w:hAnsi="Arial"/>
                <w:sz w:val="15"/>
                <w:szCs w:val="15"/>
                <w:b w:val="1"/>
                <w:bCs w:val="1"/>
                <w:color w:val="125288"/>
              </w:rPr>
              <w:t>Disability</w:t>
            </w:r>
            <w:r>
              <w:rPr>
                <w:rFonts w:ascii="Arial" w:cs="Arial" w:eastAsia="Arial" w:hAnsi="Arial"/>
                <w:sz w:val="19"/>
                <w:szCs w:val="19"/>
                <w:b w:val="1"/>
                <w:bCs w:val="1"/>
                <w:color w:val="125288"/>
                <w:vertAlign w:val="superscript"/>
              </w:rPr>
              <w:t>(1)</w:t>
            </w:r>
          </w:p>
        </w:tc>
        <w:tc>
          <w:tcPr>
            <w:tcW w:w="1500" w:type="dxa"/>
            <w:vAlign w:val="bottom"/>
          </w:tcPr>
          <w:p>
            <w:pPr>
              <w:jc w:val="right"/>
              <w:ind w:right="80"/>
              <w:spacing w:after="0"/>
              <w:rPr>
                <w:sz w:val="20"/>
                <w:szCs w:val="20"/>
                <w:color w:val="auto"/>
              </w:rPr>
            </w:pPr>
            <w:r>
              <w:rPr>
                <w:rFonts w:ascii="Arial" w:cs="Arial" w:eastAsia="Arial" w:hAnsi="Arial"/>
                <w:sz w:val="15"/>
                <w:szCs w:val="15"/>
                <w:b w:val="1"/>
                <w:bCs w:val="1"/>
                <w:color w:val="125288"/>
              </w:rPr>
              <w:t>For Cause</w:t>
            </w:r>
            <w:r>
              <w:rPr>
                <w:rFonts w:ascii="Arial" w:cs="Arial" w:eastAsia="Arial" w:hAnsi="Arial"/>
                <w:sz w:val="19"/>
                <w:szCs w:val="19"/>
                <w:b w:val="1"/>
                <w:bCs w:val="1"/>
                <w:color w:val="125288"/>
                <w:vertAlign w:val="superscript"/>
              </w:rPr>
              <w:t>(2)</w:t>
            </w:r>
          </w:p>
        </w:tc>
        <w:tc>
          <w:tcPr>
            <w:tcW w:w="1680" w:type="dxa"/>
            <w:vAlign w:val="bottom"/>
          </w:tcPr>
          <w:p>
            <w:pPr>
              <w:jc w:val="right"/>
              <w:ind w:right="80"/>
              <w:spacing w:after="0"/>
              <w:rPr>
                <w:sz w:val="20"/>
                <w:szCs w:val="20"/>
                <w:color w:val="auto"/>
              </w:rPr>
            </w:pPr>
            <w:r>
              <w:rPr>
                <w:rFonts w:ascii="Arial" w:cs="Arial" w:eastAsia="Arial" w:hAnsi="Arial"/>
                <w:sz w:val="15"/>
                <w:szCs w:val="15"/>
                <w:b w:val="1"/>
                <w:bCs w:val="1"/>
                <w:color w:val="125288"/>
              </w:rPr>
              <w:t>for Good Reason</w:t>
            </w:r>
            <w:r>
              <w:rPr>
                <w:rFonts w:ascii="Arial" w:cs="Arial" w:eastAsia="Arial" w:hAnsi="Arial"/>
                <w:sz w:val="19"/>
                <w:szCs w:val="19"/>
                <w:b w:val="1"/>
                <w:bCs w:val="1"/>
                <w:color w:val="125288"/>
                <w:vertAlign w:val="superscript"/>
              </w:rPr>
              <w:t>(3)</w:t>
            </w:r>
          </w:p>
        </w:tc>
        <w:tc>
          <w:tcPr>
            <w:tcW w:w="1460" w:type="dxa"/>
            <w:vAlign w:val="bottom"/>
          </w:tcPr>
          <w:p>
            <w:pPr>
              <w:jc w:val="right"/>
              <w:spacing w:after="0"/>
              <w:rPr>
                <w:sz w:val="20"/>
                <w:szCs w:val="20"/>
                <w:color w:val="auto"/>
              </w:rPr>
            </w:pPr>
            <w:r>
              <w:rPr>
                <w:rFonts w:ascii="Arial" w:cs="Arial" w:eastAsia="Arial" w:hAnsi="Arial"/>
                <w:sz w:val="15"/>
                <w:szCs w:val="15"/>
                <w:b w:val="1"/>
                <w:bCs w:val="1"/>
                <w:color w:val="125288"/>
              </w:rPr>
              <w:t>Control</w:t>
            </w:r>
            <w:r>
              <w:rPr>
                <w:rFonts w:ascii="Arial" w:cs="Arial" w:eastAsia="Arial" w:hAnsi="Arial"/>
                <w:sz w:val="19"/>
                <w:szCs w:val="19"/>
                <w:b w:val="1"/>
                <w:bCs w:val="1"/>
                <w:color w:val="125288"/>
                <w:vertAlign w:val="superscript"/>
              </w:rPr>
              <w:t>(4)</w:t>
            </w:r>
          </w:p>
        </w:tc>
      </w:tr>
      <w:tr>
        <w:trPr>
          <w:trHeight w:val="204"/>
        </w:trPr>
        <w:tc>
          <w:tcPr>
            <w:tcW w:w="3360" w:type="dxa"/>
            <w:vAlign w:val="bottom"/>
          </w:tcPr>
          <w:p>
            <w:pPr>
              <w:ind w:left="40"/>
              <w:spacing w:after="0"/>
              <w:rPr>
                <w:sz w:val="20"/>
                <w:szCs w:val="20"/>
                <w:color w:val="auto"/>
              </w:rPr>
            </w:pPr>
            <w:r>
              <w:rPr>
                <w:rFonts w:ascii="Arial" w:cs="Arial" w:eastAsia="Arial" w:hAnsi="Arial"/>
                <w:sz w:val="15"/>
                <w:szCs w:val="15"/>
                <w:b w:val="1"/>
                <w:bCs w:val="1"/>
                <w:color w:val="125288"/>
              </w:rPr>
              <w:t>Name and Type of Payment/Benefit</w:t>
            </w:r>
          </w:p>
        </w:tc>
        <w:tc>
          <w:tcPr>
            <w:tcW w:w="1740" w:type="dxa"/>
            <w:vAlign w:val="bottom"/>
          </w:tcPr>
          <w:p>
            <w:pPr>
              <w:jc w:val="right"/>
              <w:ind w:right="318"/>
              <w:spacing w:after="0"/>
              <w:rPr>
                <w:sz w:val="20"/>
                <w:szCs w:val="20"/>
                <w:color w:val="auto"/>
              </w:rPr>
            </w:pPr>
            <w:r>
              <w:rPr>
                <w:rFonts w:ascii="Arial" w:cs="Arial" w:eastAsia="Arial" w:hAnsi="Arial"/>
                <w:sz w:val="15"/>
                <w:szCs w:val="15"/>
                <w:b w:val="1"/>
                <w:bCs w:val="1"/>
                <w:color w:val="125288"/>
              </w:rPr>
              <w:t>($)</w:t>
            </w:r>
          </w:p>
        </w:tc>
        <w:tc>
          <w:tcPr>
            <w:tcW w:w="1520" w:type="dxa"/>
            <w:vAlign w:val="bottom"/>
          </w:tcPr>
          <w:p>
            <w:pPr>
              <w:jc w:val="right"/>
              <w:ind w:right="258"/>
              <w:spacing w:after="0"/>
              <w:rPr>
                <w:sz w:val="20"/>
                <w:szCs w:val="20"/>
                <w:color w:val="auto"/>
              </w:rPr>
            </w:pPr>
            <w:r>
              <w:rPr>
                <w:rFonts w:ascii="Arial" w:cs="Arial" w:eastAsia="Arial" w:hAnsi="Arial"/>
                <w:sz w:val="15"/>
                <w:szCs w:val="15"/>
                <w:b w:val="1"/>
                <w:bCs w:val="1"/>
                <w:color w:val="125288"/>
              </w:rPr>
              <w:t>($)</w:t>
            </w:r>
          </w:p>
        </w:tc>
        <w:tc>
          <w:tcPr>
            <w:tcW w:w="1500" w:type="dxa"/>
            <w:vAlign w:val="bottom"/>
          </w:tcPr>
          <w:p>
            <w:pPr>
              <w:jc w:val="right"/>
              <w:ind w:right="80"/>
              <w:spacing w:after="0"/>
              <w:rPr>
                <w:sz w:val="20"/>
                <w:szCs w:val="20"/>
                <w:color w:val="auto"/>
              </w:rPr>
            </w:pPr>
            <w:r>
              <w:rPr>
                <w:rFonts w:ascii="Arial" w:cs="Arial" w:eastAsia="Arial" w:hAnsi="Arial"/>
                <w:sz w:val="15"/>
                <w:szCs w:val="15"/>
                <w:b w:val="1"/>
                <w:bCs w:val="1"/>
                <w:color w:val="125288"/>
              </w:rPr>
              <w:t>($)</w:t>
            </w:r>
          </w:p>
        </w:tc>
        <w:tc>
          <w:tcPr>
            <w:tcW w:w="1680" w:type="dxa"/>
            <w:vAlign w:val="bottom"/>
          </w:tcPr>
          <w:p>
            <w:pPr>
              <w:jc w:val="right"/>
              <w:ind w:right="80"/>
              <w:spacing w:after="0"/>
              <w:rPr>
                <w:sz w:val="20"/>
                <w:szCs w:val="20"/>
                <w:color w:val="auto"/>
              </w:rPr>
            </w:pPr>
            <w:r>
              <w:rPr>
                <w:rFonts w:ascii="Arial" w:cs="Arial" w:eastAsia="Arial" w:hAnsi="Arial"/>
                <w:sz w:val="15"/>
                <w:szCs w:val="15"/>
                <w:b w:val="1"/>
                <w:bCs w:val="1"/>
                <w:color w:val="125288"/>
              </w:rPr>
              <w:t>($)</w:t>
            </w:r>
          </w:p>
        </w:tc>
        <w:tc>
          <w:tcPr>
            <w:tcW w:w="1460" w:type="dxa"/>
            <w:vAlign w:val="bottom"/>
          </w:tcPr>
          <w:p>
            <w:pPr>
              <w:jc w:val="right"/>
              <w:spacing w:after="0"/>
              <w:rPr>
                <w:sz w:val="20"/>
                <w:szCs w:val="20"/>
                <w:color w:val="auto"/>
              </w:rPr>
            </w:pPr>
            <w:r>
              <w:rPr>
                <w:rFonts w:ascii="Arial" w:cs="Arial" w:eastAsia="Arial" w:hAnsi="Arial"/>
                <w:sz w:val="15"/>
                <w:szCs w:val="15"/>
                <w:b w:val="1"/>
                <w:bCs w:val="1"/>
                <w:color w:val="125288"/>
              </w:rPr>
              <w:t>($)</w:t>
            </w:r>
          </w:p>
        </w:tc>
      </w:tr>
      <w:tr>
        <w:trPr>
          <w:trHeight w:val="37"/>
        </w:trPr>
        <w:tc>
          <w:tcPr>
            <w:tcW w:w="3360" w:type="dxa"/>
            <w:vAlign w:val="bottom"/>
            <w:tcBorders>
              <w:bottom w:val="single" w:sz="8" w:color="125288"/>
            </w:tcBorders>
          </w:tcPr>
          <w:p>
            <w:pPr>
              <w:spacing w:after="0"/>
              <w:rPr>
                <w:sz w:val="3"/>
                <w:szCs w:val="3"/>
                <w:color w:val="auto"/>
              </w:rPr>
            </w:pPr>
          </w:p>
        </w:tc>
        <w:tc>
          <w:tcPr>
            <w:tcW w:w="1740" w:type="dxa"/>
            <w:vAlign w:val="bottom"/>
            <w:tcBorders>
              <w:bottom w:val="single" w:sz="8" w:color="125288"/>
            </w:tcBorders>
          </w:tcPr>
          <w:p>
            <w:pPr>
              <w:spacing w:after="0"/>
              <w:rPr>
                <w:sz w:val="3"/>
                <w:szCs w:val="3"/>
                <w:color w:val="auto"/>
              </w:rPr>
            </w:pPr>
          </w:p>
        </w:tc>
        <w:tc>
          <w:tcPr>
            <w:tcW w:w="1520" w:type="dxa"/>
            <w:vAlign w:val="bottom"/>
            <w:tcBorders>
              <w:bottom w:val="single" w:sz="8" w:color="125288"/>
            </w:tcBorders>
          </w:tcPr>
          <w:p>
            <w:pPr>
              <w:spacing w:after="0"/>
              <w:rPr>
                <w:sz w:val="3"/>
                <w:szCs w:val="3"/>
                <w:color w:val="auto"/>
              </w:rPr>
            </w:pPr>
          </w:p>
        </w:tc>
        <w:tc>
          <w:tcPr>
            <w:tcW w:w="1500" w:type="dxa"/>
            <w:vAlign w:val="bottom"/>
            <w:tcBorders>
              <w:bottom w:val="single" w:sz="8" w:color="125288"/>
            </w:tcBorders>
          </w:tcPr>
          <w:p>
            <w:pPr>
              <w:spacing w:after="0"/>
              <w:rPr>
                <w:sz w:val="3"/>
                <w:szCs w:val="3"/>
                <w:color w:val="auto"/>
              </w:rPr>
            </w:pPr>
          </w:p>
        </w:tc>
        <w:tc>
          <w:tcPr>
            <w:tcW w:w="1680" w:type="dxa"/>
            <w:vAlign w:val="bottom"/>
            <w:tcBorders>
              <w:bottom w:val="single" w:sz="8" w:color="125288"/>
            </w:tcBorders>
          </w:tcPr>
          <w:p>
            <w:pPr>
              <w:spacing w:after="0"/>
              <w:rPr>
                <w:sz w:val="3"/>
                <w:szCs w:val="3"/>
                <w:color w:val="auto"/>
              </w:rPr>
            </w:pPr>
          </w:p>
        </w:tc>
        <w:tc>
          <w:tcPr>
            <w:tcW w:w="1460" w:type="dxa"/>
            <w:vAlign w:val="bottom"/>
            <w:tcBorders>
              <w:bottom w:val="single" w:sz="8" w:color="125288"/>
            </w:tcBorders>
          </w:tcPr>
          <w:p>
            <w:pPr>
              <w:spacing w:after="0"/>
              <w:rPr>
                <w:sz w:val="3"/>
                <w:szCs w:val="3"/>
                <w:color w:val="auto"/>
              </w:rPr>
            </w:pPr>
          </w:p>
        </w:tc>
      </w:tr>
      <w:tr>
        <w:trPr>
          <w:trHeight w:val="268"/>
        </w:trPr>
        <w:tc>
          <w:tcPr>
            <w:tcW w:w="3360" w:type="dxa"/>
            <w:vAlign w:val="bottom"/>
          </w:tcPr>
          <w:p>
            <w:pPr>
              <w:ind w:left="40"/>
              <w:spacing w:after="0"/>
              <w:rPr>
                <w:sz w:val="20"/>
                <w:szCs w:val="20"/>
                <w:color w:val="auto"/>
              </w:rPr>
            </w:pPr>
            <w:r>
              <w:rPr>
                <w:rFonts w:ascii="Arial" w:cs="Arial" w:eastAsia="Arial" w:hAnsi="Arial"/>
                <w:sz w:val="17"/>
                <w:szCs w:val="17"/>
                <w:b w:val="1"/>
                <w:bCs w:val="1"/>
                <w:color w:val="auto"/>
              </w:rPr>
              <w:t>Robert Kotick</w:t>
            </w:r>
          </w:p>
        </w:tc>
        <w:tc>
          <w:tcPr>
            <w:tcW w:w="17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81"/>
        </w:trPr>
        <w:tc>
          <w:tcPr>
            <w:tcW w:w="3360" w:type="dxa"/>
            <w:vAlign w:val="bottom"/>
            <w:tcBorders>
              <w:bottom w:val="single" w:sz="8" w:color="125288"/>
            </w:tcBorders>
          </w:tcPr>
          <w:p>
            <w:pPr>
              <w:spacing w:after="0"/>
              <w:rPr>
                <w:sz w:val="7"/>
                <w:szCs w:val="7"/>
                <w:color w:val="auto"/>
              </w:rPr>
            </w:pPr>
          </w:p>
        </w:tc>
        <w:tc>
          <w:tcPr>
            <w:tcW w:w="1740" w:type="dxa"/>
            <w:vAlign w:val="bottom"/>
            <w:tcBorders>
              <w:bottom w:val="single" w:sz="8" w:color="125288"/>
            </w:tcBorders>
          </w:tcPr>
          <w:p>
            <w:pPr>
              <w:spacing w:after="0"/>
              <w:rPr>
                <w:sz w:val="7"/>
                <w:szCs w:val="7"/>
                <w:color w:val="auto"/>
              </w:rPr>
            </w:pPr>
          </w:p>
        </w:tc>
        <w:tc>
          <w:tcPr>
            <w:tcW w:w="1520" w:type="dxa"/>
            <w:vAlign w:val="bottom"/>
            <w:tcBorders>
              <w:bottom w:val="single" w:sz="8" w:color="125288"/>
            </w:tcBorders>
          </w:tcPr>
          <w:p>
            <w:pPr>
              <w:spacing w:after="0"/>
              <w:rPr>
                <w:sz w:val="7"/>
                <w:szCs w:val="7"/>
                <w:color w:val="auto"/>
              </w:rPr>
            </w:pPr>
          </w:p>
        </w:tc>
        <w:tc>
          <w:tcPr>
            <w:tcW w:w="1500" w:type="dxa"/>
            <w:vAlign w:val="bottom"/>
            <w:tcBorders>
              <w:bottom w:val="single" w:sz="8" w:color="125288"/>
            </w:tcBorders>
          </w:tcPr>
          <w:p>
            <w:pPr>
              <w:spacing w:after="0"/>
              <w:rPr>
                <w:sz w:val="7"/>
                <w:szCs w:val="7"/>
                <w:color w:val="auto"/>
              </w:rPr>
            </w:pPr>
          </w:p>
        </w:tc>
        <w:tc>
          <w:tcPr>
            <w:tcW w:w="1680" w:type="dxa"/>
            <w:vAlign w:val="bottom"/>
            <w:tcBorders>
              <w:bottom w:val="single" w:sz="8" w:color="125288"/>
            </w:tcBorders>
          </w:tcPr>
          <w:p>
            <w:pPr>
              <w:spacing w:after="0"/>
              <w:rPr>
                <w:sz w:val="7"/>
                <w:szCs w:val="7"/>
                <w:color w:val="auto"/>
              </w:rPr>
            </w:pPr>
          </w:p>
        </w:tc>
        <w:tc>
          <w:tcPr>
            <w:tcW w:w="1460" w:type="dxa"/>
            <w:vAlign w:val="bottom"/>
            <w:tcBorders>
              <w:bottom w:val="single" w:sz="8" w:color="125288"/>
            </w:tcBorders>
          </w:tcPr>
          <w:p>
            <w:pPr>
              <w:spacing w:after="0"/>
              <w:rPr>
                <w:sz w:val="7"/>
                <w:szCs w:val="7"/>
                <w:color w:val="auto"/>
              </w:rPr>
            </w:pPr>
          </w:p>
        </w:tc>
      </w:tr>
      <w:tr>
        <w:trPr>
          <w:trHeight w:val="268"/>
        </w:trPr>
        <w:tc>
          <w:tcPr>
            <w:tcW w:w="3360" w:type="dxa"/>
            <w:vAlign w:val="bottom"/>
          </w:tcPr>
          <w:p>
            <w:pPr>
              <w:ind w:left="40"/>
              <w:spacing w:after="0"/>
              <w:rPr>
                <w:sz w:val="20"/>
                <w:szCs w:val="20"/>
                <w:color w:val="auto"/>
              </w:rPr>
            </w:pPr>
            <w:r>
              <w:rPr>
                <w:rFonts w:ascii="Arial" w:cs="Arial" w:eastAsia="Arial" w:hAnsi="Arial"/>
                <w:sz w:val="17"/>
                <w:szCs w:val="17"/>
                <w:color w:val="auto"/>
              </w:rPr>
              <w:t>Salary-based severance</w:t>
            </w:r>
            <w:r>
              <w:rPr>
                <w:rFonts w:ascii="Arial" w:cs="Arial" w:eastAsia="Arial" w:hAnsi="Arial"/>
                <w:sz w:val="9"/>
                <w:szCs w:val="9"/>
                <w:color w:val="auto"/>
              </w:rPr>
              <w:t>(5)</w:t>
            </w:r>
          </w:p>
        </w:tc>
        <w:tc>
          <w:tcPr>
            <w:tcW w:w="1740" w:type="dxa"/>
            <w:vAlign w:val="bottom"/>
          </w:tcPr>
          <w:p>
            <w:pPr>
              <w:jc w:val="right"/>
              <w:ind w:right="318"/>
              <w:spacing w:after="0"/>
              <w:rPr>
                <w:sz w:val="20"/>
                <w:szCs w:val="20"/>
                <w:color w:val="auto"/>
              </w:rPr>
            </w:pPr>
            <w:r>
              <w:rPr>
                <w:rFonts w:ascii="Arial" w:cs="Arial" w:eastAsia="Arial" w:hAnsi="Arial"/>
                <w:sz w:val="17"/>
                <w:szCs w:val="17"/>
                <w:color w:val="auto"/>
              </w:rPr>
              <w:t>0</w:t>
            </w:r>
          </w:p>
        </w:tc>
        <w:tc>
          <w:tcPr>
            <w:tcW w:w="1520" w:type="dxa"/>
            <w:vAlign w:val="bottom"/>
          </w:tcPr>
          <w:p>
            <w:pPr>
              <w:jc w:val="right"/>
              <w:ind w:right="258"/>
              <w:spacing w:after="0"/>
              <w:rPr>
                <w:sz w:val="20"/>
                <w:szCs w:val="20"/>
                <w:color w:val="auto"/>
              </w:rPr>
            </w:pPr>
            <w:r>
              <w:rPr>
                <w:rFonts w:ascii="Arial" w:cs="Arial" w:eastAsia="Arial" w:hAnsi="Arial"/>
                <w:sz w:val="17"/>
                <w:szCs w:val="17"/>
                <w:color w:val="auto"/>
              </w:rPr>
              <w:t>62,500</w:t>
            </w:r>
          </w:p>
        </w:tc>
        <w:tc>
          <w:tcPr>
            <w:tcW w:w="1500" w:type="dxa"/>
            <w:vAlign w:val="bottom"/>
          </w:tcPr>
          <w:p>
            <w:pPr>
              <w:jc w:val="right"/>
              <w:ind w:right="80"/>
              <w:spacing w:after="0"/>
              <w:rPr>
                <w:sz w:val="20"/>
                <w:szCs w:val="20"/>
                <w:color w:val="auto"/>
              </w:rPr>
            </w:pPr>
            <w:r>
              <w:rPr>
                <w:rFonts w:ascii="Arial" w:cs="Arial" w:eastAsia="Arial" w:hAnsi="Arial"/>
                <w:sz w:val="17"/>
                <w:szCs w:val="17"/>
                <w:color w:val="auto"/>
              </w:rPr>
              <w:t>0</w:t>
            </w:r>
          </w:p>
        </w:tc>
        <w:tc>
          <w:tcPr>
            <w:tcW w:w="1680" w:type="dxa"/>
            <w:vAlign w:val="bottom"/>
          </w:tcPr>
          <w:p>
            <w:pPr>
              <w:jc w:val="right"/>
              <w:ind w:right="80"/>
              <w:spacing w:after="0"/>
              <w:rPr>
                <w:sz w:val="20"/>
                <w:szCs w:val="20"/>
                <w:color w:val="auto"/>
              </w:rPr>
            </w:pPr>
            <w:r>
              <w:rPr>
                <w:rFonts w:ascii="Arial" w:cs="Arial" w:eastAsia="Arial" w:hAnsi="Arial"/>
                <w:sz w:val="17"/>
                <w:szCs w:val="17"/>
                <w:color w:val="auto"/>
              </w:rPr>
              <w:t>125,000</w:t>
            </w:r>
          </w:p>
        </w:tc>
        <w:tc>
          <w:tcPr>
            <w:tcW w:w="1460" w:type="dxa"/>
            <w:vAlign w:val="bottom"/>
          </w:tcPr>
          <w:p>
            <w:pPr>
              <w:jc w:val="right"/>
              <w:spacing w:after="0"/>
              <w:rPr>
                <w:sz w:val="20"/>
                <w:szCs w:val="20"/>
                <w:color w:val="auto"/>
              </w:rPr>
            </w:pPr>
            <w:r>
              <w:rPr>
                <w:rFonts w:ascii="Arial" w:cs="Arial" w:eastAsia="Arial" w:hAnsi="Arial"/>
                <w:sz w:val="17"/>
                <w:szCs w:val="17"/>
                <w:color w:val="auto"/>
              </w:rPr>
              <w:t>187,500</w:t>
            </w:r>
          </w:p>
        </w:tc>
      </w:tr>
      <w:tr>
        <w:trPr>
          <w:trHeight w:val="81"/>
        </w:trPr>
        <w:tc>
          <w:tcPr>
            <w:tcW w:w="3360" w:type="dxa"/>
            <w:vAlign w:val="bottom"/>
            <w:tcBorders>
              <w:bottom w:val="single" w:sz="8" w:color="125288"/>
            </w:tcBorders>
          </w:tcPr>
          <w:p>
            <w:pPr>
              <w:spacing w:after="0"/>
              <w:rPr>
                <w:sz w:val="7"/>
                <w:szCs w:val="7"/>
                <w:color w:val="auto"/>
              </w:rPr>
            </w:pPr>
          </w:p>
        </w:tc>
        <w:tc>
          <w:tcPr>
            <w:tcW w:w="1740" w:type="dxa"/>
            <w:vAlign w:val="bottom"/>
            <w:tcBorders>
              <w:bottom w:val="single" w:sz="8" w:color="125288"/>
            </w:tcBorders>
          </w:tcPr>
          <w:p>
            <w:pPr>
              <w:spacing w:after="0"/>
              <w:rPr>
                <w:sz w:val="7"/>
                <w:szCs w:val="7"/>
                <w:color w:val="auto"/>
              </w:rPr>
            </w:pPr>
          </w:p>
        </w:tc>
        <w:tc>
          <w:tcPr>
            <w:tcW w:w="1520" w:type="dxa"/>
            <w:vAlign w:val="bottom"/>
            <w:tcBorders>
              <w:bottom w:val="single" w:sz="8" w:color="125288"/>
            </w:tcBorders>
          </w:tcPr>
          <w:p>
            <w:pPr>
              <w:spacing w:after="0"/>
              <w:rPr>
                <w:sz w:val="7"/>
                <w:szCs w:val="7"/>
                <w:color w:val="auto"/>
              </w:rPr>
            </w:pPr>
          </w:p>
        </w:tc>
        <w:tc>
          <w:tcPr>
            <w:tcW w:w="1500" w:type="dxa"/>
            <w:vAlign w:val="bottom"/>
            <w:tcBorders>
              <w:bottom w:val="single" w:sz="8" w:color="125288"/>
            </w:tcBorders>
          </w:tcPr>
          <w:p>
            <w:pPr>
              <w:spacing w:after="0"/>
              <w:rPr>
                <w:sz w:val="7"/>
                <w:szCs w:val="7"/>
                <w:color w:val="auto"/>
              </w:rPr>
            </w:pPr>
          </w:p>
        </w:tc>
        <w:tc>
          <w:tcPr>
            <w:tcW w:w="1680" w:type="dxa"/>
            <w:vAlign w:val="bottom"/>
            <w:tcBorders>
              <w:bottom w:val="single" w:sz="8" w:color="125288"/>
            </w:tcBorders>
          </w:tcPr>
          <w:p>
            <w:pPr>
              <w:spacing w:after="0"/>
              <w:rPr>
                <w:sz w:val="7"/>
                <w:szCs w:val="7"/>
                <w:color w:val="auto"/>
              </w:rPr>
            </w:pPr>
          </w:p>
        </w:tc>
        <w:tc>
          <w:tcPr>
            <w:tcW w:w="1460" w:type="dxa"/>
            <w:vAlign w:val="bottom"/>
            <w:tcBorders>
              <w:bottom w:val="single" w:sz="8" w:color="125288"/>
            </w:tcBorders>
          </w:tcPr>
          <w:p>
            <w:pPr>
              <w:spacing w:after="0"/>
              <w:rPr>
                <w:sz w:val="7"/>
                <w:szCs w:val="7"/>
                <w:color w:val="auto"/>
              </w:rPr>
            </w:pPr>
          </w:p>
        </w:tc>
      </w:tr>
      <w:tr>
        <w:trPr>
          <w:trHeight w:val="268"/>
        </w:trPr>
        <w:tc>
          <w:tcPr>
            <w:tcW w:w="3360" w:type="dxa"/>
            <w:vAlign w:val="bottom"/>
          </w:tcPr>
          <w:p>
            <w:pPr>
              <w:ind w:left="40"/>
              <w:spacing w:after="0"/>
              <w:rPr>
                <w:sz w:val="20"/>
                <w:szCs w:val="20"/>
                <w:color w:val="auto"/>
              </w:rPr>
            </w:pPr>
            <w:r>
              <w:rPr>
                <w:rFonts w:ascii="Arial" w:cs="Arial" w:eastAsia="Arial" w:hAnsi="Arial"/>
                <w:sz w:val="17"/>
                <w:szCs w:val="17"/>
                <w:color w:val="auto"/>
              </w:rPr>
              <w:t>Lump-sum bonus-based severance</w:t>
            </w:r>
            <w:r>
              <w:rPr>
                <w:rFonts w:ascii="Arial" w:cs="Arial" w:eastAsia="Arial" w:hAnsi="Arial"/>
                <w:sz w:val="9"/>
                <w:szCs w:val="9"/>
                <w:color w:val="auto"/>
              </w:rPr>
              <w:t>(6)</w:t>
            </w:r>
          </w:p>
        </w:tc>
        <w:tc>
          <w:tcPr>
            <w:tcW w:w="1740" w:type="dxa"/>
            <w:vAlign w:val="bottom"/>
          </w:tcPr>
          <w:p>
            <w:pPr>
              <w:jc w:val="right"/>
              <w:ind w:right="318"/>
              <w:spacing w:after="0"/>
              <w:rPr>
                <w:sz w:val="20"/>
                <w:szCs w:val="20"/>
                <w:color w:val="auto"/>
              </w:rPr>
            </w:pPr>
            <w:r>
              <w:rPr>
                <w:rFonts w:ascii="Arial" w:cs="Arial" w:eastAsia="Arial" w:hAnsi="Arial"/>
                <w:sz w:val="17"/>
                <w:szCs w:val="17"/>
                <w:color w:val="auto"/>
              </w:rPr>
              <w:t>3,177,979</w:t>
            </w:r>
          </w:p>
        </w:tc>
        <w:tc>
          <w:tcPr>
            <w:tcW w:w="1520" w:type="dxa"/>
            <w:vAlign w:val="bottom"/>
          </w:tcPr>
          <w:p>
            <w:pPr>
              <w:jc w:val="right"/>
              <w:ind w:right="258"/>
              <w:spacing w:after="0"/>
              <w:rPr>
                <w:sz w:val="20"/>
                <w:szCs w:val="20"/>
                <w:color w:val="auto"/>
              </w:rPr>
            </w:pPr>
            <w:r>
              <w:rPr>
                <w:rFonts w:ascii="Arial" w:cs="Arial" w:eastAsia="Arial" w:hAnsi="Arial"/>
                <w:sz w:val="17"/>
                <w:szCs w:val="17"/>
                <w:color w:val="auto"/>
              </w:rPr>
              <w:t>3,177,979</w:t>
            </w:r>
          </w:p>
        </w:tc>
        <w:tc>
          <w:tcPr>
            <w:tcW w:w="1500" w:type="dxa"/>
            <w:vAlign w:val="bottom"/>
          </w:tcPr>
          <w:p>
            <w:pPr>
              <w:jc w:val="right"/>
              <w:ind w:right="80"/>
              <w:spacing w:after="0"/>
              <w:rPr>
                <w:sz w:val="20"/>
                <w:szCs w:val="20"/>
                <w:color w:val="auto"/>
              </w:rPr>
            </w:pPr>
            <w:r>
              <w:rPr>
                <w:rFonts w:ascii="Arial" w:cs="Arial" w:eastAsia="Arial" w:hAnsi="Arial"/>
                <w:sz w:val="17"/>
                <w:szCs w:val="17"/>
                <w:color w:val="auto"/>
              </w:rPr>
              <w:t>0</w:t>
            </w:r>
          </w:p>
        </w:tc>
        <w:tc>
          <w:tcPr>
            <w:tcW w:w="1680" w:type="dxa"/>
            <w:vAlign w:val="bottom"/>
          </w:tcPr>
          <w:p>
            <w:pPr>
              <w:jc w:val="right"/>
              <w:ind w:right="80"/>
              <w:spacing w:after="0"/>
              <w:rPr>
                <w:sz w:val="20"/>
                <w:szCs w:val="20"/>
                <w:color w:val="auto"/>
              </w:rPr>
            </w:pPr>
            <w:r>
              <w:rPr>
                <w:rFonts w:ascii="Arial" w:cs="Arial" w:eastAsia="Arial" w:hAnsi="Arial"/>
                <w:sz w:val="17"/>
                <w:szCs w:val="17"/>
                <w:color w:val="auto"/>
              </w:rPr>
              <w:t>9,454,420</w:t>
            </w:r>
          </w:p>
        </w:tc>
        <w:tc>
          <w:tcPr>
            <w:tcW w:w="1460" w:type="dxa"/>
            <w:vAlign w:val="bottom"/>
          </w:tcPr>
          <w:p>
            <w:pPr>
              <w:jc w:val="right"/>
              <w:spacing w:after="0"/>
              <w:rPr>
                <w:sz w:val="20"/>
                <w:szCs w:val="20"/>
                <w:color w:val="auto"/>
              </w:rPr>
            </w:pPr>
            <w:r>
              <w:rPr>
                <w:rFonts w:ascii="Arial" w:cs="Arial" w:eastAsia="Arial" w:hAnsi="Arial"/>
                <w:sz w:val="17"/>
                <w:szCs w:val="17"/>
                <w:color w:val="auto"/>
              </w:rPr>
              <w:t>14,181,630</w:t>
            </w:r>
          </w:p>
        </w:tc>
      </w:tr>
      <w:tr>
        <w:trPr>
          <w:trHeight w:val="81"/>
        </w:trPr>
        <w:tc>
          <w:tcPr>
            <w:tcW w:w="3360" w:type="dxa"/>
            <w:vAlign w:val="bottom"/>
            <w:tcBorders>
              <w:bottom w:val="single" w:sz="8" w:color="125288"/>
            </w:tcBorders>
          </w:tcPr>
          <w:p>
            <w:pPr>
              <w:spacing w:after="0"/>
              <w:rPr>
                <w:sz w:val="7"/>
                <w:szCs w:val="7"/>
                <w:color w:val="auto"/>
              </w:rPr>
            </w:pPr>
          </w:p>
        </w:tc>
        <w:tc>
          <w:tcPr>
            <w:tcW w:w="1740" w:type="dxa"/>
            <w:vAlign w:val="bottom"/>
            <w:tcBorders>
              <w:bottom w:val="single" w:sz="8" w:color="125288"/>
            </w:tcBorders>
          </w:tcPr>
          <w:p>
            <w:pPr>
              <w:spacing w:after="0"/>
              <w:rPr>
                <w:sz w:val="7"/>
                <w:szCs w:val="7"/>
                <w:color w:val="auto"/>
              </w:rPr>
            </w:pPr>
          </w:p>
        </w:tc>
        <w:tc>
          <w:tcPr>
            <w:tcW w:w="1520" w:type="dxa"/>
            <w:vAlign w:val="bottom"/>
            <w:tcBorders>
              <w:bottom w:val="single" w:sz="8" w:color="125288"/>
            </w:tcBorders>
          </w:tcPr>
          <w:p>
            <w:pPr>
              <w:spacing w:after="0"/>
              <w:rPr>
                <w:sz w:val="7"/>
                <w:szCs w:val="7"/>
                <w:color w:val="auto"/>
              </w:rPr>
            </w:pPr>
          </w:p>
        </w:tc>
        <w:tc>
          <w:tcPr>
            <w:tcW w:w="1500" w:type="dxa"/>
            <w:vAlign w:val="bottom"/>
            <w:tcBorders>
              <w:bottom w:val="single" w:sz="8" w:color="125288"/>
            </w:tcBorders>
          </w:tcPr>
          <w:p>
            <w:pPr>
              <w:spacing w:after="0"/>
              <w:rPr>
                <w:sz w:val="7"/>
                <w:szCs w:val="7"/>
                <w:color w:val="auto"/>
              </w:rPr>
            </w:pPr>
          </w:p>
        </w:tc>
        <w:tc>
          <w:tcPr>
            <w:tcW w:w="1680" w:type="dxa"/>
            <w:vAlign w:val="bottom"/>
            <w:tcBorders>
              <w:bottom w:val="single" w:sz="8" w:color="125288"/>
            </w:tcBorders>
          </w:tcPr>
          <w:p>
            <w:pPr>
              <w:spacing w:after="0"/>
              <w:rPr>
                <w:sz w:val="7"/>
                <w:szCs w:val="7"/>
                <w:color w:val="auto"/>
              </w:rPr>
            </w:pPr>
          </w:p>
        </w:tc>
        <w:tc>
          <w:tcPr>
            <w:tcW w:w="1460" w:type="dxa"/>
            <w:vAlign w:val="bottom"/>
            <w:tcBorders>
              <w:bottom w:val="single" w:sz="8" w:color="125288"/>
            </w:tcBorders>
          </w:tcPr>
          <w:p>
            <w:pPr>
              <w:spacing w:after="0"/>
              <w:rPr>
                <w:sz w:val="7"/>
                <w:szCs w:val="7"/>
                <w:color w:val="auto"/>
              </w:rPr>
            </w:pPr>
          </w:p>
        </w:tc>
      </w:tr>
      <w:tr>
        <w:trPr>
          <w:trHeight w:val="268"/>
        </w:trPr>
        <w:tc>
          <w:tcPr>
            <w:tcW w:w="3360" w:type="dxa"/>
            <w:vAlign w:val="bottom"/>
          </w:tcPr>
          <w:p>
            <w:pPr>
              <w:ind w:left="40"/>
              <w:spacing w:after="0"/>
              <w:rPr>
                <w:sz w:val="20"/>
                <w:szCs w:val="20"/>
                <w:color w:val="auto"/>
              </w:rPr>
            </w:pPr>
            <w:r>
              <w:rPr>
                <w:rFonts w:ascii="Arial" w:cs="Arial" w:eastAsia="Arial" w:hAnsi="Arial"/>
                <w:sz w:val="17"/>
                <w:szCs w:val="17"/>
                <w:color w:val="auto"/>
              </w:rPr>
              <w:t>Benefits continuation</w:t>
            </w:r>
            <w:r>
              <w:rPr>
                <w:rFonts w:ascii="Arial" w:cs="Arial" w:eastAsia="Arial" w:hAnsi="Arial"/>
                <w:sz w:val="9"/>
                <w:szCs w:val="9"/>
                <w:color w:val="auto"/>
              </w:rPr>
              <w:t>(7)</w:t>
            </w:r>
          </w:p>
        </w:tc>
        <w:tc>
          <w:tcPr>
            <w:tcW w:w="1740" w:type="dxa"/>
            <w:vAlign w:val="bottom"/>
          </w:tcPr>
          <w:p>
            <w:pPr>
              <w:jc w:val="right"/>
              <w:ind w:right="318"/>
              <w:spacing w:after="0"/>
              <w:rPr>
                <w:sz w:val="20"/>
                <w:szCs w:val="20"/>
                <w:color w:val="auto"/>
              </w:rPr>
            </w:pPr>
            <w:r>
              <w:rPr>
                <w:rFonts w:ascii="Arial" w:cs="Arial" w:eastAsia="Arial" w:hAnsi="Arial"/>
                <w:sz w:val="17"/>
                <w:szCs w:val="17"/>
                <w:color w:val="auto"/>
              </w:rPr>
              <w:t>31,305</w:t>
            </w:r>
          </w:p>
        </w:tc>
        <w:tc>
          <w:tcPr>
            <w:tcW w:w="1520" w:type="dxa"/>
            <w:vAlign w:val="bottom"/>
          </w:tcPr>
          <w:p>
            <w:pPr>
              <w:jc w:val="right"/>
              <w:ind w:right="258"/>
              <w:spacing w:after="0"/>
              <w:rPr>
                <w:sz w:val="20"/>
                <w:szCs w:val="20"/>
                <w:color w:val="auto"/>
              </w:rPr>
            </w:pPr>
            <w:r>
              <w:rPr>
                <w:rFonts w:ascii="Arial" w:cs="Arial" w:eastAsia="Arial" w:hAnsi="Arial"/>
                <w:sz w:val="17"/>
                <w:szCs w:val="17"/>
                <w:color w:val="auto"/>
              </w:rPr>
              <w:t>73,117</w:t>
            </w:r>
          </w:p>
        </w:tc>
        <w:tc>
          <w:tcPr>
            <w:tcW w:w="1500" w:type="dxa"/>
            <w:vAlign w:val="bottom"/>
          </w:tcPr>
          <w:p>
            <w:pPr>
              <w:jc w:val="right"/>
              <w:ind w:right="80"/>
              <w:spacing w:after="0"/>
              <w:rPr>
                <w:sz w:val="20"/>
                <w:szCs w:val="20"/>
                <w:color w:val="auto"/>
              </w:rPr>
            </w:pPr>
            <w:r>
              <w:rPr>
                <w:rFonts w:ascii="Arial" w:cs="Arial" w:eastAsia="Arial" w:hAnsi="Arial"/>
                <w:sz w:val="17"/>
                <w:szCs w:val="17"/>
                <w:color w:val="auto"/>
              </w:rPr>
              <w:t>41,812</w:t>
            </w:r>
          </w:p>
        </w:tc>
        <w:tc>
          <w:tcPr>
            <w:tcW w:w="1680" w:type="dxa"/>
            <w:vAlign w:val="bottom"/>
          </w:tcPr>
          <w:p>
            <w:pPr>
              <w:jc w:val="right"/>
              <w:ind w:right="80"/>
              <w:spacing w:after="0"/>
              <w:rPr>
                <w:sz w:val="20"/>
                <w:szCs w:val="20"/>
                <w:color w:val="auto"/>
              </w:rPr>
            </w:pPr>
            <w:r>
              <w:rPr>
                <w:rFonts w:ascii="Arial" w:cs="Arial" w:eastAsia="Arial" w:hAnsi="Arial"/>
                <w:sz w:val="17"/>
                <w:szCs w:val="17"/>
                <w:color w:val="auto"/>
              </w:rPr>
              <w:t>73,117</w:t>
            </w:r>
          </w:p>
        </w:tc>
        <w:tc>
          <w:tcPr>
            <w:tcW w:w="1460" w:type="dxa"/>
            <w:vAlign w:val="bottom"/>
          </w:tcPr>
          <w:p>
            <w:pPr>
              <w:jc w:val="right"/>
              <w:spacing w:after="0"/>
              <w:rPr>
                <w:sz w:val="20"/>
                <w:szCs w:val="20"/>
                <w:color w:val="auto"/>
              </w:rPr>
            </w:pPr>
            <w:r>
              <w:rPr>
                <w:rFonts w:ascii="Arial" w:cs="Arial" w:eastAsia="Arial" w:hAnsi="Arial"/>
                <w:sz w:val="17"/>
                <w:szCs w:val="17"/>
                <w:color w:val="auto"/>
              </w:rPr>
              <w:t>73,117</w:t>
            </w:r>
          </w:p>
        </w:tc>
      </w:tr>
      <w:tr>
        <w:trPr>
          <w:trHeight w:val="81"/>
        </w:trPr>
        <w:tc>
          <w:tcPr>
            <w:tcW w:w="3360" w:type="dxa"/>
            <w:vAlign w:val="bottom"/>
            <w:tcBorders>
              <w:bottom w:val="single" w:sz="8" w:color="125288"/>
            </w:tcBorders>
          </w:tcPr>
          <w:p>
            <w:pPr>
              <w:spacing w:after="0"/>
              <w:rPr>
                <w:sz w:val="7"/>
                <w:szCs w:val="7"/>
                <w:color w:val="auto"/>
              </w:rPr>
            </w:pPr>
          </w:p>
        </w:tc>
        <w:tc>
          <w:tcPr>
            <w:tcW w:w="1740" w:type="dxa"/>
            <w:vAlign w:val="bottom"/>
            <w:tcBorders>
              <w:bottom w:val="single" w:sz="8" w:color="125288"/>
            </w:tcBorders>
          </w:tcPr>
          <w:p>
            <w:pPr>
              <w:spacing w:after="0"/>
              <w:rPr>
                <w:sz w:val="7"/>
                <w:szCs w:val="7"/>
                <w:color w:val="auto"/>
              </w:rPr>
            </w:pPr>
          </w:p>
        </w:tc>
        <w:tc>
          <w:tcPr>
            <w:tcW w:w="1520" w:type="dxa"/>
            <w:vAlign w:val="bottom"/>
            <w:tcBorders>
              <w:bottom w:val="single" w:sz="8" w:color="125288"/>
            </w:tcBorders>
          </w:tcPr>
          <w:p>
            <w:pPr>
              <w:spacing w:after="0"/>
              <w:rPr>
                <w:sz w:val="7"/>
                <w:szCs w:val="7"/>
                <w:color w:val="auto"/>
              </w:rPr>
            </w:pPr>
          </w:p>
        </w:tc>
        <w:tc>
          <w:tcPr>
            <w:tcW w:w="1500" w:type="dxa"/>
            <w:vAlign w:val="bottom"/>
            <w:tcBorders>
              <w:bottom w:val="single" w:sz="8" w:color="125288"/>
            </w:tcBorders>
          </w:tcPr>
          <w:p>
            <w:pPr>
              <w:spacing w:after="0"/>
              <w:rPr>
                <w:sz w:val="7"/>
                <w:szCs w:val="7"/>
                <w:color w:val="auto"/>
              </w:rPr>
            </w:pPr>
          </w:p>
        </w:tc>
        <w:tc>
          <w:tcPr>
            <w:tcW w:w="1680" w:type="dxa"/>
            <w:vAlign w:val="bottom"/>
            <w:tcBorders>
              <w:bottom w:val="single" w:sz="8" w:color="125288"/>
            </w:tcBorders>
          </w:tcPr>
          <w:p>
            <w:pPr>
              <w:spacing w:after="0"/>
              <w:rPr>
                <w:sz w:val="7"/>
                <w:szCs w:val="7"/>
                <w:color w:val="auto"/>
              </w:rPr>
            </w:pPr>
          </w:p>
        </w:tc>
        <w:tc>
          <w:tcPr>
            <w:tcW w:w="1460" w:type="dxa"/>
            <w:vAlign w:val="bottom"/>
            <w:tcBorders>
              <w:bottom w:val="single" w:sz="8" w:color="125288"/>
            </w:tcBorders>
          </w:tcPr>
          <w:p>
            <w:pPr>
              <w:spacing w:after="0"/>
              <w:rPr>
                <w:sz w:val="7"/>
                <w:szCs w:val="7"/>
                <w:color w:val="auto"/>
              </w:rPr>
            </w:pPr>
          </w:p>
        </w:tc>
      </w:tr>
      <w:tr>
        <w:trPr>
          <w:trHeight w:val="268"/>
        </w:trPr>
        <w:tc>
          <w:tcPr>
            <w:tcW w:w="3360" w:type="dxa"/>
            <w:vAlign w:val="bottom"/>
          </w:tcPr>
          <w:p>
            <w:pPr>
              <w:ind w:left="40"/>
              <w:spacing w:after="0"/>
              <w:rPr>
                <w:sz w:val="20"/>
                <w:szCs w:val="20"/>
                <w:color w:val="auto"/>
              </w:rPr>
            </w:pPr>
            <w:r>
              <w:rPr>
                <w:rFonts w:ascii="Arial" w:cs="Arial" w:eastAsia="Arial" w:hAnsi="Arial"/>
                <w:sz w:val="17"/>
                <w:szCs w:val="17"/>
                <w:color w:val="auto"/>
              </w:rPr>
              <w:t>Impact on equity awards</w:t>
            </w:r>
            <w:r>
              <w:rPr>
                <w:rFonts w:ascii="Arial" w:cs="Arial" w:eastAsia="Arial" w:hAnsi="Arial"/>
                <w:sz w:val="9"/>
                <w:szCs w:val="9"/>
                <w:color w:val="auto"/>
              </w:rPr>
              <w:t>(8)</w:t>
            </w:r>
          </w:p>
        </w:tc>
        <w:tc>
          <w:tcPr>
            <w:tcW w:w="1740" w:type="dxa"/>
            <w:vAlign w:val="bottom"/>
          </w:tcPr>
          <w:p>
            <w:pPr>
              <w:jc w:val="right"/>
              <w:ind w:right="318"/>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258"/>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80"/>
              <w:spacing w:after="0"/>
              <w:rPr>
                <w:sz w:val="20"/>
                <w:szCs w:val="20"/>
                <w:color w:val="auto"/>
              </w:rPr>
            </w:pPr>
            <w:r>
              <w:rPr>
                <w:rFonts w:ascii="Arial" w:cs="Arial" w:eastAsia="Arial" w:hAnsi="Arial"/>
                <w:sz w:val="17"/>
                <w:szCs w:val="17"/>
                <w:color w:val="auto"/>
              </w:rPr>
              <w:t>0</w:t>
            </w:r>
          </w:p>
        </w:tc>
        <w:tc>
          <w:tcPr>
            <w:tcW w:w="1680" w:type="dxa"/>
            <w:vAlign w:val="bottom"/>
          </w:tcPr>
          <w:p>
            <w:pPr>
              <w:jc w:val="right"/>
              <w:ind w:right="80"/>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81"/>
        </w:trPr>
        <w:tc>
          <w:tcPr>
            <w:tcW w:w="3360" w:type="dxa"/>
            <w:vAlign w:val="bottom"/>
            <w:tcBorders>
              <w:bottom w:val="single" w:sz="8" w:color="125288"/>
            </w:tcBorders>
          </w:tcPr>
          <w:p>
            <w:pPr>
              <w:spacing w:after="0"/>
              <w:rPr>
                <w:sz w:val="7"/>
                <w:szCs w:val="7"/>
                <w:color w:val="auto"/>
              </w:rPr>
            </w:pPr>
          </w:p>
        </w:tc>
        <w:tc>
          <w:tcPr>
            <w:tcW w:w="1740" w:type="dxa"/>
            <w:vAlign w:val="bottom"/>
            <w:tcBorders>
              <w:bottom w:val="single" w:sz="8" w:color="125288"/>
            </w:tcBorders>
          </w:tcPr>
          <w:p>
            <w:pPr>
              <w:spacing w:after="0"/>
              <w:rPr>
                <w:sz w:val="7"/>
                <w:szCs w:val="7"/>
                <w:color w:val="auto"/>
              </w:rPr>
            </w:pPr>
          </w:p>
        </w:tc>
        <w:tc>
          <w:tcPr>
            <w:tcW w:w="1520" w:type="dxa"/>
            <w:vAlign w:val="bottom"/>
            <w:tcBorders>
              <w:bottom w:val="single" w:sz="8" w:color="125288"/>
            </w:tcBorders>
          </w:tcPr>
          <w:p>
            <w:pPr>
              <w:spacing w:after="0"/>
              <w:rPr>
                <w:sz w:val="7"/>
                <w:szCs w:val="7"/>
                <w:color w:val="auto"/>
              </w:rPr>
            </w:pPr>
          </w:p>
        </w:tc>
        <w:tc>
          <w:tcPr>
            <w:tcW w:w="1500" w:type="dxa"/>
            <w:vAlign w:val="bottom"/>
            <w:tcBorders>
              <w:bottom w:val="single" w:sz="8" w:color="125288"/>
            </w:tcBorders>
          </w:tcPr>
          <w:p>
            <w:pPr>
              <w:spacing w:after="0"/>
              <w:rPr>
                <w:sz w:val="7"/>
                <w:szCs w:val="7"/>
                <w:color w:val="auto"/>
              </w:rPr>
            </w:pPr>
          </w:p>
        </w:tc>
        <w:tc>
          <w:tcPr>
            <w:tcW w:w="1680" w:type="dxa"/>
            <w:vAlign w:val="bottom"/>
            <w:tcBorders>
              <w:bottom w:val="single" w:sz="8" w:color="125288"/>
            </w:tcBorders>
          </w:tcPr>
          <w:p>
            <w:pPr>
              <w:spacing w:after="0"/>
              <w:rPr>
                <w:sz w:val="7"/>
                <w:szCs w:val="7"/>
                <w:color w:val="auto"/>
              </w:rPr>
            </w:pPr>
          </w:p>
        </w:tc>
        <w:tc>
          <w:tcPr>
            <w:tcW w:w="1460" w:type="dxa"/>
            <w:vAlign w:val="bottom"/>
            <w:tcBorders>
              <w:bottom w:val="single" w:sz="8" w:color="125288"/>
            </w:tcBorders>
          </w:tcPr>
          <w:p>
            <w:pPr>
              <w:spacing w:after="0"/>
              <w:rPr>
                <w:sz w:val="7"/>
                <w:szCs w:val="7"/>
                <w:color w:val="auto"/>
              </w:rPr>
            </w:pPr>
          </w:p>
        </w:tc>
      </w:tr>
      <w:tr>
        <w:trPr>
          <w:trHeight w:val="268"/>
        </w:trPr>
        <w:tc>
          <w:tcPr>
            <w:tcW w:w="3360" w:type="dxa"/>
            <w:vAlign w:val="bottom"/>
          </w:tcPr>
          <w:p>
            <w:pPr>
              <w:ind w:left="40"/>
              <w:spacing w:after="0"/>
              <w:rPr>
                <w:sz w:val="20"/>
                <w:szCs w:val="20"/>
                <w:color w:val="auto"/>
              </w:rPr>
            </w:pPr>
            <w:r>
              <w:rPr>
                <w:rFonts w:ascii="Arial" w:cs="Arial" w:eastAsia="Arial" w:hAnsi="Arial"/>
                <w:sz w:val="17"/>
                <w:szCs w:val="17"/>
                <w:b w:val="1"/>
                <w:bCs w:val="1"/>
                <w:color w:val="auto"/>
              </w:rPr>
              <w:t>TOTAL</w:t>
            </w:r>
          </w:p>
        </w:tc>
        <w:tc>
          <w:tcPr>
            <w:tcW w:w="1740" w:type="dxa"/>
            <w:vAlign w:val="bottom"/>
          </w:tcPr>
          <w:p>
            <w:pPr>
              <w:jc w:val="right"/>
              <w:ind w:right="318"/>
              <w:spacing w:after="0"/>
              <w:rPr>
                <w:sz w:val="20"/>
                <w:szCs w:val="20"/>
                <w:color w:val="auto"/>
              </w:rPr>
            </w:pPr>
            <w:r>
              <w:rPr>
                <w:rFonts w:ascii="Arial" w:cs="Arial" w:eastAsia="Arial" w:hAnsi="Arial"/>
                <w:sz w:val="17"/>
                <w:szCs w:val="17"/>
                <w:b w:val="1"/>
                <w:bCs w:val="1"/>
                <w:color w:val="auto"/>
              </w:rPr>
              <w:t>3,209,284</w:t>
            </w:r>
          </w:p>
        </w:tc>
        <w:tc>
          <w:tcPr>
            <w:tcW w:w="1520" w:type="dxa"/>
            <w:vAlign w:val="bottom"/>
          </w:tcPr>
          <w:p>
            <w:pPr>
              <w:jc w:val="right"/>
              <w:ind w:right="258"/>
              <w:spacing w:after="0"/>
              <w:rPr>
                <w:sz w:val="20"/>
                <w:szCs w:val="20"/>
                <w:color w:val="auto"/>
              </w:rPr>
            </w:pPr>
            <w:r>
              <w:rPr>
                <w:rFonts w:ascii="Arial" w:cs="Arial" w:eastAsia="Arial" w:hAnsi="Arial"/>
                <w:sz w:val="17"/>
                <w:szCs w:val="17"/>
                <w:b w:val="1"/>
                <w:bCs w:val="1"/>
                <w:color w:val="auto"/>
              </w:rPr>
              <w:t>3,313,596</w:t>
            </w:r>
          </w:p>
        </w:tc>
        <w:tc>
          <w:tcPr>
            <w:tcW w:w="1500" w:type="dxa"/>
            <w:vAlign w:val="bottom"/>
          </w:tcPr>
          <w:p>
            <w:pPr>
              <w:jc w:val="right"/>
              <w:ind w:right="80"/>
              <w:spacing w:after="0"/>
              <w:rPr>
                <w:sz w:val="20"/>
                <w:szCs w:val="20"/>
                <w:color w:val="auto"/>
              </w:rPr>
            </w:pPr>
            <w:r>
              <w:rPr>
                <w:rFonts w:ascii="Arial" w:cs="Arial" w:eastAsia="Arial" w:hAnsi="Arial"/>
                <w:sz w:val="17"/>
                <w:szCs w:val="17"/>
                <w:b w:val="1"/>
                <w:bCs w:val="1"/>
                <w:color w:val="auto"/>
              </w:rPr>
              <w:t>41,812</w:t>
            </w:r>
          </w:p>
        </w:tc>
        <w:tc>
          <w:tcPr>
            <w:tcW w:w="1680" w:type="dxa"/>
            <w:vAlign w:val="bottom"/>
          </w:tcPr>
          <w:p>
            <w:pPr>
              <w:jc w:val="right"/>
              <w:ind w:right="80"/>
              <w:spacing w:after="0"/>
              <w:rPr>
                <w:sz w:val="20"/>
                <w:szCs w:val="20"/>
                <w:color w:val="auto"/>
              </w:rPr>
            </w:pPr>
            <w:r>
              <w:rPr>
                <w:rFonts w:ascii="Arial" w:cs="Arial" w:eastAsia="Arial" w:hAnsi="Arial"/>
                <w:sz w:val="17"/>
                <w:szCs w:val="17"/>
                <w:b w:val="1"/>
                <w:bCs w:val="1"/>
                <w:color w:val="auto"/>
              </w:rPr>
              <w:t>9,652,537</w:t>
            </w:r>
          </w:p>
        </w:tc>
        <w:tc>
          <w:tcPr>
            <w:tcW w:w="1460" w:type="dxa"/>
            <w:vAlign w:val="bottom"/>
          </w:tcPr>
          <w:p>
            <w:pPr>
              <w:jc w:val="right"/>
              <w:spacing w:after="0"/>
              <w:rPr>
                <w:sz w:val="20"/>
                <w:szCs w:val="20"/>
                <w:color w:val="auto"/>
              </w:rPr>
            </w:pPr>
            <w:r>
              <w:rPr>
                <w:rFonts w:ascii="Arial" w:cs="Arial" w:eastAsia="Arial" w:hAnsi="Arial"/>
                <w:sz w:val="17"/>
                <w:szCs w:val="17"/>
                <w:b w:val="1"/>
                <w:bCs w:val="1"/>
                <w:color w:val="auto"/>
              </w:rPr>
              <w:t>14,442,247</w:t>
            </w:r>
          </w:p>
        </w:tc>
      </w:tr>
      <w:tr>
        <w:trPr>
          <w:trHeight w:val="85"/>
        </w:trPr>
        <w:tc>
          <w:tcPr>
            <w:tcW w:w="3360" w:type="dxa"/>
            <w:vAlign w:val="bottom"/>
            <w:tcBorders>
              <w:bottom w:val="single" w:sz="8" w:color="125288"/>
            </w:tcBorders>
          </w:tcPr>
          <w:p>
            <w:pPr>
              <w:spacing w:after="0"/>
              <w:rPr>
                <w:sz w:val="7"/>
                <w:szCs w:val="7"/>
                <w:color w:val="auto"/>
              </w:rPr>
            </w:pPr>
          </w:p>
        </w:tc>
        <w:tc>
          <w:tcPr>
            <w:tcW w:w="1740" w:type="dxa"/>
            <w:vAlign w:val="bottom"/>
            <w:tcBorders>
              <w:bottom w:val="single" w:sz="8" w:color="125288"/>
            </w:tcBorders>
          </w:tcPr>
          <w:p>
            <w:pPr>
              <w:spacing w:after="0"/>
              <w:rPr>
                <w:sz w:val="7"/>
                <w:szCs w:val="7"/>
                <w:color w:val="auto"/>
              </w:rPr>
            </w:pPr>
          </w:p>
        </w:tc>
        <w:tc>
          <w:tcPr>
            <w:tcW w:w="1520" w:type="dxa"/>
            <w:vAlign w:val="bottom"/>
            <w:tcBorders>
              <w:bottom w:val="single" w:sz="8" w:color="125288"/>
            </w:tcBorders>
          </w:tcPr>
          <w:p>
            <w:pPr>
              <w:spacing w:after="0"/>
              <w:rPr>
                <w:sz w:val="7"/>
                <w:szCs w:val="7"/>
                <w:color w:val="auto"/>
              </w:rPr>
            </w:pPr>
          </w:p>
        </w:tc>
        <w:tc>
          <w:tcPr>
            <w:tcW w:w="1500" w:type="dxa"/>
            <w:vAlign w:val="bottom"/>
            <w:tcBorders>
              <w:bottom w:val="single" w:sz="8" w:color="125288"/>
            </w:tcBorders>
          </w:tcPr>
          <w:p>
            <w:pPr>
              <w:spacing w:after="0"/>
              <w:rPr>
                <w:sz w:val="7"/>
                <w:szCs w:val="7"/>
                <w:color w:val="auto"/>
              </w:rPr>
            </w:pPr>
          </w:p>
        </w:tc>
        <w:tc>
          <w:tcPr>
            <w:tcW w:w="1680" w:type="dxa"/>
            <w:vAlign w:val="bottom"/>
            <w:tcBorders>
              <w:bottom w:val="single" w:sz="8" w:color="125288"/>
            </w:tcBorders>
          </w:tcPr>
          <w:p>
            <w:pPr>
              <w:spacing w:after="0"/>
              <w:rPr>
                <w:sz w:val="7"/>
                <w:szCs w:val="7"/>
                <w:color w:val="auto"/>
              </w:rPr>
            </w:pPr>
          </w:p>
        </w:tc>
        <w:tc>
          <w:tcPr>
            <w:tcW w:w="1460" w:type="dxa"/>
            <w:vAlign w:val="bottom"/>
            <w:tcBorders>
              <w:bottom w:val="single" w:sz="8" w:color="125288"/>
            </w:tcBorders>
          </w:tcPr>
          <w:p>
            <w:pPr>
              <w:spacing w:after="0"/>
              <w:rPr>
                <w:sz w:val="7"/>
                <w:szCs w:val="7"/>
                <w:color w:val="auto"/>
              </w:rPr>
            </w:pPr>
          </w:p>
        </w:tc>
      </w:tr>
    </w:tbl>
    <w:p>
      <w:pPr>
        <w:spacing w:after="0" w:line="281" w:lineRule="exact"/>
        <w:rPr>
          <w:sz w:val="20"/>
          <w:szCs w:val="20"/>
          <w:color w:val="auto"/>
        </w:rPr>
      </w:pPr>
    </w:p>
    <w:p>
      <w:pPr>
        <w:ind w:left="5"/>
        <w:spacing w:after="0"/>
        <w:rPr>
          <w:sz w:val="20"/>
          <w:szCs w:val="20"/>
          <w:color w:val="auto"/>
        </w:rPr>
      </w:pPr>
      <w:r>
        <w:rPr>
          <w:rFonts w:ascii="Arial" w:cs="Arial" w:eastAsia="Arial" w:hAnsi="Arial"/>
          <w:sz w:val="20"/>
          <w:szCs w:val="20"/>
          <w:color w:val="125288"/>
        </w:rPr>
        <w:t>(1) Termination due to Death or Disability</w:t>
      </w:r>
    </w:p>
    <w:p>
      <w:pPr>
        <w:spacing w:after="0" w:line="145" w:lineRule="exact"/>
        <w:rPr>
          <w:sz w:val="20"/>
          <w:szCs w:val="20"/>
          <w:color w:val="auto"/>
        </w:rPr>
      </w:pPr>
    </w:p>
    <w:p>
      <w:pPr>
        <w:ind w:left="5"/>
        <w:spacing w:after="0"/>
        <w:rPr>
          <w:sz w:val="20"/>
          <w:szCs w:val="20"/>
          <w:color w:val="auto"/>
        </w:rPr>
      </w:pPr>
      <w:r>
        <w:rPr>
          <w:rFonts w:ascii="Arial" w:cs="Arial" w:eastAsia="Arial" w:hAnsi="Arial"/>
          <w:sz w:val="19"/>
          <w:szCs w:val="19"/>
          <w:color w:val="auto"/>
        </w:rPr>
        <w:t>Upon a termination due to death or disability (which termination due to disability is subject to certain advance notice requirements),</w:t>
      </w:r>
    </w:p>
    <w:p>
      <w:pPr>
        <w:ind w:left="5"/>
        <w:spacing w:after="0"/>
        <w:rPr>
          <w:sz w:val="20"/>
          <w:szCs w:val="20"/>
          <w:color w:val="auto"/>
        </w:rPr>
      </w:pPr>
      <w:r>
        <w:rPr>
          <w:rFonts w:ascii="Arial" w:cs="Arial" w:eastAsia="Arial" w:hAnsi="Arial"/>
          <w:sz w:val="19"/>
          <w:szCs w:val="19"/>
          <w:color w:val="auto"/>
        </w:rPr>
        <w:t>Mr. Kotick would have received:</w:t>
      </w:r>
    </w:p>
    <w:p>
      <w:pPr>
        <w:spacing w:after="0" w:line="138" w:lineRule="exact"/>
        <w:rPr>
          <w:sz w:val="20"/>
          <w:szCs w:val="20"/>
          <w:color w:val="auto"/>
        </w:rPr>
      </w:pPr>
    </w:p>
    <w:p>
      <w:pPr>
        <w:ind w:left="145" w:hanging="145"/>
        <w:spacing w:after="0"/>
        <w:tabs>
          <w:tab w:leader="none" w:pos="145" w:val="left"/>
        </w:tabs>
        <w:numPr>
          <w:ilvl w:val="0"/>
          <w:numId w:val="118"/>
        </w:numPr>
        <w:rPr>
          <w:rFonts w:ascii="Arial" w:cs="Arial" w:eastAsia="Arial" w:hAnsi="Arial"/>
          <w:sz w:val="19"/>
          <w:szCs w:val="19"/>
          <w:color w:val="125288"/>
        </w:rPr>
      </w:pPr>
      <w:r>
        <w:rPr>
          <w:rFonts w:ascii="Arial" w:cs="Arial" w:eastAsia="Arial" w:hAnsi="Arial"/>
          <w:sz w:val="19"/>
          <w:szCs w:val="19"/>
          <w:color w:val="auto"/>
        </w:rPr>
        <w:t>any earned but unpaid bonuses for prior years (of which there were none as of December 31, 2021);</w:t>
      </w:r>
    </w:p>
    <w:p>
      <w:pPr>
        <w:spacing w:after="0" w:line="138"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118"/>
        </w:numPr>
        <w:rPr>
          <w:rFonts w:ascii="Arial" w:cs="Arial" w:eastAsia="Arial" w:hAnsi="Arial"/>
          <w:sz w:val="19"/>
          <w:szCs w:val="19"/>
          <w:color w:val="125288"/>
        </w:rPr>
      </w:pPr>
      <w:r>
        <w:rPr>
          <w:rFonts w:ascii="Arial" w:cs="Arial" w:eastAsia="Arial" w:hAnsi="Arial"/>
          <w:sz w:val="19"/>
          <w:szCs w:val="19"/>
          <w:color w:val="auto"/>
        </w:rPr>
        <w:t>an amount equal to the bonus he received under the CAIP for the year immediately preceding the year in which the termination occurs, prorated to reflect the number of days worked during the year in which the termination occurs;</w:t>
      </w:r>
    </w:p>
    <w:p>
      <w:pPr>
        <w:spacing w:after="0" w:line="124"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118"/>
        </w:numPr>
        <w:rPr>
          <w:rFonts w:ascii="Arial" w:cs="Arial" w:eastAsia="Arial" w:hAnsi="Arial"/>
          <w:sz w:val="19"/>
          <w:szCs w:val="19"/>
          <w:color w:val="125288"/>
        </w:rPr>
      </w:pPr>
      <w:r>
        <w:rPr>
          <w:rFonts w:ascii="Arial" w:cs="Arial" w:eastAsia="Arial" w:hAnsi="Arial"/>
          <w:sz w:val="19"/>
          <w:szCs w:val="19"/>
          <w:color w:val="auto"/>
        </w:rPr>
        <w:t>immediate vesting of his stock options (of which there were none that were unvested as of December 31, 2021), which would have remained exercisable for five years or, if earlier, until their original expiration date;</w:t>
      </w:r>
    </w:p>
    <w:p>
      <w:pPr>
        <w:spacing w:after="0" w:line="124"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118"/>
        </w:numPr>
        <w:rPr>
          <w:rFonts w:ascii="Arial" w:cs="Arial" w:eastAsia="Arial" w:hAnsi="Arial"/>
          <w:sz w:val="19"/>
          <w:szCs w:val="19"/>
          <w:color w:val="125288"/>
        </w:rPr>
      </w:pPr>
      <w:r>
        <w:rPr>
          <w:rFonts w:ascii="Arial" w:cs="Arial" w:eastAsia="Arial" w:hAnsi="Arial"/>
          <w:sz w:val="19"/>
          <w:szCs w:val="19"/>
          <w:color w:val="auto"/>
        </w:rPr>
        <w:t>continued vesting of his unvested PSUs (of which there were none as of December 31, 2021), based on the actual attainment of the underlying performance targets, as if his employment had not been terminated; and</w:t>
      </w:r>
    </w:p>
    <w:p>
      <w:pPr>
        <w:spacing w:after="0" w:line="124"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118"/>
        </w:numPr>
        <w:rPr>
          <w:rFonts w:ascii="Arial" w:cs="Arial" w:eastAsia="Arial" w:hAnsi="Arial"/>
          <w:sz w:val="19"/>
          <w:szCs w:val="19"/>
          <w:color w:val="125288"/>
        </w:rPr>
      </w:pPr>
      <w:r>
        <w:rPr>
          <w:rFonts w:ascii="Arial" w:cs="Arial" w:eastAsia="Arial" w:hAnsi="Arial"/>
          <w:sz w:val="19"/>
          <w:szCs w:val="19"/>
          <w:color w:val="auto"/>
        </w:rPr>
        <w:t>continuation of health/medical insurance benefits for him and his then-current spouse and minor children, if any, for a period of two years following his termination date.</w:t>
      </w:r>
    </w:p>
    <w:p>
      <w:pPr>
        <w:spacing w:after="0" w:line="150" w:lineRule="exact"/>
        <w:rPr>
          <w:sz w:val="20"/>
          <w:szCs w:val="20"/>
          <w:color w:val="auto"/>
        </w:rPr>
      </w:pPr>
    </w:p>
    <w:p>
      <w:pPr>
        <w:ind w:left="5"/>
        <w:spacing w:after="0"/>
        <w:tabs>
          <w:tab w:leader="none" w:pos="7364" w:val="left"/>
          <w:tab w:leader="none" w:pos="9384" w:val="left"/>
          <w:tab w:leader="none" w:pos="1100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bookmarkStart w:id="121" w:name="page122"/>
    <w:bookmarkEnd w:id="121"/>
    <w:p>
      <w:pPr>
        <w:ind w:left="5"/>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35" w:lineRule="exact"/>
        <w:rPr>
          <w:sz w:val="20"/>
          <w:szCs w:val="20"/>
          <w:color w:val="auto"/>
        </w:rPr>
      </w:pPr>
    </w:p>
    <w:p>
      <w:pPr>
        <w:ind w:left="5"/>
        <w:spacing w:after="0"/>
        <w:rPr>
          <w:sz w:val="20"/>
          <w:szCs w:val="20"/>
          <w:color w:val="auto"/>
        </w:rPr>
      </w:pPr>
      <w:r>
        <w:rPr>
          <w:rFonts w:ascii="Arial" w:cs="Arial" w:eastAsia="Arial" w:hAnsi="Arial"/>
          <w:sz w:val="19"/>
          <w:szCs w:val="19"/>
          <w:color w:val="auto"/>
        </w:rPr>
        <w:t>Upon a termination due to disability, Mr. Kotick would also have received:</w:t>
      </w:r>
    </w:p>
    <w:p>
      <w:pPr>
        <w:spacing w:after="0" w:line="138" w:lineRule="exact"/>
        <w:rPr>
          <w:sz w:val="20"/>
          <w:szCs w:val="20"/>
          <w:color w:val="auto"/>
        </w:rPr>
      </w:pPr>
    </w:p>
    <w:p>
      <w:pPr>
        <w:ind w:left="145" w:right="40" w:hanging="145"/>
        <w:spacing w:after="0" w:line="245" w:lineRule="auto"/>
        <w:tabs>
          <w:tab w:leader="none" w:pos="145" w:val="left"/>
        </w:tabs>
        <w:numPr>
          <w:ilvl w:val="0"/>
          <w:numId w:val="119"/>
        </w:numPr>
        <w:rPr>
          <w:rFonts w:ascii="Arial" w:cs="Arial" w:eastAsia="Arial" w:hAnsi="Arial"/>
          <w:sz w:val="19"/>
          <w:szCs w:val="19"/>
          <w:color w:val="125288"/>
        </w:rPr>
      </w:pPr>
      <w:r>
        <w:rPr>
          <w:rFonts w:ascii="Arial" w:cs="Arial" w:eastAsia="Arial" w:hAnsi="Arial"/>
          <w:sz w:val="19"/>
          <w:szCs w:val="19"/>
          <w:color w:val="auto"/>
        </w:rPr>
        <w:t>an amount equal to 100% of his annual base salary (at the rate in effect on his termination date), payable in equal installments over the 12-month period following his termination date; and</w:t>
      </w:r>
    </w:p>
    <w:p>
      <w:pPr>
        <w:spacing w:after="0" w:line="124" w:lineRule="exact"/>
        <w:rPr>
          <w:rFonts w:ascii="Arial" w:cs="Arial" w:eastAsia="Arial" w:hAnsi="Arial"/>
          <w:sz w:val="19"/>
          <w:szCs w:val="19"/>
          <w:color w:val="125288"/>
        </w:rPr>
      </w:pPr>
    </w:p>
    <w:p>
      <w:pPr>
        <w:jc w:val="both"/>
        <w:ind w:left="145" w:right="40" w:hanging="145"/>
        <w:spacing w:after="0"/>
        <w:tabs>
          <w:tab w:leader="none" w:pos="145" w:val="left"/>
        </w:tabs>
        <w:numPr>
          <w:ilvl w:val="0"/>
          <w:numId w:val="119"/>
        </w:numPr>
        <w:rPr>
          <w:rFonts w:ascii="Arial" w:cs="Arial" w:eastAsia="Arial" w:hAnsi="Arial"/>
          <w:sz w:val="19"/>
          <w:szCs w:val="19"/>
          <w:color w:val="125288"/>
        </w:rPr>
      </w:pPr>
      <w:r>
        <w:rPr>
          <w:rFonts w:ascii="Arial" w:cs="Arial" w:eastAsia="Arial" w:hAnsi="Arial"/>
          <w:sz w:val="19"/>
          <w:szCs w:val="19"/>
          <w:color w:val="auto"/>
        </w:rPr>
        <w:t>continuation of his supplemental life insurance benefits via our reimbursement of the premiums in respect of his existing policy through its expiration on March 15, 2022, and our reimbursement of up to $80,000 per year of premiums in respect of his then-existing policies from March 16, 2022, until the tenth anniversary of his employment agreement (i.e., October 1, 2026).</w:t>
      </w:r>
    </w:p>
    <w:p>
      <w:pPr>
        <w:spacing w:after="0" w:line="261" w:lineRule="exact"/>
        <w:rPr>
          <w:sz w:val="20"/>
          <w:szCs w:val="20"/>
          <w:color w:val="auto"/>
        </w:rPr>
      </w:pPr>
    </w:p>
    <w:p>
      <w:pPr>
        <w:ind w:left="5"/>
        <w:spacing w:after="0"/>
        <w:rPr>
          <w:sz w:val="20"/>
          <w:szCs w:val="20"/>
          <w:color w:val="auto"/>
        </w:rPr>
      </w:pPr>
      <w:r>
        <w:rPr>
          <w:rFonts w:ascii="Arial" w:cs="Arial" w:eastAsia="Arial" w:hAnsi="Arial"/>
          <w:sz w:val="20"/>
          <w:szCs w:val="20"/>
          <w:color w:val="125288"/>
        </w:rPr>
        <w:t>(2) Termination for Cause</w:t>
      </w:r>
    </w:p>
    <w:p>
      <w:pPr>
        <w:spacing w:after="0" w:line="145" w:lineRule="exact"/>
        <w:rPr>
          <w:sz w:val="20"/>
          <w:szCs w:val="20"/>
          <w:color w:val="auto"/>
        </w:rPr>
      </w:pPr>
    </w:p>
    <w:p>
      <w:pPr>
        <w:ind w:left="5"/>
        <w:spacing w:after="0"/>
        <w:rPr>
          <w:sz w:val="20"/>
          <w:szCs w:val="20"/>
          <w:color w:val="auto"/>
        </w:rPr>
      </w:pPr>
      <w:r>
        <w:rPr>
          <w:rFonts w:ascii="Arial" w:cs="Arial" w:eastAsia="Arial" w:hAnsi="Arial"/>
          <w:sz w:val="19"/>
          <w:szCs w:val="19"/>
          <w:color w:val="auto"/>
        </w:rPr>
        <w:t>Upon a termination for cause, all of Mr. Kotick’s unvested equity and vested but unexercised options would have been forfeited. Mr.</w:t>
      </w:r>
    </w:p>
    <w:p>
      <w:pPr>
        <w:ind w:left="5"/>
        <w:spacing w:after="0"/>
        <w:rPr>
          <w:sz w:val="20"/>
          <w:szCs w:val="20"/>
          <w:color w:val="auto"/>
        </w:rPr>
      </w:pPr>
      <w:r>
        <w:rPr>
          <w:rFonts w:ascii="Arial" w:cs="Arial" w:eastAsia="Arial" w:hAnsi="Arial"/>
          <w:sz w:val="19"/>
          <w:szCs w:val="19"/>
          <w:color w:val="auto"/>
        </w:rPr>
        <w:t>Kotick would have received:</w:t>
      </w:r>
    </w:p>
    <w:p>
      <w:pPr>
        <w:spacing w:after="0" w:line="138" w:lineRule="exact"/>
        <w:rPr>
          <w:sz w:val="20"/>
          <w:szCs w:val="20"/>
          <w:color w:val="auto"/>
        </w:rPr>
      </w:pPr>
    </w:p>
    <w:p>
      <w:pPr>
        <w:ind w:left="145" w:hanging="145"/>
        <w:spacing w:after="0"/>
        <w:tabs>
          <w:tab w:leader="none" w:pos="145" w:val="left"/>
        </w:tabs>
        <w:numPr>
          <w:ilvl w:val="0"/>
          <w:numId w:val="120"/>
        </w:numPr>
        <w:rPr>
          <w:rFonts w:ascii="Arial" w:cs="Arial" w:eastAsia="Arial" w:hAnsi="Arial"/>
          <w:sz w:val="19"/>
          <w:szCs w:val="19"/>
          <w:color w:val="125288"/>
        </w:rPr>
      </w:pPr>
      <w:r>
        <w:rPr>
          <w:rFonts w:ascii="Arial" w:cs="Arial" w:eastAsia="Arial" w:hAnsi="Arial"/>
          <w:sz w:val="19"/>
          <w:szCs w:val="19"/>
          <w:color w:val="auto"/>
        </w:rPr>
        <w:t>any earned but unpaid bonuses for prior years (of which there were none as of December 31, 2021); and</w:t>
      </w:r>
    </w:p>
    <w:p>
      <w:pPr>
        <w:spacing w:after="0" w:line="138" w:lineRule="exact"/>
        <w:rPr>
          <w:rFonts w:ascii="Arial" w:cs="Arial" w:eastAsia="Arial" w:hAnsi="Arial"/>
          <w:sz w:val="19"/>
          <w:szCs w:val="19"/>
          <w:color w:val="125288"/>
        </w:rPr>
      </w:pPr>
    </w:p>
    <w:p>
      <w:pPr>
        <w:jc w:val="both"/>
        <w:ind w:left="145" w:right="40" w:hanging="145"/>
        <w:spacing w:after="0"/>
        <w:tabs>
          <w:tab w:leader="none" w:pos="145" w:val="left"/>
        </w:tabs>
        <w:numPr>
          <w:ilvl w:val="0"/>
          <w:numId w:val="120"/>
        </w:numPr>
        <w:rPr>
          <w:rFonts w:ascii="Arial" w:cs="Arial" w:eastAsia="Arial" w:hAnsi="Arial"/>
          <w:sz w:val="19"/>
          <w:szCs w:val="19"/>
          <w:color w:val="125288"/>
        </w:rPr>
      </w:pPr>
      <w:r>
        <w:rPr>
          <w:rFonts w:ascii="Arial" w:cs="Arial" w:eastAsia="Arial" w:hAnsi="Arial"/>
          <w:sz w:val="19"/>
          <w:szCs w:val="19"/>
          <w:color w:val="auto"/>
        </w:rPr>
        <w:t>continuation of his supplemental life insurance benefits via our reimbursement of the premiums in respect of his existing policy through its expiration on March 15, 2022, and our reimbursement of up to $80,000 per year of premiums in respect of his then-existing policies from March 16, 2022, until the tenth anniversary of his employment agreement (i.e., October 1, 2026).</w:t>
      </w:r>
    </w:p>
    <w:p>
      <w:pPr>
        <w:spacing w:after="0" w:line="260" w:lineRule="exact"/>
        <w:rPr>
          <w:sz w:val="20"/>
          <w:szCs w:val="20"/>
          <w:color w:val="auto"/>
        </w:rPr>
      </w:pPr>
    </w:p>
    <w:p>
      <w:pPr>
        <w:jc w:val="both"/>
        <w:ind w:left="5"/>
        <w:spacing w:after="0" w:line="237" w:lineRule="auto"/>
        <w:rPr>
          <w:sz w:val="20"/>
          <w:szCs w:val="20"/>
          <w:color w:val="auto"/>
        </w:rPr>
      </w:pPr>
      <w:r>
        <w:rPr>
          <w:rFonts w:ascii="Arial" w:cs="Arial" w:eastAsia="Arial" w:hAnsi="Arial"/>
          <w:sz w:val="19"/>
          <w:szCs w:val="19"/>
          <w:color w:val="auto"/>
        </w:rPr>
        <w:t>Under the Kotick Employment Agreement, “cause” means a determination by our Board that Mr. Kotick: (1) engaged in an act of fraud or embezzlement in respect of us or our funds, properties, or assets; (2) was convicted of, or pled guilty or nolo contendere to, a felony under the laws of the U.S. or any state thereof; (3) engaged in willful misconduct or gross negligence in connection with the performance of his duties that has caused or is highly likely to cause severe harm to us; (4) was intentionally dishonest in the performance of his duties under his employment agreement and such dishonesty had a material adverse effect on us; or (5) materially breached his material obligations under his employment agreement.</w:t>
      </w:r>
    </w:p>
    <w:p>
      <w:pPr>
        <w:spacing w:after="0" w:line="169" w:lineRule="exact"/>
        <w:rPr>
          <w:sz w:val="20"/>
          <w:szCs w:val="20"/>
          <w:color w:val="auto"/>
        </w:rPr>
      </w:pPr>
    </w:p>
    <w:p>
      <w:pPr>
        <w:ind w:left="5"/>
        <w:spacing w:after="0"/>
        <w:rPr>
          <w:sz w:val="20"/>
          <w:szCs w:val="20"/>
          <w:color w:val="auto"/>
        </w:rPr>
      </w:pPr>
      <w:r>
        <w:rPr>
          <w:rFonts w:ascii="Arial" w:cs="Arial" w:eastAsia="Arial" w:hAnsi="Arial"/>
          <w:sz w:val="20"/>
          <w:szCs w:val="20"/>
          <w:color w:val="125288"/>
        </w:rPr>
        <w:t>(3) Termination Without Cause or for Good Reason</w:t>
      </w:r>
    </w:p>
    <w:p>
      <w:pPr>
        <w:spacing w:after="0" w:line="149" w:lineRule="exact"/>
        <w:rPr>
          <w:sz w:val="20"/>
          <w:szCs w:val="20"/>
          <w:color w:val="auto"/>
        </w:rPr>
      </w:pPr>
    </w:p>
    <w:p>
      <w:pPr>
        <w:jc w:val="both"/>
        <w:ind w:left="5"/>
        <w:spacing w:after="0" w:line="245" w:lineRule="auto"/>
        <w:rPr>
          <w:sz w:val="20"/>
          <w:szCs w:val="20"/>
          <w:color w:val="auto"/>
        </w:rPr>
      </w:pPr>
      <w:r>
        <w:rPr>
          <w:rFonts w:ascii="Arial" w:cs="Arial" w:eastAsia="Arial" w:hAnsi="Arial"/>
          <w:sz w:val="19"/>
          <w:szCs w:val="19"/>
          <w:color w:val="auto"/>
        </w:rPr>
        <w:t>Upon a termination of employment by us without cause or by him for good reason, other than during the 12-month period following a change of control, Mr. Kotick would have received:</w:t>
      </w:r>
    </w:p>
    <w:p>
      <w:pPr>
        <w:spacing w:after="0" w:line="125" w:lineRule="exact"/>
        <w:rPr>
          <w:sz w:val="20"/>
          <w:szCs w:val="20"/>
          <w:color w:val="auto"/>
        </w:rPr>
      </w:pPr>
    </w:p>
    <w:p>
      <w:pPr>
        <w:ind w:left="145" w:hanging="145"/>
        <w:spacing w:after="0"/>
        <w:tabs>
          <w:tab w:leader="none" w:pos="145" w:val="left"/>
        </w:tabs>
        <w:numPr>
          <w:ilvl w:val="0"/>
          <w:numId w:val="121"/>
        </w:numPr>
        <w:rPr>
          <w:rFonts w:ascii="Arial" w:cs="Arial" w:eastAsia="Arial" w:hAnsi="Arial"/>
          <w:sz w:val="19"/>
          <w:szCs w:val="19"/>
          <w:color w:val="125288"/>
        </w:rPr>
      </w:pPr>
      <w:r>
        <w:rPr>
          <w:rFonts w:ascii="Arial" w:cs="Arial" w:eastAsia="Arial" w:hAnsi="Arial"/>
          <w:sz w:val="19"/>
          <w:szCs w:val="19"/>
          <w:color w:val="auto"/>
        </w:rPr>
        <w:t>any earned but unpaid bonuses for prior years (of which there were none as of December 31, 2021);</w:t>
      </w:r>
    </w:p>
    <w:p>
      <w:pPr>
        <w:spacing w:after="0" w:line="138"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121"/>
        </w:numPr>
        <w:rPr>
          <w:rFonts w:ascii="Arial" w:cs="Arial" w:eastAsia="Arial" w:hAnsi="Arial"/>
          <w:sz w:val="19"/>
          <w:szCs w:val="19"/>
          <w:color w:val="125288"/>
        </w:rPr>
      </w:pPr>
      <w:r>
        <w:rPr>
          <w:rFonts w:ascii="Arial" w:cs="Arial" w:eastAsia="Arial" w:hAnsi="Arial"/>
          <w:sz w:val="19"/>
          <w:szCs w:val="19"/>
          <w:color w:val="auto"/>
        </w:rPr>
        <w:t>a bonus under the CAIP for the year in which the termination occurred based on actual performance (of which there was none as of December 31, 2021), prorated to reflect the number of days worked during the year in which the termination occurs;</w:t>
      </w:r>
    </w:p>
    <w:p>
      <w:pPr>
        <w:spacing w:after="0" w:line="124" w:lineRule="exact"/>
        <w:rPr>
          <w:rFonts w:ascii="Arial" w:cs="Arial" w:eastAsia="Arial" w:hAnsi="Arial"/>
          <w:sz w:val="19"/>
          <w:szCs w:val="19"/>
          <w:color w:val="125288"/>
        </w:rPr>
      </w:pPr>
    </w:p>
    <w:p>
      <w:pPr>
        <w:jc w:val="both"/>
        <w:ind w:left="145" w:right="40" w:hanging="145"/>
        <w:spacing w:after="0"/>
        <w:tabs>
          <w:tab w:leader="none" w:pos="145" w:val="left"/>
        </w:tabs>
        <w:numPr>
          <w:ilvl w:val="0"/>
          <w:numId w:val="121"/>
        </w:numPr>
        <w:rPr>
          <w:rFonts w:ascii="Arial" w:cs="Arial" w:eastAsia="Arial" w:hAnsi="Arial"/>
          <w:sz w:val="19"/>
          <w:szCs w:val="19"/>
          <w:color w:val="125288"/>
        </w:rPr>
      </w:pPr>
      <w:r>
        <w:rPr>
          <w:rFonts w:ascii="Arial" w:cs="Arial" w:eastAsia="Arial" w:hAnsi="Arial"/>
          <w:sz w:val="19"/>
          <w:szCs w:val="19"/>
          <w:color w:val="auto"/>
        </w:rPr>
        <w:t>an amount equal to 200% of the sum of (1) his base salary (at the rate in effect on his termination date), and (2) his target annual bonus for 2016, the year in which the term of his employment under the Kotick Employment Agreement began (which was $4,727,210), payable in equal installments over the 12-month period following his termination date;</w:t>
      </w:r>
    </w:p>
    <w:p>
      <w:pPr>
        <w:spacing w:after="0" w:line="129"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121"/>
        </w:numPr>
        <w:rPr>
          <w:rFonts w:ascii="Arial" w:cs="Arial" w:eastAsia="Arial" w:hAnsi="Arial"/>
          <w:sz w:val="19"/>
          <w:szCs w:val="19"/>
          <w:color w:val="125288"/>
        </w:rPr>
      </w:pPr>
      <w:r>
        <w:rPr>
          <w:rFonts w:ascii="Arial" w:cs="Arial" w:eastAsia="Arial" w:hAnsi="Arial"/>
          <w:sz w:val="19"/>
          <w:szCs w:val="19"/>
          <w:color w:val="auto"/>
        </w:rPr>
        <w:t>immediate vesting of his stock options (of which there were none that were unvested as of December 31, 2021), which would have remained exercisable for five years or, if earlier, until their original expiration date;</w:t>
      </w:r>
    </w:p>
    <w:p>
      <w:pPr>
        <w:spacing w:after="0" w:line="124"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121"/>
        </w:numPr>
        <w:rPr>
          <w:rFonts w:ascii="Arial" w:cs="Arial" w:eastAsia="Arial" w:hAnsi="Arial"/>
          <w:sz w:val="19"/>
          <w:szCs w:val="19"/>
          <w:color w:val="125288"/>
        </w:rPr>
      </w:pPr>
      <w:r>
        <w:rPr>
          <w:rFonts w:ascii="Arial" w:cs="Arial" w:eastAsia="Arial" w:hAnsi="Arial"/>
          <w:sz w:val="19"/>
          <w:szCs w:val="19"/>
          <w:color w:val="auto"/>
        </w:rPr>
        <w:t>continued vesting of his unvested PSUs (of which there were none as of December 31, 2021), based on the actual attainment of the underlying performance targets, as if his employment had not been terminated;</w:t>
      </w:r>
    </w:p>
    <w:p>
      <w:pPr>
        <w:spacing w:after="0" w:line="124"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121"/>
        </w:numPr>
        <w:rPr>
          <w:rFonts w:ascii="Arial" w:cs="Arial" w:eastAsia="Arial" w:hAnsi="Arial"/>
          <w:sz w:val="19"/>
          <w:szCs w:val="19"/>
          <w:color w:val="125288"/>
        </w:rPr>
      </w:pPr>
      <w:r>
        <w:rPr>
          <w:rFonts w:ascii="Arial" w:cs="Arial" w:eastAsia="Arial" w:hAnsi="Arial"/>
          <w:sz w:val="19"/>
          <w:szCs w:val="19"/>
          <w:color w:val="auto"/>
        </w:rPr>
        <w:t>continuation of health/medical insurance benefits for him and his then-current spouse and minor children, if any, for a period of two years following his termination date; and</w:t>
      </w:r>
    </w:p>
    <w:p>
      <w:pPr>
        <w:spacing w:after="0" w:line="124" w:lineRule="exact"/>
        <w:rPr>
          <w:rFonts w:ascii="Arial" w:cs="Arial" w:eastAsia="Arial" w:hAnsi="Arial"/>
          <w:sz w:val="19"/>
          <w:szCs w:val="19"/>
          <w:color w:val="125288"/>
        </w:rPr>
      </w:pPr>
    </w:p>
    <w:p>
      <w:pPr>
        <w:jc w:val="both"/>
        <w:ind w:left="145" w:right="40" w:hanging="145"/>
        <w:spacing w:after="0"/>
        <w:tabs>
          <w:tab w:leader="none" w:pos="145" w:val="left"/>
        </w:tabs>
        <w:numPr>
          <w:ilvl w:val="0"/>
          <w:numId w:val="121"/>
        </w:numPr>
        <w:rPr>
          <w:rFonts w:ascii="Arial" w:cs="Arial" w:eastAsia="Arial" w:hAnsi="Arial"/>
          <w:sz w:val="19"/>
          <w:szCs w:val="19"/>
          <w:color w:val="125288"/>
        </w:rPr>
      </w:pPr>
      <w:r>
        <w:rPr>
          <w:rFonts w:ascii="Arial" w:cs="Arial" w:eastAsia="Arial" w:hAnsi="Arial"/>
          <w:sz w:val="19"/>
          <w:szCs w:val="19"/>
          <w:color w:val="auto"/>
        </w:rPr>
        <w:t>continuation of his supplemental life insurance benefits via our reimbursement of the premiums in respect of his existing policy through its expiration on March 15, 2022, and our reimbursement of up to $80,000 per year of premiums in respect of his then-existing policies from March 16, 2022, until the tenth anniversary of his employment agreement (i.e., October 1, 2026).</w:t>
      </w:r>
    </w:p>
    <w:p>
      <w:pPr>
        <w:spacing w:after="0" w:line="154" w:lineRule="exact"/>
        <w:rPr>
          <w:sz w:val="20"/>
          <w:szCs w:val="20"/>
          <w:color w:val="auto"/>
        </w:rPr>
      </w:pPr>
    </w:p>
    <w:p>
      <w:pPr>
        <w:ind w:left="5"/>
        <w:spacing w:after="0"/>
        <w:tabs>
          <w:tab w:leader="none" w:pos="7364" w:val="left"/>
          <w:tab w:leader="none" w:pos="9384" w:val="left"/>
          <w:tab w:leader="none" w:pos="1100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bookmarkStart w:id="122" w:name="page123"/>
    <w:bookmarkEnd w:id="122"/>
    <w:p>
      <w:pPr>
        <w:ind w:left="5"/>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35" w:lineRule="exact"/>
        <w:rPr>
          <w:sz w:val="20"/>
          <w:szCs w:val="20"/>
          <w:color w:val="auto"/>
        </w:rPr>
      </w:pPr>
    </w:p>
    <w:p>
      <w:pPr>
        <w:jc w:val="both"/>
        <w:ind w:left="5"/>
        <w:spacing w:after="0" w:line="236" w:lineRule="auto"/>
        <w:rPr>
          <w:sz w:val="20"/>
          <w:szCs w:val="20"/>
          <w:color w:val="auto"/>
        </w:rPr>
      </w:pPr>
      <w:r>
        <w:rPr>
          <w:rFonts w:ascii="Arial" w:cs="Arial" w:eastAsia="Arial" w:hAnsi="Arial"/>
          <w:sz w:val="19"/>
          <w:szCs w:val="19"/>
          <w:color w:val="auto"/>
        </w:rPr>
        <w:t>Under the Kotick Employment Agreement, subject to certain advance notice requirements and our right to cure, “good reason” means the occurrence of any of the following without Mr. Kotick’s consent: (1) a reduction in his base salary or target annual bonus; (2) a material reduction in certain benefits to which he is contractually entitled; (3) the assignment to him of any duties materially inconsistent with his position, duties, responsibilities, authority, or status with us or a material adverse change in his duties, responsibilities, authorities, reporting responsibilities, titles, or offices as in effect before such assignment or change (including his ceasing to have the title of Chief Executive Officer of Activision Blizzard (or, following a change of control, our successor or ultimate parent entity)); (4) his failure to be nominated for election as a member of our Board; (5) our material breach or failure to perform, when due, any of our obligations under his employment agreement; (6) any purported termination of his employment in contravention of the notice provision of his employment agreement; (7) a good faith determination by him that he is not able to discharge his duties effectively by reason of directives from our Board requiring him to perform duties not directly related to our operations; or (8) any purported termination of his employment in violation of our Bylaws.</w:t>
      </w:r>
    </w:p>
    <w:p>
      <w:pPr>
        <w:spacing w:after="0" w:line="265" w:lineRule="exact"/>
        <w:rPr>
          <w:sz w:val="20"/>
          <w:szCs w:val="20"/>
          <w:color w:val="auto"/>
        </w:rPr>
      </w:pPr>
    </w:p>
    <w:p>
      <w:pPr>
        <w:ind w:left="5"/>
        <w:spacing w:after="0"/>
        <w:rPr>
          <w:sz w:val="20"/>
          <w:szCs w:val="20"/>
          <w:color w:val="auto"/>
        </w:rPr>
      </w:pPr>
      <w:r>
        <w:rPr>
          <w:rFonts w:ascii="Arial" w:cs="Arial" w:eastAsia="Arial" w:hAnsi="Arial"/>
          <w:sz w:val="20"/>
          <w:szCs w:val="20"/>
          <w:color w:val="125288"/>
        </w:rPr>
        <w:t>(4) Termination Without Cause or for Good Reason following a Change of Control</w:t>
      </w:r>
    </w:p>
    <w:p>
      <w:pPr>
        <w:spacing w:after="0" w:line="149" w:lineRule="exact"/>
        <w:rPr>
          <w:sz w:val="20"/>
          <w:szCs w:val="20"/>
          <w:color w:val="auto"/>
        </w:rPr>
      </w:pPr>
    </w:p>
    <w:p>
      <w:pPr>
        <w:jc w:val="both"/>
        <w:ind w:left="5" w:right="20"/>
        <w:spacing w:after="0" w:line="245" w:lineRule="auto"/>
        <w:rPr>
          <w:sz w:val="20"/>
          <w:szCs w:val="20"/>
          <w:color w:val="auto"/>
        </w:rPr>
      </w:pPr>
      <w:r>
        <w:rPr>
          <w:rFonts w:ascii="Arial" w:cs="Arial" w:eastAsia="Arial" w:hAnsi="Arial"/>
          <w:sz w:val="19"/>
          <w:szCs w:val="19"/>
          <w:color w:val="auto"/>
        </w:rPr>
        <w:t>Upon a termination of employment by us without cause or by him for good reason during the 12-month period following a change of control, Mr. Kotick would have received:</w:t>
      </w:r>
    </w:p>
    <w:p>
      <w:pPr>
        <w:spacing w:after="0" w:line="125" w:lineRule="exact"/>
        <w:rPr>
          <w:sz w:val="20"/>
          <w:szCs w:val="20"/>
          <w:color w:val="auto"/>
        </w:rPr>
      </w:pPr>
    </w:p>
    <w:p>
      <w:pPr>
        <w:ind w:left="145" w:hanging="145"/>
        <w:spacing w:after="0"/>
        <w:tabs>
          <w:tab w:leader="none" w:pos="145" w:val="left"/>
        </w:tabs>
        <w:numPr>
          <w:ilvl w:val="0"/>
          <w:numId w:val="122"/>
        </w:numPr>
        <w:rPr>
          <w:rFonts w:ascii="Arial" w:cs="Arial" w:eastAsia="Arial" w:hAnsi="Arial"/>
          <w:sz w:val="19"/>
          <w:szCs w:val="19"/>
          <w:color w:val="125288"/>
        </w:rPr>
      </w:pPr>
      <w:r>
        <w:rPr>
          <w:rFonts w:ascii="Arial" w:cs="Arial" w:eastAsia="Arial" w:hAnsi="Arial"/>
          <w:sz w:val="19"/>
          <w:szCs w:val="19"/>
          <w:color w:val="auto"/>
        </w:rPr>
        <w:t>any earned but unpaid bonuses for prior years (of which there were none as of December 31, 2021);</w:t>
      </w:r>
    </w:p>
    <w:p>
      <w:pPr>
        <w:spacing w:after="0" w:line="138"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122"/>
        </w:numPr>
        <w:rPr>
          <w:rFonts w:ascii="Arial" w:cs="Arial" w:eastAsia="Arial" w:hAnsi="Arial"/>
          <w:sz w:val="19"/>
          <w:szCs w:val="19"/>
          <w:color w:val="125288"/>
        </w:rPr>
      </w:pPr>
      <w:r>
        <w:rPr>
          <w:rFonts w:ascii="Arial" w:cs="Arial" w:eastAsia="Arial" w:hAnsi="Arial"/>
          <w:sz w:val="19"/>
          <w:szCs w:val="19"/>
          <w:color w:val="auto"/>
        </w:rPr>
        <w:t>a bonus under the CAIP for the year in which the termination occurred based on actual performance (of which there was none as of December 31, 2021), prorated to reflect the number of days worked during the year in which the termination occurs;</w:t>
      </w:r>
    </w:p>
    <w:p>
      <w:pPr>
        <w:spacing w:after="0" w:line="124" w:lineRule="exact"/>
        <w:rPr>
          <w:rFonts w:ascii="Arial" w:cs="Arial" w:eastAsia="Arial" w:hAnsi="Arial"/>
          <w:sz w:val="19"/>
          <w:szCs w:val="19"/>
          <w:color w:val="125288"/>
        </w:rPr>
      </w:pPr>
    </w:p>
    <w:p>
      <w:pPr>
        <w:jc w:val="both"/>
        <w:ind w:left="145" w:right="40" w:hanging="145"/>
        <w:spacing w:after="0"/>
        <w:tabs>
          <w:tab w:leader="none" w:pos="145" w:val="left"/>
        </w:tabs>
        <w:numPr>
          <w:ilvl w:val="0"/>
          <w:numId w:val="122"/>
        </w:numPr>
        <w:rPr>
          <w:rFonts w:ascii="Arial" w:cs="Arial" w:eastAsia="Arial" w:hAnsi="Arial"/>
          <w:sz w:val="19"/>
          <w:szCs w:val="19"/>
          <w:color w:val="125288"/>
        </w:rPr>
      </w:pPr>
      <w:r>
        <w:rPr>
          <w:rFonts w:ascii="Arial" w:cs="Arial" w:eastAsia="Arial" w:hAnsi="Arial"/>
          <w:sz w:val="19"/>
          <w:szCs w:val="19"/>
          <w:color w:val="auto"/>
        </w:rPr>
        <w:t>an amount equal to 300% of the sum of (1) his base salary (at the rate in effect on his termination date) and (2) his target annual bonus for 2016, the year in which the term of his employment under the Kotick Employment Agreement began (which was $4,727,210), payable in equal installments over the 12-month period following his termination date;</w:t>
      </w:r>
    </w:p>
    <w:p>
      <w:pPr>
        <w:spacing w:after="0" w:line="129"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122"/>
        </w:numPr>
        <w:rPr>
          <w:rFonts w:ascii="Arial" w:cs="Arial" w:eastAsia="Arial" w:hAnsi="Arial"/>
          <w:sz w:val="19"/>
          <w:szCs w:val="19"/>
          <w:color w:val="125288"/>
        </w:rPr>
      </w:pPr>
      <w:r>
        <w:rPr>
          <w:rFonts w:ascii="Arial" w:cs="Arial" w:eastAsia="Arial" w:hAnsi="Arial"/>
          <w:sz w:val="19"/>
          <w:szCs w:val="19"/>
          <w:color w:val="auto"/>
        </w:rPr>
        <w:t>immediate vesting of his stock options (of which there were none that were unvested as of December 31, 2021), which would have remained exercisable until their original expiration date;</w:t>
      </w:r>
    </w:p>
    <w:p>
      <w:pPr>
        <w:spacing w:after="0" w:line="124"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122"/>
        </w:numPr>
        <w:rPr>
          <w:rFonts w:ascii="Arial" w:cs="Arial" w:eastAsia="Arial" w:hAnsi="Arial"/>
          <w:sz w:val="19"/>
          <w:szCs w:val="19"/>
          <w:color w:val="125288"/>
        </w:rPr>
      </w:pPr>
      <w:r>
        <w:rPr>
          <w:rFonts w:ascii="Arial" w:cs="Arial" w:eastAsia="Arial" w:hAnsi="Arial"/>
          <w:sz w:val="19"/>
          <w:szCs w:val="19"/>
          <w:color w:val="auto"/>
        </w:rPr>
        <w:t>continued vesting of his unvested PSUs (of which there were none as of December 31, 2021), based on the actual attainment of the underlying performance targets, as if his employment had not been terminated;</w:t>
      </w:r>
    </w:p>
    <w:p>
      <w:pPr>
        <w:spacing w:after="0" w:line="124"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122"/>
        </w:numPr>
        <w:rPr>
          <w:rFonts w:ascii="Arial" w:cs="Arial" w:eastAsia="Arial" w:hAnsi="Arial"/>
          <w:sz w:val="19"/>
          <w:szCs w:val="19"/>
          <w:color w:val="125288"/>
        </w:rPr>
      </w:pPr>
      <w:r>
        <w:rPr>
          <w:rFonts w:ascii="Arial" w:cs="Arial" w:eastAsia="Arial" w:hAnsi="Arial"/>
          <w:sz w:val="19"/>
          <w:szCs w:val="19"/>
          <w:color w:val="auto"/>
        </w:rPr>
        <w:t>continuation of health/medical insurance benefits for him and his then-current spouse and minor children, if any, for a period of two years following his termination date; and</w:t>
      </w:r>
    </w:p>
    <w:p>
      <w:pPr>
        <w:spacing w:after="0" w:line="124" w:lineRule="exact"/>
        <w:rPr>
          <w:rFonts w:ascii="Arial" w:cs="Arial" w:eastAsia="Arial" w:hAnsi="Arial"/>
          <w:sz w:val="19"/>
          <w:szCs w:val="19"/>
          <w:color w:val="125288"/>
        </w:rPr>
      </w:pPr>
    </w:p>
    <w:p>
      <w:pPr>
        <w:jc w:val="both"/>
        <w:ind w:left="145" w:right="40" w:hanging="145"/>
        <w:spacing w:after="0"/>
        <w:tabs>
          <w:tab w:leader="none" w:pos="145" w:val="left"/>
        </w:tabs>
        <w:numPr>
          <w:ilvl w:val="0"/>
          <w:numId w:val="122"/>
        </w:numPr>
        <w:rPr>
          <w:rFonts w:ascii="Arial" w:cs="Arial" w:eastAsia="Arial" w:hAnsi="Arial"/>
          <w:sz w:val="19"/>
          <w:szCs w:val="19"/>
          <w:color w:val="125288"/>
        </w:rPr>
      </w:pPr>
      <w:r>
        <w:rPr>
          <w:rFonts w:ascii="Arial" w:cs="Arial" w:eastAsia="Arial" w:hAnsi="Arial"/>
          <w:sz w:val="19"/>
          <w:szCs w:val="19"/>
          <w:color w:val="auto"/>
        </w:rPr>
        <w:t>continuation of his supplemental life insurance benefits via our reimbursement of the premiums in respect of his existing policy through its expiration on March 15, 2022, and our reimbursement of up to $80,000 per year of premiums in respect of his then-existing policies from March 16, 2022, until the tenth anniversary of his employment agreement (i.e., October 1, 2026).</w:t>
      </w:r>
    </w:p>
    <w:p>
      <w:pPr>
        <w:spacing w:after="0" w:line="177" w:lineRule="exact"/>
        <w:rPr>
          <w:sz w:val="20"/>
          <w:szCs w:val="20"/>
          <w:color w:val="auto"/>
        </w:rPr>
      </w:pPr>
    </w:p>
    <w:p>
      <w:pPr>
        <w:jc w:val="both"/>
        <w:ind w:left="5"/>
        <w:spacing w:after="0" w:line="238" w:lineRule="auto"/>
        <w:rPr>
          <w:sz w:val="20"/>
          <w:szCs w:val="20"/>
          <w:color w:val="auto"/>
        </w:rPr>
      </w:pPr>
      <w:r>
        <w:rPr>
          <w:rFonts w:ascii="Arial" w:cs="Arial" w:eastAsia="Arial" w:hAnsi="Arial"/>
          <w:sz w:val="19"/>
          <w:szCs w:val="19"/>
          <w:color w:val="auto"/>
        </w:rPr>
        <w:t>To the extent that any amount would constitute a “parachute payment” within the meaning of Section 280G of the Code and would be subject to the excise tax imposed by Section 4999 of the Code, then the payments would be payable either (A) in full, notwithstanding that some or all of such payment may be subject to such excise tax or (B) in such lesser amount that would result in no portion of such payments being subject to such excise tax, whichever of the foregoing amounts, taking into account the applicable federal, state and local income or excise taxes (including such excise tax) results in Mr. Kotick receiving the greater amount on an after-tax basis.</w:t>
      </w:r>
    </w:p>
    <w:p>
      <w:pPr>
        <w:spacing w:after="0" w:line="177" w:lineRule="exact"/>
        <w:rPr>
          <w:sz w:val="20"/>
          <w:szCs w:val="20"/>
          <w:color w:val="auto"/>
        </w:rPr>
      </w:pPr>
    </w:p>
    <w:p>
      <w:pPr>
        <w:jc w:val="both"/>
        <w:ind w:left="5" w:right="20"/>
        <w:spacing w:after="0" w:line="235" w:lineRule="auto"/>
        <w:rPr>
          <w:sz w:val="20"/>
          <w:szCs w:val="20"/>
          <w:color w:val="auto"/>
        </w:rPr>
      </w:pPr>
      <w:r>
        <w:rPr>
          <w:rFonts w:ascii="Arial" w:cs="Arial" w:eastAsia="Arial" w:hAnsi="Arial"/>
          <w:sz w:val="19"/>
          <w:szCs w:val="19"/>
          <w:color w:val="auto"/>
        </w:rPr>
        <w:t>Under the Kotick Employment Agreement, “change of control” means: (a) any person or group becomes the beneficial owner of 25% or more of our outstanding voting stock; (b) the failure of the directors who constituted our Board as of the effective date of his employment agreement (i.e., October 1, 2016) (or replacements for such directors who are approved by a majority of such directors) to constitute a majority of our Board, other than as a result of (x) voluntary resignations or removals for good cause or</w:t>
      </w:r>
    </w:p>
    <w:p>
      <w:pPr>
        <w:jc w:val="both"/>
        <w:ind w:left="5" w:hanging="5"/>
        <w:spacing w:after="0" w:line="238" w:lineRule="auto"/>
        <w:tabs>
          <w:tab w:leader="none" w:pos="25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appointments as a result of an actual or threatened proxy contest; or (c) a consolidation, merger, or sale of all or substantially all of our assets in which our shareholders immediately before such transaction do not retain in excess of 65% of the combined voting power of the entity resulting from that transaction in substantially the same proportion as their ownership of the voting securities of Activision Blizzard immediately before the transaction.</w:t>
      </w:r>
    </w:p>
    <w:p>
      <w:pPr>
        <w:spacing w:after="0" w:line="157" w:lineRule="exact"/>
        <w:rPr>
          <w:sz w:val="20"/>
          <w:szCs w:val="20"/>
          <w:color w:val="auto"/>
        </w:rPr>
      </w:pPr>
    </w:p>
    <w:p>
      <w:pPr>
        <w:ind w:left="5"/>
        <w:spacing w:after="0"/>
        <w:tabs>
          <w:tab w:leader="none" w:pos="7364" w:val="left"/>
          <w:tab w:leader="none" w:pos="9384" w:val="left"/>
          <w:tab w:leader="none" w:pos="1100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bookmarkStart w:id="123" w:name="page124"/>
    <w:bookmarkEnd w:id="123"/>
    <w:p>
      <w:pPr>
        <w:ind w:left="5"/>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36" w:lineRule="exact"/>
        <w:rPr>
          <w:sz w:val="20"/>
          <w:szCs w:val="20"/>
          <w:color w:val="auto"/>
        </w:rPr>
      </w:pPr>
    </w:p>
    <w:p>
      <w:pPr>
        <w:ind w:left="5"/>
        <w:spacing w:after="0"/>
        <w:rPr>
          <w:sz w:val="20"/>
          <w:szCs w:val="20"/>
          <w:color w:val="auto"/>
        </w:rPr>
      </w:pPr>
      <w:r>
        <w:rPr>
          <w:rFonts w:ascii="Arial" w:cs="Arial" w:eastAsia="Arial" w:hAnsi="Arial"/>
          <w:sz w:val="20"/>
          <w:szCs w:val="20"/>
          <w:color w:val="125288"/>
        </w:rPr>
        <w:t>(5) Salary-Based Severance</w:t>
      </w:r>
    </w:p>
    <w:p>
      <w:pPr>
        <w:spacing w:after="0" w:line="149" w:lineRule="exact"/>
        <w:rPr>
          <w:sz w:val="20"/>
          <w:szCs w:val="20"/>
          <w:color w:val="auto"/>
        </w:rPr>
      </w:pPr>
    </w:p>
    <w:p>
      <w:pPr>
        <w:jc w:val="both"/>
        <w:ind w:left="5" w:right="20"/>
        <w:spacing w:after="0"/>
        <w:rPr>
          <w:sz w:val="20"/>
          <w:szCs w:val="20"/>
          <w:color w:val="auto"/>
        </w:rPr>
      </w:pPr>
      <w:r>
        <w:rPr>
          <w:rFonts w:ascii="Arial" w:cs="Arial" w:eastAsia="Arial" w:hAnsi="Arial"/>
          <w:sz w:val="19"/>
          <w:szCs w:val="19"/>
          <w:color w:val="auto"/>
        </w:rPr>
        <w:t>For purposes of this table, the rate of base salary used was the rate to which Mr. Kotick asked that his salary be reduced in October 2021—$62,500. Although Mr. Kotick has voluntarily reduced his total compensation, the Kotick Employment Agreement remains in full force and effect.</w:t>
      </w:r>
    </w:p>
    <w:p>
      <w:pPr>
        <w:spacing w:after="0" w:line="261" w:lineRule="exact"/>
        <w:rPr>
          <w:sz w:val="20"/>
          <w:szCs w:val="20"/>
          <w:color w:val="auto"/>
        </w:rPr>
      </w:pPr>
    </w:p>
    <w:p>
      <w:pPr>
        <w:ind w:left="5"/>
        <w:spacing w:after="0"/>
        <w:rPr>
          <w:sz w:val="20"/>
          <w:szCs w:val="20"/>
          <w:color w:val="auto"/>
        </w:rPr>
      </w:pPr>
      <w:r>
        <w:rPr>
          <w:rFonts w:ascii="Arial" w:cs="Arial" w:eastAsia="Arial" w:hAnsi="Arial"/>
          <w:sz w:val="20"/>
          <w:szCs w:val="20"/>
          <w:color w:val="125288"/>
        </w:rPr>
        <w:t>(6) Lump-Sum Bonus-Based Severance</w:t>
      </w:r>
    </w:p>
    <w:p>
      <w:pPr>
        <w:spacing w:after="0" w:line="149"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 amounts shown in the table represent:</w:t>
      </w:r>
    </w:p>
    <w:p>
      <w:pPr>
        <w:spacing w:after="0" w:line="134" w:lineRule="exact"/>
        <w:rPr>
          <w:sz w:val="20"/>
          <w:szCs w:val="20"/>
          <w:color w:val="auto"/>
        </w:rPr>
      </w:pPr>
    </w:p>
    <w:p>
      <w:pPr>
        <w:ind w:left="145" w:hanging="145"/>
        <w:spacing w:after="0"/>
        <w:tabs>
          <w:tab w:leader="none" w:pos="145" w:val="left"/>
        </w:tabs>
        <w:numPr>
          <w:ilvl w:val="0"/>
          <w:numId w:val="124"/>
        </w:numPr>
        <w:rPr>
          <w:rFonts w:ascii="Arial" w:cs="Arial" w:eastAsia="Arial" w:hAnsi="Arial"/>
          <w:sz w:val="19"/>
          <w:szCs w:val="19"/>
          <w:color w:val="125288"/>
        </w:rPr>
      </w:pPr>
      <w:r>
        <w:rPr>
          <w:rFonts w:ascii="Arial" w:cs="Arial" w:eastAsia="Arial" w:hAnsi="Arial"/>
          <w:sz w:val="19"/>
          <w:szCs w:val="19"/>
          <w:color w:val="auto"/>
        </w:rPr>
        <w:t>a multiple of Mr. Kotick’s target bonus under the CAIP for a termination without cause or for good reason, as described in footnotes</w:t>
      </w:r>
    </w:p>
    <w:p>
      <w:pPr>
        <w:ind w:left="145"/>
        <w:spacing w:after="0"/>
        <w:rPr>
          <w:rFonts w:ascii="Arial" w:cs="Arial" w:eastAsia="Arial" w:hAnsi="Arial"/>
          <w:sz w:val="19"/>
          <w:szCs w:val="19"/>
          <w:color w:val="125288"/>
        </w:rPr>
      </w:pPr>
      <w:r>
        <w:rPr>
          <w:rFonts w:ascii="Arial" w:cs="Arial" w:eastAsia="Arial" w:hAnsi="Arial"/>
          <w:sz w:val="19"/>
          <w:szCs w:val="19"/>
          <w:color w:val="auto"/>
        </w:rPr>
        <w:t>(3) and (4); and</w:t>
      </w:r>
    </w:p>
    <w:p>
      <w:pPr>
        <w:spacing w:after="0" w:line="138" w:lineRule="exact"/>
        <w:rPr>
          <w:rFonts w:ascii="Arial" w:cs="Arial" w:eastAsia="Arial" w:hAnsi="Arial"/>
          <w:sz w:val="19"/>
          <w:szCs w:val="19"/>
          <w:color w:val="125288"/>
        </w:rPr>
      </w:pPr>
    </w:p>
    <w:p>
      <w:pPr>
        <w:jc w:val="both"/>
        <w:ind w:left="145" w:right="40" w:hanging="145"/>
        <w:spacing w:after="0"/>
        <w:tabs>
          <w:tab w:leader="none" w:pos="145" w:val="left"/>
        </w:tabs>
        <w:numPr>
          <w:ilvl w:val="0"/>
          <w:numId w:val="124"/>
        </w:numPr>
        <w:rPr>
          <w:rFonts w:ascii="Arial" w:cs="Arial" w:eastAsia="Arial" w:hAnsi="Arial"/>
          <w:sz w:val="19"/>
          <w:szCs w:val="19"/>
          <w:color w:val="125288"/>
        </w:rPr>
      </w:pPr>
      <w:r>
        <w:rPr>
          <w:rFonts w:ascii="Arial" w:cs="Arial" w:eastAsia="Arial" w:hAnsi="Arial"/>
          <w:sz w:val="19"/>
          <w:szCs w:val="19"/>
          <w:color w:val="auto"/>
        </w:rPr>
        <w:t>for all termination scenarios other than a termination for cause, a bonus for the year in which the termination occurred (or in the case of death or disability, the year before the year in which the termination occurred) based on actual performance for that year, prorated to reflect the number of days worked during the year in which the termination occurs.</w:t>
      </w:r>
    </w:p>
    <w:p>
      <w:pPr>
        <w:spacing w:after="0" w:line="260" w:lineRule="exact"/>
        <w:rPr>
          <w:sz w:val="20"/>
          <w:szCs w:val="20"/>
          <w:color w:val="auto"/>
        </w:rPr>
      </w:pPr>
    </w:p>
    <w:p>
      <w:pPr>
        <w:ind w:left="5"/>
        <w:spacing w:after="0"/>
        <w:rPr>
          <w:sz w:val="20"/>
          <w:szCs w:val="20"/>
          <w:color w:val="auto"/>
        </w:rPr>
      </w:pPr>
      <w:r>
        <w:rPr>
          <w:rFonts w:ascii="Arial" w:cs="Arial" w:eastAsia="Arial" w:hAnsi="Arial"/>
          <w:sz w:val="19"/>
          <w:szCs w:val="19"/>
          <w:color w:val="auto"/>
        </w:rPr>
        <w:t>Amounts shown for the pro rata bonus have already been disclosed in the Summary Compensation Table above.</w:t>
      </w:r>
    </w:p>
    <w:p>
      <w:pPr>
        <w:spacing w:after="0" w:line="270" w:lineRule="exact"/>
        <w:rPr>
          <w:sz w:val="20"/>
          <w:szCs w:val="20"/>
          <w:color w:val="auto"/>
        </w:rPr>
      </w:pPr>
    </w:p>
    <w:p>
      <w:pPr>
        <w:ind w:left="5"/>
        <w:spacing w:after="0"/>
        <w:rPr>
          <w:sz w:val="20"/>
          <w:szCs w:val="20"/>
          <w:color w:val="auto"/>
        </w:rPr>
      </w:pPr>
      <w:r>
        <w:rPr>
          <w:rFonts w:ascii="Arial" w:cs="Arial" w:eastAsia="Arial" w:hAnsi="Arial"/>
          <w:sz w:val="20"/>
          <w:szCs w:val="20"/>
          <w:color w:val="125288"/>
        </w:rPr>
        <w:t>(7) Continuation of Insurance Benefits</w:t>
      </w:r>
    </w:p>
    <w:p>
      <w:pPr>
        <w:spacing w:after="0" w:line="149" w:lineRule="exact"/>
        <w:rPr>
          <w:sz w:val="20"/>
          <w:szCs w:val="20"/>
          <w:color w:val="auto"/>
        </w:rPr>
      </w:pPr>
    </w:p>
    <w:p>
      <w:pPr>
        <w:jc w:val="both"/>
        <w:ind w:left="5"/>
        <w:spacing w:after="0"/>
        <w:rPr>
          <w:sz w:val="20"/>
          <w:szCs w:val="20"/>
          <w:color w:val="auto"/>
        </w:rPr>
      </w:pPr>
      <w:r>
        <w:rPr>
          <w:rFonts w:ascii="Arial" w:cs="Arial" w:eastAsia="Arial" w:hAnsi="Arial"/>
          <w:sz w:val="19"/>
          <w:szCs w:val="19"/>
          <w:color w:val="auto"/>
        </w:rPr>
        <w:t>Please see footnotes (1)–(4) for a description of continuation of insurance benefits under the various termination scenarios. The amounts shown in the table represent the estimated cost to us for continuation of health/medical and/or life insurance benefits, as applicable, based on the cost to us of providing those benefits as of December 31, 2021.</w:t>
      </w:r>
    </w:p>
    <w:p>
      <w:pPr>
        <w:spacing w:after="0" w:line="261" w:lineRule="exact"/>
        <w:rPr>
          <w:sz w:val="20"/>
          <w:szCs w:val="20"/>
          <w:color w:val="auto"/>
        </w:rPr>
      </w:pPr>
    </w:p>
    <w:p>
      <w:pPr>
        <w:ind w:left="5"/>
        <w:spacing w:after="0"/>
        <w:rPr>
          <w:sz w:val="20"/>
          <w:szCs w:val="20"/>
          <w:color w:val="auto"/>
        </w:rPr>
      </w:pPr>
      <w:r>
        <w:rPr>
          <w:rFonts w:ascii="Arial" w:cs="Arial" w:eastAsia="Arial" w:hAnsi="Arial"/>
          <w:sz w:val="20"/>
          <w:szCs w:val="20"/>
          <w:color w:val="125288"/>
        </w:rPr>
        <w:t>(8) Impact on Equity</w:t>
      </w:r>
    </w:p>
    <w:p>
      <w:pPr>
        <w:spacing w:after="0" w:line="149" w:lineRule="exact"/>
        <w:rPr>
          <w:sz w:val="20"/>
          <w:szCs w:val="20"/>
          <w:color w:val="auto"/>
        </w:rPr>
      </w:pPr>
    </w:p>
    <w:p>
      <w:pPr>
        <w:jc w:val="both"/>
        <w:ind w:left="5" w:right="20"/>
        <w:spacing w:after="0" w:line="238" w:lineRule="auto"/>
        <w:rPr>
          <w:sz w:val="20"/>
          <w:szCs w:val="20"/>
          <w:color w:val="auto"/>
        </w:rPr>
      </w:pPr>
      <w:r>
        <w:rPr>
          <w:rFonts w:ascii="Arial" w:cs="Arial" w:eastAsia="Arial" w:hAnsi="Arial"/>
          <w:sz w:val="19"/>
          <w:szCs w:val="19"/>
          <w:color w:val="auto"/>
        </w:rPr>
        <w:t>Please see footnotes (1), (3) and (4) for a description of the impact of a termination of employment under the various termination scenarios on Mr. Kotick’s equity awards. Mr. Kotick had no unvested equity outstanding as of December 31, 2021, so there are no amounts attributable to such awards for purposes of this table. For more information on the equity awards made to Mr. Kotick, see “— Employment Agreements—Robert Kotick” above.</w:t>
      </w:r>
    </w:p>
    <w:p>
      <w:pPr>
        <w:spacing w:after="0" w:line="157" w:lineRule="exact"/>
        <w:rPr>
          <w:sz w:val="20"/>
          <w:szCs w:val="20"/>
          <w:color w:val="auto"/>
        </w:rPr>
      </w:pPr>
    </w:p>
    <w:p>
      <w:pPr>
        <w:ind w:left="5"/>
        <w:spacing w:after="0"/>
        <w:tabs>
          <w:tab w:leader="none" w:pos="7364" w:val="left"/>
          <w:tab w:leader="none" w:pos="9384" w:val="left"/>
          <w:tab w:leader="none" w:pos="1100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bookmarkStart w:id="124" w:name="page125"/>
    <w:bookmarkEnd w:id="124"/>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10" w:lineRule="exact"/>
        <w:rPr>
          <w:sz w:val="20"/>
          <w:szCs w:val="20"/>
          <w:color w:val="auto"/>
        </w:rPr>
      </w:pPr>
    </w:p>
    <w:p>
      <w:pPr>
        <w:ind w:right="700"/>
        <w:spacing w:after="0" w:line="271" w:lineRule="auto"/>
        <w:rPr>
          <w:sz w:val="20"/>
          <w:szCs w:val="20"/>
          <w:color w:val="auto"/>
        </w:rPr>
      </w:pPr>
      <w:r>
        <w:rPr>
          <w:rFonts w:ascii="Arial" w:cs="Arial" w:eastAsia="Arial" w:hAnsi="Arial"/>
          <w:sz w:val="24"/>
          <w:szCs w:val="24"/>
          <w:b w:val="1"/>
          <w:bCs w:val="1"/>
          <w:color w:val="auto"/>
        </w:rPr>
        <w:t>Potential Payments upon Termination to Armin Zerza, Daniel Alegre, Brian Bulatao, and Grant Dixton</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b w:val="1"/>
                <w:bCs w:val="1"/>
                <w:color w:val="125288"/>
              </w:rPr>
              <w:t>Termination by</w:t>
            </w:r>
          </w:p>
        </w:tc>
      </w:tr>
      <w:tr>
        <w:trPr>
          <w:trHeight w:val="214"/>
        </w:trPr>
        <w:tc>
          <w:tcPr>
            <w:tcW w:w="35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5"/>
                <w:szCs w:val="15"/>
                <w:b w:val="1"/>
                <w:bCs w:val="1"/>
                <w:color w:val="125288"/>
              </w:rPr>
              <w:t>Activision</w:t>
            </w:r>
          </w:p>
        </w:tc>
      </w:tr>
      <w:tr>
        <w:trPr>
          <w:trHeight w:val="214"/>
        </w:trPr>
        <w:tc>
          <w:tcPr>
            <w:tcW w:w="35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5"/>
                <w:szCs w:val="15"/>
                <w:b w:val="1"/>
                <w:bCs w:val="1"/>
                <w:color w:val="125288"/>
              </w:rPr>
              <w:t>Blizzard Without</w:t>
            </w:r>
          </w:p>
        </w:tc>
      </w:tr>
      <w:tr>
        <w:trPr>
          <w:trHeight w:val="214"/>
        </w:trPr>
        <w:tc>
          <w:tcPr>
            <w:tcW w:w="35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00" w:type="dxa"/>
            <w:vAlign w:val="bottom"/>
          </w:tcPr>
          <w:p>
            <w:pPr>
              <w:jc w:val="right"/>
              <w:ind w:right="38"/>
              <w:spacing w:after="0"/>
              <w:rPr>
                <w:sz w:val="20"/>
                <w:szCs w:val="20"/>
                <w:color w:val="auto"/>
              </w:rPr>
            </w:pPr>
            <w:r>
              <w:rPr>
                <w:rFonts w:ascii="Arial" w:cs="Arial" w:eastAsia="Arial" w:hAnsi="Arial"/>
                <w:sz w:val="15"/>
                <w:szCs w:val="15"/>
                <w:b w:val="1"/>
                <w:bCs w:val="1"/>
                <w:color w:val="125288"/>
              </w:rPr>
              <w:t>Termination by</w:t>
            </w:r>
          </w:p>
        </w:tc>
        <w:tc>
          <w:tcPr>
            <w:tcW w:w="1400" w:type="dxa"/>
            <w:vAlign w:val="bottom"/>
          </w:tcPr>
          <w:p>
            <w:pPr>
              <w:jc w:val="right"/>
              <w:spacing w:after="0"/>
              <w:rPr>
                <w:sz w:val="20"/>
                <w:szCs w:val="20"/>
                <w:color w:val="auto"/>
              </w:rPr>
            </w:pPr>
            <w:r>
              <w:rPr>
                <w:rFonts w:ascii="Arial" w:cs="Arial" w:eastAsia="Arial" w:hAnsi="Arial"/>
                <w:sz w:val="15"/>
                <w:szCs w:val="15"/>
                <w:b w:val="1"/>
                <w:bCs w:val="1"/>
                <w:color w:val="125288"/>
              </w:rPr>
              <w:t>Cause or</w:t>
            </w:r>
          </w:p>
        </w:tc>
      </w:tr>
      <w:tr>
        <w:trPr>
          <w:trHeight w:val="214"/>
        </w:trPr>
        <w:tc>
          <w:tcPr>
            <w:tcW w:w="35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00" w:type="dxa"/>
            <w:vAlign w:val="bottom"/>
          </w:tcPr>
          <w:p>
            <w:pPr>
              <w:jc w:val="right"/>
              <w:ind w:right="38"/>
              <w:spacing w:after="0"/>
              <w:rPr>
                <w:sz w:val="20"/>
                <w:szCs w:val="20"/>
                <w:color w:val="auto"/>
              </w:rPr>
            </w:pPr>
            <w:r>
              <w:rPr>
                <w:rFonts w:ascii="Arial" w:cs="Arial" w:eastAsia="Arial" w:hAnsi="Arial"/>
                <w:sz w:val="15"/>
                <w:szCs w:val="15"/>
                <w:b w:val="1"/>
                <w:bCs w:val="1"/>
                <w:color w:val="125288"/>
              </w:rPr>
              <w:t>Activision</w:t>
            </w:r>
          </w:p>
        </w:tc>
        <w:tc>
          <w:tcPr>
            <w:tcW w:w="1400" w:type="dxa"/>
            <w:vAlign w:val="bottom"/>
          </w:tcPr>
          <w:p>
            <w:pPr>
              <w:jc w:val="right"/>
              <w:spacing w:after="0"/>
              <w:rPr>
                <w:sz w:val="20"/>
                <w:szCs w:val="20"/>
                <w:color w:val="auto"/>
              </w:rPr>
            </w:pPr>
            <w:r>
              <w:rPr>
                <w:rFonts w:ascii="Arial" w:cs="Arial" w:eastAsia="Arial" w:hAnsi="Arial"/>
                <w:sz w:val="15"/>
                <w:szCs w:val="15"/>
                <w:b w:val="1"/>
                <w:bCs w:val="1"/>
                <w:color w:val="125288"/>
              </w:rPr>
              <w:t>Termination by</w:t>
            </w:r>
          </w:p>
        </w:tc>
      </w:tr>
      <w:tr>
        <w:trPr>
          <w:trHeight w:val="214"/>
        </w:trPr>
        <w:tc>
          <w:tcPr>
            <w:tcW w:w="35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00" w:type="dxa"/>
            <w:vAlign w:val="bottom"/>
          </w:tcPr>
          <w:p>
            <w:pPr>
              <w:jc w:val="right"/>
              <w:ind w:right="38"/>
              <w:spacing w:after="0"/>
              <w:rPr>
                <w:sz w:val="20"/>
                <w:szCs w:val="20"/>
                <w:color w:val="auto"/>
              </w:rPr>
            </w:pPr>
            <w:r>
              <w:rPr>
                <w:rFonts w:ascii="Arial" w:cs="Arial" w:eastAsia="Arial" w:hAnsi="Arial"/>
                <w:sz w:val="15"/>
                <w:szCs w:val="15"/>
                <w:b w:val="1"/>
                <w:bCs w:val="1"/>
                <w:color w:val="125288"/>
              </w:rPr>
              <w:t>Blizzard Without</w:t>
            </w:r>
          </w:p>
        </w:tc>
        <w:tc>
          <w:tcPr>
            <w:tcW w:w="1400" w:type="dxa"/>
            <w:vAlign w:val="bottom"/>
          </w:tcPr>
          <w:p>
            <w:pPr>
              <w:jc w:val="right"/>
              <w:spacing w:after="0"/>
              <w:rPr>
                <w:sz w:val="20"/>
                <w:szCs w:val="20"/>
                <w:color w:val="auto"/>
              </w:rPr>
            </w:pPr>
            <w:r>
              <w:rPr>
                <w:rFonts w:ascii="Arial" w:cs="Arial" w:eastAsia="Arial" w:hAnsi="Arial"/>
                <w:sz w:val="15"/>
                <w:szCs w:val="15"/>
                <w:b w:val="1"/>
                <w:bCs w:val="1"/>
                <w:color w:val="125288"/>
              </w:rPr>
              <w:t>Employee for</w:t>
            </w:r>
          </w:p>
        </w:tc>
      </w:tr>
      <w:tr>
        <w:trPr>
          <w:trHeight w:val="214"/>
        </w:trPr>
        <w:tc>
          <w:tcPr>
            <w:tcW w:w="35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20" w:type="dxa"/>
            <w:vAlign w:val="bottom"/>
          </w:tcPr>
          <w:p>
            <w:pPr>
              <w:jc w:val="right"/>
              <w:ind w:right="98"/>
              <w:spacing w:after="0"/>
              <w:rPr>
                <w:sz w:val="20"/>
                <w:szCs w:val="20"/>
                <w:color w:val="auto"/>
              </w:rPr>
            </w:pPr>
            <w:r>
              <w:rPr>
                <w:rFonts w:ascii="Arial" w:cs="Arial" w:eastAsia="Arial" w:hAnsi="Arial"/>
                <w:sz w:val="15"/>
                <w:szCs w:val="15"/>
                <w:b w:val="1"/>
                <w:bCs w:val="1"/>
                <w:color w:val="125288"/>
              </w:rPr>
              <w:t>Termination by</w:t>
            </w:r>
          </w:p>
        </w:tc>
        <w:tc>
          <w:tcPr>
            <w:tcW w:w="1500" w:type="dxa"/>
            <w:vAlign w:val="bottom"/>
          </w:tcPr>
          <w:p>
            <w:pPr>
              <w:jc w:val="right"/>
              <w:ind w:right="38"/>
              <w:spacing w:after="0"/>
              <w:rPr>
                <w:sz w:val="20"/>
                <w:szCs w:val="20"/>
                <w:color w:val="auto"/>
              </w:rPr>
            </w:pPr>
            <w:r>
              <w:rPr>
                <w:rFonts w:ascii="Arial" w:cs="Arial" w:eastAsia="Arial" w:hAnsi="Arial"/>
                <w:sz w:val="15"/>
                <w:szCs w:val="15"/>
                <w:b w:val="1"/>
                <w:bCs w:val="1"/>
                <w:color w:val="125288"/>
              </w:rPr>
              <w:t>Cause or</w:t>
            </w:r>
          </w:p>
        </w:tc>
        <w:tc>
          <w:tcPr>
            <w:tcW w:w="1400" w:type="dxa"/>
            <w:vAlign w:val="bottom"/>
          </w:tcPr>
          <w:p>
            <w:pPr>
              <w:jc w:val="right"/>
              <w:spacing w:after="0"/>
              <w:rPr>
                <w:sz w:val="20"/>
                <w:szCs w:val="20"/>
                <w:color w:val="auto"/>
              </w:rPr>
            </w:pPr>
            <w:r>
              <w:rPr>
                <w:rFonts w:ascii="Arial" w:cs="Arial" w:eastAsia="Arial" w:hAnsi="Arial"/>
                <w:sz w:val="15"/>
                <w:szCs w:val="15"/>
                <w:b w:val="1"/>
                <w:bCs w:val="1"/>
                <w:color w:val="125288"/>
              </w:rPr>
              <w:t>Good Reason</w:t>
            </w:r>
          </w:p>
        </w:tc>
      </w:tr>
      <w:tr>
        <w:trPr>
          <w:trHeight w:val="214"/>
        </w:trPr>
        <w:tc>
          <w:tcPr>
            <w:tcW w:w="35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20" w:type="dxa"/>
            <w:vAlign w:val="bottom"/>
          </w:tcPr>
          <w:p>
            <w:pPr>
              <w:jc w:val="right"/>
              <w:ind w:right="98"/>
              <w:spacing w:after="0"/>
              <w:rPr>
                <w:sz w:val="20"/>
                <w:szCs w:val="20"/>
                <w:color w:val="auto"/>
              </w:rPr>
            </w:pPr>
            <w:r>
              <w:rPr>
                <w:rFonts w:ascii="Arial" w:cs="Arial" w:eastAsia="Arial" w:hAnsi="Arial"/>
                <w:sz w:val="15"/>
                <w:szCs w:val="15"/>
                <w:b w:val="1"/>
                <w:bCs w:val="1"/>
                <w:color w:val="125288"/>
              </w:rPr>
              <w:t>Activision</w:t>
            </w:r>
          </w:p>
        </w:tc>
        <w:tc>
          <w:tcPr>
            <w:tcW w:w="1500" w:type="dxa"/>
            <w:vAlign w:val="bottom"/>
          </w:tcPr>
          <w:p>
            <w:pPr>
              <w:jc w:val="right"/>
              <w:ind w:right="38"/>
              <w:spacing w:after="0"/>
              <w:rPr>
                <w:sz w:val="20"/>
                <w:szCs w:val="20"/>
                <w:color w:val="auto"/>
              </w:rPr>
            </w:pPr>
            <w:r>
              <w:rPr>
                <w:rFonts w:ascii="Arial" w:cs="Arial" w:eastAsia="Arial" w:hAnsi="Arial"/>
                <w:sz w:val="15"/>
                <w:szCs w:val="15"/>
                <w:b w:val="1"/>
                <w:bCs w:val="1"/>
                <w:color w:val="125288"/>
              </w:rPr>
              <w:t>Termination by</w:t>
            </w:r>
          </w:p>
        </w:tc>
        <w:tc>
          <w:tcPr>
            <w:tcW w:w="1400" w:type="dxa"/>
            <w:vAlign w:val="bottom"/>
          </w:tcPr>
          <w:p>
            <w:pPr>
              <w:jc w:val="right"/>
              <w:spacing w:after="0"/>
              <w:rPr>
                <w:sz w:val="20"/>
                <w:szCs w:val="20"/>
                <w:color w:val="auto"/>
              </w:rPr>
            </w:pPr>
            <w:r>
              <w:rPr>
                <w:rFonts w:ascii="Arial" w:cs="Arial" w:eastAsia="Arial" w:hAnsi="Arial"/>
                <w:sz w:val="15"/>
                <w:szCs w:val="15"/>
                <w:b w:val="1"/>
                <w:bCs w:val="1"/>
                <w:color w:val="125288"/>
              </w:rPr>
              <w:t>Following a</w:t>
            </w:r>
          </w:p>
        </w:tc>
      </w:tr>
      <w:tr>
        <w:trPr>
          <w:trHeight w:val="214"/>
        </w:trPr>
        <w:tc>
          <w:tcPr>
            <w:tcW w:w="35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20" w:type="dxa"/>
            <w:vAlign w:val="bottom"/>
          </w:tcPr>
          <w:p>
            <w:pPr>
              <w:jc w:val="right"/>
              <w:ind w:right="98"/>
              <w:spacing w:after="0"/>
              <w:rPr>
                <w:sz w:val="20"/>
                <w:szCs w:val="20"/>
                <w:color w:val="auto"/>
              </w:rPr>
            </w:pPr>
            <w:r>
              <w:rPr>
                <w:rFonts w:ascii="Arial" w:cs="Arial" w:eastAsia="Arial" w:hAnsi="Arial"/>
                <w:sz w:val="15"/>
                <w:szCs w:val="15"/>
                <w:b w:val="1"/>
                <w:bCs w:val="1"/>
                <w:color w:val="125288"/>
              </w:rPr>
              <w:t>Blizzard For</w:t>
            </w:r>
          </w:p>
        </w:tc>
        <w:tc>
          <w:tcPr>
            <w:tcW w:w="1500" w:type="dxa"/>
            <w:vAlign w:val="bottom"/>
          </w:tcPr>
          <w:p>
            <w:pPr>
              <w:jc w:val="right"/>
              <w:ind w:right="38"/>
              <w:spacing w:after="0"/>
              <w:rPr>
                <w:sz w:val="20"/>
                <w:szCs w:val="20"/>
                <w:color w:val="auto"/>
              </w:rPr>
            </w:pPr>
            <w:r>
              <w:rPr>
                <w:rFonts w:ascii="Arial" w:cs="Arial" w:eastAsia="Arial" w:hAnsi="Arial"/>
                <w:sz w:val="15"/>
                <w:szCs w:val="15"/>
                <w:b w:val="1"/>
                <w:bCs w:val="1"/>
                <w:color w:val="125288"/>
              </w:rPr>
              <w:t>Employee for</w:t>
            </w:r>
          </w:p>
        </w:tc>
        <w:tc>
          <w:tcPr>
            <w:tcW w:w="1400" w:type="dxa"/>
            <w:vAlign w:val="bottom"/>
          </w:tcPr>
          <w:p>
            <w:pPr>
              <w:jc w:val="right"/>
              <w:spacing w:after="0"/>
              <w:rPr>
                <w:sz w:val="20"/>
                <w:szCs w:val="20"/>
                <w:color w:val="auto"/>
              </w:rPr>
            </w:pPr>
            <w:r>
              <w:rPr>
                <w:rFonts w:ascii="Arial" w:cs="Arial" w:eastAsia="Arial" w:hAnsi="Arial"/>
                <w:sz w:val="15"/>
                <w:szCs w:val="15"/>
                <w:b w:val="1"/>
                <w:bCs w:val="1"/>
                <w:color w:val="125288"/>
              </w:rPr>
              <w:t>Change of</w:t>
            </w:r>
          </w:p>
        </w:tc>
      </w:tr>
      <w:tr>
        <w:trPr>
          <w:trHeight w:val="224"/>
        </w:trPr>
        <w:tc>
          <w:tcPr>
            <w:tcW w:w="3520" w:type="dxa"/>
            <w:vAlign w:val="bottom"/>
          </w:tcPr>
          <w:p>
            <w:pPr>
              <w:spacing w:after="0"/>
              <w:rPr>
                <w:sz w:val="19"/>
                <w:szCs w:val="19"/>
                <w:color w:val="auto"/>
              </w:rPr>
            </w:pPr>
          </w:p>
        </w:tc>
        <w:tc>
          <w:tcPr>
            <w:tcW w:w="1900" w:type="dxa"/>
            <w:vAlign w:val="bottom"/>
          </w:tcPr>
          <w:p>
            <w:pPr>
              <w:jc w:val="right"/>
              <w:ind w:right="317"/>
              <w:spacing w:after="0"/>
              <w:rPr>
                <w:sz w:val="20"/>
                <w:szCs w:val="20"/>
                <w:color w:val="auto"/>
              </w:rPr>
            </w:pPr>
            <w:r>
              <w:rPr>
                <w:rFonts w:ascii="Arial" w:cs="Arial" w:eastAsia="Arial" w:hAnsi="Arial"/>
                <w:sz w:val="15"/>
                <w:szCs w:val="15"/>
                <w:b w:val="1"/>
                <w:bCs w:val="1"/>
                <w:color w:val="125288"/>
              </w:rPr>
              <w:t>Death</w:t>
            </w:r>
            <w:r>
              <w:rPr>
                <w:rFonts w:ascii="Arial" w:cs="Arial" w:eastAsia="Arial" w:hAnsi="Arial"/>
                <w:sz w:val="19"/>
                <w:szCs w:val="19"/>
                <w:b w:val="1"/>
                <w:bCs w:val="1"/>
                <w:color w:val="125288"/>
                <w:vertAlign w:val="superscript"/>
              </w:rPr>
              <w:t>(1)</w:t>
            </w:r>
          </w:p>
        </w:tc>
        <w:tc>
          <w:tcPr>
            <w:tcW w:w="1420" w:type="dxa"/>
            <w:vAlign w:val="bottom"/>
          </w:tcPr>
          <w:p>
            <w:pPr>
              <w:jc w:val="right"/>
              <w:ind w:right="157"/>
              <w:spacing w:after="0"/>
              <w:rPr>
                <w:sz w:val="20"/>
                <w:szCs w:val="20"/>
                <w:color w:val="auto"/>
              </w:rPr>
            </w:pPr>
            <w:r>
              <w:rPr>
                <w:rFonts w:ascii="Arial" w:cs="Arial" w:eastAsia="Arial" w:hAnsi="Arial"/>
                <w:sz w:val="15"/>
                <w:szCs w:val="15"/>
                <w:b w:val="1"/>
                <w:bCs w:val="1"/>
                <w:color w:val="125288"/>
              </w:rPr>
              <w:t>Disability</w:t>
            </w:r>
            <w:r>
              <w:rPr>
                <w:rFonts w:ascii="Arial" w:cs="Arial" w:eastAsia="Arial" w:hAnsi="Arial"/>
                <w:sz w:val="19"/>
                <w:szCs w:val="19"/>
                <w:b w:val="1"/>
                <w:bCs w:val="1"/>
                <w:color w:val="125288"/>
                <w:vertAlign w:val="superscript"/>
              </w:rPr>
              <w:t>(1)</w:t>
            </w:r>
          </w:p>
        </w:tc>
        <w:tc>
          <w:tcPr>
            <w:tcW w:w="1520" w:type="dxa"/>
            <w:vAlign w:val="bottom"/>
          </w:tcPr>
          <w:p>
            <w:pPr>
              <w:jc w:val="right"/>
              <w:ind w:right="98"/>
              <w:spacing w:after="0"/>
              <w:rPr>
                <w:sz w:val="20"/>
                <w:szCs w:val="20"/>
                <w:color w:val="auto"/>
              </w:rPr>
            </w:pPr>
            <w:r>
              <w:rPr>
                <w:rFonts w:ascii="Arial" w:cs="Arial" w:eastAsia="Arial" w:hAnsi="Arial"/>
                <w:sz w:val="15"/>
                <w:szCs w:val="15"/>
                <w:b w:val="1"/>
                <w:bCs w:val="1"/>
                <w:color w:val="125288"/>
              </w:rPr>
              <w:t>Cause</w:t>
            </w:r>
            <w:r>
              <w:rPr>
                <w:rFonts w:ascii="Arial" w:cs="Arial" w:eastAsia="Arial" w:hAnsi="Arial"/>
                <w:sz w:val="19"/>
                <w:szCs w:val="19"/>
                <w:b w:val="1"/>
                <w:bCs w:val="1"/>
                <w:color w:val="125288"/>
                <w:vertAlign w:val="superscript"/>
              </w:rPr>
              <w:t>(2)</w:t>
            </w:r>
          </w:p>
        </w:tc>
        <w:tc>
          <w:tcPr>
            <w:tcW w:w="1500" w:type="dxa"/>
            <w:vAlign w:val="bottom"/>
          </w:tcPr>
          <w:p>
            <w:pPr>
              <w:jc w:val="right"/>
              <w:ind w:right="38"/>
              <w:spacing w:after="0"/>
              <w:rPr>
                <w:sz w:val="20"/>
                <w:szCs w:val="20"/>
                <w:color w:val="auto"/>
              </w:rPr>
            </w:pPr>
            <w:r>
              <w:rPr>
                <w:rFonts w:ascii="Arial" w:cs="Arial" w:eastAsia="Arial" w:hAnsi="Arial"/>
                <w:sz w:val="15"/>
                <w:szCs w:val="15"/>
                <w:b w:val="1"/>
                <w:bCs w:val="1"/>
                <w:color w:val="125288"/>
              </w:rPr>
              <w:t>Good Reason</w:t>
            </w:r>
            <w:r>
              <w:rPr>
                <w:rFonts w:ascii="Arial" w:cs="Arial" w:eastAsia="Arial" w:hAnsi="Arial"/>
                <w:sz w:val="19"/>
                <w:szCs w:val="19"/>
                <w:b w:val="1"/>
                <w:bCs w:val="1"/>
                <w:color w:val="125288"/>
                <w:vertAlign w:val="superscript"/>
              </w:rPr>
              <w:t>(3)</w:t>
            </w:r>
          </w:p>
        </w:tc>
        <w:tc>
          <w:tcPr>
            <w:tcW w:w="1400" w:type="dxa"/>
            <w:vAlign w:val="bottom"/>
          </w:tcPr>
          <w:p>
            <w:pPr>
              <w:jc w:val="right"/>
              <w:spacing w:after="0"/>
              <w:rPr>
                <w:sz w:val="20"/>
                <w:szCs w:val="20"/>
                <w:color w:val="auto"/>
              </w:rPr>
            </w:pPr>
            <w:r>
              <w:rPr>
                <w:rFonts w:ascii="Arial" w:cs="Arial" w:eastAsia="Arial" w:hAnsi="Arial"/>
                <w:sz w:val="15"/>
                <w:szCs w:val="15"/>
                <w:b w:val="1"/>
                <w:bCs w:val="1"/>
                <w:color w:val="125288"/>
              </w:rPr>
              <w:t>Control</w:t>
            </w:r>
            <w:r>
              <w:rPr>
                <w:rFonts w:ascii="Arial" w:cs="Arial" w:eastAsia="Arial" w:hAnsi="Arial"/>
                <w:sz w:val="19"/>
                <w:szCs w:val="19"/>
                <w:b w:val="1"/>
                <w:bCs w:val="1"/>
                <w:color w:val="125288"/>
                <w:vertAlign w:val="superscript"/>
              </w:rPr>
              <w:t>(4)</w:t>
            </w:r>
          </w:p>
        </w:tc>
      </w:tr>
      <w:tr>
        <w:trPr>
          <w:trHeight w:val="204"/>
        </w:trPr>
        <w:tc>
          <w:tcPr>
            <w:tcW w:w="3520" w:type="dxa"/>
            <w:vAlign w:val="bottom"/>
          </w:tcPr>
          <w:p>
            <w:pPr>
              <w:ind w:left="40"/>
              <w:spacing w:after="0"/>
              <w:rPr>
                <w:sz w:val="20"/>
                <w:szCs w:val="20"/>
                <w:color w:val="auto"/>
              </w:rPr>
            </w:pPr>
            <w:r>
              <w:rPr>
                <w:rFonts w:ascii="Arial" w:cs="Arial" w:eastAsia="Arial" w:hAnsi="Arial"/>
                <w:sz w:val="15"/>
                <w:szCs w:val="15"/>
                <w:b w:val="1"/>
                <w:bCs w:val="1"/>
                <w:color w:val="125288"/>
              </w:rPr>
              <w:t>Name and Type of Payment/Benefit</w:t>
            </w:r>
          </w:p>
        </w:tc>
        <w:tc>
          <w:tcPr>
            <w:tcW w:w="1900" w:type="dxa"/>
            <w:vAlign w:val="bottom"/>
          </w:tcPr>
          <w:p>
            <w:pPr>
              <w:jc w:val="right"/>
              <w:ind w:right="317"/>
              <w:spacing w:after="0"/>
              <w:rPr>
                <w:sz w:val="20"/>
                <w:szCs w:val="20"/>
                <w:color w:val="auto"/>
              </w:rPr>
            </w:pPr>
            <w:r>
              <w:rPr>
                <w:rFonts w:ascii="Arial" w:cs="Arial" w:eastAsia="Arial" w:hAnsi="Arial"/>
                <w:sz w:val="15"/>
                <w:szCs w:val="15"/>
                <w:b w:val="1"/>
                <w:bCs w:val="1"/>
                <w:color w:val="125288"/>
              </w:rPr>
              <w:t>($)</w:t>
            </w:r>
          </w:p>
        </w:tc>
        <w:tc>
          <w:tcPr>
            <w:tcW w:w="1420" w:type="dxa"/>
            <w:vAlign w:val="bottom"/>
          </w:tcPr>
          <w:p>
            <w:pPr>
              <w:jc w:val="right"/>
              <w:ind w:right="157"/>
              <w:spacing w:after="0"/>
              <w:rPr>
                <w:sz w:val="20"/>
                <w:szCs w:val="20"/>
                <w:color w:val="auto"/>
              </w:rPr>
            </w:pPr>
            <w:r>
              <w:rPr>
                <w:rFonts w:ascii="Arial" w:cs="Arial" w:eastAsia="Arial" w:hAnsi="Arial"/>
                <w:sz w:val="15"/>
                <w:szCs w:val="15"/>
                <w:b w:val="1"/>
                <w:bCs w:val="1"/>
                <w:color w:val="125288"/>
              </w:rPr>
              <w:t>($)</w:t>
            </w:r>
          </w:p>
        </w:tc>
        <w:tc>
          <w:tcPr>
            <w:tcW w:w="1520" w:type="dxa"/>
            <w:vAlign w:val="bottom"/>
          </w:tcPr>
          <w:p>
            <w:pPr>
              <w:jc w:val="right"/>
              <w:ind w:right="98"/>
              <w:spacing w:after="0"/>
              <w:rPr>
                <w:sz w:val="20"/>
                <w:szCs w:val="20"/>
                <w:color w:val="auto"/>
              </w:rPr>
            </w:pPr>
            <w:r>
              <w:rPr>
                <w:rFonts w:ascii="Arial" w:cs="Arial" w:eastAsia="Arial" w:hAnsi="Arial"/>
                <w:sz w:val="15"/>
                <w:szCs w:val="15"/>
                <w:b w:val="1"/>
                <w:bCs w:val="1"/>
                <w:color w:val="125288"/>
              </w:rPr>
              <w:t>($)</w:t>
            </w:r>
          </w:p>
        </w:tc>
        <w:tc>
          <w:tcPr>
            <w:tcW w:w="1500" w:type="dxa"/>
            <w:vAlign w:val="bottom"/>
          </w:tcPr>
          <w:p>
            <w:pPr>
              <w:jc w:val="right"/>
              <w:ind w:right="38"/>
              <w:spacing w:after="0"/>
              <w:rPr>
                <w:sz w:val="20"/>
                <w:szCs w:val="20"/>
                <w:color w:val="auto"/>
              </w:rPr>
            </w:pPr>
            <w:r>
              <w:rPr>
                <w:rFonts w:ascii="Arial" w:cs="Arial" w:eastAsia="Arial" w:hAnsi="Arial"/>
                <w:sz w:val="15"/>
                <w:szCs w:val="15"/>
                <w:b w:val="1"/>
                <w:bCs w:val="1"/>
                <w:color w:val="125288"/>
              </w:rPr>
              <w:t>($)</w:t>
            </w:r>
          </w:p>
        </w:tc>
        <w:tc>
          <w:tcPr>
            <w:tcW w:w="1400" w:type="dxa"/>
            <w:vAlign w:val="bottom"/>
          </w:tcPr>
          <w:p>
            <w:pPr>
              <w:jc w:val="right"/>
              <w:spacing w:after="0"/>
              <w:rPr>
                <w:sz w:val="20"/>
                <w:szCs w:val="20"/>
                <w:color w:val="auto"/>
              </w:rPr>
            </w:pPr>
            <w:r>
              <w:rPr>
                <w:rFonts w:ascii="Arial" w:cs="Arial" w:eastAsia="Arial" w:hAnsi="Arial"/>
                <w:sz w:val="15"/>
                <w:szCs w:val="15"/>
                <w:b w:val="1"/>
                <w:bCs w:val="1"/>
                <w:color w:val="125288"/>
              </w:rPr>
              <w:t>($)</w:t>
            </w:r>
          </w:p>
        </w:tc>
      </w:tr>
      <w:tr>
        <w:trPr>
          <w:trHeight w:val="37"/>
        </w:trPr>
        <w:tc>
          <w:tcPr>
            <w:tcW w:w="3520" w:type="dxa"/>
            <w:vAlign w:val="bottom"/>
            <w:tcBorders>
              <w:bottom w:val="single" w:sz="8" w:color="125288"/>
            </w:tcBorders>
          </w:tcPr>
          <w:p>
            <w:pPr>
              <w:spacing w:after="0"/>
              <w:rPr>
                <w:sz w:val="3"/>
                <w:szCs w:val="3"/>
                <w:color w:val="auto"/>
              </w:rPr>
            </w:pPr>
          </w:p>
        </w:tc>
        <w:tc>
          <w:tcPr>
            <w:tcW w:w="1900" w:type="dxa"/>
            <w:vAlign w:val="bottom"/>
            <w:tcBorders>
              <w:bottom w:val="single" w:sz="8" w:color="125288"/>
            </w:tcBorders>
          </w:tcPr>
          <w:p>
            <w:pPr>
              <w:spacing w:after="0"/>
              <w:rPr>
                <w:sz w:val="3"/>
                <w:szCs w:val="3"/>
                <w:color w:val="auto"/>
              </w:rPr>
            </w:pPr>
          </w:p>
        </w:tc>
        <w:tc>
          <w:tcPr>
            <w:tcW w:w="1420" w:type="dxa"/>
            <w:vAlign w:val="bottom"/>
            <w:tcBorders>
              <w:bottom w:val="single" w:sz="8" w:color="125288"/>
            </w:tcBorders>
          </w:tcPr>
          <w:p>
            <w:pPr>
              <w:spacing w:after="0"/>
              <w:rPr>
                <w:sz w:val="3"/>
                <w:szCs w:val="3"/>
                <w:color w:val="auto"/>
              </w:rPr>
            </w:pPr>
          </w:p>
        </w:tc>
        <w:tc>
          <w:tcPr>
            <w:tcW w:w="1520" w:type="dxa"/>
            <w:vAlign w:val="bottom"/>
            <w:tcBorders>
              <w:bottom w:val="single" w:sz="8" w:color="125288"/>
            </w:tcBorders>
          </w:tcPr>
          <w:p>
            <w:pPr>
              <w:spacing w:after="0"/>
              <w:rPr>
                <w:sz w:val="3"/>
                <w:szCs w:val="3"/>
                <w:color w:val="auto"/>
              </w:rPr>
            </w:pPr>
          </w:p>
        </w:tc>
        <w:tc>
          <w:tcPr>
            <w:tcW w:w="1500" w:type="dxa"/>
            <w:vAlign w:val="bottom"/>
            <w:tcBorders>
              <w:bottom w:val="single" w:sz="8" w:color="125288"/>
            </w:tcBorders>
          </w:tcPr>
          <w:p>
            <w:pPr>
              <w:spacing w:after="0"/>
              <w:rPr>
                <w:sz w:val="3"/>
                <w:szCs w:val="3"/>
                <w:color w:val="auto"/>
              </w:rPr>
            </w:pPr>
          </w:p>
        </w:tc>
        <w:tc>
          <w:tcPr>
            <w:tcW w:w="1400" w:type="dxa"/>
            <w:vAlign w:val="bottom"/>
            <w:tcBorders>
              <w:bottom w:val="single" w:sz="8" w:color="125288"/>
            </w:tcBorders>
          </w:tcPr>
          <w:p>
            <w:pPr>
              <w:spacing w:after="0"/>
              <w:rPr>
                <w:sz w:val="3"/>
                <w:szCs w:val="3"/>
                <w:color w:val="auto"/>
              </w:rPr>
            </w:pPr>
          </w:p>
        </w:tc>
      </w:tr>
      <w:tr>
        <w:trPr>
          <w:trHeight w:val="268"/>
        </w:trPr>
        <w:tc>
          <w:tcPr>
            <w:tcW w:w="3520" w:type="dxa"/>
            <w:vAlign w:val="bottom"/>
          </w:tcPr>
          <w:p>
            <w:pPr>
              <w:ind w:left="40"/>
              <w:spacing w:after="0"/>
              <w:rPr>
                <w:sz w:val="20"/>
                <w:szCs w:val="20"/>
                <w:color w:val="auto"/>
              </w:rPr>
            </w:pPr>
            <w:r>
              <w:rPr>
                <w:rFonts w:ascii="Arial" w:cs="Arial" w:eastAsia="Arial" w:hAnsi="Arial"/>
                <w:sz w:val="17"/>
                <w:szCs w:val="17"/>
                <w:b w:val="1"/>
                <w:bCs w:val="1"/>
                <w:color w:val="auto"/>
              </w:rPr>
              <w:t>Armin Zerza</w:t>
            </w:r>
          </w:p>
        </w:tc>
        <w:tc>
          <w:tcPr>
            <w:tcW w:w="19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81"/>
        </w:trPr>
        <w:tc>
          <w:tcPr>
            <w:tcW w:w="3520" w:type="dxa"/>
            <w:vAlign w:val="bottom"/>
            <w:tcBorders>
              <w:bottom w:val="single" w:sz="8" w:color="125288"/>
            </w:tcBorders>
          </w:tcPr>
          <w:p>
            <w:pPr>
              <w:spacing w:after="0"/>
              <w:rPr>
                <w:sz w:val="7"/>
                <w:szCs w:val="7"/>
                <w:color w:val="auto"/>
              </w:rPr>
            </w:pPr>
          </w:p>
        </w:tc>
        <w:tc>
          <w:tcPr>
            <w:tcW w:w="190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520" w:type="dxa"/>
            <w:vAlign w:val="bottom"/>
            <w:tcBorders>
              <w:bottom w:val="single" w:sz="8" w:color="125288"/>
            </w:tcBorders>
          </w:tcPr>
          <w:p>
            <w:pPr>
              <w:spacing w:after="0"/>
              <w:rPr>
                <w:sz w:val="7"/>
                <w:szCs w:val="7"/>
                <w:color w:val="auto"/>
              </w:rPr>
            </w:pPr>
          </w:p>
        </w:tc>
        <w:tc>
          <w:tcPr>
            <w:tcW w:w="1500" w:type="dxa"/>
            <w:vAlign w:val="bottom"/>
            <w:tcBorders>
              <w:bottom w:val="single" w:sz="8" w:color="125288"/>
            </w:tcBorders>
          </w:tcPr>
          <w:p>
            <w:pPr>
              <w:spacing w:after="0"/>
              <w:rPr>
                <w:sz w:val="7"/>
                <w:szCs w:val="7"/>
                <w:color w:val="auto"/>
              </w:rPr>
            </w:pPr>
          </w:p>
        </w:tc>
        <w:tc>
          <w:tcPr>
            <w:tcW w:w="1400" w:type="dxa"/>
            <w:vAlign w:val="bottom"/>
            <w:tcBorders>
              <w:bottom w:val="single" w:sz="8" w:color="125288"/>
            </w:tcBorders>
          </w:tcPr>
          <w:p>
            <w:pPr>
              <w:spacing w:after="0"/>
              <w:rPr>
                <w:sz w:val="7"/>
                <w:szCs w:val="7"/>
                <w:color w:val="auto"/>
              </w:rPr>
            </w:pPr>
          </w:p>
        </w:tc>
      </w:tr>
      <w:tr>
        <w:trPr>
          <w:trHeight w:val="268"/>
        </w:trPr>
        <w:tc>
          <w:tcPr>
            <w:tcW w:w="3520" w:type="dxa"/>
            <w:vAlign w:val="bottom"/>
          </w:tcPr>
          <w:p>
            <w:pPr>
              <w:ind w:left="40"/>
              <w:spacing w:after="0"/>
              <w:rPr>
                <w:sz w:val="20"/>
                <w:szCs w:val="20"/>
                <w:color w:val="auto"/>
              </w:rPr>
            </w:pPr>
            <w:r>
              <w:rPr>
                <w:rFonts w:ascii="Arial" w:cs="Arial" w:eastAsia="Arial" w:hAnsi="Arial"/>
                <w:sz w:val="17"/>
                <w:szCs w:val="17"/>
                <w:color w:val="auto"/>
              </w:rPr>
              <w:t>Salary-based severance</w:t>
            </w:r>
          </w:p>
        </w:tc>
        <w:tc>
          <w:tcPr>
            <w:tcW w:w="1900" w:type="dxa"/>
            <w:vAlign w:val="bottom"/>
          </w:tcPr>
          <w:p>
            <w:pPr>
              <w:jc w:val="right"/>
              <w:ind w:right="317"/>
              <w:spacing w:after="0"/>
              <w:rPr>
                <w:sz w:val="20"/>
                <w:szCs w:val="20"/>
                <w:color w:val="auto"/>
              </w:rPr>
            </w:pPr>
            <w:r>
              <w:rPr>
                <w:rFonts w:ascii="Arial" w:cs="Arial" w:eastAsia="Arial" w:hAnsi="Arial"/>
                <w:sz w:val="17"/>
                <w:szCs w:val="17"/>
                <w:color w:val="auto"/>
              </w:rPr>
              <w:t>1,600,000</w:t>
            </w:r>
          </w:p>
        </w:tc>
        <w:tc>
          <w:tcPr>
            <w:tcW w:w="1420" w:type="dxa"/>
            <w:vAlign w:val="bottom"/>
          </w:tcPr>
          <w:p>
            <w:pPr>
              <w:jc w:val="right"/>
              <w:ind w:right="157"/>
              <w:spacing w:after="0"/>
              <w:rPr>
                <w:sz w:val="20"/>
                <w:szCs w:val="20"/>
                <w:color w:val="auto"/>
              </w:rPr>
            </w:pPr>
            <w:r>
              <w:rPr>
                <w:rFonts w:ascii="Arial" w:cs="Arial" w:eastAsia="Arial" w:hAnsi="Arial"/>
                <w:sz w:val="17"/>
                <w:szCs w:val="17"/>
                <w:color w:val="auto"/>
              </w:rPr>
              <w:t>1,800,000</w:t>
            </w:r>
          </w:p>
        </w:tc>
        <w:tc>
          <w:tcPr>
            <w:tcW w:w="1520" w:type="dxa"/>
            <w:vAlign w:val="bottom"/>
          </w:tcPr>
          <w:p>
            <w:pPr>
              <w:jc w:val="right"/>
              <w:ind w:right="98"/>
              <w:spacing w:after="0"/>
              <w:rPr>
                <w:sz w:val="20"/>
                <w:szCs w:val="20"/>
                <w:color w:val="auto"/>
              </w:rPr>
            </w:pPr>
            <w:r>
              <w:rPr>
                <w:rFonts w:ascii="Arial" w:cs="Arial" w:eastAsia="Arial" w:hAnsi="Arial"/>
                <w:sz w:val="17"/>
                <w:szCs w:val="17"/>
                <w:color w:val="auto"/>
              </w:rPr>
              <w:t>0</w:t>
            </w:r>
          </w:p>
        </w:tc>
        <w:tc>
          <w:tcPr>
            <w:tcW w:w="1500" w:type="dxa"/>
            <w:vAlign w:val="bottom"/>
          </w:tcPr>
          <w:p>
            <w:pPr>
              <w:jc w:val="right"/>
              <w:ind w:right="38"/>
              <w:spacing w:after="0"/>
              <w:rPr>
                <w:sz w:val="20"/>
                <w:szCs w:val="20"/>
                <w:color w:val="auto"/>
              </w:rPr>
            </w:pPr>
            <w:r>
              <w:rPr>
                <w:rFonts w:ascii="Arial" w:cs="Arial" w:eastAsia="Arial" w:hAnsi="Arial"/>
                <w:sz w:val="17"/>
                <w:szCs w:val="17"/>
                <w:color w:val="auto"/>
              </w:rPr>
              <w:t>1,800,000</w:t>
            </w:r>
          </w:p>
        </w:tc>
        <w:tc>
          <w:tcPr>
            <w:tcW w:w="1400" w:type="dxa"/>
            <w:vAlign w:val="bottom"/>
          </w:tcPr>
          <w:p>
            <w:pPr>
              <w:jc w:val="right"/>
              <w:spacing w:after="0"/>
              <w:rPr>
                <w:sz w:val="20"/>
                <w:szCs w:val="20"/>
                <w:color w:val="auto"/>
              </w:rPr>
            </w:pPr>
            <w:r>
              <w:rPr>
                <w:rFonts w:ascii="Arial" w:cs="Arial" w:eastAsia="Arial" w:hAnsi="Arial"/>
                <w:sz w:val="17"/>
                <w:szCs w:val="17"/>
                <w:color w:val="auto"/>
              </w:rPr>
              <w:t>1,800,000</w:t>
            </w:r>
          </w:p>
        </w:tc>
      </w:tr>
      <w:tr>
        <w:trPr>
          <w:trHeight w:val="81"/>
        </w:trPr>
        <w:tc>
          <w:tcPr>
            <w:tcW w:w="3520" w:type="dxa"/>
            <w:vAlign w:val="bottom"/>
            <w:tcBorders>
              <w:bottom w:val="single" w:sz="8" w:color="125288"/>
            </w:tcBorders>
          </w:tcPr>
          <w:p>
            <w:pPr>
              <w:spacing w:after="0"/>
              <w:rPr>
                <w:sz w:val="7"/>
                <w:szCs w:val="7"/>
                <w:color w:val="auto"/>
              </w:rPr>
            </w:pPr>
          </w:p>
        </w:tc>
        <w:tc>
          <w:tcPr>
            <w:tcW w:w="190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520" w:type="dxa"/>
            <w:vAlign w:val="bottom"/>
            <w:tcBorders>
              <w:bottom w:val="single" w:sz="8" w:color="125288"/>
            </w:tcBorders>
          </w:tcPr>
          <w:p>
            <w:pPr>
              <w:spacing w:after="0"/>
              <w:rPr>
                <w:sz w:val="7"/>
                <w:szCs w:val="7"/>
                <w:color w:val="auto"/>
              </w:rPr>
            </w:pPr>
          </w:p>
        </w:tc>
        <w:tc>
          <w:tcPr>
            <w:tcW w:w="1500" w:type="dxa"/>
            <w:vAlign w:val="bottom"/>
            <w:tcBorders>
              <w:bottom w:val="single" w:sz="8" w:color="125288"/>
            </w:tcBorders>
          </w:tcPr>
          <w:p>
            <w:pPr>
              <w:spacing w:after="0"/>
              <w:rPr>
                <w:sz w:val="7"/>
                <w:szCs w:val="7"/>
                <w:color w:val="auto"/>
              </w:rPr>
            </w:pPr>
          </w:p>
        </w:tc>
        <w:tc>
          <w:tcPr>
            <w:tcW w:w="1400" w:type="dxa"/>
            <w:vAlign w:val="bottom"/>
            <w:tcBorders>
              <w:bottom w:val="single" w:sz="8" w:color="125288"/>
            </w:tcBorders>
          </w:tcPr>
          <w:p>
            <w:pPr>
              <w:spacing w:after="0"/>
              <w:rPr>
                <w:sz w:val="7"/>
                <w:szCs w:val="7"/>
                <w:color w:val="auto"/>
              </w:rPr>
            </w:pPr>
          </w:p>
        </w:tc>
      </w:tr>
      <w:tr>
        <w:trPr>
          <w:trHeight w:val="268"/>
        </w:trPr>
        <w:tc>
          <w:tcPr>
            <w:tcW w:w="3520" w:type="dxa"/>
            <w:vAlign w:val="bottom"/>
          </w:tcPr>
          <w:p>
            <w:pPr>
              <w:ind w:left="40"/>
              <w:spacing w:after="0"/>
              <w:rPr>
                <w:sz w:val="20"/>
                <w:szCs w:val="20"/>
                <w:color w:val="auto"/>
              </w:rPr>
            </w:pPr>
            <w:r>
              <w:rPr>
                <w:rFonts w:ascii="Arial" w:cs="Arial" w:eastAsia="Arial" w:hAnsi="Arial"/>
                <w:sz w:val="17"/>
                <w:szCs w:val="17"/>
                <w:color w:val="auto"/>
              </w:rPr>
              <w:t>Lump-sum bonus-based severance</w:t>
            </w:r>
            <w:r>
              <w:rPr>
                <w:rFonts w:ascii="Arial" w:cs="Arial" w:eastAsia="Arial" w:hAnsi="Arial"/>
                <w:sz w:val="9"/>
                <w:szCs w:val="9"/>
                <w:color w:val="auto"/>
              </w:rPr>
              <w:t>(5)</w:t>
            </w:r>
          </w:p>
        </w:tc>
        <w:tc>
          <w:tcPr>
            <w:tcW w:w="1900" w:type="dxa"/>
            <w:vAlign w:val="bottom"/>
          </w:tcPr>
          <w:p>
            <w:pPr>
              <w:jc w:val="right"/>
              <w:ind w:right="317"/>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98"/>
              <w:spacing w:after="0"/>
              <w:rPr>
                <w:sz w:val="20"/>
                <w:szCs w:val="20"/>
                <w:color w:val="auto"/>
              </w:rPr>
            </w:pPr>
            <w:r>
              <w:rPr>
                <w:rFonts w:ascii="Arial" w:cs="Arial" w:eastAsia="Arial" w:hAnsi="Arial"/>
                <w:sz w:val="17"/>
                <w:szCs w:val="17"/>
                <w:color w:val="auto"/>
              </w:rPr>
              <w:t>0</w:t>
            </w:r>
          </w:p>
        </w:tc>
        <w:tc>
          <w:tcPr>
            <w:tcW w:w="150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81"/>
        </w:trPr>
        <w:tc>
          <w:tcPr>
            <w:tcW w:w="3520" w:type="dxa"/>
            <w:vAlign w:val="bottom"/>
            <w:tcBorders>
              <w:bottom w:val="single" w:sz="8" w:color="125288"/>
            </w:tcBorders>
          </w:tcPr>
          <w:p>
            <w:pPr>
              <w:spacing w:after="0"/>
              <w:rPr>
                <w:sz w:val="7"/>
                <w:szCs w:val="7"/>
                <w:color w:val="auto"/>
              </w:rPr>
            </w:pPr>
          </w:p>
        </w:tc>
        <w:tc>
          <w:tcPr>
            <w:tcW w:w="190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520" w:type="dxa"/>
            <w:vAlign w:val="bottom"/>
            <w:tcBorders>
              <w:bottom w:val="single" w:sz="8" w:color="125288"/>
            </w:tcBorders>
          </w:tcPr>
          <w:p>
            <w:pPr>
              <w:spacing w:after="0"/>
              <w:rPr>
                <w:sz w:val="7"/>
                <w:szCs w:val="7"/>
                <w:color w:val="auto"/>
              </w:rPr>
            </w:pPr>
          </w:p>
        </w:tc>
        <w:tc>
          <w:tcPr>
            <w:tcW w:w="1500" w:type="dxa"/>
            <w:vAlign w:val="bottom"/>
            <w:tcBorders>
              <w:bottom w:val="single" w:sz="8" w:color="125288"/>
            </w:tcBorders>
          </w:tcPr>
          <w:p>
            <w:pPr>
              <w:spacing w:after="0"/>
              <w:rPr>
                <w:sz w:val="7"/>
                <w:szCs w:val="7"/>
                <w:color w:val="auto"/>
              </w:rPr>
            </w:pPr>
          </w:p>
        </w:tc>
        <w:tc>
          <w:tcPr>
            <w:tcW w:w="1400" w:type="dxa"/>
            <w:vAlign w:val="bottom"/>
            <w:tcBorders>
              <w:bottom w:val="single" w:sz="8" w:color="125288"/>
            </w:tcBorders>
          </w:tcPr>
          <w:p>
            <w:pPr>
              <w:spacing w:after="0"/>
              <w:rPr>
                <w:sz w:val="7"/>
                <w:szCs w:val="7"/>
                <w:color w:val="auto"/>
              </w:rPr>
            </w:pPr>
          </w:p>
        </w:tc>
      </w:tr>
      <w:tr>
        <w:trPr>
          <w:trHeight w:val="268"/>
        </w:trPr>
        <w:tc>
          <w:tcPr>
            <w:tcW w:w="3520" w:type="dxa"/>
            <w:vAlign w:val="bottom"/>
          </w:tcPr>
          <w:p>
            <w:pPr>
              <w:ind w:left="40"/>
              <w:spacing w:after="0"/>
              <w:rPr>
                <w:sz w:val="20"/>
                <w:szCs w:val="20"/>
                <w:color w:val="auto"/>
              </w:rPr>
            </w:pPr>
            <w:r>
              <w:rPr>
                <w:rFonts w:ascii="Arial" w:cs="Arial" w:eastAsia="Arial" w:hAnsi="Arial"/>
                <w:sz w:val="17"/>
                <w:szCs w:val="17"/>
                <w:color w:val="auto"/>
              </w:rPr>
              <w:t>Additional severance</w:t>
            </w:r>
            <w:r>
              <w:rPr>
                <w:rFonts w:ascii="Arial" w:cs="Arial" w:eastAsia="Arial" w:hAnsi="Arial"/>
                <w:sz w:val="9"/>
                <w:szCs w:val="9"/>
                <w:color w:val="auto"/>
              </w:rPr>
              <w:t>(6)</w:t>
            </w:r>
          </w:p>
        </w:tc>
        <w:tc>
          <w:tcPr>
            <w:tcW w:w="1900" w:type="dxa"/>
            <w:vAlign w:val="bottom"/>
          </w:tcPr>
          <w:p>
            <w:pPr>
              <w:jc w:val="right"/>
              <w:ind w:right="317"/>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98"/>
              <w:spacing w:after="0"/>
              <w:rPr>
                <w:sz w:val="20"/>
                <w:szCs w:val="20"/>
                <w:color w:val="auto"/>
              </w:rPr>
            </w:pPr>
            <w:r>
              <w:rPr>
                <w:rFonts w:ascii="Arial" w:cs="Arial" w:eastAsia="Arial" w:hAnsi="Arial"/>
                <w:sz w:val="17"/>
                <w:szCs w:val="17"/>
                <w:color w:val="auto"/>
              </w:rPr>
              <w:t>0</w:t>
            </w:r>
          </w:p>
        </w:tc>
        <w:tc>
          <w:tcPr>
            <w:tcW w:w="150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81"/>
        </w:trPr>
        <w:tc>
          <w:tcPr>
            <w:tcW w:w="3520" w:type="dxa"/>
            <w:vAlign w:val="bottom"/>
            <w:tcBorders>
              <w:bottom w:val="single" w:sz="8" w:color="125288"/>
            </w:tcBorders>
          </w:tcPr>
          <w:p>
            <w:pPr>
              <w:spacing w:after="0"/>
              <w:rPr>
                <w:sz w:val="7"/>
                <w:szCs w:val="7"/>
                <w:color w:val="auto"/>
              </w:rPr>
            </w:pPr>
          </w:p>
        </w:tc>
        <w:tc>
          <w:tcPr>
            <w:tcW w:w="190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520" w:type="dxa"/>
            <w:vAlign w:val="bottom"/>
            <w:tcBorders>
              <w:bottom w:val="single" w:sz="8" w:color="125288"/>
            </w:tcBorders>
          </w:tcPr>
          <w:p>
            <w:pPr>
              <w:spacing w:after="0"/>
              <w:rPr>
                <w:sz w:val="7"/>
                <w:szCs w:val="7"/>
                <w:color w:val="auto"/>
              </w:rPr>
            </w:pPr>
          </w:p>
        </w:tc>
        <w:tc>
          <w:tcPr>
            <w:tcW w:w="1500" w:type="dxa"/>
            <w:vAlign w:val="bottom"/>
            <w:tcBorders>
              <w:bottom w:val="single" w:sz="8" w:color="125288"/>
            </w:tcBorders>
          </w:tcPr>
          <w:p>
            <w:pPr>
              <w:spacing w:after="0"/>
              <w:rPr>
                <w:sz w:val="7"/>
                <w:szCs w:val="7"/>
                <w:color w:val="auto"/>
              </w:rPr>
            </w:pPr>
          </w:p>
        </w:tc>
        <w:tc>
          <w:tcPr>
            <w:tcW w:w="1400" w:type="dxa"/>
            <w:vAlign w:val="bottom"/>
            <w:tcBorders>
              <w:bottom w:val="single" w:sz="8" w:color="125288"/>
            </w:tcBorders>
          </w:tcPr>
          <w:p>
            <w:pPr>
              <w:spacing w:after="0"/>
              <w:rPr>
                <w:sz w:val="7"/>
                <w:szCs w:val="7"/>
                <w:color w:val="auto"/>
              </w:rPr>
            </w:pPr>
          </w:p>
        </w:tc>
      </w:tr>
      <w:tr>
        <w:trPr>
          <w:trHeight w:val="268"/>
        </w:trPr>
        <w:tc>
          <w:tcPr>
            <w:tcW w:w="3520" w:type="dxa"/>
            <w:vAlign w:val="bottom"/>
          </w:tcPr>
          <w:p>
            <w:pPr>
              <w:ind w:left="40"/>
              <w:spacing w:after="0"/>
              <w:rPr>
                <w:sz w:val="20"/>
                <w:szCs w:val="20"/>
                <w:color w:val="auto"/>
              </w:rPr>
            </w:pPr>
            <w:r>
              <w:rPr>
                <w:rFonts w:ascii="Arial" w:cs="Arial" w:eastAsia="Arial" w:hAnsi="Arial"/>
                <w:sz w:val="17"/>
                <w:szCs w:val="17"/>
                <w:color w:val="auto"/>
              </w:rPr>
              <w:t>Impact on equity awards</w:t>
            </w:r>
            <w:r>
              <w:rPr>
                <w:rFonts w:ascii="Arial" w:cs="Arial" w:eastAsia="Arial" w:hAnsi="Arial"/>
                <w:sz w:val="9"/>
                <w:szCs w:val="9"/>
                <w:color w:val="auto"/>
              </w:rPr>
              <w:t>(7)</w:t>
            </w:r>
          </w:p>
        </w:tc>
        <w:tc>
          <w:tcPr>
            <w:tcW w:w="1900" w:type="dxa"/>
            <w:vAlign w:val="bottom"/>
          </w:tcPr>
          <w:p>
            <w:pPr>
              <w:jc w:val="right"/>
              <w:ind w:right="317"/>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98"/>
              <w:spacing w:after="0"/>
              <w:rPr>
                <w:sz w:val="20"/>
                <w:szCs w:val="20"/>
                <w:color w:val="auto"/>
              </w:rPr>
            </w:pPr>
            <w:r>
              <w:rPr>
                <w:rFonts w:ascii="Arial" w:cs="Arial" w:eastAsia="Arial" w:hAnsi="Arial"/>
                <w:sz w:val="17"/>
                <w:szCs w:val="17"/>
                <w:color w:val="auto"/>
              </w:rPr>
              <w:t>0</w:t>
            </w:r>
          </w:p>
        </w:tc>
        <w:tc>
          <w:tcPr>
            <w:tcW w:w="150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81"/>
        </w:trPr>
        <w:tc>
          <w:tcPr>
            <w:tcW w:w="3520" w:type="dxa"/>
            <w:vAlign w:val="bottom"/>
            <w:tcBorders>
              <w:bottom w:val="single" w:sz="8" w:color="125288"/>
            </w:tcBorders>
          </w:tcPr>
          <w:p>
            <w:pPr>
              <w:spacing w:after="0"/>
              <w:rPr>
                <w:sz w:val="7"/>
                <w:szCs w:val="7"/>
                <w:color w:val="auto"/>
              </w:rPr>
            </w:pPr>
          </w:p>
        </w:tc>
        <w:tc>
          <w:tcPr>
            <w:tcW w:w="190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520" w:type="dxa"/>
            <w:vAlign w:val="bottom"/>
            <w:tcBorders>
              <w:bottom w:val="single" w:sz="8" w:color="125288"/>
            </w:tcBorders>
          </w:tcPr>
          <w:p>
            <w:pPr>
              <w:spacing w:after="0"/>
              <w:rPr>
                <w:sz w:val="7"/>
                <w:szCs w:val="7"/>
                <w:color w:val="auto"/>
              </w:rPr>
            </w:pPr>
          </w:p>
        </w:tc>
        <w:tc>
          <w:tcPr>
            <w:tcW w:w="1500" w:type="dxa"/>
            <w:vAlign w:val="bottom"/>
            <w:tcBorders>
              <w:bottom w:val="single" w:sz="8" w:color="125288"/>
            </w:tcBorders>
          </w:tcPr>
          <w:p>
            <w:pPr>
              <w:spacing w:after="0"/>
              <w:rPr>
                <w:sz w:val="7"/>
                <w:szCs w:val="7"/>
                <w:color w:val="auto"/>
              </w:rPr>
            </w:pPr>
          </w:p>
        </w:tc>
        <w:tc>
          <w:tcPr>
            <w:tcW w:w="1400" w:type="dxa"/>
            <w:vAlign w:val="bottom"/>
            <w:tcBorders>
              <w:bottom w:val="single" w:sz="8" w:color="125288"/>
            </w:tcBorders>
          </w:tcPr>
          <w:p>
            <w:pPr>
              <w:spacing w:after="0"/>
              <w:rPr>
                <w:sz w:val="7"/>
                <w:szCs w:val="7"/>
                <w:color w:val="auto"/>
              </w:rPr>
            </w:pPr>
          </w:p>
        </w:tc>
      </w:tr>
      <w:tr>
        <w:trPr>
          <w:trHeight w:val="268"/>
        </w:trPr>
        <w:tc>
          <w:tcPr>
            <w:tcW w:w="3520" w:type="dxa"/>
            <w:vAlign w:val="bottom"/>
          </w:tcPr>
          <w:p>
            <w:pPr>
              <w:ind w:left="40"/>
              <w:spacing w:after="0"/>
              <w:rPr>
                <w:sz w:val="20"/>
                <w:szCs w:val="20"/>
                <w:color w:val="auto"/>
              </w:rPr>
            </w:pPr>
            <w:r>
              <w:rPr>
                <w:rFonts w:ascii="Arial" w:cs="Arial" w:eastAsia="Arial" w:hAnsi="Arial"/>
                <w:sz w:val="17"/>
                <w:szCs w:val="17"/>
                <w:b w:val="1"/>
                <w:bCs w:val="1"/>
                <w:color w:val="auto"/>
              </w:rPr>
              <w:t>TOTAL</w:t>
            </w:r>
          </w:p>
        </w:tc>
        <w:tc>
          <w:tcPr>
            <w:tcW w:w="1900" w:type="dxa"/>
            <w:vAlign w:val="bottom"/>
          </w:tcPr>
          <w:p>
            <w:pPr>
              <w:jc w:val="right"/>
              <w:ind w:right="317"/>
              <w:spacing w:after="0"/>
              <w:rPr>
                <w:sz w:val="20"/>
                <w:szCs w:val="20"/>
                <w:color w:val="auto"/>
              </w:rPr>
            </w:pPr>
            <w:r>
              <w:rPr>
                <w:rFonts w:ascii="Arial" w:cs="Arial" w:eastAsia="Arial" w:hAnsi="Arial"/>
                <w:sz w:val="17"/>
                <w:szCs w:val="17"/>
                <w:b w:val="1"/>
                <w:bCs w:val="1"/>
                <w:color w:val="auto"/>
              </w:rPr>
              <w:t>1,600,000</w:t>
            </w:r>
          </w:p>
        </w:tc>
        <w:tc>
          <w:tcPr>
            <w:tcW w:w="1420" w:type="dxa"/>
            <w:vAlign w:val="bottom"/>
          </w:tcPr>
          <w:p>
            <w:pPr>
              <w:jc w:val="right"/>
              <w:ind w:right="157"/>
              <w:spacing w:after="0"/>
              <w:rPr>
                <w:sz w:val="20"/>
                <w:szCs w:val="20"/>
                <w:color w:val="auto"/>
              </w:rPr>
            </w:pPr>
            <w:r>
              <w:rPr>
                <w:rFonts w:ascii="Arial" w:cs="Arial" w:eastAsia="Arial" w:hAnsi="Arial"/>
                <w:sz w:val="17"/>
                <w:szCs w:val="17"/>
                <w:b w:val="1"/>
                <w:bCs w:val="1"/>
                <w:color w:val="auto"/>
              </w:rPr>
              <w:t>1,800,000</w:t>
            </w:r>
          </w:p>
        </w:tc>
        <w:tc>
          <w:tcPr>
            <w:tcW w:w="1520" w:type="dxa"/>
            <w:vAlign w:val="bottom"/>
          </w:tcPr>
          <w:p>
            <w:pPr>
              <w:jc w:val="right"/>
              <w:ind w:right="98"/>
              <w:spacing w:after="0"/>
              <w:rPr>
                <w:sz w:val="20"/>
                <w:szCs w:val="20"/>
                <w:color w:val="auto"/>
              </w:rPr>
            </w:pPr>
            <w:r>
              <w:rPr>
                <w:rFonts w:ascii="Arial" w:cs="Arial" w:eastAsia="Arial" w:hAnsi="Arial"/>
                <w:sz w:val="17"/>
                <w:szCs w:val="17"/>
                <w:b w:val="1"/>
                <w:bCs w:val="1"/>
                <w:color w:val="auto"/>
              </w:rPr>
              <w:t>0</w:t>
            </w:r>
          </w:p>
        </w:tc>
        <w:tc>
          <w:tcPr>
            <w:tcW w:w="1500" w:type="dxa"/>
            <w:vAlign w:val="bottom"/>
          </w:tcPr>
          <w:p>
            <w:pPr>
              <w:jc w:val="right"/>
              <w:ind w:right="38"/>
              <w:spacing w:after="0"/>
              <w:rPr>
                <w:sz w:val="20"/>
                <w:szCs w:val="20"/>
                <w:color w:val="auto"/>
              </w:rPr>
            </w:pPr>
            <w:r>
              <w:rPr>
                <w:rFonts w:ascii="Arial" w:cs="Arial" w:eastAsia="Arial" w:hAnsi="Arial"/>
                <w:sz w:val="17"/>
                <w:szCs w:val="17"/>
                <w:b w:val="1"/>
                <w:bCs w:val="1"/>
                <w:color w:val="auto"/>
              </w:rPr>
              <w:t>1,800,000</w:t>
            </w: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1,800,000</w:t>
            </w:r>
          </w:p>
        </w:tc>
      </w:tr>
      <w:tr>
        <w:trPr>
          <w:trHeight w:val="85"/>
        </w:trPr>
        <w:tc>
          <w:tcPr>
            <w:tcW w:w="3520" w:type="dxa"/>
            <w:vAlign w:val="bottom"/>
            <w:tcBorders>
              <w:bottom w:val="single" w:sz="8" w:color="125288"/>
            </w:tcBorders>
          </w:tcPr>
          <w:p>
            <w:pPr>
              <w:spacing w:after="0"/>
              <w:rPr>
                <w:sz w:val="7"/>
                <w:szCs w:val="7"/>
                <w:color w:val="auto"/>
              </w:rPr>
            </w:pPr>
          </w:p>
        </w:tc>
        <w:tc>
          <w:tcPr>
            <w:tcW w:w="190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520" w:type="dxa"/>
            <w:vAlign w:val="bottom"/>
            <w:tcBorders>
              <w:bottom w:val="single" w:sz="8" w:color="125288"/>
            </w:tcBorders>
          </w:tcPr>
          <w:p>
            <w:pPr>
              <w:spacing w:after="0"/>
              <w:rPr>
                <w:sz w:val="7"/>
                <w:szCs w:val="7"/>
                <w:color w:val="auto"/>
              </w:rPr>
            </w:pPr>
          </w:p>
        </w:tc>
        <w:tc>
          <w:tcPr>
            <w:tcW w:w="1500" w:type="dxa"/>
            <w:vAlign w:val="bottom"/>
            <w:tcBorders>
              <w:bottom w:val="single" w:sz="8" w:color="125288"/>
            </w:tcBorders>
          </w:tcPr>
          <w:p>
            <w:pPr>
              <w:spacing w:after="0"/>
              <w:rPr>
                <w:sz w:val="7"/>
                <w:szCs w:val="7"/>
                <w:color w:val="auto"/>
              </w:rPr>
            </w:pPr>
          </w:p>
        </w:tc>
        <w:tc>
          <w:tcPr>
            <w:tcW w:w="1400" w:type="dxa"/>
            <w:vAlign w:val="bottom"/>
            <w:tcBorders>
              <w:bottom w:val="single" w:sz="8" w:color="125288"/>
            </w:tcBorders>
          </w:tcPr>
          <w:p>
            <w:pPr>
              <w:spacing w:after="0"/>
              <w:rPr>
                <w:sz w:val="7"/>
                <w:szCs w:val="7"/>
                <w:color w:val="auto"/>
              </w:rPr>
            </w:pPr>
          </w:p>
        </w:tc>
      </w:tr>
      <w:tr>
        <w:trPr>
          <w:trHeight w:val="276"/>
        </w:trPr>
        <w:tc>
          <w:tcPr>
            <w:tcW w:w="3520" w:type="dxa"/>
            <w:vAlign w:val="bottom"/>
          </w:tcPr>
          <w:p>
            <w:pPr>
              <w:ind w:left="40"/>
              <w:spacing w:after="0"/>
              <w:rPr>
                <w:sz w:val="20"/>
                <w:szCs w:val="20"/>
                <w:color w:val="auto"/>
              </w:rPr>
            </w:pPr>
            <w:r>
              <w:rPr>
                <w:rFonts w:ascii="Arial" w:cs="Arial" w:eastAsia="Arial" w:hAnsi="Arial"/>
                <w:sz w:val="17"/>
                <w:szCs w:val="17"/>
                <w:b w:val="1"/>
                <w:bCs w:val="1"/>
                <w:color w:val="auto"/>
              </w:rPr>
              <w:t>Daniel Alegre</w:t>
            </w:r>
          </w:p>
        </w:tc>
        <w:tc>
          <w:tcPr>
            <w:tcW w:w="19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81"/>
        </w:trPr>
        <w:tc>
          <w:tcPr>
            <w:tcW w:w="3520" w:type="dxa"/>
            <w:vAlign w:val="bottom"/>
            <w:tcBorders>
              <w:bottom w:val="single" w:sz="8" w:color="125288"/>
            </w:tcBorders>
          </w:tcPr>
          <w:p>
            <w:pPr>
              <w:spacing w:after="0"/>
              <w:rPr>
                <w:sz w:val="7"/>
                <w:szCs w:val="7"/>
                <w:color w:val="auto"/>
              </w:rPr>
            </w:pPr>
          </w:p>
        </w:tc>
        <w:tc>
          <w:tcPr>
            <w:tcW w:w="190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520" w:type="dxa"/>
            <w:vAlign w:val="bottom"/>
            <w:tcBorders>
              <w:bottom w:val="single" w:sz="8" w:color="125288"/>
            </w:tcBorders>
          </w:tcPr>
          <w:p>
            <w:pPr>
              <w:spacing w:after="0"/>
              <w:rPr>
                <w:sz w:val="7"/>
                <w:szCs w:val="7"/>
                <w:color w:val="auto"/>
              </w:rPr>
            </w:pPr>
          </w:p>
        </w:tc>
        <w:tc>
          <w:tcPr>
            <w:tcW w:w="1500" w:type="dxa"/>
            <w:vAlign w:val="bottom"/>
            <w:tcBorders>
              <w:bottom w:val="single" w:sz="8" w:color="125288"/>
            </w:tcBorders>
          </w:tcPr>
          <w:p>
            <w:pPr>
              <w:spacing w:after="0"/>
              <w:rPr>
                <w:sz w:val="7"/>
                <w:szCs w:val="7"/>
                <w:color w:val="auto"/>
              </w:rPr>
            </w:pPr>
          </w:p>
        </w:tc>
        <w:tc>
          <w:tcPr>
            <w:tcW w:w="1400" w:type="dxa"/>
            <w:vAlign w:val="bottom"/>
            <w:tcBorders>
              <w:bottom w:val="single" w:sz="8" w:color="125288"/>
            </w:tcBorders>
          </w:tcPr>
          <w:p>
            <w:pPr>
              <w:spacing w:after="0"/>
              <w:rPr>
                <w:sz w:val="7"/>
                <w:szCs w:val="7"/>
                <w:color w:val="auto"/>
              </w:rPr>
            </w:pPr>
          </w:p>
        </w:tc>
      </w:tr>
      <w:tr>
        <w:trPr>
          <w:trHeight w:val="268"/>
        </w:trPr>
        <w:tc>
          <w:tcPr>
            <w:tcW w:w="3520" w:type="dxa"/>
            <w:vAlign w:val="bottom"/>
          </w:tcPr>
          <w:p>
            <w:pPr>
              <w:ind w:left="40"/>
              <w:spacing w:after="0"/>
              <w:rPr>
                <w:sz w:val="20"/>
                <w:szCs w:val="20"/>
                <w:color w:val="auto"/>
              </w:rPr>
            </w:pPr>
            <w:r>
              <w:rPr>
                <w:rFonts w:ascii="Arial" w:cs="Arial" w:eastAsia="Arial" w:hAnsi="Arial"/>
                <w:sz w:val="17"/>
                <w:szCs w:val="17"/>
                <w:color w:val="auto"/>
              </w:rPr>
              <w:t>Salary-based severance</w:t>
            </w:r>
          </w:p>
        </w:tc>
        <w:tc>
          <w:tcPr>
            <w:tcW w:w="1900" w:type="dxa"/>
            <w:vAlign w:val="bottom"/>
          </w:tcPr>
          <w:p>
            <w:pPr>
              <w:jc w:val="right"/>
              <w:ind w:right="317"/>
              <w:spacing w:after="0"/>
              <w:rPr>
                <w:sz w:val="20"/>
                <w:szCs w:val="20"/>
                <w:color w:val="auto"/>
              </w:rPr>
            </w:pPr>
            <w:r>
              <w:rPr>
                <w:rFonts w:ascii="Arial" w:cs="Arial" w:eastAsia="Arial" w:hAnsi="Arial"/>
                <w:sz w:val="17"/>
                <w:szCs w:val="17"/>
                <w:color w:val="auto"/>
              </w:rPr>
              <w:t>2,700,000</w:t>
            </w:r>
          </w:p>
        </w:tc>
        <w:tc>
          <w:tcPr>
            <w:tcW w:w="1420" w:type="dxa"/>
            <w:vAlign w:val="bottom"/>
          </w:tcPr>
          <w:p>
            <w:pPr>
              <w:jc w:val="right"/>
              <w:ind w:right="157"/>
              <w:spacing w:after="0"/>
              <w:rPr>
                <w:sz w:val="20"/>
                <w:szCs w:val="20"/>
                <w:color w:val="auto"/>
              </w:rPr>
            </w:pPr>
            <w:r>
              <w:rPr>
                <w:rFonts w:ascii="Arial" w:cs="Arial" w:eastAsia="Arial" w:hAnsi="Arial"/>
                <w:sz w:val="17"/>
                <w:szCs w:val="17"/>
                <w:color w:val="auto"/>
              </w:rPr>
              <w:t>1,687,500</w:t>
            </w:r>
          </w:p>
        </w:tc>
        <w:tc>
          <w:tcPr>
            <w:tcW w:w="1520" w:type="dxa"/>
            <w:vAlign w:val="bottom"/>
          </w:tcPr>
          <w:p>
            <w:pPr>
              <w:jc w:val="right"/>
              <w:ind w:right="98"/>
              <w:spacing w:after="0"/>
              <w:rPr>
                <w:sz w:val="20"/>
                <w:szCs w:val="20"/>
                <w:color w:val="auto"/>
              </w:rPr>
            </w:pPr>
            <w:r>
              <w:rPr>
                <w:rFonts w:ascii="Arial" w:cs="Arial" w:eastAsia="Arial" w:hAnsi="Arial"/>
                <w:sz w:val="17"/>
                <w:szCs w:val="17"/>
                <w:color w:val="auto"/>
              </w:rPr>
              <w:t>0</w:t>
            </w:r>
          </w:p>
        </w:tc>
        <w:tc>
          <w:tcPr>
            <w:tcW w:w="1500" w:type="dxa"/>
            <w:vAlign w:val="bottom"/>
          </w:tcPr>
          <w:p>
            <w:pPr>
              <w:jc w:val="right"/>
              <w:ind w:right="38"/>
              <w:spacing w:after="0"/>
              <w:rPr>
                <w:sz w:val="20"/>
                <w:szCs w:val="20"/>
                <w:color w:val="auto"/>
              </w:rPr>
            </w:pPr>
            <w:r>
              <w:rPr>
                <w:rFonts w:ascii="Arial" w:cs="Arial" w:eastAsia="Arial" w:hAnsi="Arial"/>
                <w:sz w:val="17"/>
                <w:szCs w:val="17"/>
                <w:color w:val="auto"/>
              </w:rPr>
              <w:t>1,687,500</w:t>
            </w:r>
          </w:p>
        </w:tc>
        <w:tc>
          <w:tcPr>
            <w:tcW w:w="1400" w:type="dxa"/>
            <w:vAlign w:val="bottom"/>
          </w:tcPr>
          <w:p>
            <w:pPr>
              <w:jc w:val="right"/>
              <w:spacing w:after="0"/>
              <w:rPr>
                <w:sz w:val="20"/>
                <w:szCs w:val="20"/>
                <w:color w:val="auto"/>
              </w:rPr>
            </w:pPr>
            <w:r>
              <w:rPr>
                <w:rFonts w:ascii="Arial" w:cs="Arial" w:eastAsia="Arial" w:hAnsi="Arial"/>
                <w:sz w:val="17"/>
                <w:szCs w:val="17"/>
                <w:color w:val="auto"/>
              </w:rPr>
              <w:t>1,687,500</w:t>
            </w:r>
          </w:p>
        </w:tc>
      </w:tr>
      <w:tr>
        <w:trPr>
          <w:trHeight w:val="81"/>
        </w:trPr>
        <w:tc>
          <w:tcPr>
            <w:tcW w:w="3520" w:type="dxa"/>
            <w:vAlign w:val="bottom"/>
            <w:tcBorders>
              <w:bottom w:val="single" w:sz="8" w:color="125288"/>
            </w:tcBorders>
          </w:tcPr>
          <w:p>
            <w:pPr>
              <w:spacing w:after="0"/>
              <w:rPr>
                <w:sz w:val="7"/>
                <w:szCs w:val="7"/>
                <w:color w:val="auto"/>
              </w:rPr>
            </w:pPr>
          </w:p>
        </w:tc>
        <w:tc>
          <w:tcPr>
            <w:tcW w:w="190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520" w:type="dxa"/>
            <w:vAlign w:val="bottom"/>
            <w:tcBorders>
              <w:bottom w:val="single" w:sz="8" w:color="125288"/>
            </w:tcBorders>
          </w:tcPr>
          <w:p>
            <w:pPr>
              <w:spacing w:after="0"/>
              <w:rPr>
                <w:sz w:val="7"/>
                <w:szCs w:val="7"/>
                <w:color w:val="auto"/>
              </w:rPr>
            </w:pPr>
          </w:p>
        </w:tc>
        <w:tc>
          <w:tcPr>
            <w:tcW w:w="1500" w:type="dxa"/>
            <w:vAlign w:val="bottom"/>
            <w:tcBorders>
              <w:bottom w:val="single" w:sz="8" w:color="125288"/>
            </w:tcBorders>
          </w:tcPr>
          <w:p>
            <w:pPr>
              <w:spacing w:after="0"/>
              <w:rPr>
                <w:sz w:val="7"/>
                <w:szCs w:val="7"/>
                <w:color w:val="auto"/>
              </w:rPr>
            </w:pPr>
          </w:p>
        </w:tc>
        <w:tc>
          <w:tcPr>
            <w:tcW w:w="1400" w:type="dxa"/>
            <w:vAlign w:val="bottom"/>
            <w:tcBorders>
              <w:bottom w:val="single" w:sz="8" w:color="125288"/>
            </w:tcBorders>
          </w:tcPr>
          <w:p>
            <w:pPr>
              <w:spacing w:after="0"/>
              <w:rPr>
                <w:sz w:val="7"/>
                <w:szCs w:val="7"/>
                <w:color w:val="auto"/>
              </w:rPr>
            </w:pPr>
          </w:p>
        </w:tc>
      </w:tr>
      <w:tr>
        <w:trPr>
          <w:trHeight w:val="268"/>
        </w:trPr>
        <w:tc>
          <w:tcPr>
            <w:tcW w:w="3520" w:type="dxa"/>
            <w:vAlign w:val="bottom"/>
          </w:tcPr>
          <w:p>
            <w:pPr>
              <w:ind w:left="40"/>
              <w:spacing w:after="0"/>
              <w:rPr>
                <w:sz w:val="20"/>
                <w:szCs w:val="20"/>
                <w:color w:val="auto"/>
              </w:rPr>
            </w:pPr>
            <w:r>
              <w:rPr>
                <w:rFonts w:ascii="Arial" w:cs="Arial" w:eastAsia="Arial" w:hAnsi="Arial"/>
                <w:sz w:val="17"/>
                <w:szCs w:val="17"/>
                <w:color w:val="auto"/>
              </w:rPr>
              <w:t>Lump-sum bonus-based severance</w:t>
            </w:r>
            <w:r>
              <w:rPr>
                <w:rFonts w:ascii="Arial" w:cs="Arial" w:eastAsia="Arial" w:hAnsi="Arial"/>
                <w:sz w:val="9"/>
                <w:szCs w:val="9"/>
                <w:color w:val="auto"/>
              </w:rPr>
              <w:t>(5)</w:t>
            </w:r>
          </w:p>
        </w:tc>
        <w:tc>
          <w:tcPr>
            <w:tcW w:w="1900" w:type="dxa"/>
            <w:vAlign w:val="bottom"/>
          </w:tcPr>
          <w:p>
            <w:pPr>
              <w:jc w:val="right"/>
              <w:ind w:right="317"/>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98"/>
              <w:spacing w:after="0"/>
              <w:rPr>
                <w:sz w:val="20"/>
                <w:szCs w:val="20"/>
                <w:color w:val="auto"/>
              </w:rPr>
            </w:pPr>
            <w:r>
              <w:rPr>
                <w:rFonts w:ascii="Arial" w:cs="Arial" w:eastAsia="Arial" w:hAnsi="Arial"/>
                <w:sz w:val="17"/>
                <w:szCs w:val="17"/>
                <w:color w:val="auto"/>
              </w:rPr>
              <w:t>0</w:t>
            </w:r>
          </w:p>
        </w:tc>
        <w:tc>
          <w:tcPr>
            <w:tcW w:w="150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81"/>
        </w:trPr>
        <w:tc>
          <w:tcPr>
            <w:tcW w:w="3520" w:type="dxa"/>
            <w:vAlign w:val="bottom"/>
            <w:tcBorders>
              <w:bottom w:val="single" w:sz="8" w:color="125288"/>
            </w:tcBorders>
          </w:tcPr>
          <w:p>
            <w:pPr>
              <w:spacing w:after="0"/>
              <w:rPr>
                <w:sz w:val="7"/>
                <w:szCs w:val="7"/>
                <w:color w:val="auto"/>
              </w:rPr>
            </w:pPr>
          </w:p>
        </w:tc>
        <w:tc>
          <w:tcPr>
            <w:tcW w:w="190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520" w:type="dxa"/>
            <w:vAlign w:val="bottom"/>
            <w:tcBorders>
              <w:bottom w:val="single" w:sz="8" w:color="125288"/>
            </w:tcBorders>
          </w:tcPr>
          <w:p>
            <w:pPr>
              <w:spacing w:after="0"/>
              <w:rPr>
                <w:sz w:val="7"/>
                <w:szCs w:val="7"/>
                <w:color w:val="auto"/>
              </w:rPr>
            </w:pPr>
          </w:p>
        </w:tc>
        <w:tc>
          <w:tcPr>
            <w:tcW w:w="1500" w:type="dxa"/>
            <w:vAlign w:val="bottom"/>
            <w:tcBorders>
              <w:bottom w:val="single" w:sz="8" w:color="125288"/>
            </w:tcBorders>
          </w:tcPr>
          <w:p>
            <w:pPr>
              <w:spacing w:after="0"/>
              <w:rPr>
                <w:sz w:val="7"/>
                <w:szCs w:val="7"/>
                <w:color w:val="auto"/>
              </w:rPr>
            </w:pPr>
          </w:p>
        </w:tc>
        <w:tc>
          <w:tcPr>
            <w:tcW w:w="1400" w:type="dxa"/>
            <w:vAlign w:val="bottom"/>
            <w:tcBorders>
              <w:bottom w:val="single" w:sz="8" w:color="125288"/>
            </w:tcBorders>
          </w:tcPr>
          <w:p>
            <w:pPr>
              <w:spacing w:after="0"/>
              <w:rPr>
                <w:sz w:val="7"/>
                <w:szCs w:val="7"/>
                <w:color w:val="auto"/>
              </w:rPr>
            </w:pPr>
          </w:p>
        </w:tc>
      </w:tr>
      <w:tr>
        <w:trPr>
          <w:trHeight w:val="268"/>
        </w:trPr>
        <w:tc>
          <w:tcPr>
            <w:tcW w:w="3520" w:type="dxa"/>
            <w:vAlign w:val="bottom"/>
          </w:tcPr>
          <w:p>
            <w:pPr>
              <w:ind w:left="40"/>
              <w:spacing w:after="0"/>
              <w:rPr>
                <w:sz w:val="20"/>
                <w:szCs w:val="20"/>
                <w:color w:val="auto"/>
              </w:rPr>
            </w:pPr>
            <w:r>
              <w:rPr>
                <w:rFonts w:ascii="Arial" w:cs="Arial" w:eastAsia="Arial" w:hAnsi="Arial"/>
                <w:sz w:val="17"/>
                <w:szCs w:val="17"/>
                <w:color w:val="auto"/>
              </w:rPr>
              <w:t>Additional severance</w:t>
            </w:r>
            <w:r>
              <w:rPr>
                <w:rFonts w:ascii="Arial" w:cs="Arial" w:eastAsia="Arial" w:hAnsi="Arial"/>
                <w:sz w:val="9"/>
                <w:szCs w:val="9"/>
                <w:color w:val="auto"/>
              </w:rPr>
              <w:t>(6)</w:t>
            </w:r>
          </w:p>
        </w:tc>
        <w:tc>
          <w:tcPr>
            <w:tcW w:w="1900" w:type="dxa"/>
            <w:vAlign w:val="bottom"/>
          </w:tcPr>
          <w:p>
            <w:pPr>
              <w:jc w:val="right"/>
              <w:ind w:right="317"/>
              <w:spacing w:after="0"/>
              <w:rPr>
                <w:sz w:val="20"/>
                <w:szCs w:val="20"/>
                <w:color w:val="auto"/>
              </w:rPr>
            </w:pPr>
            <w:r>
              <w:rPr>
                <w:rFonts w:ascii="Arial" w:cs="Arial" w:eastAsia="Arial" w:hAnsi="Arial"/>
                <w:sz w:val="17"/>
                <w:szCs w:val="17"/>
                <w:color w:val="auto"/>
              </w:rPr>
              <w:t>1,666,667</w:t>
            </w:r>
          </w:p>
        </w:tc>
        <w:tc>
          <w:tcPr>
            <w:tcW w:w="1420" w:type="dxa"/>
            <w:vAlign w:val="bottom"/>
          </w:tcPr>
          <w:p>
            <w:pPr>
              <w:jc w:val="right"/>
              <w:ind w:right="157"/>
              <w:spacing w:after="0"/>
              <w:rPr>
                <w:sz w:val="20"/>
                <w:szCs w:val="20"/>
                <w:color w:val="auto"/>
              </w:rPr>
            </w:pPr>
            <w:r>
              <w:rPr>
                <w:rFonts w:ascii="Arial" w:cs="Arial" w:eastAsia="Arial" w:hAnsi="Arial"/>
                <w:sz w:val="17"/>
                <w:szCs w:val="17"/>
                <w:color w:val="auto"/>
              </w:rPr>
              <w:t>1,666,667</w:t>
            </w:r>
          </w:p>
        </w:tc>
        <w:tc>
          <w:tcPr>
            <w:tcW w:w="1520" w:type="dxa"/>
            <w:vAlign w:val="bottom"/>
          </w:tcPr>
          <w:p>
            <w:pPr>
              <w:jc w:val="right"/>
              <w:ind w:right="98"/>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38"/>
              <w:spacing w:after="0"/>
              <w:rPr>
                <w:sz w:val="20"/>
                <w:szCs w:val="20"/>
                <w:color w:val="auto"/>
              </w:rPr>
            </w:pPr>
            <w:r>
              <w:rPr>
                <w:rFonts w:ascii="Arial" w:cs="Arial" w:eastAsia="Arial" w:hAnsi="Arial"/>
                <w:sz w:val="17"/>
                <w:szCs w:val="17"/>
                <w:color w:val="auto"/>
              </w:rPr>
              <w:t>1,666,667</w:t>
            </w:r>
          </w:p>
        </w:tc>
        <w:tc>
          <w:tcPr>
            <w:tcW w:w="1400" w:type="dxa"/>
            <w:vAlign w:val="bottom"/>
          </w:tcPr>
          <w:p>
            <w:pPr>
              <w:jc w:val="right"/>
              <w:ind w:right="19"/>
              <w:spacing w:after="0"/>
              <w:rPr>
                <w:sz w:val="20"/>
                <w:szCs w:val="20"/>
                <w:color w:val="auto"/>
              </w:rPr>
            </w:pPr>
            <w:r>
              <w:rPr>
                <w:rFonts w:ascii="Arial" w:cs="Arial" w:eastAsia="Arial" w:hAnsi="Arial"/>
                <w:sz w:val="17"/>
                <w:szCs w:val="17"/>
                <w:color w:val="auto"/>
              </w:rPr>
              <w:t>1,666,667</w:t>
            </w:r>
          </w:p>
        </w:tc>
      </w:tr>
      <w:tr>
        <w:trPr>
          <w:trHeight w:val="81"/>
        </w:trPr>
        <w:tc>
          <w:tcPr>
            <w:tcW w:w="3520" w:type="dxa"/>
            <w:vAlign w:val="bottom"/>
            <w:tcBorders>
              <w:bottom w:val="single" w:sz="8" w:color="125288"/>
            </w:tcBorders>
          </w:tcPr>
          <w:p>
            <w:pPr>
              <w:spacing w:after="0"/>
              <w:rPr>
                <w:sz w:val="7"/>
                <w:szCs w:val="7"/>
                <w:color w:val="auto"/>
              </w:rPr>
            </w:pPr>
          </w:p>
        </w:tc>
        <w:tc>
          <w:tcPr>
            <w:tcW w:w="190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520" w:type="dxa"/>
            <w:vAlign w:val="bottom"/>
            <w:tcBorders>
              <w:bottom w:val="single" w:sz="8" w:color="125288"/>
            </w:tcBorders>
          </w:tcPr>
          <w:p>
            <w:pPr>
              <w:spacing w:after="0"/>
              <w:rPr>
                <w:sz w:val="7"/>
                <w:szCs w:val="7"/>
                <w:color w:val="auto"/>
              </w:rPr>
            </w:pPr>
          </w:p>
        </w:tc>
        <w:tc>
          <w:tcPr>
            <w:tcW w:w="1500" w:type="dxa"/>
            <w:vAlign w:val="bottom"/>
            <w:tcBorders>
              <w:bottom w:val="single" w:sz="8" w:color="125288"/>
            </w:tcBorders>
          </w:tcPr>
          <w:p>
            <w:pPr>
              <w:spacing w:after="0"/>
              <w:rPr>
                <w:sz w:val="7"/>
                <w:szCs w:val="7"/>
                <w:color w:val="auto"/>
              </w:rPr>
            </w:pPr>
          </w:p>
        </w:tc>
        <w:tc>
          <w:tcPr>
            <w:tcW w:w="1400" w:type="dxa"/>
            <w:vAlign w:val="bottom"/>
            <w:tcBorders>
              <w:bottom w:val="single" w:sz="8" w:color="125288"/>
            </w:tcBorders>
          </w:tcPr>
          <w:p>
            <w:pPr>
              <w:spacing w:after="0"/>
              <w:rPr>
                <w:sz w:val="7"/>
                <w:szCs w:val="7"/>
                <w:color w:val="auto"/>
              </w:rPr>
            </w:pPr>
          </w:p>
        </w:tc>
      </w:tr>
      <w:tr>
        <w:trPr>
          <w:trHeight w:val="268"/>
        </w:trPr>
        <w:tc>
          <w:tcPr>
            <w:tcW w:w="3520" w:type="dxa"/>
            <w:vAlign w:val="bottom"/>
          </w:tcPr>
          <w:p>
            <w:pPr>
              <w:ind w:left="40"/>
              <w:spacing w:after="0"/>
              <w:rPr>
                <w:sz w:val="20"/>
                <w:szCs w:val="20"/>
                <w:color w:val="auto"/>
              </w:rPr>
            </w:pPr>
            <w:r>
              <w:rPr>
                <w:rFonts w:ascii="Arial" w:cs="Arial" w:eastAsia="Arial" w:hAnsi="Arial"/>
                <w:sz w:val="17"/>
                <w:szCs w:val="17"/>
                <w:color w:val="auto"/>
              </w:rPr>
              <w:t>Impact on equity awards</w:t>
            </w:r>
            <w:r>
              <w:rPr>
                <w:rFonts w:ascii="Arial" w:cs="Arial" w:eastAsia="Arial" w:hAnsi="Arial"/>
                <w:sz w:val="9"/>
                <w:szCs w:val="9"/>
                <w:color w:val="auto"/>
              </w:rPr>
              <w:t>(7)</w:t>
            </w:r>
          </w:p>
        </w:tc>
        <w:tc>
          <w:tcPr>
            <w:tcW w:w="1900" w:type="dxa"/>
            <w:vAlign w:val="bottom"/>
          </w:tcPr>
          <w:p>
            <w:pPr>
              <w:jc w:val="right"/>
              <w:ind w:right="317"/>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98"/>
              <w:spacing w:after="0"/>
              <w:rPr>
                <w:sz w:val="20"/>
                <w:szCs w:val="20"/>
                <w:color w:val="auto"/>
              </w:rPr>
            </w:pPr>
            <w:r>
              <w:rPr>
                <w:rFonts w:ascii="Arial" w:cs="Arial" w:eastAsia="Arial" w:hAnsi="Arial"/>
                <w:sz w:val="17"/>
                <w:szCs w:val="17"/>
                <w:color w:val="auto"/>
              </w:rPr>
              <w:t>0</w:t>
            </w:r>
          </w:p>
        </w:tc>
        <w:tc>
          <w:tcPr>
            <w:tcW w:w="150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81"/>
        </w:trPr>
        <w:tc>
          <w:tcPr>
            <w:tcW w:w="3520" w:type="dxa"/>
            <w:vAlign w:val="bottom"/>
            <w:tcBorders>
              <w:bottom w:val="single" w:sz="8" w:color="125288"/>
            </w:tcBorders>
          </w:tcPr>
          <w:p>
            <w:pPr>
              <w:spacing w:after="0"/>
              <w:rPr>
                <w:sz w:val="7"/>
                <w:szCs w:val="7"/>
                <w:color w:val="auto"/>
              </w:rPr>
            </w:pPr>
          </w:p>
        </w:tc>
        <w:tc>
          <w:tcPr>
            <w:tcW w:w="190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520" w:type="dxa"/>
            <w:vAlign w:val="bottom"/>
            <w:tcBorders>
              <w:bottom w:val="single" w:sz="8" w:color="125288"/>
            </w:tcBorders>
          </w:tcPr>
          <w:p>
            <w:pPr>
              <w:spacing w:after="0"/>
              <w:rPr>
                <w:sz w:val="7"/>
                <w:szCs w:val="7"/>
                <w:color w:val="auto"/>
              </w:rPr>
            </w:pPr>
          </w:p>
        </w:tc>
        <w:tc>
          <w:tcPr>
            <w:tcW w:w="1500" w:type="dxa"/>
            <w:vAlign w:val="bottom"/>
            <w:tcBorders>
              <w:bottom w:val="single" w:sz="8" w:color="125288"/>
            </w:tcBorders>
          </w:tcPr>
          <w:p>
            <w:pPr>
              <w:spacing w:after="0"/>
              <w:rPr>
                <w:sz w:val="7"/>
                <w:szCs w:val="7"/>
                <w:color w:val="auto"/>
              </w:rPr>
            </w:pPr>
          </w:p>
        </w:tc>
        <w:tc>
          <w:tcPr>
            <w:tcW w:w="1400" w:type="dxa"/>
            <w:vAlign w:val="bottom"/>
            <w:tcBorders>
              <w:bottom w:val="single" w:sz="8" w:color="125288"/>
            </w:tcBorders>
          </w:tcPr>
          <w:p>
            <w:pPr>
              <w:spacing w:after="0"/>
              <w:rPr>
                <w:sz w:val="7"/>
                <w:szCs w:val="7"/>
                <w:color w:val="auto"/>
              </w:rPr>
            </w:pPr>
          </w:p>
        </w:tc>
      </w:tr>
      <w:tr>
        <w:trPr>
          <w:trHeight w:val="268"/>
        </w:trPr>
        <w:tc>
          <w:tcPr>
            <w:tcW w:w="3520" w:type="dxa"/>
            <w:vAlign w:val="bottom"/>
          </w:tcPr>
          <w:p>
            <w:pPr>
              <w:ind w:left="40"/>
              <w:spacing w:after="0"/>
              <w:rPr>
                <w:sz w:val="20"/>
                <w:szCs w:val="20"/>
                <w:color w:val="auto"/>
              </w:rPr>
            </w:pPr>
            <w:r>
              <w:rPr>
                <w:rFonts w:ascii="Arial" w:cs="Arial" w:eastAsia="Arial" w:hAnsi="Arial"/>
                <w:sz w:val="17"/>
                <w:szCs w:val="17"/>
                <w:b w:val="1"/>
                <w:bCs w:val="1"/>
                <w:color w:val="auto"/>
              </w:rPr>
              <w:t>TOTAL</w:t>
            </w:r>
          </w:p>
        </w:tc>
        <w:tc>
          <w:tcPr>
            <w:tcW w:w="1900" w:type="dxa"/>
            <w:vAlign w:val="bottom"/>
          </w:tcPr>
          <w:p>
            <w:pPr>
              <w:jc w:val="right"/>
              <w:ind w:right="317"/>
              <w:spacing w:after="0"/>
              <w:rPr>
                <w:sz w:val="20"/>
                <w:szCs w:val="20"/>
                <w:color w:val="auto"/>
              </w:rPr>
            </w:pPr>
            <w:r>
              <w:rPr>
                <w:rFonts w:ascii="Arial" w:cs="Arial" w:eastAsia="Arial" w:hAnsi="Arial"/>
                <w:sz w:val="17"/>
                <w:szCs w:val="17"/>
                <w:b w:val="1"/>
                <w:bCs w:val="1"/>
                <w:color w:val="auto"/>
              </w:rPr>
              <w:t>4,366,667</w:t>
            </w:r>
          </w:p>
        </w:tc>
        <w:tc>
          <w:tcPr>
            <w:tcW w:w="1420" w:type="dxa"/>
            <w:vAlign w:val="bottom"/>
          </w:tcPr>
          <w:p>
            <w:pPr>
              <w:jc w:val="right"/>
              <w:ind w:right="157"/>
              <w:spacing w:after="0"/>
              <w:rPr>
                <w:sz w:val="20"/>
                <w:szCs w:val="20"/>
                <w:color w:val="auto"/>
              </w:rPr>
            </w:pPr>
            <w:r>
              <w:rPr>
                <w:rFonts w:ascii="Arial" w:cs="Arial" w:eastAsia="Arial" w:hAnsi="Arial"/>
                <w:sz w:val="17"/>
                <w:szCs w:val="17"/>
                <w:b w:val="1"/>
                <w:bCs w:val="1"/>
                <w:color w:val="auto"/>
              </w:rPr>
              <w:t>3,354,167</w:t>
            </w:r>
          </w:p>
        </w:tc>
        <w:tc>
          <w:tcPr>
            <w:tcW w:w="1520" w:type="dxa"/>
            <w:vAlign w:val="bottom"/>
          </w:tcPr>
          <w:p>
            <w:pPr>
              <w:jc w:val="right"/>
              <w:ind w:right="98"/>
              <w:spacing w:after="0"/>
              <w:rPr>
                <w:sz w:val="20"/>
                <w:szCs w:val="20"/>
                <w:color w:val="auto"/>
              </w:rPr>
            </w:pPr>
            <w:r>
              <w:rPr>
                <w:rFonts w:ascii="Arial" w:cs="Arial" w:eastAsia="Arial" w:hAnsi="Arial"/>
                <w:sz w:val="17"/>
                <w:szCs w:val="17"/>
                <w:b w:val="1"/>
                <w:bCs w:val="1"/>
                <w:color w:val="auto"/>
              </w:rPr>
              <w:t>0</w:t>
            </w:r>
          </w:p>
        </w:tc>
        <w:tc>
          <w:tcPr>
            <w:tcW w:w="1500" w:type="dxa"/>
            <w:vAlign w:val="bottom"/>
          </w:tcPr>
          <w:p>
            <w:pPr>
              <w:jc w:val="right"/>
              <w:ind w:right="38"/>
              <w:spacing w:after="0"/>
              <w:rPr>
                <w:sz w:val="20"/>
                <w:szCs w:val="20"/>
                <w:color w:val="auto"/>
              </w:rPr>
            </w:pPr>
            <w:r>
              <w:rPr>
                <w:rFonts w:ascii="Arial" w:cs="Arial" w:eastAsia="Arial" w:hAnsi="Arial"/>
                <w:sz w:val="17"/>
                <w:szCs w:val="17"/>
                <w:b w:val="1"/>
                <w:bCs w:val="1"/>
                <w:color w:val="auto"/>
              </w:rPr>
              <w:t>3,354,167</w:t>
            </w: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3,354,167</w:t>
            </w:r>
          </w:p>
        </w:tc>
      </w:tr>
      <w:tr>
        <w:trPr>
          <w:trHeight w:val="85"/>
        </w:trPr>
        <w:tc>
          <w:tcPr>
            <w:tcW w:w="3520" w:type="dxa"/>
            <w:vAlign w:val="bottom"/>
            <w:tcBorders>
              <w:bottom w:val="single" w:sz="8" w:color="125288"/>
            </w:tcBorders>
          </w:tcPr>
          <w:p>
            <w:pPr>
              <w:spacing w:after="0"/>
              <w:rPr>
                <w:sz w:val="7"/>
                <w:szCs w:val="7"/>
                <w:color w:val="auto"/>
              </w:rPr>
            </w:pPr>
          </w:p>
        </w:tc>
        <w:tc>
          <w:tcPr>
            <w:tcW w:w="190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520" w:type="dxa"/>
            <w:vAlign w:val="bottom"/>
            <w:tcBorders>
              <w:bottom w:val="single" w:sz="8" w:color="125288"/>
            </w:tcBorders>
          </w:tcPr>
          <w:p>
            <w:pPr>
              <w:spacing w:after="0"/>
              <w:rPr>
                <w:sz w:val="7"/>
                <w:szCs w:val="7"/>
                <w:color w:val="auto"/>
              </w:rPr>
            </w:pPr>
          </w:p>
        </w:tc>
        <w:tc>
          <w:tcPr>
            <w:tcW w:w="1500" w:type="dxa"/>
            <w:vAlign w:val="bottom"/>
            <w:tcBorders>
              <w:bottom w:val="single" w:sz="8" w:color="125288"/>
            </w:tcBorders>
          </w:tcPr>
          <w:p>
            <w:pPr>
              <w:spacing w:after="0"/>
              <w:rPr>
                <w:sz w:val="7"/>
                <w:szCs w:val="7"/>
                <w:color w:val="auto"/>
              </w:rPr>
            </w:pPr>
          </w:p>
        </w:tc>
        <w:tc>
          <w:tcPr>
            <w:tcW w:w="1400" w:type="dxa"/>
            <w:vAlign w:val="bottom"/>
            <w:tcBorders>
              <w:bottom w:val="single" w:sz="8" w:color="125288"/>
            </w:tcBorders>
          </w:tcPr>
          <w:p>
            <w:pPr>
              <w:spacing w:after="0"/>
              <w:rPr>
                <w:sz w:val="7"/>
                <w:szCs w:val="7"/>
                <w:color w:val="auto"/>
              </w:rPr>
            </w:pPr>
          </w:p>
        </w:tc>
      </w:tr>
      <w:tr>
        <w:trPr>
          <w:trHeight w:val="276"/>
        </w:trPr>
        <w:tc>
          <w:tcPr>
            <w:tcW w:w="3520" w:type="dxa"/>
            <w:vAlign w:val="bottom"/>
          </w:tcPr>
          <w:p>
            <w:pPr>
              <w:ind w:left="40"/>
              <w:spacing w:after="0"/>
              <w:rPr>
                <w:sz w:val="20"/>
                <w:szCs w:val="20"/>
                <w:color w:val="auto"/>
              </w:rPr>
            </w:pPr>
            <w:r>
              <w:rPr>
                <w:rFonts w:ascii="Arial" w:cs="Arial" w:eastAsia="Arial" w:hAnsi="Arial"/>
                <w:sz w:val="17"/>
                <w:szCs w:val="17"/>
                <w:b w:val="1"/>
                <w:bCs w:val="1"/>
                <w:color w:val="auto"/>
              </w:rPr>
              <w:t>Brian Bulatao</w:t>
            </w:r>
          </w:p>
        </w:tc>
        <w:tc>
          <w:tcPr>
            <w:tcW w:w="19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81"/>
        </w:trPr>
        <w:tc>
          <w:tcPr>
            <w:tcW w:w="3520" w:type="dxa"/>
            <w:vAlign w:val="bottom"/>
            <w:tcBorders>
              <w:bottom w:val="single" w:sz="8" w:color="125288"/>
            </w:tcBorders>
          </w:tcPr>
          <w:p>
            <w:pPr>
              <w:spacing w:after="0"/>
              <w:rPr>
                <w:sz w:val="7"/>
                <w:szCs w:val="7"/>
                <w:color w:val="auto"/>
              </w:rPr>
            </w:pPr>
          </w:p>
        </w:tc>
        <w:tc>
          <w:tcPr>
            <w:tcW w:w="190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520" w:type="dxa"/>
            <w:vAlign w:val="bottom"/>
            <w:tcBorders>
              <w:bottom w:val="single" w:sz="8" w:color="125288"/>
            </w:tcBorders>
          </w:tcPr>
          <w:p>
            <w:pPr>
              <w:spacing w:after="0"/>
              <w:rPr>
                <w:sz w:val="7"/>
                <w:szCs w:val="7"/>
                <w:color w:val="auto"/>
              </w:rPr>
            </w:pPr>
          </w:p>
        </w:tc>
        <w:tc>
          <w:tcPr>
            <w:tcW w:w="1500" w:type="dxa"/>
            <w:vAlign w:val="bottom"/>
            <w:tcBorders>
              <w:bottom w:val="single" w:sz="8" w:color="125288"/>
            </w:tcBorders>
          </w:tcPr>
          <w:p>
            <w:pPr>
              <w:spacing w:after="0"/>
              <w:rPr>
                <w:sz w:val="7"/>
                <w:szCs w:val="7"/>
                <w:color w:val="auto"/>
              </w:rPr>
            </w:pPr>
          </w:p>
        </w:tc>
        <w:tc>
          <w:tcPr>
            <w:tcW w:w="1400" w:type="dxa"/>
            <w:vAlign w:val="bottom"/>
            <w:tcBorders>
              <w:bottom w:val="single" w:sz="8" w:color="125288"/>
            </w:tcBorders>
          </w:tcPr>
          <w:p>
            <w:pPr>
              <w:spacing w:after="0"/>
              <w:rPr>
                <w:sz w:val="7"/>
                <w:szCs w:val="7"/>
                <w:color w:val="auto"/>
              </w:rPr>
            </w:pPr>
          </w:p>
        </w:tc>
      </w:tr>
      <w:tr>
        <w:trPr>
          <w:trHeight w:val="268"/>
        </w:trPr>
        <w:tc>
          <w:tcPr>
            <w:tcW w:w="3520" w:type="dxa"/>
            <w:vAlign w:val="bottom"/>
          </w:tcPr>
          <w:p>
            <w:pPr>
              <w:ind w:left="40"/>
              <w:spacing w:after="0"/>
              <w:rPr>
                <w:sz w:val="20"/>
                <w:szCs w:val="20"/>
                <w:color w:val="auto"/>
              </w:rPr>
            </w:pPr>
            <w:r>
              <w:rPr>
                <w:rFonts w:ascii="Arial" w:cs="Arial" w:eastAsia="Arial" w:hAnsi="Arial"/>
                <w:sz w:val="17"/>
                <w:szCs w:val="17"/>
                <w:color w:val="auto"/>
              </w:rPr>
              <w:t>Salary-based severance</w:t>
            </w:r>
          </w:p>
        </w:tc>
        <w:tc>
          <w:tcPr>
            <w:tcW w:w="1900" w:type="dxa"/>
            <w:vAlign w:val="bottom"/>
          </w:tcPr>
          <w:p>
            <w:pPr>
              <w:jc w:val="right"/>
              <w:ind w:right="317"/>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98"/>
              <w:spacing w:after="0"/>
              <w:rPr>
                <w:sz w:val="20"/>
                <w:szCs w:val="20"/>
                <w:color w:val="auto"/>
              </w:rPr>
            </w:pPr>
            <w:r>
              <w:rPr>
                <w:rFonts w:ascii="Arial" w:cs="Arial" w:eastAsia="Arial" w:hAnsi="Arial"/>
                <w:sz w:val="17"/>
                <w:szCs w:val="17"/>
                <w:color w:val="auto"/>
              </w:rPr>
              <w:t>0</w:t>
            </w:r>
          </w:p>
        </w:tc>
        <w:tc>
          <w:tcPr>
            <w:tcW w:w="150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81"/>
        </w:trPr>
        <w:tc>
          <w:tcPr>
            <w:tcW w:w="3520" w:type="dxa"/>
            <w:vAlign w:val="bottom"/>
            <w:tcBorders>
              <w:bottom w:val="single" w:sz="8" w:color="125288"/>
            </w:tcBorders>
          </w:tcPr>
          <w:p>
            <w:pPr>
              <w:spacing w:after="0"/>
              <w:rPr>
                <w:sz w:val="7"/>
                <w:szCs w:val="7"/>
                <w:color w:val="auto"/>
              </w:rPr>
            </w:pPr>
          </w:p>
        </w:tc>
        <w:tc>
          <w:tcPr>
            <w:tcW w:w="190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520" w:type="dxa"/>
            <w:vAlign w:val="bottom"/>
            <w:tcBorders>
              <w:bottom w:val="single" w:sz="8" w:color="125288"/>
            </w:tcBorders>
          </w:tcPr>
          <w:p>
            <w:pPr>
              <w:spacing w:after="0"/>
              <w:rPr>
                <w:sz w:val="7"/>
                <w:szCs w:val="7"/>
                <w:color w:val="auto"/>
              </w:rPr>
            </w:pPr>
          </w:p>
        </w:tc>
        <w:tc>
          <w:tcPr>
            <w:tcW w:w="1500" w:type="dxa"/>
            <w:vAlign w:val="bottom"/>
            <w:tcBorders>
              <w:bottom w:val="single" w:sz="8" w:color="125288"/>
            </w:tcBorders>
          </w:tcPr>
          <w:p>
            <w:pPr>
              <w:spacing w:after="0"/>
              <w:rPr>
                <w:sz w:val="7"/>
                <w:szCs w:val="7"/>
                <w:color w:val="auto"/>
              </w:rPr>
            </w:pPr>
          </w:p>
        </w:tc>
        <w:tc>
          <w:tcPr>
            <w:tcW w:w="1400" w:type="dxa"/>
            <w:vAlign w:val="bottom"/>
            <w:tcBorders>
              <w:bottom w:val="single" w:sz="8" w:color="125288"/>
            </w:tcBorders>
          </w:tcPr>
          <w:p>
            <w:pPr>
              <w:spacing w:after="0"/>
              <w:rPr>
                <w:sz w:val="7"/>
                <w:szCs w:val="7"/>
                <w:color w:val="auto"/>
              </w:rPr>
            </w:pPr>
          </w:p>
        </w:tc>
      </w:tr>
      <w:tr>
        <w:trPr>
          <w:trHeight w:val="268"/>
        </w:trPr>
        <w:tc>
          <w:tcPr>
            <w:tcW w:w="3520" w:type="dxa"/>
            <w:vAlign w:val="bottom"/>
          </w:tcPr>
          <w:p>
            <w:pPr>
              <w:ind w:left="40"/>
              <w:spacing w:after="0"/>
              <w:rPr>
                <w:sz w:val="20"/>
                <w:szCs w:val="20"/>
                <w:color w:val="auto"/>
              </w:rPr>
            </w:pPr>
            <w:r>
              <w:rPr>
                <w:rFonts w:ascii="Arial" w:cs="Arial" w:eastAsia="Arial" w:hAnsi="Arial"/>
                <w:sz w:val="17"/>
                <w:szCs w:val="17"/>
                <w:color w:val="auto"/>
              </w:rPr>
              <w:t>Lump-sum bonus-based severance</w:t>
            </w:r>
            <w:r>
              <w:rPr>
                <w:rFonts w:ascii="Arial" w:cs="Arial" w:eastAsia="Arial" w:hAnsi="Arial"/>
                <w:sz w:val="9"/>
                <w:szCs w:val="9"/>
                <w:color w:val="auto"/>
              </w:rPr>
              <w:t>(5)</w:t>
            </w:r>
          </w:p>
        </w:tc>
        <w:tc>
          <w:tcPr>
            <w:tcW w:w="1900" w:type="dxa"/>
            <w:vAlign w:val="bottom"/>
          </w:tcPr>
          <w:p>
            <w:pPr>
              <w:jc w:val="right"/>
              <w:ind w:right="317"/>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98"/>
              <w:spacing w:after="0"/>
              <w:rPr>
                <w:sz w:val="20"/>
                <w:szCs w:val="20"/>
                <w:color w:val="auto"/>
              </w:rPr>
            </w:pPr>
            <w:r>
              <w:rPr>
                <w:rFonts w:ascii="Arial" w:cs="Arial" w:eastAsia="Arial" w:hAnsi="Arial"/>
                <w:sz w:val="17"/>
                <w:szCs w:val="17"/>
                <w:color w:val="auto"/>
              </w:rPr>
              <w:t>0</w:t>
            </w:r>
          </w:p>
        </w:tc>
        <w:tc>
          <w:tcPr>
            <w:tcW w:w="150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81"/>
        </w:trPr>
        <w:tc>
          <w:tcPr>
            <w:tcW w:w="3520" w:type="dxa"/>
            <w:vAlign w:val="bottom"/>
            <w:tcBorders>
              <w:bottom w:val="single" w:sz="8" w:color="125288"/>
            </w:tcBorders>
          </w:tcPr>
          <w:p>
            <w:pPr>
              <w:spacing w:after="0"/>
              <w:rPr>
                <w:sz w:val="7"/>
                <w:szCs w:val="7"/>
                <w:color w:val="auto"/>
              </w:rPr>
            </w:pPr>
          </w:p>
        </w:tc>
        <w:tc>
          <w:tcPr>
            <w:tcW w:w="190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520" w:type="dxa"/>
            <w:vAlign w:val="bottom"/>
            <w:tcBorders>
              <w:bottom w:val="single" w:sz="8" w:color="125288"/>
            </w:tcBorders>
          </w:tcPr>
          <w:p>
            <w:pPr>
              <w:spacing w:after="0"/>
              <w:rPr>
                <w:sz w:val="7"/>
                <w:szCs w:val="7"/>
                <w:color w:val="auto"/>
              </w:rPr>
            </w:pPr>
          </w:p>
        </w:tc>
        <w:tc>
          <w:tcPr>
            <w:tcW w:w="1500" w:type="dxa"/>
            <w:vAlign w:val="bottom"/>
            <w:tcBorders>
              <w:bottom w:val="single" w:sz="8" w:color="125288"/>
            </w:tcBorders>
          </w:tcPr>
          <w:p>
            <w:pPr>
              <w:spacing w:after="0"/>
              <w:rPr>
                <w:sz w:val="7"/>
                <w:szCs w:val="7"/>
                <w:color w:val="auto"/>
              </w:rPr>
            </w:pPr>
          </w:p>
        </w:tc>
        <w:tc>
          <w:tcPr>
            <w:tcW w:w="1400" w:type="dxa"/>
            <w:vAlign w:val="bottom"/>
            <w:tcBorders>
              <w:bottom w:val="single" w:sz="8" w:color="125288"/>
            </w:tcBorders>
          </w:tcPr>
          <w:p>
            <w:pPr>
              <w:spacing w:after="0"/>
              <w:rPr>
                <w:sz w:val="7"/>
                <w:szCs w:val="7"/>
                <w:color w:val="auto"/>
              </w:rPr>
            </w:pPr>
          </w:p>
        </w:tc>
      </w:tr>
      <w:tr>
        <w:trPr>
          <w:trHeight w:val="268"/>
        </w:trPr>
        <w:tc>
          <w:tcPr>
            <w:tcW w:w="3520" w:type="dxa"/>
            <w:vAlign w:val="bottom"/>
          </w:tcPr>
          <w:p>
            <w:pPr>
              <w:ind w:left="40"/>
              <w:spacing w:after="0"/>
              <w:rPr>
                <w:sz w:val="20"/>
                <w:szCs w:val="20"/>
                <w:color w:val="auto"/>
              </w:rPr>
            </w:pPr>
            <w:r>
              <w:rPr>
                <w:rFonts w:ascii="Arial" w:cs="Arial" w:eastAsia="Arial" w:hAnsi="Arial"/>
                <w:sz w:val="17"/>
                <w:szCs w:val="17"/>
                <w:color w:val="auto"/>
              </w:rPr>
              <w:t>Additional severance</w:t>
            </w:r>
            <w:r>
              <w:rPr>
                <w:rFonts w:ascii="Arial" w:cs="Arial" w:eastAsia="Arial" w:hAnsi="Arial"/>
                <w:sz w:val="9"/>
                <w:szCs w:val="9"/>
                <w:color w:val="auto"/>
              </w:rPr>
              <w:t>(6)</w:t>
            </w:r>
          </w:p>
        </w:tc>
        <w:tc>
          <w:tcPr>
            <w:tcW w:w="1900" w:type="dxa"/>
            <w:vAlign w:val="bottom"/>
          </w:tcPr>
          <w:p>
            <w:pPr>
              <w:jc w:val="right"/>
              <w:ind w:right="317"/>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98"/>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81"/>
        </w:trPr>
        <w:tc>
          <w:tcPr>
            <w:tcW w:w="3520" w:type="dxa"/>
            <w:vAlign w:val="bottom"/>
            <w:tcBorders>
              <w:bottom w:val="single" w:sz="8" w:color="125288"/>
            </w:tcBorders>
          </w:tcPr>
          <w:p>
            <w:pPr>
              <w:spacing w:after="0"/>
              <w:rPr>
                <w:sz w:val="7"/>
                <w:szCs w:val="7"/>
                <w:color w:val="auto"/>
              </w:rPr>
            </w:pPr>
          </w:p>
        </w:tc>
        <w:tc>
          <w:tcPr>
            <w:tcW w:w="190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520" w:type="dxa"/>
            <w:vAlign w:val="bottom"/>
            <w:tcBorders>
              <w:bottom w:val="single" w:sz="8" w:color="125288"/>
            </w:tcBorders>
          </w:tcPr>
          <w:p>
            <w:pPr>
              <w:spacing w:after="0"/>
              <w:rPr>
                <w:sz w:val="7"/>
                <w:szCs w:val="7"/>
                <w:color w:val="auto"/>
              </w:rPr>
            </w:pPr>
          </w:p>
        </w:tc>
        <w:tc>
          <w:tcPr>
            <w:tcW w:w="1500" w:type="dxa"/>
            <w:vAlign w:val="bottom"/>
            <w:tcBorders>
              <w:bottom w:val="single" w:sz="8" w:color="125288"/>
            </w:tcBorders>
          </w:tcPr>
          <w:p>
            <w:pPr>
              <w:spacing w:after="0"/>
              <w:rPr>
                <w:sz w:val="7"/>
                <w:szCs w:val="7"/>
                <w:color w:val="auto"/>
              </w:rPr>
            </w:pPr>
          </w:p>
        </w:tc>
        <w:tc>
          <w:tcPr>
            <w:tcW w:w="1400" w:type="dxa"/>
            <w:vAlign w:val="bottom"/>
            <w:tcBorders>
              <w:bottom w:val="single" w:sz="8" w:color="125288"/>
            </w:tcBorders>
          </w:tcPr>
          <w:p>
            <w:pPr>
              <w:spacing w:after="0"/>
              <w:rPr>
                <w:sz w:val="7"/>
                <w:szCs w:val="7"/>
                <w:color w:val="auto"/>
              </w:rPr>
            </w:pPr>
          </w:p>
        </w:tc>
      </w:tr>
      <w:tr>
        <w:trPr>
          <w:trHeight w:val="268"/>
        </w:trPr>
        <w:tc>
          <w:tcPr>
            <w:tcW w:w="3520" w:type="dxa"/>
            <w:vAlign w:val="bottom"/>
          </w:tcPr>
          <w:p>
            <w:pPr>
              <w:ind w:left="40"/>
              <w:spacing w:after="0"/>
              <w:rPr>
                <w:sz w:val="20"/>
                <w:szCs w:val="20"/>
                <w:color w:val="auto"/>
              </w:rPr>
            </w:pPr>
            <w:r>
              <w:rPr>
                <w:rFonts w:ascii="Arial" w:cs="Arial" w:eastAsia="Arial" w:hAnsi="Arial"/>
                <w:sz w:val="17"/>
                <w:szCs w:val="17"/>
                <w:color w:val="auto"/>
              </w:rPr>
              <w:t>Impact on equity awards</w:t>
            </w:r>
            <w:r>
              <w:rPr>
                <w:rFonts w:ascii="Arial" w:cs="Arial" w:eastAsia="Arial" w:hAnsi="Arial"/>
                <w:sz w:val="9"/>
                <w:szCs w:val="9"/>
                <w:color w:val="auto"/>
              </w:rPr>
              <w:t>(7)</w:t>
            </w:r>
          </w:p>
        </w:tc>
        <w:tc>
          <w:tcPr>
            <w:tcW w:w="1900" w:type="dxa"/>
            <w:vAlign w:val="bottom"/>
          </w:tcPr>
          <w:p>
            <w:pPr>
              <w:jc w:val="right"/>
              <w:ind w:right="317"/>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98"/>
              <w:spacing w:after="0"/>
              <w:rPr>
                <w:sz w:val="20"/>
                <w:szCs w:val="20"/>
                <w:color w:val="auto"/>
              </w:rPr>
            </w:pPr>
            <w:r>
              <w:rPr>
                <w:rFonts w:ascii="Arial" w:cs="Arial" w:eastAsia="Arial" w:hAnsi="Arial"/>
                <w:sz w:val="17"/>
                <w:szCs w:val="17"/>
                <w:color w:val="auto"/>
              </w:rPr>
              <w:t>0</w:t>
            </w:r>
          </w:p>
        </w:tc>
        <w:tc>
          <w:tcPr>
            <w:tcW w:w="150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81"/>
        </w:trPr>
        <w:tc>
          <w:tcPr>
            <w:tcW w:w="3520" w:type="dxa"/>
            <w:vAlign w:val="bottom"/>
            <w:tcBorders>
              <w:bottom w:val="single" w:sz="8" w:color="125288"/>
            </w:tcBorders>
          </w:tcPr>
          <w:p>
            <w:pPr>
              <w:spacing w:after="0"/>
              <w:rPr>
                <w:sz w:val="7"/>
                <w:szCs w:val="7"/>
                <w:color w:val="auto"/>
              </w:rPr>
            </w:pPr>
          </w:p>
        </w:tc>
        <w:tc>
          <w:tcPr>
            <w:tcW w:w="190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520" w:type="dxa"/>
            <w:vAlign w:val="bottom"/>
            <w:tcBorders>
              <w:bottom w:val="single" w:sz="8" w:color="125288"/>
            </w:tcBorders>
          </w:tcPr>
          <w:p>
            <w:pPr>
              <w:spacing w:after="0"/>
              <w:rPr>
                <w:sz w:val="7"/>
                <w:szCs w:val="7"/>
                <w:color w:val="auto"/>
              </w:rPr>
            </w:pPr>
          </w:p>
        </w:tc>
        <w:tc>
          <w:tcPr>
            <w:tcW w:w="1500" w:type="dxa"/>
            <w:vAlign w:val="bottom"/>
            <w:tcBorders>
              <w:bottom w:val="single" w:sz="8" w:color="125288"/>
            </w:tcBorders>
          </w:tcPr>
          <w:p>
            <w:pPr>
              <w:spacing w:after="0"/>
              <w:rPr>
                <w:sz w:val="7"/>
                <w:szCs w:val="7"/>
                <w:color w:val="auto"/>
              </w:rPr>
            </w:pPr>
          </w:p>
        </w:tc>
        <w:tc>
          <w:tcPr>
            <w:tcW w:w="1400" w:type="dxa"/>
            <w:vAlign w:val="bottom"/>
            <w:tcBorders>
              <w:bottom w:val="single" w:sz="8" w:color="125288"/>
            </w:tcBorders>
          </w:tcPr>
          <w:p>
            <w:pPr>
              <w:spacing w:after="0"/>
              <w:rPr>
                <w:sz w:val="7"/>
                <w:szCs w:val="7"/>
                <w:color w:val="auto"/>
              </w:rPr>
            </w:pPr>
          </w:p>
        </w:tc>
      </w:tr>
      <w:tr>
        <w:trPr>
          <w:trHeight w:val="268"/>
        </w:trPr>
        <w:tc>
          <w:tcPr>
            <w:tcW w:w="3520" w:type="dxa"/>
            <w:vAlign w:val="bottom"/>
          </w:tcPr>
          <w:p>
            <w:pPr>
              <w:ind w:left="40"/>
              <w:spacing w:after="0"/>
              <w:rPr>
                <w:sz w:val="20"/>
                <w:szCs w:val="20"/>
                <w:color w:val="auto"/>
              </w:rPr>
            </w:pPr>
            <w:r>
              <w:rPr>
                <w:rFonts w:ascii="Arial" w:cs="Arial" w:eastAsia="Arial" w:hAnsi="Arial"/>
                <w:sz w:val="17"/>
                <w:szCs w:val="17"/>
                <w:b w:val="1"/>
                <w:bCs w:val="1"/>
                <w:color w:val="auto"/>
              </w:rPr>
              <w:t>TOTAL</w:t>
            </w:r>
          </w:p>
        </w:tc>
        <w:tc>
          <w:tcPr>
            <w:tcW w:w="1900" w:type="dxa"/>
            <w:vAlign w:val="bottom"/>
          </w:tcPr>
          <w:p>
            <w:pPr>
              <w:jc w:val="right"/>
              <w:ind w:right="317"/>
              <w:spacing w:after="0"/>
              <w:rPr>
                <w:sz w:val="20"/>
                <w:szCs w:val="20"/>
                <w:color w:val="auto"/>
              </w:rPr>
            </w:pPr>
            <w:r>
              <w:rPr>
                <w:rFonts w:ascii="Arial" w:cs="Arial" w:eastAsia="Arial" w:hAnsi="Arial"/>
                <w:sz w:val="17"/>
                <w:szCs w:val="17"/>
                <w:b w:val="1"/>
                <w:bCs w:val="1"/>
                <w:color w:val="auto"/>
              </w:rPr>
              <w:t>—</w:t>
            </w:r>
          </w:p>
        </w:tc>
        <w:tc>
          <w:tcPr>
            <w:tcW w:w="1420" w:type="dxa"/>
            <w:vAlign w:val="bottom"/>
          </w:tcPr>
          <w:p>
            <w:pPr>
              <w:jc w:val="right"/>
              <w:ind w:right="157"/>
              <w:spacing w:after="0"/>
              <w:rPr>
                <w:sz w:val="20"/>
                <w:szCs w:val="20"/>
                <w:color w:val="auto"/>
              </w:rPr>
            </w:pPr>
            <w:r>
              <w:rPr>
                <w:rFonts w:ascii="Arial" w:cs="Arial" w:eastAsia="Arial" w:hAnsi="Arial"/>
                <w:sz w:val="17"/>
                <w:szCs w:val="17"/>
                <w:b w:val="1"/>
                <w:bCs w:val="1"/>
                <w:color w:val="auto"/>
              </w:rPr>
              <w:t>—</w:t>
            </w:r>
          </w:p>
        </w:tc>
        <w:tc>
          <w:tcPr>
            <w:tcW w:w="1520" w:type="dxa"/>
            <w:vAlign w:val="bottom"/>
          </w:tcPr>
          <w:p>
            <w:pPr>
              <w:jc w:val="right"/>
              <w:ind w:right="98"/>
              <w:spacing w:after="0"/>
              <w:rPr>
                <w:sz w:val="20"/>
                <w:szCs w:val="20"/>
                <w:color w:val="auto"/>
              </w:rPr>
            </w:pPr>
            <w:r>
              <w:rPr>
                <w:rFonts w:ascii="Arial" w:cs="Arial" w:eastAsia="Arial" w:hAnsi="Arial"/>
                <w:sz w:val="17"/>
                <w:szCs w:val="17"/>
                <w:b w:val="1"/>
                <w:bCs w:val="1"/>
                <w:color w:val="auto"/>
              </w:rPr>
              <w:t>0</w:t>
            </w:r>
          </w:p>
        </w:tc>
        <w:tc>
          <w:tcPr>
            <w:tcW w:w="1500" w:type="dxa"/>
            <w:vAlign w:val="bottom"/>
          </w:tcPr>
          <w:p>
            <w:pPr>
              <w:jc w:val="right"/>
              <w:ind w:right="38"/>
              <w:spacing w:after="0"/>
              <w:rPr>
                <w:sz w:val="20"/>
                <w:szCs w:val="20"/>
                <w:color w:val="auto"/>
              </w:rPr>
            </w:pPr>
            <w:r>
              <w:rPr>
                <w:rFonts w:ascii="Arial" w:cs="Arial" w:eastAsia="Arial" w:hAnsi="Arial"/>
                <w:sz w:val="17"/>
                <w:szCs w:val="17"/>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85"/>
        </w:trPr>
        <w:tc>
          <w:tcPr>
            <w:tcW w:w="3520" w:type="dxa"/>
            <w:vAlign w:val="bottom"/>
            <w:tcBorders>
              <w:bottom w:val="single" w:sz="8" w:color="125288"/>
            </w:tcBorders>
          </w:tcPr>
          <w:p>
            <w:pPr>
              <w:spacing w:after="0"/>
              <w:rPr>
                <w:sz w:val="7"/>
                <w:szCs w:val="7"/>
                <w:color w:val="auto"/>
              </w:rPr>
            </w:pPr>
          </w:p>
        </w:tc>
        <w:tc>
          <w:tcPr>
            <w:tcW w:w="190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520" w:type="dxa"/>
            <w:vAlign w:val="bottom"/>
            <w:tcBorders>
              <w:bottom w:val="single" w:sz="8" w:color="125288"/>
            </w:tcBorders>
          </w:tcPr>
          <w:p>
            <w:pPr>
              <w:spacing w:after="0"/>
              <w:rPr>
                <w:sz w:val="7"/>
                <w:szCs w:val="7"/>
                <w:color w:val="auto"/>
              </w:rPr>
            </w:pPr>
          </w:p>
        </w:tc>
        <w:tc>
          <w:tcPr>
            <w:tcW w:w="1500" w:type="dxa"/>
            <w:vAlign w:val="bottom"/>
            <w:tcBorders>
              <w:bottom w:val="single" w:sz="8" w:color="125288"/>
            </w:tcBorders>
          </w:tcPr>
          <w:p>
            <w:pPr>
              <w:spacing w:after="0"/>
              <w:rPr>
                <w:sz w:val="7"/>
                <w:szCs w:val="7"/>
                <w:color w:val="auto"/>
              </w:rPr>
            </w:pPr>
          </w:p>
        </w:tc>
        <w:tc>
          <w:tcPr>
            <w:tcW w:w="1400" w:type="dxa"/>
            <w:vAlign w:val="bottom"/>
            <w:tcBorders>
              <w:bottom w:val="single" w:sz="8" w:color="125288"/>
            </w:tcBorders>
          </w:tcPr>
          <w:p>
            <w:pPr>
              <w:spacing w:after="0"/>
              <w:rPr>
                <w:sz w:val="7"/>
                <w:szCs w:val="7"/>
                <w:color w:val="auto"/>
              </w:rPr>
            </w:pPr>
          </w:p>
        </w:tc>
      </w:tr>
      <w:tr>
        <w:trPr>
          <w:trHeight w:val="276"/>
        </w:trPr>
        <w:tc>
          <w:tcPr>
            <w:tcW w:w="3520" w:type="dxa"/>
            <w:vAlign w:val="bottom"/>
          </w:tcPr>
          <w:p>
            <w:pPr>
              <w:ind w:left="40"/>
              <w:spacing w:after="0"/>
              <w:rPr>
                <w:sz w:val="20"/>
                <w:szCs w:val="20"/>
                <w:color w:val="auto"/>
              </w:rPr>
            </w:pPr>
            <w:r>
              <w:rPr>
                <w:rFonts w:ascii="Arial" w:cs="Arial" w:eastAsia="Arial" w:hAnsi="Arial"/>
                <w:sz w:val="17"/>
                <w:szCs w:val="17"/>
                <w:b w:val="1"/>
                <w:bCs w:val="1"/>
                <w:color w:val="auto"/>
              </w:rPr>
              <w:t>Grant Dixton</w:t>
            </w:r>
          </w:p>
        </w:tc>
        <w:tc>
          <w:tcPr>
            <w:tcW w:w="19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81"/>
        </w:trPr>
        <w:tc>
          <w:tcPr>
            <w:tcW w:w="3520" w:type="dxa"/>
            <w:vAlign w:val="bottom"/>
            <w:tcBorders>
              <w:bottom w:val="single" w:sz="8" w:color="125288"/>
            </w:tcBorders>
          </w:tcPr>
          <w:p>
            <w:pPr>
              <w:spacing w:after="0"/>
              <w:rPr>
                <w:sz w:val="7"/>
                <w:szCs w:val="7"/>
                <w:color w:val="auto"/>
              </w:rPr>
            </w:pPr>
          </w:p>
        </w:tc>
        <w:tc>
          <w:tcPr>
            <w:tcW w:w="190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520" w:type="dxa"/>
            <w:vAlign w:val="bottom"/>
            <w:tcBorders>
              <w:bottom w:val="single" w:sz="8" w:color="125288"/>
            </w:tcBorders>
          </w:tcPr>
          <w:p>
            <w:pPr>
              <w:spacing w:after="0"/>
              <w:rPr>
                <w:sz w:val="7"/>
                <w:szCs w:val="7"/>
                <w:color w:val="auto"/>
              </w:rPr>
            </w:pPr>
          </w:p>
        </w:tc>
        <w:tc>
          <w:tcPr>
            <w:tcW w:w="1500" w:type="dxa"/>
            <w:vAlign w:val="bottom"/>
            <w:tcBorders>
              <w:bottom w:val="single" w:sz="8" w:color="125288"/>
            </w:tcBorders>
          </w:tcPr>
          <w:p>
            <w:pPr>
              <w:spacing w:after="0"/>
              <w:rPr>
                <w:sz w:val="7"/>
                <w:szCs w:val="7"/>
                <w:color w:val="auto"/>
              </w:rPr>
            </w:pPr>
          </w:p>
        </w:tc>
        <w:tc>
          <w:tcPr>
            <w:tcW w:w="1400" w:type="dxa"/>
            <w:vAlign w:val="bottom"/>
            <w:tcBorders>
              <w:bottom w:val="single" w:sz="8" w:color="125288"/>
            </w:tcBorders>
          </w:tcPr>
          <w:p>
            <w:pPr>
              <w:spacing w:after="0"/>
              <w:rPr>
                <w:sz w:val="7"/>
                <w:szCs w:val="7"/>
                <w:color w:val="auto"/>
              </w:rPr>
            </w:pPr>
          </w:p>
        </w:tc>
      </w:tr>
      <w:tr>
        <w:trPr>
          <w:trHeight w:val="268"/>
        </w:trPr>
        <w:tc>
          <w:tcPr>
            <w:tcW w:w="3520" w:type="dxa"/>
            <w:vAlign w:val="bottom"/>
          </w:tcPr>
          <w:p>
            <w:pPr>
              <w:ind w:left="40"/>
              <w:spacing w:after="0"/>
              <w:rPr>
                <w:sz w:val="20"/>
                <w:szCs w:val="20"/>
                <w:color w:val="auto"/>
              </w:rPr>
            </w:pPr>
            <w:r>
              <w:rPr>
                <w:rFonts w:ascii="Arial" w:cs="Arial" w:eastAsia="Arial" w:hAnsi="Arial"/>
                <w:sz w:val="17"/>
                <w:szCs w:val="17"/>
                <w:color w:val="auto"/>
              </w:rPr>
              <w:t>Salary-based severance</w:t>
            </w:r>
          </w:p>
        </w:tc>
        <w:tc>
          <w:tcPr>
            <w:tcW w:w="1900" w:type="dxa"/>
            <w:vAlign w:val="bottom"/>
          </w:tcPr>
          <w:p>
            <w:pPr>
              <w:jc w:val="right"/>
              <w:ind w:right="317"/>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98"/>
              <w:spacing w:after="0"/>
              <w:rPr>
                <w:sz w:val="20"/>
                <w:szCs w:val="20"/>
                <w:color w:val="auto"/>
              </w:rPr>
            </w:pPr>
            <w:r>
              <w:rPr>
                <w:rFonts w:ascii="Arial" w:cs="Arial" w:eastAsia="Arial" w:hAnsi="Arial"/>
                <w:sz w:val="17"/>
                <w:szCs w:val="17"/>
                <w:color w:val="auto"/>
              </w:rPr>
              <w:t>0</w:t>
            </w:r>
          </w:p>
        </w:tc>
        <w:tc>
          <w:tcPr>
            <w:tcW w:w="150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81"/>
        </w:trPr>
        <w:tc>
          <w:tcPr>
            <w:tcW w:w="3520" w:type="dxa"/>
            <w:vAlign w:val="bottom"/>
            <w:tcBorders>
              <w:bottom w:val="single" w:sz="8" w:color="125288"/>
            </w:tcBorders>
          </w:tcPr>
          <w:p>
            <w:pPr>
              <w:spacing w:after="0"/>
              <w:rPr>
                <w:sz w:val="7"/>
                <w:szCs w:val="7"/>
                <w:color w:val="auto"/>
              </w:rPr>
            </w:pPr>
          </w:p>
        </w:tc>
        <w:tc>
          <w:tcPr>
            <w:tcW w:w="190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520" w:type="dxa"/>
            <w:vAlign w:val="bottom"/>
            <w:tcBorders>
              <w:bottom w:val="single" w:sz="8" w:color="125288"/>
            </w:tcBorders>
          </w:tcPr>
          <w:p>
            <w:pPr>
              <w:spacing w:after="0"/>
              <w:rPr>
                <w:sz w:val="7"/>
                <w:szCs w:val="7"/>
                <w:color w:val="auto"/>
              </w:rPr>
            </w:pPr>
          </w:p>
        </w:tc>
        <w:tc>
          <w:tcPr>
            <w:tcW w:w="1500" w:type="dxa"/>
            <w:vAlign w:val="bottom"/>
            <w:tcBorders>
              <w:bottom w:val="single" w:sz="8" w:color="125288"/>
            </w:tcBorders>
          </w:tcPr>
          <w:p>
            <w:pPr>
              <w:spacing w:after="0"/>
              <w:rPr>
                <w:sz w:val="7"/>
                <w:szCs w:val="7"/>
                <w:color w:val="auto"/>
              </w:rPr>
            </w:pPr>
          </w:p>
        </w:tc>
        <w:tc>
          <w:tcPr>
            <w:tcW w:w="1400" w:type="dxa"/>
            <w:vAlign w:val="bottom"/>
            <w:tcBorders>
              <w:bottom w:val="single" w:sz="8" w:color="125288"/>
            </w:tcBorders>
          </w:tcPr>
          <w:p>
            <w:pPr>
              <w:spacing w:after="0"/>
              <w:rPr>
                <w:sz w:val="7"/>
                <w:szCs w:val="7"/>
                <w:color w:val="auto"/>
              </w:rPr>
            </w:pPr>
          </w:p>
        </w:tc>
      </w:tr>
      <w:tr>
        <w:trPr>
          <w:trHeight w:val="268"/>
        </w:trPr>
        <w:tc>
          <w:tcPr>
            <w:tcW w:w="3520" w:type="dxa"/>
            <w:vAlign w:val="bottom"/>
          </w:tcPr>
          <w:p>
            <w:pPr>
              <w:ind w:left="40"/>
              <w:spacing w:after="0"/>
              <w:rPr>
                <w:sz w:val="20"/>
                <w:szCs w:val="20"/>
                <w:color w:val="auto"/>
              </w:rPr>
            </w:pPr>
            <w:r>
              <w:rPr>
                <w:rFonts w:ascii="Arial" w:cs="Arial" w:eastAsia="Arial" w:hAnsi="Arial"/>
                <w:sz w:val="17"/>
                <w:szCs w:val="17"/>
                <w:color w:val="auto"/>
              </w:rPr>
              <w:t>Lump-sum bonus-based severance</w:t>
            </w:r>
            <w:r>
              <w:rPr>
                <w:rFonts w:ascii="Arial" w:cs="Arial" w:eastAsia="Arial" w:hAnsi="Arial"/>
                <w:sz w:val="9"/>
                <w:szCs w:val="9"/>
                <w:color w:val="auto"/>
              </w:rPr>
              <w:t>(5)</w:t>
            </w:r>
          </w:p>
        </w:tc>
        <w:tc>
          <w:tcPr>
            <w:tcW w:w="1900" w:type="dxa"/>
            <w:vAlign w:val="bottom"/>
          </w:tcPr>
          <w:p>
            <w:pPr>
              <w:jc w:val="right"/>
              <w:ind w:right="317"/>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98"/>
              <w:spacing w:after="0"/>
              <w:rPr>
                <w:sz w:val="20"/>
                <w:szCs w:val="20"/>
                <w:color w:val="auto"/>
              </w:rPr>
            </w:pPr>
            <w:r>
              <w:rPr>
                <w:rFonts w:ascii="Arial" w:cs="Arial" w:eastAsia="Arial" w:hAnsi="Arial"/>
                <w:sz w:val="17"/>
                <w:szCs w:val="17"/>
                <w:color w:val="auto"/>
              </w:rPr>
              <w:t>0</w:t>
            </w:r>
          </w:p>
        </w:tc>
        <w:tc>
          <w:tcPr>
            <w:tcW w:w="150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81"/>
        </w:trPr>
        <w:tc>
          <w:tcPr>
            <w:tcW w:w="3520" w:type="dxa"/>
            <w:vAlign w:val="bottom"/>
            <w:tcBorders>
              <w:bottom w:val="single" w:sz="8" w:color="125288"/>
            </w:tcBorders>
          </w:tcPr>
          <w:p>
            <w:pPr>
              <w:spacing w:after="0"/>
              <w:rPr>
                <w:sz w:val="7"/>
                <w:szCs w:val="7"/>
                <w:color w:val="auto"/>
              </w:rPr>
            </w:pPr>
          </w:p>
        </w:tc>
        <w:tc>
          <w:tcPr>
            <w:tcW w:w="190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520" w:type="dxa"/>
            <w:vAlign w:val="bottom"/>
            <w:tcBorders>
              <w:bottom w:val="single" w:sz="8" w:color="125288"/>
            </w:tcBorders>
          </w:tcPr>
          <w:p>
            <w:pPr>
              <w:spacing w:after="0"/>
              <w:rPr>
                <w:sz w:val="7"/>
                <w:szCs w:val="7"/>
                <w:color w:val="auto"/>
              </w:rPr>
            </w:pPr>
          </w:p>
        </w:tc>
        <w:tc>
          <w:tcPr>
            <w:tcW w:w="1500" w:type="dxa"/>
            <w:vAlign w:val="bottom"/>
            <w:tcBorders>
              <w:bottom w:val="single" w:sz="8" w:color="125288"/>
            </w:tcBorders>
          </w:tcPr>
          <w:p>
            <w:pPr>
              <w:spacing w:after="0"/>
              <w:rPr>
                <w:sz w:val="7"/>
                <w:szCs w:val="7"/>
                <w:color w:val="auto"/>
              </w:rPr>
            </w:pPr>
          </w:p>
        </w:tc>
        <w:tc>
          <w:tcPr>
            <w:tcW w:w="1400" w:type="dxa"/>
            <w:vAlign w:val="bottom"/>
            <w:tcBorders>
              <w:bottom w:val="single" w:sz="8" w:color="125288"/>
            </w:tcBorders>
          </w:tcPr>
          <w:p>
            <w:pPr>
              <w:spacing w:after="0"/>
              <w:rPr>
                <w:sz w:val="7"/>
                <w:szCs w:val="7"/>
                <w:color w:val="auto"/>
              </w:rPr>
            </w:pPr>
          </w:p>
        </w:tc>
      </w:tr>
      <w:tr>
        <w:trPr>
          <w:trHeight w:val="268"/>
        </w:trPr>
        <w:tc>
          <w:tcPr>
            <w:tcW w:w="3520" w:type="dxa"/>
            <w:vAlign w:val="bottom"/>
          </w:tcPr>
          <w:p>
            <w:pPr>
              <w:ind w:left="40"/>
              <w:spacing w:after="0"/>
              <w:rPr>
                <w:sz w:val="20"/>
                <w:szCs w:val="20"/>
                <w:color w:val="auto"/>
              </w:rPr>
            </w:pPr>
            <w:r>
              <w:rPr>
                <w:rFonts w:ascii="Arial" w:cs="Arial" w:eastAsia="Arial" w:hAnsi="Arial"/>
                <w:sz w:val="17"/>
                <w:szCs w:val="17"/>
                <w:color w:val="auto"/>
              </w:rPr>
              <w:t>Additional severance</w:t>
            </w:r>
            <w:r>
              <w:rPr>
                <w:rFonts w:ascii="Arial" w:cs="Arial" w:eastAsia="Arial" w:hAnsi="Arial"/>
                <w:sz w:val="9"/>
                <w:szCs w:val="9"/>
                <w:color w:val="auto"/>
              </w:rPr>
              <w:t>(6)</w:t>
            </w:r>
          </w:p>
        </w:tc>
        <w:tc>
          <w:tcPr>
            <w:tcW w:w="1900" w:type="dxa"/>
            <w:vAlign w:val="bottom"/>
          </w:tcPr>
          <w:p>
            <w:pPr>
              <w:jc w:val="right"/>
              <w:ind w:right="317"/>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98"/>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81"/>
        </w:trPr>
        <w:tc>
          <w:tcPr>
            <w:tcW w:w="3520" w:type="dxa"/>
            <w:vAlign w:val="bottom"/>
            <w:tcBorders>
              <w:bottom w:val="single" w:sz="8" w:color="125288"/>
            </w:tcBorders>
          </w:tcPr>
          <w:p>
            <w:pPr>
              <w:spacing w:after="0"/>
              <w:rPr>
                <w:sz w:val="7"/>
                <w:szCs w:val="7"/>
                <w:color w:val="auto"/>
              </w:rPr>
            </w:pPr>
          </w:p>
        </w:tc>
        <w:tc>
          <w:tcPr>
            <w:tcW w:w="190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520" w:type="dxa"/>
            <w:vAlign w:val="bottom"/>
            <w:tcBorders>
              <w:bottom w:val="single" w:sz="8" w:color="125288"/>
            </w:tcBorders>
          </w:tcPr>
          <w:p>
            <w:pPr>
              <w:spacing w:after="0"/>
              <w:rPr>
                <w:sz w:val="7"/>
                <w:szCs w:val="7"/>
                <w:color w:val="auto"/>
              </w:rPr>
            </w:pPr>
          </w:p>
        </w:tc>
        <w:tc>
          <w:tcPr>
            <w:tcW w:w="1500" w:type="dxa"/>
            <w:vAlign w:val="bottom"/>
            <w:tcBorders>
              <w:bottom w:val="single" w:sz="8" w:color="125288"/>
            </w:tcBorders>
          </w:tcPr>
          <w:p>
            <w:pPr>
              <w:spacing w:after="0"/>
              <w:rPr>
                <w:sz w:val="7"/>
                <w:szCs w:val="7"/>
                <w:color w:val="auto"/>
              </w:rPr>
            </w:pPr>
          </w:p>
        </w:tc>
        <w:tc>
          <w:tcPr>
            <w:tcW w:w="1400" w:type="dxa"/>
            <w:vAlign w:val="bottom"/>
            <w:tcBorders>
              <w:bottom w:val="single" w:sz="8" w:color="125288"/>
            </w:tcBorders>
          </w:tcPr>
          <w:p>
            <w:pPr>
              <w:spacing w:after="0"/>
              <w:rPr>
                <w:sz w:val="7"/>
                <w:szCs w:val="7"/>
                <w:color w:val="auto"/>
              </w:rPr>
            </w:pPr>
          </w:p>
        </w:tc>
      </w:tr>
      <w:tr>
        <w:trPr>
          <w:trHeight w:val="268"/>
        </w:trPr>
        <w:tc>
          <w:tcPr>
            <w:tcW w:w="3520" w:type="dxa"/>
            <w:vAlign w:val="bottom"/>
          </w:tcPr>
          <w:p>
            <w:pPr>
              <w:ind w:left="40"/>
              <w:spacing w:after="0"/>
              <w:rPr>
                <w:sz w:val="20"/>
                <w:szCs w:val="20"/>
                <w:color w:val="auto"/>
              </w:rPr>
            </w:pPr>
            <w:r>
              <w:rPr>
                <w:rFonts w:ascii="Arial" w:cs="Arial" w:eastAsia="Arial" w:hAnsi="Arial"/>
                <w:sz w:val="17"/>
                <w:szCs w:val="17"/>
                <w:color w:val="auto"/>
              </w:rPr>
              <w:t>Impact on equity awards</w:t>
            </w:r>
            <w:r>
              <w:rPr>
                <w:rFonts w:ascii="Arial" w:cs="Arial" w:eastAsia="Arial" w:hAnsi="Arial"/>
                <w:sz w:val="9"/>
                <w:szCs w:val="9"/>
                <w:color w:val="auto"/>
              </w:rPr>
              <w:t>(7)</w:t>
            </w:r>
          </w:p>
        </w:tc>
        <w:tc>
          <w:tcPr>
            <w:tcW w:w="1900" w:type="dxa"/>
            <w:vAlign w:val="bottom"/>
          </w:tcPr>
          <w:p>
            <w:pPr>
              <w:jc w:val="right"/>
              <w:ind w:right="317"/>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98"/>
              <w:spacing w:after="0"/>
              <w:rPr>
                <w:sz w:val="20"/>
                <w:szCs w:val="20"/>
                <w:color w:val="auto"/>
              </w:rPr>
            </w:pPr>
            <w:r>
              <w:rPr>
                <w:rFonts w:ascii="Arial" w:cs="Arial" w:eastAsia="Arial" w:hAnsi="Arial"/>
                <w:sz w:val="17"/>
                <w:szCs w:val="17"/>
                <w:color w:val="auto"/>
              </w:rPr>
              <w:t>0</w:t>
            </w:r>
          </w:p>
        </w:tc>
        <w:tc>
          <w:tcPr>
            <w:tcW w:w="150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81"/>
        </w:trPr>
        <w:tc>
          <w:tcPr>
            <w:tcW w:w="3520" w:type="dxa"/>
            <w:vAlign w:val="bottom"/>
            <w:tcBorders>
              <w:bottom w:val="single" w:sz="8" w:color="125288"/>
            </w:tcBorders>
          </w:tcPr>
          <w:p>
            <w:pPr>
              <w:spacing w:after="0"/>
              <w:rPr>
                <w:sz w:val="7"/>
                <w:szCs w:val="7"/>
                <w:color w:val="auto"/>
              </w:rPr>
            </w:pPr>
          </w:p>
        </w:tc>
        <w:tc>
          <w:tcPr>
            <w:tcW w:w="190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520" w:type="dxa"/>
            <w:vAlign w:val="bottom"/>
            <w:tcBorders>
              <w:bottom w:val="single" w:sz="8" w:color="125288"/>
            </w:tcBorders>
          </w:tcPr>
          <w:p>
            <w:pPr>
              <w:spacing w:after="0"/>
              <w:rPr>
                <w:sz w:val="7"/>
                <w:szCs w:val="7"/>
                <w:color w:val="auto"/>
              </w:rPr>
            </w:pPr>
          </w:p>
        </w:tc>
        <w:tc>
          <w:tcPr>
            <w:tcW w:w="1500" w:type="dxa"/>
            <w:vAlign w:val="bottom"/>
            <w:tcBorders>
              <w:bottom w:val="single" w:sz="8" w:color="125288"/>
            </w:tcBorders>
          </w:tcPr>
          <w:p>
            <w:pPr>
              <w:spacing w:after="0"/>
              <w:rPr>
                <w:sz w:val="7"/>
                <w:szCs w:val="7"/>
                <w:color w:val="auto"/>
              </w:rPr>
            </w:pPr>
          </w:p>
        </w:tc>
        <w:tc>
          <w:tcPr>
            <w:tcW w:w="1400" w:type="dxa"/>
            <w:vAlign w:val="bottom"/>
            <w:tcBorders>
              <w:bottom w:val="single" w:sz="8" w:color="125288"/>
            </w:tcBorders>
          </w:tcPr>
          <w:p>
            <w:pPr>
              <w:spacing w:after="0"/>
              <w:rPr>
                <w:sz w:val="7"/>
                <w:szCs w:val="7"/>
                <w:color w:val="auto"/>
              </w:rPr>
            </w:pPr>
          </w:p>
        </w:tc>
      </w:tr>
      <w:tr>
        <w:trPr>
          <w:trHeight w:val="268"/>
        </w:trPr>
        <w:tc>
          <w:tcPr>
            <w:tcW w:w="3520" w:type="dxa"/>
            <w:vAlign w:val="bottom"/>
          </w:tcPr>
          <w:p>
            <w:pPr>
              <w:ind w:left="40"/>
              <w:spacing w:after="0"/>
              <w:rPr>
                <w:sz w:val="20"/>
                <w:szCs w:val="20"/>
                <w:color w:val="auto"/>
              </w:rPr>
            </w:pPr>
            <w:r>
              <w:rPr>
                <w:rFonts w:ascii="Arial" w:cs="Arial" w:eastAsia="Arial" w:hAnsi="Arial"/>
                <w:sz w:val="17"/>
                <w:szCs w:val="17"/>
                <w:b w:val="1"/>
                <w:bCs w:val="1"/>
                <w:color w:val="auto"/>
              </w:rPr>
              <w:t>TOTAL</w:t>
            </w:r>
          </w:p>
        </w:tc>
        <w:tc>
          <w:tcPr>
            <w:tcW w:w="1900" w:type="dxa"/>
            <w:vAlign w:val="bottom"/>
          </w:tcPr>
          <w:p>
            <w:pPr>
              <w:jc w:val="right"/>
              <w:ind w:right="317"/>
              <w:spacing w:after="0"/>
              <w:rPr>
                <w:sz w:val="20"/>
                <w:szCs w:val="20"/>
                <w:color w:val="auto"/>
              </w:rPr>
            </w:pPr>
            <w:r>
              <w:rPr>
                <w:rFonts w:ascii="Arial" w:cs="Arial" w:eastAsia="Arial" w:hAnsi="Arial"/>
                <w:sz w:val="17"/>
                <w:szCs w:val="17"/>
                <w:b w:val="1"/>
                <w:bCs w:val="1"/>
                <w:color w:val="auto"/>
              </w:rPr>
              <w:t>—</w:t>
            </w:r>
          </w:p>
        </w:tc>
        <w:tc>
          <w:tcPr>
            <w:tcW w:w="1420" w:type="dxa"/>
            <w:vAlign w:val="bottom"/>
          </w:tcPr>
          <w:p>
            <w:pPr>
              <w:jc w:val="right"/>
              <w:ind w:right="157"/>
              <w:spacing w:after="0"/>
              <w:rPr>
                <w:sz w:val="20"/>
                <w:szCs w:val="20"/>
                <w:color w:val="auto"/>
              </w:rPr>
            </w:pPr>
            <w:r>
              <w:rPr>
                <w:rFonts w:ascii="Arial" w:cs="Arial" w:eastAsia="Arial" w:hAnsi="Arial"/>
                <w:sz w:val="17"/>
                <w:szCs w:val="17"/>
                <w:b w:val="1"/>
                <w:bCs w:val="1"/>
                <w:color w:val="auto"/>
              </w:rPr>
              <w:t>—</w:t>
            </w:r>
          </w:p>
        </w:tc>
        <w:tc>
          <w:tcPr>
            <w:tcW w:w="1520" w:type="dxa"/>
            <w:vAlign w:val="bottom"/>
          </w:tcPr>
          <w:p>
            <w:pPr>
              <w:jc w:val="right"/>
              <w:ind w:right="98"/>
              <w:spacing w:after="0"/>
              <w:rPr>
                <w:sz w:val="20"/>
                <w:szCs w:val="20"/>
                <w:color w:val="auto"/>
              </w:rPr>
            </w:pPr>
            <w:r>
              <w:rPr>
                <w:rFonts w:ascii="Arial" w:cs="Arial" w:eastAsia="Arial" w:hAnsi="Arial"/>
                <w:sz w:val="17"/>
                <w:szCs w:val="17"/>
                <w:b w:val="1"/>
                <w:bCs w:val="1"/>
                <w:color w:val="auto"/>
              </w:rPr>
              <w:t>0</w:t>
            </w:r>
          </w:p>
        </w:tc>
        <w:tc>
          <w:tcPr>
            <w:tcW w:w="1500" w:type="dxa"/>
            <w:vAlign w:val="bottom"/>
          </w:tcPr>
          <w:p>
            <w:pPr>
              <w:jc w:val="right"/>
              <w:ind w:right="38"/>
              <w:spacing w:after="0"/>
              <w:rPr>
                <w:sz w:val="20"/>
                <w:szCs w:val="20"/>
                <w:color w:val="auto"/>
              </w:rPr>
            </w:pPr>
            <w:r>
              <w:rPr>
                <w:rFonts w:ascii="Arial" w:cs="Arial" w:eastAsia="Arial" w:hAnsi="Arial"/>
                <w:sz w:val="17"/>
                <w:szCs w:val="17"/>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85"/>
        </w:trPr>
        <w:tc>
          <w:tcPr>
            <w:tcW w:w="3520" w:type="dxa"/>
            <w:vAlign w:val="bottom"/>
            <w:tcBorders>
              <w:bottom w:val="single" w:sz="8" w:color="125288"/>
            </w:tcBorders>
          </w:tcPr>
          <w:p>
            <w:pPr>
              <w:spacing w:after="0"/>
              <w:rPr>
                <w:sz w:val="7"/>
                <w:szCs w:val="7"/>
                <w:color w:val="auto"/>
              </w:rPr>
            </w:pPr>
          </w:p>
        </w:tc>
        <w:tc>
          <w:tcPr>
            <w:tcW w:w="190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4420" w:type="dxa"/>
            <w:vAlign w:val="bottom"/>
            <w:tcBorders>
              <w:bottom w:val="single" w:sz="8" w:color="125288"/>
            </w:tcBorders>
            <w:gridSpan w:val="3"/>
          </w:tcPr>
          <w:p>
            <w:pPr>
              <w:spacing w:after="0"/>
              <w:rPr>
                <w:sz w:val="7"/>
                <w:szCs w:val="7"/>
                <w:color w:val="auto"/>
              </w:rPr>
            </w:pPr>
          </w:p>
        </w:tc>
      </w:tr>
      <w:tr>
        <w:trPr>
          <w:trHeight w:val="351"/>
        </w:trPr>
        <w:tc>
          <w:tcPr>
            <w:tcW w:w="3520" w:type="dxa"/>
            <w:vAlign w:val="bottom"/>
          </w:tcPr>
          <w:p>
            <w:pPr>
              <w:spacing w:after="0"/>
              <w:rPr>
                <w:sz w:val="20"/>
                <w:szCs w:val="20"/>
                <w:color w:val="auto"/>
              </w:rPr>
            </w:pPr>
            <w:r>
              <w:rPr>
                <w:rFonts w:ascii="Arial" w:cs="Arial" w:eastAsia="Arial" w:hAnsi="Arial"/>
                <w:sz w:val="14"/>
                <w:szCs w:val="14"/>
                <w:color w:val="706F6F"/>
              </w:rPr>
              <w:t>www.activisionblizzard.com</w:t>
            </w:r>
          </w:p>
        </w:tc>
        <w:tc>
          <w:tcPr>
            <w:tcW w:w="1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420" w:type="dxa"/>
            <w:vAlign w:val="bottom"/>
            <w:gridSpan w:val="3"/>
          </w:tcPr>
          <w:p>
            <w:pPr>
              <w:jc w:val="right"/>
              <w:spacing w:after="0"/>
              <w:rPr>
                <w:sz w:val="20"/>
                <w:szCs w:val="20"/>
                <w:color w:val="auto"/>
              </w:rPr>
            </w:pPr>
            <w:r>
              <w:rPr>
                <w:rFonts w:ascii="Arial" w:cs="Arial" w:eastAsia="Arial" w:hAnsi="Arial"/>
                <w:sz w:val="14"/>
                <w:szCs w:val="14"/>
                <w:color w:val="706F6F"/>
              </w:rPr>
              <w:t xml:space="preserve">ACTIVISION BLIZZARD, INC.  2022 Proxy Statement   </w:t>
            </w:r>
            <w:r>
              <w:rPr>
                <w:rFonts w:ascii="Arial" w:cs="Arial" w:eastAsia="Arial" w:hAnsi="Arial"/>
                <w:sz w:val="14"/>
                <w:szCs w:val="14"/>
                <w:b w:val="1"/>
                <w:bCs w:val="1"/>
                <w:color w:val="706F6F"/>
              </w:rPr>
              <w:t>122</w:t>
            </w:r>
          </w:p>
        </w:tc>
      </w:tr>
      <w:tr>
        <w:trPr>
          <w:trHeight w:val="93"/>
        </w:trPr>
        <w:tc>
          <w:tcPr>
            <w:tcW w:w="3520" w:type="dxa"/>
            <w:vAlign w:val="bottom"/>
            <w:tcBorders>
              <w:bottom w:val="single" w:sz="8" w:color="808080"/>
            </w:tcBorders>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r>
    </w:tbl>
    <w:p>
      <w:pPr>
        <w:sectPr>
          <w:pgSz w:w="11900" w:h="16838" w:orient="portrait"/>
          <w:cols w:equalWidth="0" w:num="1">
            <w:col w:w="11260"/>
          </w:cols>
          <w:pgMar w:left="320" w:top="144" w:right="319" w:bottom="1440" w:gutter="0" w:footer="0" w:header="0"/>
        </w:sectPr>
      </w:pPr>
    </w:p>
    <w:bookmarkStart w:id="125" w:name="page126"/>
    <w:bookmarkEnd w:id="125"/>
    <w:p>
      <w:pPr>
        <w:ind w:left="5"/>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36" w:lineRule="exact"/>
        <w:rPr>
          <w:sz w:val="20"/>
          <w:szCs w:val="20"/>
          <w:color w:val="auto"/>
        </w:rPr>
      </w:pPr>
    </w:p>
    <w:p>
      <w:pPr>
        <w:ind w:left="5"/>
        <w:spacing w:after="0"/>
        <w:rPr>
          <w:sz w:val="20"/>
          <w:szCs w:val="20"/>
          <w:color w:val="auto"/>
        </w:rPr>
      </w:pPr>
      <w:r>
        <w:rPr>
          <w:rFonts w:ascii="Arial" w:cs="Arial" w:eastAsia="Arial" w:hAnsi="Arial"/>
          <w:sz w:val="20"/>
          <w:szCs w:val="20"/>
          <w:color w:val="125288"/>
        </w:rPr>
        <w:t>(1) Termination due to Death or Disability</w:t>
      </w:r>
    </w:p>
    <w:p>
      <w:pPr>
        <w:spacing w:after="0" w:line="149" w:lineRule="exact"/>
        <w:rPr>
          <w:sz w:val="20"/>
          <w:szCs w:val="20"/>
          <w:color w:val="auto"/>
        </w:rPr>
      </w:pPr>
    </w:p>
    <w:p>
      <w:pPr>
        <w:ind w:left="5"/>
        <w:spacing w:after="0"/>
        <w:rPr>
          <w:sz w:val="20"/>
          <w:szCs w:val="20"/>
          <w:color w:val="auto"/>
        </w:rPr>
      </w:pPr>
      <w:r>
        <w:rPr>
          <w:rFonts w:ascii="Arial" w:cs="Arial" w:eastAsia="Arial" w:hAnsi="Arial"/>
          <w:sz w:val="19"/>
          <w:szCs w:val="19"/>
          <w:color w:val="auto"/>
        </w:rPr>
        <w:t>In the event of a termination due to death, each of Messrs. Zerza, Alegre, Bulatao, or Dixton or would have received:</w:t>
      </w:r>
    </w:p>
    <w:p>
      <w:pPr>
        <w:spacing w:after="0" w:line="138" w:lineRule="exact"/>
        <w:rPr>
          <w:sz w:val="20"/>
          <w:szCs w:val="20"/>
          <w:color w:val="auto"/>
        </w:rPr>
      </w:pPr>
    </w:p>
    <w:p>
      <w:pPr>
        <w:ind w:left="145" w:hanging="145"/>
        <w:spacing w:after="0"/>
        <w:tabs>
          <w:tab w:leader="none" w:pos="145" w:val="left"/>
        </w:tabs>
        <w:numPr>
          <w:ilvl w:val="0"/>
          <w:numId w:val="125"/>
        </w:numPr>
        <w:rPr>
          <w:rFonts w:ascii="Arial" w:cs="Arial" w:eastAsia="Arial" w:hAnsi="Arial"/>
          <w:sz w:val="19"/>
          <w:szCs w:val="19"/>
          <w:color w:val="125288"/>
        </w:rPr>
      </w:pPr>
      <w:r>
        <w:rPr>
          <w:rFonts w:ascii="Arial" w:cs="Arial" w:eastAsia="Arial" w:hAnsi="Arial"/>
          <w:sz w:val="19"/>
          <w:szCs w:val="19"/>
          <w:color w:val="auto"/>
        </w:rPr>
        <w:t>any earned but unpaid bonuses for prior years (of which there were none as of December 31, 2021);</w:t>
      </w:r>
    </w:p>
    <w:p>
      <w:pPr>
        <w:spacing w:after="0" w:line="138"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125"/>
        </w:numPr>
        <w:rPr>
          <w:rFonts w:ascii="Arial" w:cs="Arial" w:eastAsia="Arial" w:hAnsi="Arial"/>
          <w:sz w:val="19"/>
          <w:szCs w:val="19"/>
          <w:color w:val="125288"/>
        </w:rPr>
      </w:pPr>
      <w:r>
        <w:rPr>
          <w:rFonts w:ascii="Arial" w:cs="Arial" w:eastAsia="Arial" w:hAnsi="Arial"/>
          <w:sz w:val="19"/>
          <w:szCs w:val="19"/>
          <w:color w:val="auto"/>
        </w:rPr>
        <w:t>a bonus under the CAIP for the year in which the termination occurred based on actual performance (of which there was none as of December 31, 2021), prorated to reflect the number of months worked during the year in which the termination occurs;</w:t>
      </w:r>
    </w:p>
    <w:p>
      <w:pPr>
        <w:spacing w:after="0" w:line="124" w:lineRule="exact"/>
        <w:rPr>
          <w:rFonts w:ascii="Arial" w:cs="Arial" w:eastAsia="Arial" w:hAnsi="Arial"/>
          <w:sz w:val="19"/>
          <w:szCs w:val="19"/>
          <w:color w:val="125288"/>
        </w:rPr>
      </w:pPr>
    </w:p>
    <w:p>
      <w:pPr>
        <w:jc w:val="both"/>
        <w:ind w:left="145" w:right="40" w:hanging="145"/>
        <w:spacing w:after="0"/>
        <w:tabs>
          <w:tab w:leader="none" w:pos="145" w:val="left"/>
        </w:tabs>
        <w:numPr>
          <w:ilvl w:val="0"/>
          <w:numId w:val="125"/>
        </w:numPr>
        <w:rPr>
          <w:rFonts w:ascii="Arial" w:cs="Arial" w:eastAsia="Arial" w:hAnsi="Arial"/>
          <w:sz w:val="19"/>
          <w:szCs w:val="19"/>
          <w:color w:val="125288"/>
        </w:rPr>
      </w:pPr>
      <w:r>
        <w:rPr>
          <w:rFonts w:ascii="Arial" w:cs="Arial" w:eastAsia="Arial" w:hAnsi="Arial"/>
          <w:sz w:val="19"/>
          <w:szCs w:val="19"/>
          <w:color w:val="auto"/>
        </w:rPr>
        <w:t>a lump-sum payment equal to 200% of their annual base salary (at the rate in effect on their termination date), less any payments received or to which they became entitled under Company-provided life insurance (which payments, for purposes of this table, are assumed to be zero);</w:t>
      </w:r>
    </w:p>
    <w:p>
      <w:pPr>
        <w:spacing w:after="0" w:line="129" w:lineRule="exact"/>
        <w:rPr>
          <w:rFonts w:ascii="Arial" w:cs="Arial" w:eastAsia="Arial" w:hAnsi="Arial"/>
          <w:sz w:val="19"/>
          <w:szCs w:val="19"/>
          <w:color w:val="125288"/>
        </w:rPr>
      </w:pPr>
    </w:p>
    <w:p>
      <w:pPr>
        <w:ind w:left="145" w:hanging="145"/>
        <w:spacing w:after="0"/>
        <w:tabs>
          <w:tab w:leader="none" w:pos="145" w:val="left"/>
        </w:tabs>
        <w:numPr>
          <w:ilvl w:val="0"/>
          <w:numId w:val="125"/>
        </w:numPr>
        <w:rPr>
          <w:rFonts w:ascii="Arial" w:cs="Arial" w:eastAsia="Arial" w:hAnsi="Arial"/>
          <w:sz w:val="19"/>
          <w:szCs w:val="19"/>
          <w:color w:val="125288"/>
        </w:rPr>
      </w:pPr>
      <w:r>
        <w:rPr>
          <w:rFonts w:ascii="Arial" w:cs="Arial" w:eastAsia="Arial" w:hAnsi="Arial"/>
          <w:sz w:val="19"/>
          <w:szCs w:val="19"/>
          <w:color w:val="auto"/>
        </w:rPr>
        <w:t>“additional severance,” as described in footnote (6); and</w:t>
      </w:r>
    </w:p>
    <w:p>
      <w:pPr>
        <w:spacing w:after="0" w:line="138" w:lineRule="exact"/>
        <w:rPr>
          <w:rFonts w:ascii="Arial" w:cs="Arial" w:eastAsia="Arial" w:hAnsi="Arial"/>
          <w:sz w:val="19"/>
          <w:szCs w:val="19"/>
          <w:color w:val="125288"/>
        </w:rPr>
      </w:pPr>
    </w:p>
    <w:p>
      <w:pPr>
        <w:ind w:left="145" w:hanging="145"/>
        <w:spacing w:after="0"/>
        <w:tabs>
          <w:tab w:leader="none" w:pos="145" w:val="left"/>
        </w:tabs>
        <w:numPr>
          <w:ilvl w:val="0"/>
          <w:numId w:val="125"/>
        </w:numPr>
        <w:rPr>
          <w:rFonts w:ascii="Arial" w:cs="Arial" w:eastAsia="Arial" w:hAnsi="Arial"/>
          <w:sz w:val="19"/>
          <w:szCs w:val="19"/>
          <w:color w:val="125288"/>
        </w:rPr>
      </w:pPr>
      <w:r>
        <w:rPr>
          <w:rFonts w:ascii="Arial" w:cs="Arial" w:eastAsia="Arial" w:hAnsi="Arial"/>
          <w:sz w:val="19"/>
          <w:szCs w:val="19"/>
          <w:color w:val="auto"/>
        </w:rPr>
        <w:t>“additional equity amounts” (of which there were none as of December 31, 2021), as described in footnote (8).</w:t>
      </w:r>
    </w:p>
    <w:p>
      <w:pPr>
        <w:spacing w:after="0" w:line="269" w:lineRule="exact"/>
        <w:rPr>
          <w:sz w:val="20"/>
          <w:szCs w:val="20"/>
          <w:color w:val="auto"/>
        </w:rPr>
      </w:pPr>
    </w:p>
    <w:p>
      <w:pPr>
        <w:ind w:left="5"/>
        <w:spacing w:after="0"/>
        <w:rPr>
          <w:sz w:val="20"/>
          <w:szCs w:val="20"/>
          <w:color w:val="auto"/>
        </w:rPr>
      </w:pPr>
      <w:r>
        <w:rPr>
          <w:rFonts w:ascii="Arial" w:cs="Arial" w:eastAsia="Arial" w:hAnsi="Arial"/>
          <w:sz w:val="19"/>
          <w:szCs w:val="19"/>
          <w:color w:val="auto"/>
        </w:rPr>
        <w:t>In the event of a termination due to disability, each executive would have received:</w:t>
      </w:r>
    </w:p>
    <w:p>
      <w:pPr>
        <w:spacing w:after="0" w:line="138" w:lineRule="exact"/>
        <w:rPr>
          <w:sz w:val="20"/>
          <w:szCs w:val="20"/>
          <w:color w:val="auto"/>
        </w:rPr>
      </w:pPr>
    </w:p>
    <w:p>
      <w:pPr>
        <w:ind w:left="145" w:hanging="145"/>
        <w:spacing w:after="0"/>
        <w:tabs>
          <w:tab w:leader="none" w:pos="145" w:val="left"/>
        </w:tabs>
        <w:numPr>
          <w:ilvl w:val="0"/>
          <w:numId w:val="126"/>
        </w:numPr>
        <w:rPr>
          <w:rFonts w:ascii="Arial" w:cs="Arial" w:eastAsia="Arial" w:hAnsi="Arial"/>
          <w:sz w:val="19"/>
          <w:szCs w:val="19"/>
          <w:color w:val="125288"/>
        </w:rPr>
      </w:pPr>
      <w:r>
        <w:rPr>
          <w:rFonts w:ascii="Arial" w:cs="Arial" w:eastAsia="Arial" w:hAnsi="Arial"/>
          <w:sz w:val="19"/>
          <w:szCs w:val="19"/>
          <w:color w:val="auto"/>
        </w:rPr>
        <w:t>any earned but unpaid bonuses for prior years (of which there were none as of December 31, 2021);</w:t>
      </w:r>
    </w:p>
    <w:p>
      <w:pPr>
        <w:spacing w:after="0" w:line="138"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126"/>
        </w:numPr>
        <w:rPr>
          <w:rFonts w:ascii="Arial" w:cs="Arial" w:eastAsia="Arial" w:hAnsi="Arial"/>
          <w:sz w:val="19"/>
          <w:szCs w:val="19"/>
          <w:color w:val="125288"/>
        </w:rPr>
      </w:pPr>
      <w:r>
        <w:rPr>
          <w:rFonts w:ascii="Arial" w:cs="Arial" w:eastAsia="Arial" w:hAnsi="Arial"/>
          <w:sz w:val="19"/>
          <w:szCs w:val="19"/>
          <w:color w:val="auto"/>
        </w:rPr>
        <w:t>a bonus under the CAIP for the year in which the termination occurred based on actual performance (of which there was none as of December 31, 2021), prorated to reflect the number of months worked during the year in which the termination occurs;</w:t>
      </w:r>
    </w:p>
    <w:p>
      <w:pPr>
        <w:spacing w:after="0" w:line="124" w:lineRule="exact"/>
        <w:rPr>
          <w:rFonts w:ascii="Arial" w:cs="Arial" w:eastAsia="Arial" w:hAnsi="Arial"/>
          <w:sz w:val="19"/>
          <w:szCs w:val="19"/>
          <w:color w:val="125288"/>
        </w:rPr>
      </w:pPr>
    </w:p>
    <w:p>
      <w:pPr>
        <w:jc w:val="both"/>
        <w:ind w:left="145" w:right="40" w:hanging="145"/>
        <w:spacing w:after="0"/>
        <w:tabs>
          <w:tab w:leader="none" w:pos="145" w:val="left"/>
        </w:tabs>
        <w:numPr>
          <w:ilvl w:val="0"/>
          <w:numId w:val="126"/>
        </w:numPr>
        <w:rPr>
          <w:rFonts w:ascii="Arial" w:cs="Arial" w:eastAsia="Arial" w:hAnsi="Arial"/>
          <w:sz w:val="19"/>
          <w:szCs w:val="19"/>
          <w:color w:val="125288"/>
        </w:rPr>
      </w:pPr>
      <w:r>
        <w:rPr>
          <w:rFonts w:ascii="Arial" w:cs="Arial" w:eastAsia="Arial" w:hAnsi="Arial"/>
          <w:sz w:val="19"/>
          <w:szCs w:val="19"/>
          <w:color w:val="auto"/>
        </w:rPr>
        <w:t>salary continuation through the expiration date of their employment agreement (at the rate in effect on their termination date), less any payments received or to which they became entitled under Company-provided long-term disability insurance (which payments, for purposes of this table, are assumed to be zero);</w:t>
      </w:r>
    </w:p>
    <w:p>
      <w:pPr>
        <w:spacing w:after="0" w:line="129" w:lineRule="exact"/>
        <w:rPr>
          <w:rFonts w:ascii="Arial" w:cs="Arial" w:eastAsia="Arial" w:hAnsi="Arial"/>
          <w:sz w:val="19"/>
          <w:szCs w:val="19"/>
          <w:color w:val="125288"/>
        </w:rPr>
      </w:pPr>
    </w:p>
    <w:p>
      <w:pPr>
        <w:ind w:left="145" w:hanging="145"/>
        <w:spacing w:after="0"/>
        <w:tabs>
          <w:tab w:leader="none" w:pos="145" w:val="left"/>
        </w:tabs>
        <w:numPr>
          <w:ilvl w:val="0"/>
          <w:numId w:val="126"/>
        </w:numPr>
        <w:rPr>
          <w:rFonts w:ascii="Arial" w:cs="Arial" w:eastAsia="Arial" w:hAnsi="Arial"/>
          <w:sz w:val="19"/>
          <w:szCs w:val="19"/>
          <w:color w:val="125288"/>
        </w:rPr>
      </w:pPr>
      <w:r>
        <w:rPr>
          <w:rFonts w:ascii="Arial" w:cs="Arial" w:eastAsia="Arial" w:hAnsi="Arial"/>
          <w:sz w:val="19"/>
          <w:szCs w:val="19"/>
          <w:color w:val="auto"/>
        </w:rPr>
        <w:t>“additional severance” (of which there was none as of December 31, 2021, except for Mr. Alegre), as described in footnote (6); and</w:t>
      </w:r>
    </w:p>
    <w:p>
      <w:pPr>
        <w:spacing w:after="0" w:line="138" w:lineRule="exact"/>
        <w:rPr>
          <w:rFonts w:ascii="Arial" w:cs="Arial" w:eastAsia="Arial" w:hAnsi="Arial"/>
          <w:sz w:val="19"/>
          <w:szCs w:val="19"/>
          <w:color w:val="125288"/>
        </w:rPr>
      </w:pPr>
    </w:p>
    <w:p>
      <w:pPr>
        <w:ind w:left="145" w:hanging="145"/>
        <w:spacing w:after="0"/>
        <w:tabs>
          <w:tab w:leader="none" w:pos="145" w:val="left"/>
        </w:tabs>
        <w:numPr>
          <w:ilvl w:val="0"/>
          <w:numId w:val="126"/>
        </w:numPr>
        <w:rPr>
          <w:rFonts w:ascii="Arial" w:cs="Arial" w:eastAsia="Arial" w:hAnsi="Arial"/>
          <w:sz w:val="19"/>
          <w:szCs w:val="19"/>
          <w:color w:val="125288"/>
        </w:rPr>
      </w:pPr>
      <w:r>
        <w:rPr>
          <w:rFonts w:ascii="Arial" w:cs="Arial" w:eastAsia="Arial" w:hAnsi="Arial"/>
          <w:sz w:val="19"/>
          <w:szCs w:val="19"/>
          <w:color w:val="auto"/>
        </w:rPr>
        <w:t>“additional equity amounts” (of which there were none as of December 31, 2021), as described in footnote (7).</w:t>
      </w:r>
    </w:p>
    <w:p>
      <w:pPr>
        <w:spacing w:after="0" w:line="186" w:lineRule="exact"/>
        <w:rPr>
          <w:sz w:val="20"/>
          <w:szCs w:val="20"/>
          <w:color w:val="auto"/>
        </w:rPr>
      </w:pPr>
    </w:p>
    <w:p>
      <w:pPr>
        <w:jc w:val="both"/>
        <w:ind w:left="5"/>
        <w:spacing w:after="0" w:line="236" w:lineRule="auto"/>
        <w:rPr>
          <w:sz w:val="20"/>
          <w:szCs w:val="20"/>
          <w:color w:val="auto"/>
        </w:rPr>
      </w:pPr>
      <w:r>
        <w:rPr>
          <w:rFonts w:ascii="Arial" w:cs="Arial" w:eastAsia="Arial" w:hAnsi="Arial"/>
          <w:sz w:val="19"/>
          <w:szCs w:val="19"/>
          <w:color w:val="auto"/>
        </w:rPr>
        <w:t>Notwithstanding the foregoing, the maximum value of the severance that any of Messrs. Zerza, Bulatao, or Dixton would have received in the event of a termination due to death or disability would not have exceeded the executive’s prior year’s target compensation, as determined by the Compensation Committee at its discretion, unless the target for AB Adjusted OI in our AOP for the year immediately preceding the year in which the termination occurred (i.e., 2020 for a termination as of December 31, 2021) was greater than or equal to the target for AB Adjusted OI in our AOP for the year in which the termination occurred (i.e., 2021 for a termination as of December 31, 2021), in which case our Chief Executive Officer may, at his discretion, increase this limit on the value of the executive’s severance. The limitation would not have had an impact on the amounts Mr. Zerza would have received, because the total amount of severance he would have received in the event of a termination due to death or disability on December 31, 2021, did not exceed his 2020 target compensation. For a termination due to death or disability as of December 31, 2021, neither Mr. Bulatao nor Mr. Dixton would have been entitled to any severance, because both were new to their roles in 2021 and they did not have target compensation for 2020 and, as the target for AB Adjusted OI in the Company’s 2020 AOP did not equal or exceed the target for AB Adjusted OI in our 2021 AOP, this limit on their severance was not subject to increase by our Chief Executive Officer.</w:t>
      </w:r>
    </w:p>
    <w:p>
      <w:pPr>
        <w:spacing w:after="0" w:line="263" w:lineRule="exact"/>
        <w:rPr>
          <w:sz w:val="20"/>
          <w:szCs w:val="20"/>
          <w:color w:val="auto"/>
        </w:rPr>
      </w:pPr>
    </w:p>
    <w:p>
      <w:pPr>
        <w:jc w:val="both"/>
        <w:ind w:left="5" w:right="20"/>
        <w:spacing w:after="0" w:line="245" w:lineRule="auto"/>
        <w:rPr>
          <w:sz w:val="20"/>
          <w:szCs w:val="20"/>
          <w:color w:val="auto"/>
        </w:rPr>
      </w:pPr>
      <w:r>
        <w:rPr>
          <w:rFonts w:ascii="Arial" w:cs="Arial" w:eastAsia="Arial" w:hAnsi="Arial"/>
          <w:sz w:val="19"/>
          <w:szCs w:val="19"/>
          <w:color w:val="auto"/>
        </w:rPr>
        <w:t>Except as described in footnote (7), all the executives’ unvested equity would have been forfeited and vested options would continue to be exercisable for one year.</w:t>
      </w:r>
    </w:p>
    <w:p>
      <w:pPr>
        <w:spacing w:after="0" w:line="256" w:lineRule="exact"/>
        <w:rPr>
          <w:sz w:val="20"/>
          <w:szCs w:val="20"/>
          <w:color w:val="auto"/>
        </w:rPr>
      </w:pPr>
    </w:p>
    <w:p>
      <w:pPr>
        <w:ind w:left="5"/>
        <w:spacing w:after="0"/>
        <w:rPr>
          <w:sz w:val="20"/>
          <w:szCs w:val="20"/>
          <w:color w:val="auto"/>
        </w:rPr>
      </w:pPr>
      <w:r>
        <w:rPr>
          <w:rFonts w:ascii="Arial" w:cs="Arial" w:eastAsia="Arial" w:hAnsi="Arial"/>
          <w:sz w:val="20"/>
          <w:szCs w:val="20"/>
          <w:color w:val="125288"/>
        </w:rPr>
        <w:t>(2) Termination for Cause</w:t>
      </w:r>
    </w:p>
    <w:p>
      <w:pPr>
        <w:spacing w:after="0" w:line="197" w:lineRule="exact"/>
        <w:rPr>
          <w:sz w:val="20"/>
          <w:szCs w:val="20"/>
          <w:color w:val="auto"/>
        </w:rPr>
      </w:pPr>
    </w:p>
    <w:p>
      <w:pPr>
        <w:jc w:val="both"/>
        <w:ind w:left="5"/>
        <w:spacing w:after="0" w:line="245" w:lineRule="auto"/>
        <w:rPr>
          <w:sz w:val="20"/>
          <w:szCs w:val="20"/>
          <w:color w:val="auto"/>
        </w:rPr>
      </w:pPr>
      <w:r>
        <w:rPr>
          <w:rFonts w:ascii="Arial" w:cs="Arial" w:eastAsia="Arial" w:hAnsi="Arial"/>
          <w:sz w:val="19"/>
          <w:szCs w:val="19"/>
          <w:color w:val="auto"/>
        </w:rPr>
        <w:t>None of Messrs. Zerza, Alegre, Bulatao, or Dixton would have received any payment in connection with their termination for cause, and all of their unvested equity and vested but unexercised options would have been forfeited.</w:t>
      </w:r>
    </w:p>
    <w:p>
      <w:pPr>
        <w:spacing w:after="0" w:line="255" w:lineRule="exact"/>
        <w:rPr>
          <w:sz w:val="20"/>
          <w:szCs w:val="20"/>
          <w:color w:val="auto"/>
        </w:rPr>
      </w:pPr>
    </w:p>
    <w:p>
      <w:pPr>
        <w:jc w:val="both"/>
        <w:ind w:left="5"/>
        <w:spacing w:after="0" w:line="238" w:lineRule="auto"/>
        <w:rPr>
          <w:sz w:val="20"/>
          <w:szCs w:val="20"/>
          <w:color w:val="auto"/>
        </w:rPr>
      </w:pPr>
      <w:r>
        <w:rPr>
          <w:rFonts w:ascii="Arial" w:cs="Arial" w:eastAsia="Arial" w:hAnsi="Arial"/>
          <w:sz w:val="19"/>
          <w:szCs w:val="19"/>
          <w:color w:val="auto"/>
        </w:rPr>
        <w:t>Under each of the Zerza Employment Agreement and the Dixton Employment Agreement, “cause” means: our reasonable and good-faith determination that the executive: (1) engaged in gross negligence in the performance of his duties or willfully and continuously failed or refused to perform any duties reasonably requested in the course of his employment; (2) engaged in fraud, dishonesty, or any other serious misconduct that caused, or has the potential to cause, harm to us or our subsidiaries, including our business or reputation; (3) materially violated any of our lawful</w:t>
      </w:r>
    </w:p>
    <w:p>
      <w:pPr>
        <w:spacing w:after="0" w:line="154" w:lineRule="exact"/>
        <w:rPr>
          <w:sz w:val="20"/>
          <w:szCs w:val="20"/>
          <w:color w:val="auto"/>
        </w:rPr>
      </w:pPr>
    </w:p>
    <w:p>
      <w:pPr>
        <w:ind w:left="5"/>
        <w:spacing w:after="0"/>
        <w:tabs>
          <w:tab w:leader="none" w:pos="7364" w:val="left"/>
          <w:tab w:leader="none" w:pos="9384" w:val="left"/>
          <w:tab w:leader="none" w:pos="1100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bookmarkStart w:id="126" w:name="page127"/>
    <w:bookmarkEnd w:id="126"/>
    <w:p>
      <w:pPr>
        <w:ind w:left="5"/>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35" w:lineRule="exact"/>
        <w:rPr>
          <w:sz w:val="20"/>
          <w:szCs w:val="20"/>
          <w:color w:val="auto"/>
        </w:rPr>
      </w:pPr>
    </w:p>
    <w:p>
      <w:pPr>
        <w:jc w:val="both"/>
        <w:ind w:left="5" w:right="20"/>
        <w:spacing w:after="0" w:line="235" w:lineRule="auto"/>
        <w:rPr>
          <w:sz w:val="20"/>
          <w:szCs w:val="20"/>
          <w:color w:val="auto"/>
        </w:rPr>
      </w:pPr>
      <w:r>
        <w:rPr>
          <w:rFonts w:ascii="Arial" w:cs="Arial" w:eastAsia="Arial" w:hAnsi="Arial"/>
          <w:sz w:val="19"/>
          <w:szCs w:val="19"/>
          <w:color w:val="auto"/>
        </w:rPr>
        <w:t>directives or policies, any such directives or policies of our subsidiaries, or any applicable laws, rules, or regulations in connection with the performance of his duties; (4) materially breached his employment agreement or any other agreement with us or our subsidiaries; (5) materially breached any proprietary information agreement or confidentiality agreement with us or our subsidiaries;</w:t>
      </w:r>
    </w:p>
    <w:p>
      <w:pPr>
        <w:ind w:left="5" w:right="20" w:hanging="5"/>
        <w:spacing w:after="0" w:line="245" w:lineRule="auto"/>
        <w:tabs>
          <w:tab w:leader="none" w:pos="298" w:val="left"/>
        </w:tabs>
        <w:numPr>
          <w:ilvl w:val="0"/>
          <w:numId w:val="127"/>
        </w:numPr>
        <w:rPr>
          <w:rFonts w:ascii="Arial" w:cs="Arial" w:eastAsia="Arial" w:hAnsi="Arial"/>
          <w:sz w:val="19"/>
          <w:szCs w:val="19"/>
          <w:color w:val="auto"/>
        </w:rPr>
      </w:pPr>
      <w:r>
        <w:rPr>
          <w:rFonts w:ascii="Arial" w:cs="Arial" w:eastAsia="Arial" w:hAnsi="Arial"/>
          <w:sz w:val="19"/>
          <w:szCs w:val="19"/>
          <w:color w:val="auto"/>
        </w:rPr>
        <w:t>was convicted of, or pled guilty or no contest to, a felony or crime involving dishonesty or moral turpitude; (7) materially breached his fiduciary duties to us or our subsidiaries; or (8) may not lawfully work for us at his assigned principal place of business.</w:t>
      </w:r>
    </w:p>
    <w:p>
      <w:pPr>
        <w:spacing w:after="0" w:line="255" w:lineRule="exact"/>
        <w:rPr>
          <w:sz w:val="20"/>
          <w:szCs w:val="20"/>
          <w:color w:val="auto"/>
        </w:rPr>
      </w:pPr>
    </w:p>
    <w:p>
      <w:pPr>
        <w:jc w:val="both"/>
        <w:ind w:left="5"/>
        <w:spacing w:after="0" w:line="236" w:lineRule="auto"/>
        <w:rPr>
          <w:sz w:val="20"/>
          <w:szCs w:val="20"/>
          <w:color w:val="auto"/>
        </w:rPr>
      </w:pPr>
      <w:r>
        <w:rPr>
          <w:rFonts w:ascii="Arial" w:cs="Arial" w:eastAsia="Arial" w:hAnsi="Arial"/>
          <w:sz w:val="19"/>
          <w:szCs w:val="19"/>
          <w:color w:val="auto"/>
        </w:rPr>
        <w:t>Under the Alegre Employment Agreement, “cause” means: our reasonable and good-faith determination that the executive: (1) engaged in gross negligence in the performance of his duties or willfully and continuously failed or refused to perform any duties reasonably requested in the course of his employment; (2) engaged in fraud, dishonesty, or any other serious misconduct that caused, or has the potential to cause, harm to us or our subsidiaries, including our business or reputation; (3) materially violated any of our lawful directives or policies, any such directives or policies of our subsidiaries, or any applicable laws, rules, or regulations in connection with the performance of his duties; (4) materially breached his employment agreement; (5) materially breached any proprietary information agreement or confidentiality agreement with us or our subsidiaries; (6) was convicted of, or pled guilty or no contest to, a felony or crime involving dishonesty or moral turpitude; or (7) materially breached his fiduciary duties to us or our subsidiaries.</w:t>
      </w:r>
    </w:p>
    <w:p>
      <w:pPr>
        <w:spacing w:after="0" w:line="266" w:lineRule="exact"/>
        <w:rPr>
          <w:sz w:val="20"/>
          <w:szCs w:val="20"/>
          <w:color w:val="auto"/>
        </w:rPr>
      </w:pPr>
    </w:p>
    <w:p>
      <w:pPr>
        <w:jc w:val="both"/>
        <w:ind w:left="5"/>
        <w:spacing w:after="0" w:line="236" w:lineRule="auto"/>
        <w:rPr>
          <w:sz w:val="20"/>
          <w:szCs w:val="20"/>
          <w:color w:val="auto"/>
        </w:rPr>
      </w:pPr>
      <w:r>
        <w:rPr>
          <w:rFonts w:ascii="Arial" w:cs="Arial" w:eastAsia="Arial" w:hAnsi="Arial"/>
          <w:sz w:val="19"/>
          <w:szCs w:val="19"/>
          <w:color w:val="auto"/>
        </w:rPr>
        <w:t>Under the Bulatao Employment Agreement, “cause” means: our reasonable and good-faith determination that the executive: (1) engaged in gross negligence in the performance of his duties or willfully and continuously failed or refused to perform any duties reasonably requested in the course of his employment; (2) engaged in fraud, dishonesty, or any other serious misconduct that caused, or has the potential to cause, harm to us, including our business or reputation; (3) materially violated any of our lawful directives or policies, any such directives or policies of our subsidiaries, or any applicable laws, rules, or regulations in connection with the performance of his duties; (4) materially breached his employment agreement; (5) materially breached any proprietary information agreement or confidentiality agreement with us; (6) was convicted of, or pled guilty or no contest to, a felony or crime involving dishonesty or moral turpitude; or (7) materially breached his fiduciary duties to us or our subsidiaries.</w:t>
      </w:r>
    </w:p>
    <w:p>
      <w:pPr>
        <w:spacing w:after="0" w:line="268" w:lineRule="exact"/>
        <w:rPr>
          <w:sz w:val="20"/>
          <w:szCs w:val="20"/>
          <w:color w:val="auto"/>
        </w:rPr>
      </w:pPr>
    </w:p>
    <w:p>
      <w:pPr>
        <w:ind w:left="5"/>
        <w:spacing w:after="0"/>
        <w:rPr>
          <w:sz w:val="20"/>
          <w:szCs w:val="20"/>
          <w:color w:val="auto"/>
        </w:rPr>
      </w:pPr>
      <w:r>
        <w:rPr>
          <w:rFonts w:ascii="Arial" w:cs="Arial" w:eastAsia="Arial" w:hAnsi="Arial"/>
          <w:sz w:val="20"/>
          <w:szCs w:val="20"/>
          <w:color w:val="125288"/>
        </w:rPr>
        <w:t>(3) Termination Without Cause or for Good Reason</w:t>
      </w:r>
    </w:p>
    <w:p>
      <w:pPr>
        <w:spacing w:after="0" w:line="149" w:lineRule="exact"/>
        <w:rPr>
          <w:sz w:val="20"/>
          <w:szCs w:val="20"/>
          <w:color w:val="auto"/>
        </w:rPr>
      </w:pPr>
    </w:p>
    <w:p>
      <w:pPr>
        <w:jc w:val="both"/>
        <w:ind w:left="5" w:right="20"/>
        <w:spacing w:after="0" w:line="245" w:lineRule="auto"/>
        <w:rPr>
          <w:sz w:val="20"/>
          <w:szCs w:val="20"/>
          <w:color w:val="auto"/>
        </w:rPr>
      </w:pPr>
      <w:r>
        <w:rPr>
          <w:rFonts w:ascii="Arial" w:cs="Arial" w:eastAsia="Arial" w:hAnsi="Arial"/>
          <w:sz w:val="19"/>
          <w:szCs w:val="19"/>
          <w:color w:val="auto"/>
        </w:rPr>
        <w:t>Upon a termination by us without cause or by him for good reason, each of Messrs. Zerza, Alegre, Bulatao, and Dixton would have received:</w:t>
      </w:r>
    </w:p>
    <w:p>
      <w:pPr>
        <w:spacing w:after="0" w:line="125" w:lineRule="exact"/>
        <w:rPr>
          <w:sz w:val="20"/>
          <w:szCs w:val="20"/>
          <w:color w:val="auto"/>
        </w:rPr>
      </w:pPr>
    </w:p>
    <w:p>
      <w:pPr>
        <w:ind w:left="145" w:hanging="145"/>
        <w:spacing w:after="0"/>
        <w:tabs>
          <w:tab w:leader="none" w:pos="145" w:val="left"/>
        </w:tabs>
        <w:numPr>
          <w:ilvl w:val="0"/>
          <w:numId w:val="128"/>
        </w:numPr>
        <w:rPr>
          <w:rFonts w:ascii="Arial" w:cs="Arial" w:eastAsia="Arial" w:hAnsi="Arial"/>
          <w:sz w:val="19"/>
          <w:szCs w:val="19"/>
          <w:color w:val="125288"/>
        </w:rPr>
      </w:pPr>
      <w:r>
        <w:rPr>
          <w:rFonts w:ascii="Arial" w:cs="Arial" w:eastAsia="Arial" w:hAnsi="Arial"/>
          <w:sz w:val="19"/>
          <w:szCs w:val="19"/>
          <w:color w:val="auto"/>
        </w:rPr>
        <w:t>any earned but unpaid bonuses for prior years (of which there were none as of December 31, 2021);</w:t>
      </w:r>
    </w:p>
    <w:p>
      <w:pPr>
        <w:spacing w:after="0" w:line="138"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128"/>
        </w:numPr>
        <w:rPr>
          <w:rFonts w:ascii="Arial" w:cs="Arial" w:eastAsia="Arial" w:hAnsi="Arial"/>
          <w:sz w:val="19"/>
          <w:szCs w:val="19"/>
          <w:color w:val="125288"/>
        </w:rPr>
      </w:pPr>
      <w:r>
        <w:rPr>
          <w:rFonts w:ascii="Arial" w:cs="Arial" w:eastAsia="Arial" w:hAnsi="Arial"/>
          <w:sz w:val="19"/>
          <w:szCs w:val="19"/>
          <w:color w:val="auto"/>
        </w:rPr>
        <w:t>a bonus under the CAIP for the year in which the termination occurred based on actual performance (of which there was none as of December 31, 2021), prorated to reflect the number of months worked during the year in which the termination occurs;</w:t>
      </w:r>
    </w:p>
    <w:p>
      <w:pPr>
        <w:spacing w:after="0" w:line="124" w:lineRule="exact"/>
        <w:rPr>
          <w:rFonts w:ascii="Arial" w:cs="Arial" w:eastAsia="Arial" w:hAnsi="Arial"/>
          <w:sz w:val="19"/>
          <w:szCs w:val="19"/>
          <w:color w:val="125288"/>
        </w:rPr>
      </w:pPr>
    </w:p>
    <w:p>
      <w:pPr>
        <w:ind w:left="145" w:hanging="145"/>
        <w:spacing w:after="0"/>
        <w:tabs>
          <w:tab w:leader="none" w:pos="145" w:val="left"/>
        </w:tabs>
        <w:numPr>
          <w:ilvl w:val="0"/>
          <w:numId w:val="128"/>
        </w:numPr>
        <w:rPr>
          <w:rFonts w:ascii="Arial" w:cs="Arial" w:eastAsia="Arial" w:hAnsi="Arial"/>
          <w:sz w:val="19"/>
          <w:szCs w:val="19"/>
          <w:color w:val="125288"/>
        </w:rPr>
      </w:pPr>
      <w:r>
        <w:rPr>
          <w:rFonts w:ascii="Arial" w:cs="Arial" w:eastAsia="Arial" w:hAnsi="Arial"/>
          <w:sz w:val="19"/>
          <w:szCs w:val="19"/>
          <w:color w:val="auto"/>
        </w:rPr>
        <w:t>salary continuation through the expiration date of their employment agreement (at the rate in effect on their termination date);</w:t>
      </w:r>
    </w:p>
    <w:p>
      <w:pPr>
        <w:spacing w:after="0" w:line="138" w:lineRule="exact"/>
        <w:rPr>
          <w:rFonts w:ascii="Arial" w:cs="Arial" w:eastAsia="Arial" w:hAnsi="Arial"/>
          <w:sz w:val="19"/>
          <w:szCs w:val="19"/>
          <w:color w:val="125288"/>
        </w:rPr>
      </w:pPr>
    </w:p>
    <w:p>
      <w:pPr>
        <w:ind w:left="145" w:hanging="145"/>
        <w:spacing w:after="0"/>
        <w:tabs>
          <w:tab w:leader="none" w:pos="145" w:val="left"/>
        </w:tabs>
        <w:numPr>
          <w:ilvl w:val="0"/>
          <w:numId w:val="128"/>
        </w:numPr>
        <w:rPr>
          <w:rFonts w:ascii="Arial" w:cs="Arial" w:eastAsia="Arial" w:hAnsi="Arial"/>
          <w:sz w:val="19"/>
          <w:szCs w:val="19"/>
          <w:color w:val="125288"/>
        </w:rPr>
      </w:pPr>
      <w:r>
        <w:rPr>
          <w:rFonts w:ascii="Arial" w:cs="Arial" w:eastAsia="Arial" w:hAnsi="Arial"/>
          <w:sz w:val="19"/>
          <w:szCs w:val="19"/>
          <w:color w:val="auto"/>
        </w:rPr>
        <w:t>“additional severance” (of which there was none as of December 31, 2021, except for Mr. Alegre), as described in footnote (6); and</w:t>
      </w:r>
    </w:p>
    <w:p>
      <w:pPr>
        <w:spacing w:after="0" w:line="138" w:lineRule="exact"/>
        <w:rPr>
          <w:rFonts w:ascii="Arial" w:cs="Arial" w:eastAsia="Arial" w:hAnsi="Arial"/>
          <w:sz w:val="19"/>
          <w:szCs w:val="19"/>
          <w:color w:val="125288"/>
        </w:rPr>
      </w:pPr>
    </w:p>
    <w:p>
      <w:pPr>
        <w:ind w:left="145" w:hanging="145"/>
        <w:spacing w:after="0"/>
        <w:tabs>
          <w:tab w:leader="none" w:pos="145" w:val="left"/>
        </w:tabs>
        <w:numPr>
          <w:ilvl w:val="0"/>
          <w:numId w:val="128"/>
        </w:numPr>
        <w:rPr>
          <w:rFonts w:ascii="Arial" w:cs="Arial" w:eastAsia="Arial" w:hAnsi="Arial"/>
          <w:sz w:val="19"/>
          <w:szCs w:val="19"/>
          <w:color w:val="125288"/>
        </w:rPr>
      </w:pPr>
      <w:r>
        <w:rPr>
          <w:rFonts w:ascii="Arial" w:cs="Arial" w:eastAsia="Arial" w:hAnsi="Arial"/>
          <w:sz w:val="19"/>
          <w:szCs w:val="19"/>
          <w:color w:val="auto"/>
        </w:rPr>
        <w:t>“additional equity amounts” (of which there were none as of December 31, 2021), as described in footnote (7).</w:t>
      </w:r>
    </w:p>
    <w:p>
      <w:pPr>
        <w:spacing w:after="0" w:line="269" w:lineRule="exact"/>
        <w:rPr>
          <w:sz w:val="20"/>
          <w:szCs w:val="20"/>
          <w:color w:val="auto"/>
        </w:rPr>
      </w:pPr>
    </w:p>
    <w:p>
      <w:pPr>
        <w:jc w:val="both"/>
        <w:ind w:left="5"/>
        <w:spacing w:after="0" w:line="236" w:lineRule="auto"/>
        <w:rPr>
          <w:sz w:val="20"/>
          <w:szCs w:val="20"/>
          <w:color w:val="auto"/>
        </w:rPr>
      </w:pPr>
      <w:r>
        <w:rPr>
          <w:rFonts w:ascii="Arial" w:cs="Arial" w:eastAsia="Arial" w:hAnsi="Arial"/>
          <w:sz w:val="19"/>
          <w:szCs w:val="19"/>
          <w:color w:val="auto"/>
        </w:rPr>
        <w:t>Notwithstanding the foregoing, the maximum value of the severance that any of Messrs. Zerza, Bulatao, or Dixton would have received in the event of a termination by us without cause or by the executive for good reason would not have exceeded the executive’s prior year’s target compensation, as determined by the Compensation Committee at its discretion, unless the target for AB Adjusted OI in our AOP for the year immediately preceding the year in which the termination occurred (i.e., 2020 for a termination as of December 31, 2021) was greater than or equal to the target for AB Adjusted OI in our AOP for the year in which the termination occurred (i.e., 2021 for a termination as of December 31, 2021), in which case our Chief Executive Officer may, at his discretion, increase this limit on the value of the executive’s severance. The limitation would not have had an impact on the amounts Mr. Zerza would have received, because the total amount of severance he would have received in the event of a termination by us without cause or by him for good reason on December 31, 2021, did not exceed his 2020 target compensation. For a termination by us without cause, or by the executive for good reason as of December 31, 2021, neither Mr. Bulatao nor Mr. Dixton would have been entitled to any severance, because both were new to their roles in 2021 and they did not have target compensation for 2020 and, as the target for AB Adjusted OI in the Company’s 2020 AOP did not equal or exceed the target for AB Adjusted OI in our 2021 AOP, this limit on their severance was not subject to increase by our Chief Executive Officer.</w:t>
      </w:r>
    </w:p>
    <w:p>
      <w:pPr>
        <w:spacing w:after="0" w:line="252" w:lineRule="exact"/>
        <w:rPr>
          <w:sz w:val="20"/>
          <w:szCs w:val="20"/>
          <w:color w:val="auto"/>
        </w:rPr>
      </w:pPr>
    </w:p>
    <w:p>
      <w:pPr>
        <w:ind w:left="5"/>
        <w:spacing w:after="0"/>
        <w:tabs>
          <w:tab w:leader="none" w:pos="7364" w:val="left"/>
          <w:tab w:leader="none" w:pos="9384" w:val="left"/>
          <w:tab w:leader="none" w:pos="1100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bookmarkStart w:id="127" w:name="page128"/>
    <w:bookmarkEnd w:id="127"/>
    <w:p>
      <w:pPr>
        <w:ind w:left="5"/>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35" w:lineRule="exact"/>
        <w:rPr>
          <w:sz w:val="20"/>
          <w:szCs w:val="20"/>
          <w:color w:val="auto"/>
        </w:rPr>
      </w:pPr>
    </w:p>
    <w:p>
      <w:pPr>
        <w:jc w:val="both"/>
        <w:ind w:left="5" w:right="20"/>
        <w:spacing w:after="0" w:line="245" w:lineRule="auto"/>
        <w:rPr>
          <w:sz w:val="20"/>
          <w:szCs w:val="20"/>
          <w:color w:val="auto"/>
        </w:rPr>
      </w:pPr>
      <w:r>
        <w:rPr>
          <w:rFonts w:ascii="Arial" w:cs="Arial" w:eastAsia="Arial" w:hAnsi="Arial"/>
          <w:sz w:val="19"/>
          <w:szCs w:val="19"/>
          <w:color w:val="auto"/>
        </w:rPr>
        <w:t>Except as described in footnote (7), all the executives’ unvested equity would have been forfeited and vested options would continue to be exercisable for 90 days.</w:t>
      </w:r>
    </w:p>
    <w:p>
      <w:pPr>
        <w:spacing w:after="0" w:line="160" w:lineRule="exact"/>
        <w:rPr>
          <w:sz w:val="20"/>
          <w:szCs w:val="20"/>
          <w:color w:val="auto"/>
        </w:rPr>
      </w:pPr>
    </w:p>
    <w:p>
      <w:pPr>
        <w:jc w:val="both"/>
        <w:ind w:left="5"/>
        <w:spacing w:after="0" w:line="236" w:lineRule="auto"/>
        <w:rPr>
          <w:sz w:val="20"/>
          <w:szCs w:val="20"/>
          <w:color w:val="auto"/>
        </w:rPr>
      </w:pPr>
      <w:r>
        <w:rPr>
          <w:rFonts w:ascii="Arial" w:cs="Arial" w:eastAsia="Arial" w:hAnsi="Arial"/>
          <w:sz w:val="19"/>
          <w:szCs w:val="19"/>
          <w:color w:val="auto"/>
        </w:rPr>
        <w:t>Under each of the Zerza Employment Agreement, Alegre Employment Agreement, and Dixton Employment Agreement, subject to certain advance notice requirements and our right to cure, “good reason” means a relocation of the executive’s principal place of business to a location more than 50 miles from our current headquarters in Santa Monica, CA that materially and adversely affects the executive’s commute. Under the Bulatao Employment Agreement, subject to certain advance notice requirements and our right to cure, if and when Mr. Bulatao relocates from Texas to within 50 miles of our current headquarters in Santa Monica, CA, “good reason” means our subsequent relocation of Mr. Bulatao’s principal place of business to a location more than 50 miles from our headquarters that materially and adversely affects the executive’s commute. Unless and until Mr. Bulatao relocates to the Los Angeles area, he will not be entitled to the severance payments payable in connection with the termination of his employment for such for “good reason.”</w:t>
      </w:r>
    </w:p>
    <w:p>
      <w:pPr>
        <w:spacing w:after="0" w:line="267" w:lineRule="exact"/>
        <w:rPr>
          <w:sz w:val="20"/>
          <w:szCs w:val="20"/>
          <w:color w:val="auto"/>
        </w:rPr>
      </w:pPr>
    </w:p>
    <w:p>
      <w:pPr>
        <w:jc w:val="both"/>
        <w:ind w:left="5" w:right="20"/>
        <w:spacing w:after="0"/>
        <w:rPr>
          <w:sz w:val="20"/>
          <w:szCs w:val="20"/>
          <w:color w:val="auto"/>
        </w:rPr>
      </w:pPr>
      <w:r>
        <w:rPr>
          <w:rFonts w:ascii="Arial" w:cs="Arial" w:eastAsia="Arial" w:hAnsi="Arial"/>
          <w:sz w:val="19"/>
          <w:szCs w:val="19"/>
          <w:color w:val="auto"/>
        </w:rPr>
        <w:t>Pursuant to the terms of each employment agreement, these payments and benefits would have ceased if the executive breached the post-termination provisions of their employment agreement. Please see “—Employment Agreements” above for a description of those obligations.</w:t>
      </w:r>
    </w:p>
    <w:p>
      <w:pPr>
        <w:spacing w:after="0" w:line="260" w:lineRule="exact"/>
        <w:rPr>
          <w:sz w:val="20"/>
          <w:szCs w:val="20"/>
          <w:color w:val="auto"/>
        </w:rPr>
      </w:pPr>
    </w:p>
    <w:p>
      <w:pPr>
        <w:jc w:val="both"/>
        <w:ind w:left="5" w:right="20"/>
        <w:spacing w:after="0" w:line="237" w:lineRule="auto"/>
        <w:rPr>
          <w:sz w:val="20"/>
          <w:szCs w:val="20"/>
          <w:color w:val="auto"/>
        </w:rPr>
      </w:pPr>
      <w:r>
        <w:rPr>
          <w:rFonts w:ascii="Arial" w:cs="Arial" w:eastAsia="Arial" w:hAnsi="Arial"/>
          <w:sz w:val="19"/>
          <w:szCs w:val="19"/>
          <w:color w:val="auto"/>
        </w:rPr>
        <w:t>In addition, if Mr. Zerza or Mr. Dixton obtained any subsequent employment, any severance payable to them would have ceased. If Mr. Alegre obtained any subsequent employment, any severance payable to him would have been offset by the amount of his base compensation from his then-current employer (which payments, for the purposes of this table, are assumed to be zero). If Mr. Bulatao obtained any subsequent employment, any severance payable to him would have been offset by the amount of his income from his then-current employer (which payments, for the purposes of this table, are assumed to be zero), if approved by our Chief Executive Officer, or would have ceased completely if not so approved.</w:t>
      </w:r>
    </w:p>
    <w:p>
      <w:pPr>
        <w:spacing w:after="0" w:line="264" w:lineRule="exact"/>
        <w:rPr>
          <w:sz w:val="20"/>
          <w:szCs w:val="20"/>
          <w:color w:val="auto"/>
        </w:rPr>
      </w:pPr>
    </w:p>
    <w:p>
      <w:pPr>
        <w:ind w:left="5"/>
        <w:spacing w:after="0"/>
        <w:rPr>
          <w:sz w:val="20"/>
          <w:szCs w:val="20"/>
          <w:color w:val="auto"/>
        </w:rPr>
      </w:pPr>
      <w:r>
        <w:rPr>
          <w:rFonts w:ascii="Arial" w:cs="Arial" w:eastAsia="Arial" w:hAnsi="Arial"/>
          <w:sz w:val="20"/>
          <w:szCs w:val="20"/>
          <w:color w:val="125288"/>
        </w:rPr>
        <w:t>(4) Termination Without Cause or for Good Reason following a Change of Control</w:t>
      </w:r>
    </w:p>
    <w:p>
      <w:pPr>
        <w:spacing w:after="0" w:line="149" w:lineRule="exact"/>
        <w:rPr>
          <w:sz w:val="20"/>
          <w:szCs w:val="20"/>
          <w:color w:val="auto"/>
        </w:rPr>
      </w:pPr>
    </w:p>
    <w:p>
      <w:pPr>
        <w:jc w:val="both"/>
        <w:ind w:left="5" w:right="20"/>
        <w:spacing w:after="0" w:line="238" w:lineRule="auto"/>
        <w:rPr>
          <w:sz w:val="20"/>
          <w:szCs w:val="20"/>
          <w:color w:val="auto"/>
        </w:rPr>
      </w:pPr>
      <w:r>
        <w:rPr>
          <w:rFonts w:ascii="Arial" w:cs="Arial" w:eastAsia="Arial" w:hAnsi="Arial"/>
          <w:sz w:val="19"/>
          <w:szCs w:val="19"/>
          <w:color w:val="auto"/>
        </w:rPr>
        <w:t>None of Messrs. Zerza, Alegre, Bulatao, or Dixton would have received any enhanced payments or benefits in the event of a change of control on December 31, 2021, regardless of whether they were terminated thereafter. However, to the extent that any payments or benefits would have constituted a “parachute payment” within the meaning of Section 280G of the Code and would have been subject to the excise tax imposed by Section 4999 of the Code, then the payments would have been made in the amount that would have resulted in the executive receiving the greatest amount on an after-tax basis.</w:t>
      </w:r>
    </w:p>
    <w:p>
      <w:pPr>
        <w:spacing w:after="0" w:line="261" w:lineRule="exact"/>
        <w:rPr>
          <w:sz w:val="20"/>
          <w:szCs w:val="20"/>
          <w:color w:val="auto"/>
        </w:rPr>
      </w:pPr>
    </w:p>
    <w:p>
      <w:pPr>
        <w:ind w:left="5"/>
        <w:spacing w:after="0"/>
        <w:rPr>
          <w:sz w:val="20"/>
          <w:szCs w:val="20"/>
          <w:color w:val="auto"/>
        </w:rPr>
      </w:pPr>
      <w:r>
        <w:rPr>
          <w:rFonts w:ascii="Arial" w:cs="Arial" w:eastAsia="Arial" w:hAnsi="Arial"/>
          <w:sz w:val="20"/>
          <w:szCs w:val="20"/>
          <w:color w:val="125288"/>
        </w:rPr>
        <w:t>(5) Lump-Sum Bonus-Based Severance</w:t>
      </w:r>
    </w:p>
    <w:p>
      <w:pPr>
        <w:spacing w:after="0" w:line="149" w:lineRule="exact"/>
        <w:rPr>
          <w:sz w:val="20"/>
          <w:szCs w:val="20"/>
          <w:color w:val="auto"/>
        </w:rPr>
      </w:pPr>
    </w:p>
    <w:p>
      <w:pPr>
        <w:jc w:val="both"/>
        <w:ind w:left="5" w:right="20"/>
        <w:spacing w:after="0"/>
        <w:rPr>
          <w:sz w:val="20"/>
          <w:szCs w:val="20"/>
          <w:color w:val="auto"/>
        </w:rPr>
      </w:pPr>
      <w:r>
        <w:rPr>
          <w:rFonts w:ascii="Arial" w:cs="Arial" w:eastAsia="Arial" w:hAnsi="Arial"/>
          <w:sz w:val="19"/>
          <w:szCs w:val="19"/>
          <w:color w:val="auto"/>
        </w:rPr>
        <w:t>The amounts shown in the table represent the pro rata bonus for the year in which the termination occurred. These amounts have already been disclosed in the Summary Compensation Table. The executives are not entitled to a bonus with respect to the year of termination of employment in connection with a termination for cause.</w:t>
      </w:r>
    </w:p>
    <w:p>
      <w:pPr>
        <w:spacing w:after="0" w:line="261" w:lineRule="exact"/>
        <w:rPr>
          <w:sz w:val="20"/>
          <w:szCs w:val="20"/>
          <w:color w:val="auto"/>
        </w:rPr>
      </w:pPr>
    </w:p>
    <w:p>
      <w:pPr>
        <w:ind w:left="5"/>
        <w:spacing w:after="0"/>
        <w:rPr>
          <w:sz w:val="20"/>
          <w:szCs w:val="20"/>
          <w:color w:val="auto"/>
        </w:rPr>
      </w:pPr>
      <w:r>
        <w:rPr>
          <w:rFonts w:ascii="Arial" w:cs="Arial" w:eastAsia="Arial" w:hAnsi="Arial"/>
          <w:sz w:val="20"/>
          <w:szCs w:val="20"/>
          <w:color w:val="125288"/>
        </w:rPr>
        <w:t>(6) Additional Severance</w:t>
      </w:r>
    </w:p>
    <w:p>
      <w:pPr>
        <w:spacing w:after="0" w:line="149" w:lineRule="exact"/>
        <w:rPr>
          <w:sz w:val="20"/>
          <w:szCs w:val="20"/>
          <w:color w:val="auto"/>
        </w:rPr>
      </w:pPr>
    </w:p>
    <w:p>
      <w:pPr>
        <w:jc w:val="both"/>
        <w:ind w:left="5" w:right="20"/>
        <w:spacing w:after="0" w:line="245" w:lineRule="auto"/>
        <w:rPr>
          <w:sz w:val="20"/>
          <w:szCs w:val="20"/>
          <w:color w:val="auto"/>
        </w:rPr>
      </w:pPr>
      <w:r>
        <w:rPr>
          <w:rFonts w:ascii="Arial" w:cs="Arial" w:eastAsia="Arial" w:hAnsi="Arial"/>
          <w:sz w:val="19"/>
          <w:szCs w:val="19"/>
          <w:color w:val="auto"/>
        </w:rPr>
        <w:t>If any of Messrs. Zerza, Alegre, Bulatao, or Dixton had been terminated due to death or disability, by us without cause, or by the executive for good reason, the executive would have been eligible for additional severance, payable in a lump sum, as follows:</w:t>
      </w:r>
    </w:p>
    <w:p>
      <w:pPr>
        <w:spacing w:after="0" w:line="125" w:lineRule="exact"/>
        <w:rPr>
          <w:sz w:val="20"/>
          <w:szCs w:val="20"/>
          <w:color w:val="auto"/>
        </w:rPr>
      </w:pPr>
    </w:p>
    <w:p>
      <w:pPr>
        <w:jc w:val="both"/>
        <w:ind w:left="145" w:right="40" w:hanging="145"/>
        <w:spacing w:after="0" w:line="238" w:lineRule="auto"/>
        <w:tabs>
          <w:tab w:leader="none" w:pos="145" w:val="left"/>
        </w:tabs>
        <w:numPr>
          <w:ilvl w:val="0"/>
          <w:numId w:val="129"/>
        </w:numPr>
        <w:rPr>
          <w:rFonts w:ascii="Arial" w:cs="Arial" w:eastAsia="Arial" w:hAnsi="Arial"/>
          <w:sz w:val="19"/>
          <w:szCs w:val="19"/>
          <w:color w:val="125288"/>
        </w:rPr>
      </w:pPr>
      <w:r>
        <w:rPr>
          <w:rFonts w:ascii="Arial" w:cs="Arial" w:eastAsia="Arial" w:hAnsi="Arial"/>
          <w:sz w:val="19"/>
          <w:szCs w:val="19"/>
          <w:color w:val="auto"/>
        </w:rPr>
        <w:t>Mr. Zerza: If such termination occurs after the end of 2021 (but before March 31, 2022), after the end of 2022 (but before March 31, 2023), or after the end of 2023 (but before March 31, 2024), and AB Adjusted OI for the applicable year (i.e., 2021, 2022, or 2023) is 90% or more of the target set forth in our AOP for such year, Mr. Zerza would receive a payment of $950,000 (which amounts are not cumulative).</w:t>
      </w:r>
    </w:p>
    <w:p>
      <w:pPr>
        <w:spacing w:after="0" w:line="131" w:lineRule="exact"/>
        <w:rPr>
          <w:rFonts w:ascii="Arial" w:cs="Arial" w:eastAsia="Arial" w:hAnsi="Arial"/>
          <w:sz w:val="19"/>
          <w:szCs w:val="19"/>
          <w:color w:val="125288"/>
        </w:rPr>
      </w:pPr>
    </w:p>
    <w:p>
      <w:pPr>
        <w:jc w:val="both"/>
        <w:ind w:left="145" w:right="40" w:hanging="145"/>
        <w:spacing w:after="0" w:line="238" w:lineRule="auto"/>
        <w:tabs>
          <w:tab w:leader="none" w:pos="145" w:val="left"/>
        </w:tabs>
        <w:numPr>
          <w:ilvl w:val="0"/>
          <w:numId w:val="129"/>
        </w:numPr>
        <w:rPr>
          <w:rFonts w:ascii="Arial" w:cs="Arial" w:eastAsia="Arial" w:hAnsi="Arial"/>
          <w:sz w:val="19"/>
          <w:szCs w:val="19"/>
          <w:color w:val="125288"/>
        </w:rPr>
      </w:pPr>
      <w:r>
        <w:rPr>
          <w:rFonts w:ascii="Arial" w:cs="Arial" w:eastAsia="Arial" w:hAnsi="Arial"/>
          <w:sz w:val="19"/>
          <w:szCs w:val="19"/>
          <w:color w:val="auto"/>
        </w:rPr>
        <w:t>Mr. Alegre: If such termination occurs after the end of 2020 (but before March 30, 2022) or after the end of 2022 (but before March 30, 2023), and AB Adjusted OI for the applicable year(s) (i.e., 2020 and 2021, on the one hand, or 2022) is 90% or more of the target set forth in our AOP for such year(s), Mr. Alegre would receive a payment of $1,667,667 (which amounts are cumulative to the extent the underlying conditions are met, so that a termination before March 30, 2022, could result in payment of $3,335,334).</w:t>
      </w:r>
    </w:p>
    <w:p>
      <w:pPr>
        <w:spacing w:after="0" w:line="300" w:lineRule="exact"/>
        <w:rPr>
          <w:sz w:val="20"/>
          <w:szCs w:val="20"/>
          <w:color w:val="auto"/>
        </w:rPr>
      </w:pPr>
    </w:p>
    <w:p>
      <w:pPr>
        <w:ind w:left="5"/>
        <w:spacing w:after="0"/>
        <w:tabs>
          <w:tab w:leader="none" w:pos="7364" w:val="left"/>
          <w:tab w:leader="none" w:pos="9384" w:val="left"/>
          <w:tab w:leader="none" w:pos="1100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bookmarkStart w:id="128" w:name="page129"/>
    <w:bookmarkEnd w:id="128"/>
    <w:p>
      <w:pPr>
        <w:ind w:left="5"/>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35" w:lineRule="exact"/>
        <w:rPr>
          <w:sz w:val="20"/>
          <w:szCs w:val="20"/>
          <w:color w:val="auto"/>
        </w:rPr>
      </w:pPr>
    </w:p>
    <w:p>
      <w:pPr>
        <w:jc w:val="both"/>
        <w:ind w:left="145" w:right="40" w:hanging="145"/>
        <w:spacing w:after="0" w:line="238" w:lineRule="auto"/>
        <w:tabs>
          <w:tab w:leader="none" w:pos="145" w:val="left"/>
        </w:tabs>
        <w:numPr>
          <w:ilvl w:val="0"/>
          <w:numId w:val="130"/>
        </w:numPr>
        <w:rPr>
          <w:rFonts w:ascii="Arial" w:cs="Arial" w:eastAsia="Arial" w:hAnsi="Arial"/>
          <w:sz w:val="19"/>
          <w:szCs w:val="19"/>
          <w:color w:val="125288"/>
        </w:rPr>
      </w:pPr>
      <w:r>
        <w:rPr>
          <w:rFonts w:ascii="Arial" w:cs="Arial" w:eastAsia="Arial" w:hAnsi="Arial"/>
          <w:sz w:val="19"/>
          <w:szCs w:val="19"/>
          <w:color w:val="auto"/>
        </w:rPr>
        <w:t>Mr. Bulatao: If such termination occurs after the end of 2021 (but before March 31, 2022), after the end of 2022 (but before March 30, 2023), or after the end of 2023 (but before March 30, 2024), and AB Adjusted OI for the applicable year (i.e., 2021, 2022, or 2023) is 90% or more of the target set forth in our AOP for such year, Mr. Bulatao would receive a payment of $950,000 (which amounts are not cumulative).</w:t>
      </w:r>
    </w:p>
    <w:p>
      <w:pPr>
        <w:spacing w:after="0" w:line="131" w:lineRule="exact"/>
        <w:rPr>
          <w:rFonts w:ascii="Arial" w:cs="Arial" w:eastAsia="Arial" w:hAnsi="Arial"/>
          <w:sz w:val="19"/>
          <w:szCs w:val="19"/>
          <w:color w:val="125288"/>
        </w:rPr>
      </w:pPr>
    </w:p>
    <w:p>
      <w:pPr>
        <w:jc w:val="both"/>
        <w:ind w:left="145" w:right="40" w:hanging="145"/>
        <w:spacing w:after="0"/>
        <w:tabs>
          <w:tab w:leader="none" w:pos="145" w:val="left"/>
        </w:tabs>
        <w:numPr>
          <w:ilvl w:val="0"/>
          <w:numId w:val="130"/>
        </w:numPr>
        <w:rPr>
          <w:rFonts w:ascii="Arial" w:cs="Arial" w:eastAsia="Arial" w:hAnsi="Arial"/>
          <w:sz w:val="19"/>
          <w:szCs w:val="19"/>
          <w:color w:val="125288"/>
        </w:rPr>
      </w:pPr>
      <w:r>
        <w:rPr>
          <w:rFonts w:ascii="Arial" w:cs="Arial" w:eastAsia="Arial" w:hAnsi="Arial"/>
          <w:sz w:val="19"/>
          <w:szCs w:val="19"/>
          <w:color w:val="auto"/>
        </w:rPr>
        <w:t>Mr. Dixton: If such termination occurs after the end of 2021 (but before June 29, 2022) or after the end of 2022 (but before June 29, 2023), and AB Adjusted OI for the applicable year (i.e., 2021 or 2022) is 90% or more of the target set forth in our AOP for such year, Mr. Dixton would receive a payment of $750,000 (which amounts are not cumulative).</w:t>
      </w:r>
    </w:p>
    <w:p>
      <w:pPr>
        <w:spacing w:after="0" w:line="260" w:lineRule="exact"/>
        <w:rPr>
          <w:sz w:val="20"/>
          <w:szCs w:val="20"/>
          <w:color w:val="auto"/>
        </w:rPr>
      </w:pPr>
    </w:p>
    <w:p>
      <w:pPr>
        <w:jc w:val="both"/>
        <w:ind w:left="5" w:right="20"/>
        <w:spacing w:after="0" w:line="245" w:lineRule="auto"/>
        <w:rPr>
          <w:sz w:val="20"/>
          <w:szCs w:val="20"/>
          <w:color w:val="auto"/>
        </w:rPr>
      </w:pPr>
      <w:r>
        <w:rPr>
          <w:rFonts w:ascii="Arial" w:cs="Arial" w:eastAsia="Arial" w:hAnsi="Arial"/>
          <w:sz w:val="19"/>
          <w:szCs w:val="19"/>
          <w:color w:val="auto"/>
        </w:rPr>
        <w:t>AB Adjusted OI for both 2020 and 2021 were positive; AB Adjusted OI was higher than both 85% and 90% for 2020 and was between 85% and 90% for 2021.</w:t>
      </w:r>
    </w:p>
    <w:p>
      <w:pPr>
        <w:spacing w:after="0" w:line="255" w:lineRule="exact"/>
        <w:rPr>
          <w:sz w:val="20"/>
          <w:szCs w:val="20"/>
          <w:color w:val="auto"/>
        </w:rPr>
      </w:pPr>
    </w:p>
    <w:p>
      <w:pPr>
        <w:jc w:val="both"/>
        <w:ind w:left="5" w:right="20"/>
        <w:spacing w:after="0" w:line="245" w:lineRule="auto"/>
        <w:rPr>
          <w:sz w:val="20"/>
          <w:szCs w:val="20"/>
          <w:color w:val="auto"/>
        </w:rPr>
      </w:pPr>
      <w:r>
        <w:rPr>
          <w:rFonts w:ascii="Arial" w:cs="Arial" w:eastAsia="Arial" w:hAnsi="Arial"/>
          <w:sz w:val="19"/>
          <w:szCs w:val="19"/>
          <w:color w:val="auto"/>
        </w:rPr>
        <w:t>For purposes of this table, the amounts shown represent only the payments that would have been received if a termination of employment had occurred on December 31, 2021.</w:t>
      </w:r>
    </w:p>
    <w:p>
      <w:pPr>
        <w:spacing w:after="0" w:line="256" w:lineRule="exact"/>
        <w:rPr>
          <w:sz w:val="20"/>
          <w:szCs w:val="20"/>
          <w:color w:val="auto"/>
        </w:rPr>
      </w:pPr>
    </w:p>
    <w:p>
      <w:pPr>
        <w:ind w:left="5"/>
        <w:spacing w:after="0"/>
        <w:rPr>
          <w:sz w:val="20"/>
          <w:szCs w:val="20"/>
          <w:color w:val="auto"/>
        </w:rPr>
      </w:pPr>
      <w:r>
        <w:rPr>
          <w:rFonts w:ascii="Arial" w:cs="Arial" w:eastAsia="Arial" w:hAnsi="Arial"/>
          <w:sz w:val="20"/>
          <w:szCs w:val="20"/>
          <w:color w:val="125288"/>
        </w:rPr>
        <w:t>(7) Impact on Equity</w:t>
      </w:r>
    </w:p>
    <w:p>
      <w:pPr>
        <w:spacing w:after="0" w:line="149" w:lineRule="exact"/>
        <w:rPr>
          <w:sz w:val="20"/>
          <w:szCs w:val="20"/>
          <w:color w:val="auto"/>
        </w:rPr>
      </w:pPr>
    </w:p>
    <w:p>
      <w:pPr>
        <w:jc w:val="both"/>
        <w:ind w:left="5"/>
        <w:spacing w:after="0" w:line="237" w:lineRule="auto"/>
        <w:rPr>
          <w:sz w:val="20"/>
          <w:szCs w:val="20"/>
          <w:color w:val="auto"/>
        </w:rPr>
      </w:pPr>
      <w:r>
        <w:rPr>
          <w:rFonts w:ascii="Arial" w:cs="Arial" w:eastAsia="Arial" w:hAnsi="Arial"/>
          <w:sz w:val="19"/>
          <w:szCs w:val="19"/>
          <w:color w:val="auto"/>
        </w:rPr>
        <w:t>As described in footnotes (1) – (4), unvested equity generally would have been forfeited upon any termination of employment and vested options would have been forfeited upon a termination for cause. However, in the event of a termination due to death, disability, by us without cause, or by the executive for good reason between the end of a performance period underlying a tranche of certain grants made as an inducement to enter into an employment agreement with us and the vesting date for that tranche, the executive (or the executive’s heirs or estate) would be eligible to receive “additional equity amounts” in consideration of the termination of the restricted share units prior to vesting as follows:</w:t>
      </w:r>
    </w:p>
    <w:p>
      <w:pPr>
        <w:spacing w:after="0" w:line="132" w:lineRule="exact"/>
        <w:rPr>
          <w:sz w:val="20"/>
          <w:szCs w:val="20"/>
          <w:color w:val="auto"/>
        </w:rPr>
      </w:pPr>
    </w:p>
    <w:p>
      <w:pPr>
        <w:jc w:val="both"/>
        <w:ind w:left="145" w:right="40" w:hanging="145"/>
        <w:spacing w:after="0" w:line="237" w:lineRule="auto"/>
        <w:tabs>
          <w:tab w:leader="none" w:pos="145" w:val="left"/>
        </w:tabs>
        <w:numPr>
          <w:ilvl w:val="0"/>
          <w:numId w:val="131"/>
        </w:numPr>
        <w:rPr>
          <w:rFonts w:ascii="Arial" w:cs="Arial" w:eastAsia="Arial" w:hAnsi="Arial"/>
          <w:sz w:val="19"/>
          <w:szCs w:val="19"/>
          <w:color w:val="125288"/>
        </w:rPr>
      </w:pPr>
      <w:r>
        <w:rPr>
          <w:rFonts w:ascii="Arial" w:cs="Arial" w:eastAsia="Arial" w:hAnsi="Arial"/>
          <w:sz w:val="19"/>
          <w:szCs w:val="19"/>
          <w:color w:val="auto"/>
        </w:rPr>
        <w:t>Mr. Zerza: If such termination occurs between the end of a performance period underlying a tranche of the restricted share units granted to him that vest by reference to AB Adjusted OI and the vesting date for that tranche (e.g., between January 1, 2024 and March 31, 2024) and the performance objective under that tranche of that grant is achieved (e.g., the cumulative AB Adjusted OI objective for 2021–2023), Mr. Zerza would receive a payment equal to the product of (x) the number of shares he would have received upon vesting of that tranche of the award had it not been canceled upon his termination and (y) the Nasdaq Official Closing Price per share of our Common Stock on May 6, 2021 (i.e., $93.03).</w:t>
      </w:r>
    </w:p>
    <w:p>
      <w:pPr>
        <w:spacing w:after="0" w:line="132" w:lineRule="exact"/>
        <w:rPr>
          <w:rFonts w:ascii="Arial" w:cs="Arial" w:eastAsia="Arial" w:hAnsi="Arial"/>
          <w:sz w:val="19"/>
          <w:szCs w:val="19"/>
          <w:color w:val="125288"/>
        </w:rPr>
      </w:pPr>
    </w:p>
    <w:p>
      <w:pPr>
        <w:jc w:val="both"/>
        <w:ind w:left="145" w:right="40" w:hanging="145"/>
        <w:spacing w:after="0" w:line="237" w:lineRule="auto"/>
        <w:tabs>
          <w:tab w:leader="none" w:pos="145" w:val="left"/>
        </w:tabs>
        <w:numPr>
          <w:ilvl w:val="0"/>
          <w:numId w:val="131"/>
        </w:numPr>
        <w:rPr>
          <w:rFonts w:ascii="Arial" w:cs="Arial" w:eastAsia="Arial" w:hAnsi="Arial"/>
          <w:sz w:val="19"/>
          <w:szCs w:val="19"/>
          <w:color w:val="125288"/>
        </w:rPr>
      </w:pPr>
      <w:r>
        <w:rPr>
          <w:rFonts w:ascii="Arial" w:cs="Arial" w:eastAsia="Arial" w:hAnsi="Arial"/>
          <w:sz w:val="19"/>
          <w:szCs w:val="19"/>
          <w:color w:val="auto"/>
        </w:rPr>
        <w:t>Mr. Alegre: If such termination occurs between the end of a performance period underlying a tranche of any of the restricted share units granted to him on May 7, 2020, and the vesting date for that tranche (e.g., between January 1, 2022, and March 30, 2022) and the performance objective under that tranche (e.g., the AB Adjusted EPS objective for 2021) is achieved, Mr. Alegre (or his heirs or estate) would receive a payment equal to the product of (x) the number of shares he would have received upon vesting of that tranche of the award had it not been canceled upon his termination and (y) the closing price of our Common Stock on The Nasdaq Stock Market on May 7, 2020 (i.e., $73.10).</w:t>
      </w:r>
    </w:p>
    <w:p>
      <w:pPr>
        <w:spacing w:after="0" w:line="132" w:lineRule="exact"/>
        <w:rPr>
          <w:rFonts w:ascii="Arial" w:cs="Arial" w:eastAsia="Arial" w:hAnsi="Arial"/>
          <w:sz w:val="19"/>
          <w:szCs w:val="19"/>
          <w:color w:val="125288"/>
        </w:rPr>
      </w:pPr>
    </w:p>
    <w:p>
      <w:pPr>
        <w:jc w:val="both"/>
        <w:ind w:left="145" w:right="40" w:hanging="145"/>
        <w:spacing w:after="0" w:line="237" w:lineRule="auto"/>
        <w:tabs>
          <w:tab w:leader="none" w:pos="145" w:val="left"/>
        </w:tabs>
        <w:numPr>
          <w:ilvl w:val="0"/>
          <w:numId w:val="131"/>
        </w:numPr>
        <w:rPr>
          <w:rFonts w:ascii="Arial" w:cs="Arial" w:eastAsia="Arial" w:hAnsi="Arial"/>
          <w:sz w:val="19"/>
          <w:szCs w:val="19"/>
          <w:color w:val="125288"/>
        </w:rPr>
      </w:pPr>
      <w:r>
        <w:rPr>
          <w:rFonts w:ascii="Arial" w:cs="Arial" w:eastAsia="Arial" w:hAnsi="Arial"/>
          <w:sz w:val="19"/>
          <w:szCs w:val="19"/>
          <w:color w:val="auto"/>
        </w:rPr>
        <w:t>Mr. Bulatao: If such termination occurs between the end of a performance period underlying a tranche of the restricted share units granted to him on March 9, 2021, that vest by reference to AB Adjusted OI and the vesting date for that tranche (e.g., between January 1, 2022, and June 29, 2022) and the performance objective under that tranche of that grant is achieved (e.g., the AB Adjusted OI objective for 2021), Mr. Bulatao would receive a payment equal to the product of (x) the number of shares he would have received upon vesting of that tranche of the award had it not been canceled upon his termination and (y) the closing price of our Common Stock on The Nasdaq Stock Market on March 9, 2021 (i.e., $92.50).</w:t>
      </w:r>
    </w:p>
    <w:p>
      <w:pPr>
        <w:spacing w:after="0" w:line="132" w:lineRule="exact"/>
        <w:rPr>
          <w:rFonts w:ascii="Arial" w:cs="Arial" w:eastAsia="Arial" w:hAnsi="Arial"/>
          <w:sz w:val="19"/>
          <w:szCs w:val="19"/>
          <w:color w:val="125288"/>
        </w:rPr>
      </w:pPr>
    </w:p>
    <w:p>
      <w:pPr>
        <w:jc w:val="both"/>
        <w:ind w:left="145" w:right="40" w:hanging="145"/>
        <w:spacing w:after="0" w:line="237" w:lineRule="auto"/>
        <w:tabs>
          <w:tab w:leader="none" w:pos="145" w:val="left"/>
        </w:tabs>
        <w:numPr>
          <w:ilvl w:val="0"/>
          <w:numId w:val="131"/>
        </w:numPr>
        <w:rPr>
          <w:rFonts w:ascii="Arial" w:cs="Arial" w:eastAsia="Arial" w:hAnsi="Arial"/>
          <w:sz w:val="19"/>
          <w:szCs w:val="19"/>
          <w:color w:val="125288"/>
        </w:rPr>
      </w:pPr>
      <w:r>
        <w:rPr>
          <w:rFonts w:ascii="Arial" w:cs="Arial" w:eastAsia="Arial" w:hAnsi="Arial"/>
          <w:sz w:val="19"/>
          <w:szCs w:val="19"/>
          <w:color w:val="auto"/>
        </w:rPr>
        <w:t>Mr. Dixton: If such termination occurs between the end of a performance period underlying a tranche of the restricted share units granted to him that vest by reference to AB Adjusted OI and the vesting date for that tranche (e.g., between January 1, 2022, and March 30, 2022) and the performance objective under that tranche of that grant is achieved (e.g., the AB Adjusted OI objective for 2021), Mr. Dixton would receive a payment equal to the product of (x) the number of shares he would have received upon vesting of that tranche of the award had it not been canceled upon his termination and (y) the closing price of our Common Stock on The Nasdaq Stock Market on August 5, 2021 (i.e., $80.32).</w:t>
      </w:r>
    </w:p>
    <w:p>
      <w:pPr>
        <w:spacing w:after="0" w:line="263" w:lineRule="exact"/>
        <w:rPr>
          <w:sz w:val="20"/>
          <w:szCs w:val="20"/>
          <w:color w:val="auto"/>
        </w:rPr>
      </w:pPr>
    </w:p>
    <w:p>
      <w:pPr>
        <w:ind w:left="5"/>
        <w:spacing w:after="0" w:line="245" w:lineRule="auto"/>
        <w:rPr>
          <w:sz w:val="20"/>
          <w:szCs w:val="20"/>
          <w:color w:val="auto"/>
        </w:rPr>
      </w:pPr>
      <w:r>
        <w:rPr>
          <w:rFonts w:ascii="Arial" w:cs="Arial" w:eastAsia="Arial" w:hAnsi="Arial"/>
          <w:sz w:val="19"/>
          <w:szCs w:val="19"/>
          <w:color w:val="auto"/>
        </w:rPr>
        <w:t>For purposes of this table, additional equity amounts are assumed to be zero, as the executives would not have been entitled to anything in respect thereof for a termination as of December 31, 2021.</w:t>
      </w:r>
    </w:p>
    <w:p>
      <w:pPr>
        <w:spacing w:after="0" w:line="150" w:lineRule="exact"/>
        <w:rPr>
          <w:sz w:val="20"/>
          <w:szCs w:val="20"/>
          <w:color w:val="auto"/>
        </w:rPr>
      </w:pPr>
    </w:p>
    <w:p>
      <w:pPr>
        <w:ind w:left="5"/>
        <w:spacing w:after="0"/>
        <w:tabs>
          <w:tab w:leader="none" w:pos="7364" w:val="left"/>
          <w:tab w:leader="none" w:pos="9384" w:val="left"/>
          <w:tab w:leader="none" w:pos="1100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bookmarkStart w:id="129" w:name="page130"/>
    <w:bookmarkEnd w:id="129"/>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ENHANCED SEVERANCE PLAN</w:t>
      </w:r>
    </w:p>
    <w:p>
      <w:pPr>
        <w:spacing w:after="0" w:line="309" w:lineRule="exact"/>
        <w:rPr>
          <w:sz w:val="20"/>
          <w:szCs w:val="20"/>
          <w:color w:val="auto"/>
        </w:rPr>
      </w:pPr>
    </w:p>
    <w:p>
      <w:pPr>
        <w:jc w:val="both"/>
        <w:ind w:right="20"/>
        <w:spacing w:after="0" w:line="236" w:lineRule="auto"/>
        <w:rPr>
          <w:sz w:val="20"/>
          <w:szCs w:val="20"/>
          <w:color w:val="auto"/>
        </w:rPr>
      </w:pPr>
      <w:r>
        <w:rPr>
          <w:rFonts w:ascii="Arial" w:cs="Arial" w:eastAsia="Arial" w:hAnsi="Arial"/>
          <w:sz w:val="19"/>
          <w:szCs w:val="19"/>
          <w:color w:val="auto"/>
        </w:rPr>
        <w:t>Pursuant to the terms of the Microsoft Merger Agreement, in March 2022, the Compensation Committee approved the material terms of an enhanced severance plan, which provides that a limited number of covered employees will be entitled to the following enhanced severance benefits in the event their employment is terminated by Microsoft, the Company, or their respective subsidiaries and affiliates without “cause” or by the executive for “good reason” (as such terms were agreed between Microsoft and the Company and will be included in the enhanced severance plan, when adopted), in either case, within 18 months following the completion of the proposed Microsoft transaction and subject to the executive’s execution of a customary release of claims: (1) the greater of (i) two times the sum of the named executive officer’s base salary and target annual cash incentive bonus (excluding any milestone or special bonus payments) and (ii) the severance payable under the named executive officer’s employment agreement; (2) a pro-rated target annual cash incentive bonus payment based on the percentage of the year completed as of the termination date; and (3) reimbursement of COBRA premiums for two years. See “—Potential Payments Upon Termination or Change of Control” above for a description of the severance payable under the NEOs’ employment agreements.</w:t>
      </w:r>
    </w:p>
    <w:p>
      <w:pPr>
        <w:spacing w:after="0" w:line="264"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Additionally, pursuant to the Merger Agreement, Activision Blizzard and Microsoft agreed that certain of our employees, including named executive officers Grant Dixton, Brian Bulatao and Armin Zerza, will be entitled to terminate their employment within 60 days following the six-month anniversary of the effective time, which will be deemed a termination by the executive for “good reason,” entitling the executive officer to the equity acceleration benefits described in the Merger Proxy Statement and the severance benefits under their individual arrangements or, if greater, the enhanced severance plan described above. For details regarding any amounts payable to our NEOs if the proposed transaction with Microsoft is completed, please see the Merger Proxy Statement.</w:t>
      </w:r>
    </w:p>
    <w:p>
      <w:pPr>
        <w:spacing w:after="0" w:line="238"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CEO PAY RATIO</w:t>
      </w:r>
    </w:p>
    <w:p>
      <w:pPr>
        <w:spacing w:after="0" w:line="309"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SEC rules require annual disclosure of a reasonable estimate of the ratio of the annual total compensation of the Company’s principal executive officer to the annual total compensation of the Company’s median employee.</w:t>
      </w:r>
    </w:p>
    <w:p>
      <w:pPr>
        <w:spacing w:after="0" w:line="255"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To identify our median employee for purposes of this disclosure, we first defined a pool of all individuals employed by us (other than our principal executive officer) on a chosen date—November 15, 2020—and then selected our median employee from that pool, all as explained in the proxy statement for our 2021 annual meeting of shareholders filed with the SEC on Schedule 14A on May 3, 2021. As permitted under SEC rules, we are using the same median employee identified for purposes of calculating the CEO pay ratio in 2020. We believe there has been no change in 2021 to our employee population, employee compensation arrangements, or the circumstances of that median employee since he or she was first identified that would result in a significant change to our pay ratio.</w:t>
      </w:r>
    </w:p>
    <w:p>
      <w:pPr>
        <w:spacing w:after="0" w:line="263"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Our principal executive officer is our Chief Executive Officer, Mr. Kotick. The form and amount of our Chief Executive Officer’s proxy-reported compensation for 2021 reflects, among other things, Mr. Kotick’s request that his total compensation be reduced to the lowest amount permitted to be paid to exempt employees under California law until the Company has made appropriate progress toward the achievement of the Transformational Goals (see “Corporate Governance Matters—Workplace and Culture— Transformational Gender-Related Goals and Other Commitments”).</w:t>
      </w:r>
    </w:p>
    <w:p>
      <w:pPr>
        <w:spacing w:after="0" w:line="260"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We calculated annual total compensation for our median employee using the same methodology we use to calculate the compensation for our NEOs set forth in the “Summary Compensation Table” above. For 2021, the annual total compensation of our median employee was $117,207. The reported annual total compensation of our Chief Executive Officer for 2021 was $826,549. Based on this, our estimate of the CEO-to-median employee pay ratio is 7 to 1.</w:t>
      </w:r>
    </w:p>
    <w:p>
      <w:pPr>
        <w:spacing w:after="0" w:line="263"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Given the different methodologies that various public companies will use to determine an estimate of their pay ratio, the estimated ratio reported above should not be used as a basis for comparison between companies.</w:t>
      </w:r>
    </w:p>
    <w:p>
      <w:pPr>
        <w:spacing w:after="0" w:line="150" w:lineRule="exact"/>
        <w:rPr>
          <w:sz w:val="20"/>
          <w:szCs w:val="20"/>
          <w:color w:val="auto"/>
        </w:rPr>
      </w:pPr>
    </w:p>
    <w:p>
      <w:pPr>
        <w:spacing w:after="0"/>
        <w:tabs>
          <w:tab w:leader="none" w:pos="7360" w:val="left"/>
          <w:tab w:leader="none" w:pos="9380" w:val="left"/>
          <w:tab w:leader="none" w:pos="1100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30" w:name="page131"/>
    <w:bookmarkEnd w:id="130"/>
    <w:p>
      <w:pPr>
        <w:ind w:left="5"/>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20" w:lineRule="exact"/>
        <w:rPr>
          <w:sz w:val="20"/>
          <w:szCs w:val="20"/>
          <w:color w:val="auto"/>
        </w:rPr>
      </w:pPr>
    </w:p>
    <w:p>
      <w:pPr>
        <w:ind w:left="5"/>
        <w:spacing w:after="0"/>
        <w:rPr>
          <w:sz w:val="20"/>
          <w:szCs w:val="20"/>
          <w:color w:val="auto"/>
        </w:rPr>
      </w:pPr>
      <w:r>
        <w:rPr>
          <w:sz w:val="1"/>
          <w:szCs w:val="1"/>
          <w:color w:val="auto"/>
        </w:rPr>
        <w:drawing>
          <wp:inline distT="0" distB="0" distL="0" distR="0">
            <wp:extent cx="445135" cy="151130"/>
            <wp:effectExtent l="0" t="0" r="0" b="0"/>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45135" cy="151130"/>
                    </a:xfrm>
                    <a:prstGeom prst="rect">
                      <a:avLst/>
                    </a:prstGeom>
                    <a:noFill/>
                    <a:ln>
                      <a:noFill/>
                    </a:ln>
                  </pic:spPr>
                </pic:pic>
              </a:graphicData>
            </a:graphic>
          </wp:inline>
        </w:drawing>
      </w:r>
      <w:r>
        <w:rPr>
          <w:rFonts w:ascii="Arial" w:cs="Arial" w:eastAsia="Arial" w:hAnsi="Arial"/>
          <w:sz w:val="31"/>
          <w:szCs w:val="31"/>
          <w:b w:val="1"/>
          <w:bCs w:val="1"/>
          <w:color w:val="125288"/>
        </w:rPr>
        <w:t xml:space="preserve"> CERTAIN RELATIONSHIPS AND RELATED PERSON TRANSACTIONS</w:t>
      </w:r>
    </w:p>
    <w:p>
      <w:pPr>
        <w:spacing w:after="0" w:line="311" w:lineRule="exact"/>
        <w:rPr>
          <w:sz w:val="20"/>
          <w:szCs w:val="20"/>
          <w:color w:val="auto"/>
        </w:rPr>
      </w:pPr>
    </w:p>
    <w:p>
      <w:pPr>
        <w:ind w:left="5"/>
        <w:spacing w:after="0"/>
        <w:rPr>
          <w:sz w:val="20"/>
          <w:szCs w:val="20"/>
          <w:color w:val="auto"/>
        </w:rPr>
      </w:pPr>
      <w:r>
        <w:rPr>
          <w:rFonts w:ascii="Arial" w:cs="Arial" w:eastAsia="Arial" w:hAnsi="Arial"/>
          <w:sz w:val="26"/>
          <w:szCs w:val="26"/>
          <w:b w:val="1"/>
          <w:bCs w:val="1"/>
          <w:color w:val="auto"/>
        </w:rPr>
        <w:t>POLICIES AND PROCEDURES REGARDING TRANSACTIONS WITH RELATED PARTIES</w:t>
      </w:r>
    </w:p>
    <w:p>
      <w:pPr>
        <w:spacing w:after="0" w:line="283" w:lineRule="exact"/>
        <w:rPr>
          <w:sz w:val="20"/>
          <w:szCs w:val="20"/>
          <w:color w:val="auto"/>
        </w:rPr>
      </w:pPr>
    </w:p>
    <w:p>
      <w:pPr>
        <w:ind w:left="5"/>
        <w:spacing w:after="0"/>
        <w:rPr>
          <w:sz w:val="20"/>
          <w:szCs w:val="20"/>
          <w:color w:val="auto"/>
        </w:rPr>
      </w:pPr>
      <w:r>
        <w:rPr>
          <w:rFonts w:ascii="Arial" w:cs="Arial" w:eastAsia="Arial" w:hAnsi="Arial"/>
          <w:sz w:val="24"/>
          <w:szCs w:val="24"/>
          <w:b w:val="1"/>
          <w:bCs w:val="1"/>
          <w:color w:val="auto"/>
        </w:rPr>
        <w:t>Related Person Transactions Policy</w:t>
      </w:r>
    </w:p>
    <w:p>
      <w:pPr>
        <w:spacing w:after="0" w:line="142" w:lineRule="exact"/>
        <w:rPr>
          <w:sz w:val="20"/>
          <w:szCs w:val="20"/>
          <w:color w:val="auto"/>
        </w:rPr>
      </w:pPr>
    </w:p>
    <w:p>
      <w:pPr>
        <w:jc w:val="both"/>
        <w:ind w:left="5" w:right="20"/>
        <w:spacing w:after="0" w:line="236" w:lineRule="auto"/>
        <w:rPr>
          <w:sz w:val="20"/>
          <w:szCs w:val="20"/>
          <w:color w:val="auto"/>
        </w:rPr>
      </w:pPr>
      <w:r>
        <w:rPr>
          <w:rFonts w:ascii="Arial" w:cs="Arial" w:eastAsia="Arial" w:hAnsi="Arial"/>
          <w:sz w:val="19"/>
          <w:szCs w:val="19"/>
          <w:color w:val="auto"/>
        </w:rPr>
        <w:t>We have a Related Person Transactions Policy pursuant to which the Audit Committee evaluates transactions, arrangements, or relationships (or any series of similar transactions, arrangements, or relationships) in which: (1) we were, are, or will be a participant, whether directly or indirectly; (2) the amount involved exceeds $120,000; and (3) a related person had, has, or will have a direct or indirect interest. For the purposes of the policy, a “related person” is (a) any person who is, or was at any time since the beginning of our last fiscal year, a director, a person nominated for election to our Board, or one of our executive officers, (b) any person who beneficially owns more than 5% of our Common Stock, or (c) any person who is, or was at any time since the beginning of our last fiscal year, an immediate family member of any person covered by (a) or (b). Our Related Person Transactions Policy can be found on our website at investor.activision.com/related-person-transactions-policy.</w:t>
      </w:r>
    </w:p>
    <w:p>
      <w:pPr>
        <w:spacing w:after="0" w:line="267" w:lineRule="exact"/>
        <w:rPr>
          <w:sz w:val="20"/>
          <w:szCs w:val="20"/>
          <w:color w:val="auto"/>
        </w:rPr>
      </w:pPr>
    </w:p>
    <w:p>
      <w:pPr>
        <w:jc w:val="both"/>
        <w:ind w:left="5" w:right="20"/>
        <w:spacing w:after="0" w:line="245" w:lineRule="auto"/>
        <w:rPr>
          <w:sz w:val="20"/>
          <w:szCs w:val="20"/>
          <w:color w:val="auto"/>
        </w:rPr>
      </w:pPr>
      <w:r>
        <w:rPr>
          <w:rFonts w:ascii="Arial" w:cs="Arial" w:eastAsia="Arial" w:hAnsi="Arial"/>
          <w:sz w:val="19"/>
          <w:szCs w:val="19"/>
          <w:color w:val="auto"/>
        </w:rPr>
        <w:t>Our Related Person Transactions Policy is generally designed to capture any transaction that the Company would be required to disclose pursuant to Item 404 of Regulation S-K.</w:t>
      </w:r>
    </w:p>
    <w:p>
      <w:pPr>
        <w:spacing w:after="0" w:line="255" w:lineRule="exact"/>
        <w:rPr>
          <w:sz w:val="20"/>
          <w:szCs w:val="20"/>
          <w:color w:val="auto"/>
        </w:rPr>
      </w:pPr>
    </w:p>
    <w:p>
      <w:pPr>
        <w:jc w:val="both"/>
        <w:ind w:left="5" w:right="20"/>
        <w:spacing w:after="0"/>
        <w:rPr>
          <w:sz w:val="20"/>
          <w:szCs w:val="20"/>
          <w:color w:val="auto"/>
        </w:rPr>
      </w:pPr>
      <w:r>
        <w:rPr>
          <w:rFonts w:ascii="Arial" w:cs="Arial" w:eastAsia="Arial" w:hAnsi="Arial"/>
          <w:sz w:val="19"/>
          <w:szCs w:val="19"/>
          <w:color w:val="auto"/>
        </w:rPr>
        <w:t>Our Chief Legal Officer is generally responsible for making an initial determination as to whether something is a related party transaction within the meaning of our Related Person Transactions Policy and notifying the Audit Committee if they conclude that it is. The Audit Committee evaluates each related person transaction, taking into consideration the following factors:</w:t>
      </w:r>
    </w:p>
    <w:p>
      <w:pPr>
        <w:spacing w:after="0" w:line="129" w:lineRule="exact"/>
        <w:rPr>
          <w:sz w:val="20"/>
          <w:szCs w:val="20"/>
          <w:color w:val="auto"/>
        </w:rPr>
      </w:pPr>
    </w:p>
    <w:p>
      <w:pPr>
        <w:ind w:left="145" w:hanging="145"/>
        <w:spacing w:after="0"/>
        <w:tabs>
          <w:tab w:leader="none" w:pos="145" w:val="left"/>
        </w:tabs>
        <w:numPr>
          <w:ilvl w:val="0"/>
          <w:numId w:val="132"/>
        </w:numPr>
        <w:rPr>
          <w:rFonts w:ascii="Arial" w:cs="Arial" w:eastAsia="Arial" w:hAnsi="Arial"/>
          <w:sz w:val="19"/>
          <w:szCs w:val="19"/>
          <w:color w:val="125288"/>
        </w:rPr>
      </w:pPr>
      <w:r>
        <w:rPr>
          <w:rFonts w:ascii="Arial" w:cs="Arial" w:eastAsia="Arial" w:hAnsi="Arial"/>
          <w:sz w:val="19"/>
          <w:szCs w:val="19"/>
          <w:color w:val="auto"/>
        </w:rPr>
        <w:t>the purpose of the transaction and what benefit it provides to the Company;</w:t>
      </w:r>
    </w:p>
    <w:p>
      <w:pPr>
        <w:spacing w:after="0" w:line="138" w:lineRule="exact"/>
        <w:rPr>
          <w:rFonts w:ascii="Arial" w:cs="Arial" w:eastAsia="Arial" w:hAnsi="Arial"/>
          <w:sz w:val="19"/>
          <w:szCs w:val="19"/>
          <w:color w:val="125288"/>
        </w:rPr>
      </w:pPr>
    </w:p>
    <w:p>
      <w:pPr>
        <w:ind w:left="145" w:hanging="145"/>
        <w:spacing w:after="0"/>
        <w:tabs>
          <w:tab w:leader="none" w:pos="145" w:val="left"/>
        </w:tabs>
        <w:numPr>
          <w:ilvl w:val="0"/>
          <w:numId w:val="132"/>
        </w:numPr>
        <w:rPr>
          <w:rFonts w:ascii="Arial" w:cs="Arial" w:eastAsia="Arial" w:hAnsi="Arial"/>
          <w:sz w:val="19"/>
          <w:szCs w:val="19"/>
          <w:color w:val="125288"/>
        </w:rPr>
      </w:pPr>
      <w:r>
        <w:rPr>
          <w:rFonts w:ascii="Arial" w:cs="Arial" w:eastAsia="Arial" w:hAnsi="Arial"/>
          <w:sz w:val="19"/>
          <w:szCs w:val="19"/>
          <w:color w:val="auto"/>
        </w:rPr>
        <w:t>the terms of the transaction and whether they are arm’s-length;</w:t>
      </w:r>
    </w:p>
    <w:p>
      <w:pPr>
        <w:spacing w:after="0" w:line="138" w:lineRule="exact"/>
        <w:rPr>
          <w:rFonts w:ascii="Arial" w:cs="Arial" w:eastAsia="Arial" w:hAnsi="Arial"/>
          <w:sz w:val="19"/>
          <w:szCs w:val="19"/>
          <w:color w:val="125288"/>
        </w:rPr>
      </w:pPr>
    </w:p>
    <w:p>
      <w:pPr>
        <w:ind w:left="145" w:hanging="145"/>
        <w:spacing w:after="0"/>
        <w:tabs>
          <w:tab w:leader="none" w:pos="145" w:val="left"/>
        </w:tabs>
        <w:numPr>
          <w:ilvl w:val="0"/>
          <w:numId w:val="132"/>
        </w:numPr>
        <w:rPr>
          <w:rFonts w:ascii="Arial" w:cs="Arial" w:eastAsia="Arial" w:hAnsi="Arial"/>
          <w:sz w:val="19"/>
          <w:szCs w:val="19"/>
          <w:color w:val="125288"/>
        </w:rPr>
      </w:pPr>
      <w:r>
        <w:rPr>
          <w:rFonts w:ascii="Arial" w:cs="Arial" w:eastAsia="Arial" w:hAnsi="Arial"/>
          <w:sz w:val="19"/>
          <w:szCs w:val="19"/>
          <w:color w:val="auto"/>
        </w:rPr>
        <w:t>the direct or indirect nature of the related person’s interest in the transaction;</w:t>
      </w:r>
    </w:p>
    <w:p>
      <w:pPr>
        <w:spacing w:after="0" w:line="138" w:lineRule="exact"/>
        <w:rPr>
          <w:rFonts w:ascii="Arial" w:cs="Arial" w:eastAsia="Arial" w:hAnsi="Arial"/>
          <w:sz w:val="19"/>
          <w:szCs w:val="19"/>
          <w:color w:val="125288"/>
        </w:rPr>
      </w:pPr>
    </w:p>
    <w:p>
      <w:pPr>
        <w:ind w:left="145" w:hanging="145"/>
        <w:spacing w:after="0"/>
        <w:tabs>
          <w:tab w:leader="none" w:pos="145" w:val="left"/>
        </w:tabs>
        <w:numPr>
          <w:ilvl w:val="0"/>
          <w:numId w:val="132"/>
        </w:numPr>
        <w:rPr>
          <w:rFonts w:ascii="Arial" w:cs="Arial" w:eastAsia="Arial" w:hAnsi="Arial"/>
          <w:sz w:val="19"/>
          <w:szCs w:val="19"/>
          <w:color w:val="125288"/>
        </w:rPr>
      </w:pPr>
      <w:r>
        <w:rPr>
          <w:rFonts w:ascii="Arial" w:cs="Arial" w:eastAsia="Arial" w:hAnsi="Arial"/>
          <w:sz w:val="19"/>
          <w:szCs w:val="19"/>
          <w:color w:val="auto"/>
        </w:rPr>
        <w:t>whether comparable goods or services are available from non-related persons;</w:t>
      </w:r>
    </w:p>
    <w:p>
      <w:pPr>
        <w:spacing w:after="0" w:line="138" w:lineRule="exact"/>
        <w:rPr>
          <w:rFonts w:ascii="Arial" w:cs="Arial" w:eastAsia="Arial" w:hAnsi="Arial"/>
          <w:sz w:val="19"/>
          <w:szCs w:val="19"/>
          <w:color w:val="125288"/>
        </w:rPr>
      </w:pPr>
    </w:p>
    <w:p>
      <w:pPr>
        <w:ind w:left="145" w:hanging="145"/>
        <w:spacing w:after="0"/>
        <w:tabs>
          <w:tab w:leader="none" w:pos="145" w:val="left"/>
        </w:tabs>
        <w:numPr>
          <w:ilvl w:val="0"/>
          <w:numId w:val="132"/>
        </w:numPr>
        <w:rPr>
          <w:rFonts w:ascii="Arial" w:cs="Arial" w:eastAsia="Arial" w:hAnsi="Arial"/>
          <w:sz w:val="19"/>
          <w:szCs w:val="19"/>
          <w:color w:val="125288"/>
        </w:rPr>
      </w:pPr>
      <w:r>
        <w:rPr>
          <w:rFonts w:ascii="Arial" w:cs="Arial" w:eastAsia="Arial" w:hAnsi="Arial"/>
          <w:sz w:val="19"/>
          <w:szCs w:val="19"/>
          <w:color w:val="auto"/>
        </w:rPr>
        <w:t>whether the transaction was initiated by the Company or the related person;</w:t>
      </w:r>
    </w:p>
    <w:p>
      <w:pPr>
        <w:spacing w:after="0" w:line="138" w:lineRule="exact"/>
        <w:rPr>
          <w:rFonts w:ascii="Arial" w:cs="Arial" w:eastAsia="Arial" w:hAnsi="Arial"/>
          <w:sz w:val="19"/>
          <w:szCs w:val="19"/>
          <w:color w:val="125288"/>
        </w:rPr>
      </w:pPr>
    </w:p>
    <w:p>
      <w:pPr>
        <w:ind w:left="145" w:hanging="145"/>
        <w:spacing w:after="0"/>
        <w:tabs>
          <w:tab w:leader="none" w:pos="145" w:val="left"/>
        </w:tabs>
        <w:numPr>
          <w:ilvl w:val="0"/>
          <w:numId w:val="132"/>
        </w:numPr>
        <w:rPr>
          <w:rFonts w:ascii="Arial" w:cs="Arial" w:eastAsia="Arial" w:hAnsi="Arial"/>
          <w:sz w:val="19"/>
          <w:szCs w:val="19"/>
          <w:color w:val="125288"/>
        </w:rPr>
      </w:pPr>
      <w:r>
        <w:rPr>
          <w:rFonts w:ascii="Arial" w:cs="Arial" w:eastAsia="Arial" w:hAnsi="Arial"/>
          <w:sz w:val="19"/>
          <w:szCs w:val="19"/>
          <w:color w:val="auto"/>
        </w:rPr>
        <w:t>whether the transaction was undertaken in the ordinary course of our business;</w:t>
      </w:r>
    </w:p>
    <w:p>
      <w:pPr>
        <w:spacing w:after="0" w:line="138" w:lineRule="exact"/>
        <w:rPr>
          <w:rFonts w:ascii="Arial" w:cs="Arial" w:eastAsia="Arial" w:hAnsi="Arial"/>
          <w:sz w:val="19"/>
          <w:szCs w:val="19"/>
          <w:color w:val="125288"/>
        </w:rPr>
      </w:pPr>
    </w:p>
    <w:p>
      <w:pPr>
        <w:ind w:left="145" w:hanging="145"/>
        <w:spacing w:after="0"/>
        <w:tabs>
          <w:tab w:leader="none" w:pos="145" w:val="left"/>
        </w:tabs>
        <w:numPr>
          <w:ilvl w:val="0"/>
          <w:numId w:val="132"/>
        </w:numPr>
        <w:rPr>
          <w:rFonts w:ascii="Arial" w:cs="Arial" w:eastAsia="Arial" w:hAnsi="Arial"/>
          <w:sz w:val="19"/>
          <w:szCs w:val="19"/>
          <w:color w:val="125288"/>
        </w:rPr>
      </w:pPr>
      <w:r>
        <w:rPr>
          <w:rFonts w:ascii="Arial" w:cs="Arial" w:eastAsia="Arial" w:hAnsi="Arial"/>
          <w:sz w:val="19"/>
          <w:szCs w:val="19"/>
          <w:color w:val="auto"/>
        </w:rPr>
        <w:t>the expected term of the transaction and the approximate dollar value involved, particularly as it relates to the related person;</w:t>
      </w:r>
    </w:p>
    <w:p>
      <w:pPr>
        <w:spacing w:after="0" w:line="9" w:lineRule="exact"/>
        <w:rPr>
          <w:rFonts w:ascii="Arial" w:cs="Arial" w:eastAsia="Arial" w:hAnsi="Arial"/>
          <w:sz w:val="19"/>
          <w:szCs w:val="19"/>
          <w:color w:val="125288"/>
        </w:rPr>
      </w:pPr>
    </w:p>
    <w:p>
      <w:pPr>
        <w:ind w:left="145" w:hanging="145"/>
        <w:spacing w:after="0" w:line="195" w:lineRule="auto"/>
        <w:tabs>
          <w:tab w:leader="none" w:pos="145" w:val="left"/>
        </w:tabs>
        <w:numPr>
          <w:ilvl w:val="0"/>
          <w:numId w:val="132"/>
        </w:numPr>
        <w:rPr>
          <w:rFonts w:ascii="Arial" w:cs="Arial" w:eastAsia="Arial" w:hAnsi="Arial"/>
          <w:sz w:val="38"/>
          <w:szCs w:val="38"/>
          <w:color w:val="125288"/>
          <w:vertAlign w:val="subscript"/>
        </w:rPr>
      </w:pPr>
      <w:r>
        <w:rPr>
          <w:rFonts w:ascii="Arial" w:cs="Arial" w:eastAsia="Arial" w:hAnsi="Arial"/>
          <w:sz w:val="19"/>
          <w:szCs w:val="19"/>
          <w:color w:val="auto"/>
        </w:rPr>
        <w:t>the potential for reputational harm;</w:t>
      </w:r>
    </w:p>
    <w:p>
      <w:pPr>
        <w:spacing w:after="0" w:line="37" w:lineRule="exact"/>
        <w:rPr>
          <w:rFonts w:ascii="Arial" w:cs="Arial" w:eastAsia="Arial" w:hAnsi="Arial"/>
          <w:sz w:val="38"/>
          <w:szCs w:val="38"/>
          <w:color w:val="125288"/>
          <w:vertAlign w:val="subscript"/>
        </w:rPr>
      </w:pPr>
    </w:p>
    <w:p>
      <w:pPr>
        <w:ind w:left="145" w:hanging="145"/>
        <w:spacing w:after="0" w:line="181" w:lineRule="auto"/>
        <w:tabs>
          <w:tab w:leader="none" w:pos="145" w:val="left"/>
        </w:tabs>
        <w:numPr>
          <w:ilvl w:val="0"/>
          <w:numId w:val="132"/>
        </w:numPr>
        <w:rPr>
          <w:rFonts w:ascii="Arial" w:cs="Arial" w:eastAsia="Arial" w:hAnsi="Arial"/>
          <w:sz w:val="37"/>
          <w:szCs w:val="37"/>
          <w:color w:val="125288"/>
          <w:vertAlign w:val="subscript"/>
        </w:rPr>
      </w:pPr>
      <w:r>
        <w:rPr>
          <w:rFonts w:ascii="Arial" w:cs="Arial" w:eastAsia="Arial" w:hAnsi="Arial"/>
          <w:sz w:val="19"/>
          <w:szCs w:val="19"/>
          <w:color w:val="auto"/>
        </w:rPr>
        <w:t>applicable law and listing standards;</w:t>
      </w:r>
    </w:p>
    <w:p>
      <w:pPr>
        <w:spacing w:after="0" w:line="35" w:lineRule="exact"/>
        <w:rPr>
          <w:rFonts w:ascii="Arial" w:cs="Arial" w:eastAsia="Arial" w:hAnsi="Arial"/>
          <w:sz w:val="37"/>
          <w:szCs w:val="37"/>
          <w:color w:val="125288"/>
          <w:vertAlign w:val="subscript"/>
        </w:rPr>
      </w:pPr>
    </w:p>
    <w:p>
      <w:pPr>
        <w:ind w:left="145" w:hanging="145"/>
        <w:spacing w:after="0" w:line="181" w:lineRule="auto"/>
        <w:tabs>
          <w:tab w:leader="none" w:pos="145" w:val="left"/>
        </w:tabs>
        <w:numPr>
          <w:ilvl w:val="0"/>
          <w:numId w:val="132"/>
        </w:numPr>
        <w:rPr>
          <w:rFonts w:ascii="Arial" w:cs="Arial" w:eastAsia="Arial" w:hAnsi="Arial"/>
          <w:sz w:val="37"/>
          <w:szCs w:val="37"/>
          <w:color w:val="125288"/>
          <w:vertAlign w:val="subscript"/>
        </w:rPr>
      </w:pPr>
      <w:r>
        <w:rPr>
          <w:rFonts w:ascii="Arial" w:cs="Arial" w:eastAsia="Arial" w:hAnsi="Arial"/>
          <w:sz w:val="19"/>
          <w:szCs w:val="19"/>
          <w:color w:val="auto"/>
        </w:rPr>
        <w:t>our Certificate of Incorporation and our Bylaws; and</w:t>
      </w:r>
    </w:p>
    <w:p>
      <w:pPr>
        <w:spacing w:after="0" w:line="128" w:lineRule="exact"/>
        <w:rPr>
          <w:rFonts w:ascii="Arial" w:cs="Arial" w:eastAsia="Arial" w:hAnsi="Arial"/>
          <w:sz w:val="37"/>
          <w:szCs w:val="37"/>
          <w:color w:val="125288"/>
          <w:vertAlign w:val="subscript"/>
        </w:rPr>
      </w:pPr>
    </w:p>
    <w:p>
      <w:pPr>
        <w:ind w:left="145" w:hanging="145"/>
        <w:spacing w:after="0"/>
        <w:tabs>
          <w:tab w:leader="none" w:pos="145" w:val="left"/>
        </w:tabs>
        <w:numPr>
          <w:ilvl w:val="0"/>
          <w:numId w:val="132"/>
        </w:numPr>
        <w:rPr>
          <w:rFonts w:ascii="Arial" w:cs="Arial" w:eastAsia="Arial" w:hAnsi="Arial"/>
          <w:sz w:val="19"/>
          <w:szCs w:val="19"/>
          <w:color w:val="125288"/>
        </w:rPr>
      </w:pPr>
      <w:r>
        <w:rPr>
          <w:rFonts w:ascii="Arial" w:cs="Arial" w:eastAsia="Arial" w:hAnsi="Arial"/>
          <w:sz w:val="19"/>
          <w:szCs w:val="19"/>
          <w:color w:val="auto"/>
        </w:rPr>
        <w:t>any other facts and circumstances the Audit Committee believes are relevant.</w:t>
      </w:r>
    </w:p>
    <w:p>
      <w:pPr>
        <w:spacing w:after="0" w:line="269" w:lineRule="exact"/>
        <w:rPr>
          <w:sz w:val="20"/>
          <w:szCs w:val="20"/>
          <w:color w:val="auto"/>
        </w:rPr>
      </w:pPr>
    </w:p>
    <w:p>
      <w:pPr>
        <w:jc w:val="both"/>
        <w:ind w:left="5" w:right="20"/>
        <w:spacing w:after="0"/>
        <w:rPr>
          <w:sz w:val="20"/>
          <w:szCs w:val="20"/>
          <w:color w:val="auto"/>
        </w:rPr>
      </w:pPr>
      <w:r>
        <w:rPr>
          <w:rFonts w:ascii="Arial" w:cs="Arial" w:eastAsia="Arial" w:hAnsi="Arial"/>
          <w:sz w:val="19"/>
          <w:szCs w:val="19"/>
          <w:color w:val="auto"/>
        </w:rPr>
        <w:t>The Audit Committee may approve or ratify the related party transaction if it determines the transaction is in the best interests of the Company and consistent with law and our Certificate of Incorporation and our Bylaws. If the Audit Committee does not approve or ratify the transaction, it may be voided, terminated, or amended by us, if so directed by the Audit Committee.</w:t>
      </w:r>
    </w:p>
    <w:p>
      <w:pPr>
        <w:spacing w:after="0" w:line="234" w:lineRule="exact"/>
        <w:rPr>
          <w:sz w:val="20"/>
          <w:szCs w:val="20"/>
          <w:color w:val="auto"/>
        </w:rPr>
      </w:pPr>
    </w:p>
    <w:p>
      <w:pPr>
        <w:ind w:left="5"/>
        <w:spacing w:after="0"/>
        <w:rPr>
          <w:sz w:val="20"/>
          <w:szCs w:val="20"/>
          <w:color w:val="auto"/>
        </w:rPr>
      </w:pPr>
      <w:r>
        <w:rPr>
          <w:rFonts w:ascii="Arial" w:cs="Arial" w:eastAsia="Arial" w:hAnsi="Arial"/>
          <w:sz w:val="24"/>
          <w:szCs w:val="24"/>
          <w:b w:val="1"/>
          <w:bCs w:val="1"/>
          <w:color w:val="auto"/>
        </w:rPr>
        <w:t>Code of Conduct and Conflicts of Interest</w:t>
      </w:r>
    </w:p>
    <w:p>
      <w:pPr>
        <w:spacing w:after="0" w:line="142" w:lineRule="exact"/>
        <w:rPr>
          <w:sz w:val="20"/>
          <w:szCs w:val="20"/>
          <w:color w:val="auto"/>
        </w:rPr>
      </w:pPr>
    </w:p>
    <w:p>
      <w:pPr>
        <w:jc w:val="both"/>
        <w:ind w:left="5"/>
        <w:spacing w:after="0" w:line="238" w:lineRule="auto"/>
        <w:rPr>
          <w:sz w:val="20"/>
          <w:szCs w:val="20"/>
          <w:color w:val="auto"/>
        </w:rPr>
      </w:pPr>
      <w:r>
        <w:rPr>
          <w:rFonts w:ascii="Arial" w:cs="Arial" w:eastAsia="Arial" w:hAnsi="Arial"/>
          <w:sz w:val="19"/>
          <w:szCs w:val="19"/>
          <w:color w:val="auto"/>
        </w:rPr>
        <w:t>Our Code of Conduct addresses the handling of actual and potential conflicts between our interests and the interests of our employees, including our executive officers, and our directors, which may include related party transactions. In accordance with our Code of Conduct, such actual or potential conflicts of interest must be disclosed to the Company. Once disclosed, our ethics &amp; compliance team, working with relevant parties, will evaluate the conflict and determine how to manage or resolve it.</w:t>
      </w:r>
    </w:p>
    <w:p>
      <w:pPr>
        <w:spacing w:after="0" w:line="157" w:lineRule="exact"/>
        <w:rPr>
          <w:sz w:val="20"/>
          <w:szCs w:val="20"/>
          <w:color w:val="auto"/>
        </w:rPr>
      </w:pPr>
    </w:p>
    <w:p>
      <w:pPr>
        <w:ind w:left="5"/>
        <w:spacing w:after="0"/>
        <w:tabs>
          <w:tab w:leader="none" w:pos="7364" w:val="left"/>
          <w:tab w:leader="none" w:pos="9384" w:val="left"/>
          <w:tab w:leader="none" w:pos="1100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bookmarkStart w:id="131" w:name="page132"/>
    <w:bookmarkEnd w:id="131"/>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RELATIONSHIPS AND TRANSACTIONS</w:t>
      </w:r>
    </w:p>
    <w:p>
      <w:pPr>
        <w:spacing w:after="0" w:line="28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Business Use of Aircraft Indirectly Owned by Our Chief Executive Officer</w:t>
      </w:r>
    </w:p>
    <w:p>
      <w:pPr>
        <w:spacing w:after="0" w:line="142"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Our CEO indirectly owns aircraft that are operated by a Federal Aviation Administration-certified charter operator that is indirectly owned and managed by him. From time to time, our CEO and other Company executives and directors use these aircraft for travel in connection with our business. We currently pay up to 95% of the charter operator’s regular hourly flight charges plus 100% of the actual, third-party costs incurred by the charter operator in obtaining goods and services for the flights. In addition, the charter operator does not charge us customary cancellation fees or require us to commit to a customary block charter guarantee. Our arrangement with the charter operator allows us to avoid the expense of operating an in-house flight department. During 2021, the Company paid $990,962 for use of these aircraft by our employees, executives, and directors. Such use was authorized by the Audit Committee, which believes this arrangement provides Activision Blizzard with substantial value because our cost is less than the cost we would incur if we were to charter aircraft from another operator and pay market rates or commit substantial Company capital to own and operate our own aircraft. In addition, the arrangement allows for greater time efficiency and productivity and enhanced safety and security for our executives and directors.</w:t>
      </w:r>
    </w:p>
    <w:p>
      <w:pPr>
        <w:spacing w:after="0" w:line="158" w:lineRule="exact"/>
        <w:rPr>
          <w:sz w:val="20"/>
          <w:szCs w:val="20"/>
          <w:color w:val="auto"/>
        </w:rPr>
      </w:pPr>
    </w:p>
    <w:p>
      <w:pPr>
        <w:spacing w:after="0"/>
        <w:tabs>
          <w:tab w:leader="none" w:pos="7360" w:val="left"/>
          <w:tab w:leader="none" w:pos="9380" w:val="left"/>
          <w:tab w:leader="none" w:pos="1100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32" w:name="page133"/>
    <w:bookmarkEnd w:id="132"/>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sz w:val="1"/>
          <w:szCs w:val="1"/>
          <w:color w:val="auto"/>
        </w:rPr>
        <w:drawing>
          <wp:inline distT="0" distB="0" distL="0" distR="0">
            <wp:extent cx="445135" cy="151130"/>
            <wp:effectExtent l="0" t="0" r="0" b="0"/>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45135" cy="151130"/>
                    </a:xfrm>
                    <a:prstGeom prst="rect">
                      <a:avLst/>
                    </a:prstGeom>
                    <a:noFill/>
                    <a:ln>
                      <a:noFill/>
                    </a:ln>
                  </pic:spPr>
                </pic:pic>
              </a:graphicData>
            </a:graphic>
          </wp:inline>
        </w:drawing>
      </w:r>
      <w:r>
        <w:rPr>
          <w:rFonts w:ascii="Arial" w:cs="Arial" w:eastAsia="Arial" w:hAnsi="Arial"/>
          <w:sz w:val="31"/>
          <w:szCs w:val="31"/>
          <w:b w:val="1"/>
          <w:bCs w:val="1"/>
          <w:color w:val="125288"/>
        </w:rPr>
        <w:t xml:space="preserve"> AUDIT-RELATED MATTERS</w:t>
      </w:r>
    </w:p>
    <w:p>
      <w:pPr>
        <w:spacing w:after="0" w:line="311"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INDEPENDENT REGISTERED PUBLIC ACCOUNTING FIRM FEES</w:t>
      </w:r>
    </w:p>
    <w:p>
      <w:pPr>
        <w:spacing w:after="0" w:line="309"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The table below sets forth the categories and amounts paid to PwC for professional audit services for the audit of the Company’s financial statements for the years ended December 31, 2021, and 2020 (including out-of-pocket expenses incurred by PwC in connection with providing such services and billed to us), and fees billed for other services in fiscal years 2021 and 2020.</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40" w:type="dxa"/>
            <w:vAlign w:val="bottom"/>
            <w:gridSpan w:val="2"/>
          </w:tcPr>
          <w:p>
            <w:pPr>
              <w:jc w:val="right"/>
              <w:ind w:right="319"/>
              <w:spacing w:after="0"/>
              <w:rPr>
                <w:sz w:val="20"/>
                <w:szCs w:val="20"/>
                <w:color w:val="auto"/>
              </w:rPr>
            </w:pPr>
            <w:r>
              <w:rPr>
                <w:rFonts w:ascii="Arial" w:cs="Arial" w:eastAsia="Arial" w:hAnsi="Arial"/>
                <w:sz w:val="15"/>
                <w:szCs w:val="15"/>
                <w:b w:val="1"/>
                <w:bCs w:val="1"/>
                <w:color w:val="125288"/>
              </w:rPr>
              <w:t>Year Ended</w:t>
            </w:r>
          </w:p>
        </w:tc>
        <w:tc>
          <w:tcPr>
            <w:tcW w:w="920" w:type="dxa"/>
            <w:vAlign w:val="bottom"/>
          </w:tcPr>
          <w:p>
            <w:pPr>
              <w:spacing w:after="0"/>
              <w:rPr>
                <w:sz w:val="17"/>
                <w:szCs w:val="17"/>
                <w:color w:val="auto"/>
              </w:rPr>
            </w:pPr>
          </w:p>
        </w:tc>
      </w:tr>
      <w:tr>
        <w:trPr>
          <w:trHeight w:val="37"/>
        </w:trPr>
        <w:tc>
          <w:tcPr>
            <w:tcW w:w="7760" w:type="dxa"/>
            <w:vAlign w:val="bottom"/>
          </w:tcPr>
          <w:p>
            <w:pPr>
              <w:spacing w:after="0"/>
              <w:rPr>
                <w:sz w:val="3"/>
                <w:szCs w:val="3"/>
                <w:color w:val="auto"/>
              </w:rPr>
            </w:pPr>
          </w:p>
        </w:tc>
        <w:tc>
          <w:tcPr>
            <w:tcW w:w="1720" w:type="dxa"/>
            <w:vAlign w:val="bottom"/>
            <w:tcBorders>
              <w:bottom w:val="single" w:sz="8" w:color="125288"/>
            </w:tcBorders>
            <w:gridSpan w:val="2"/>
          </w:tcPr>
          <w:p>
            <w:pPr>
              <w:spacing w:after="0"/>
              <w:rPr>
                <w:sz w:val="3"/>
                <w:szCs w:val="3"/>
                <w:color w:val="auto"/>
              </w:rPr>
            </w:pPr>
          </w:p>
        </w:tc>
        <w:tc>
          <w:tcPr>
            <w:tcW w:w="1780" w:type="dxa"/>
            <w:vAlign w:val="bottom"/>
            <w:tcBorders>
              <w:bottom w:val="single" w:sz="8" w:color="125288"/>
            </w:tcBorders>
            <w:gridSpan w:val="2"/>
          </w:tcPr>
          <w:p>
            <w:pPr>
              <w:spacing w:after="0"/>
              <w:rPr>
                <w:sz w:val="3"/>
                <w:szCs w:val="3"/>
                <w:color w:val="auto"/>
              </w:rPr>
            </w:pPr>
          </w:p>
        </w:tc>
      </w:tr>
      <w:tr>
        <w:trPr>
          <w:trHeight w:val="204"/>
        </w:trPr>
        <w:tc>
          <w:tcPr>
            <w:tcW w:w="7760" w:type="dxa"/>
            <w:vAlign w:val="bottom"/>
          </w:tcPr>
          <w:p>
            <w:pPr>
              <w:spacing w:after="0"/>
              <w:rPr>
                <w:sz w:val="17"/>
                <w:szCs w:val="17"/>
                <w:color w:val="auto"/>
              </w:rPr>
            </w:pPr>
          </w:p>
        </w:tc>
        <w:tc>
          <w:tcPr>
            <w:tcW w:w="1720" w:type="dxa"/>
            <w:vAlign w:val="bottom"/>
            <w:gridSpan w:val="2"/>
          </w:tcPr>
          <w:p>
            <w:pPr>
              <w:jc w:val="right"/>
              <w:ind w:right="238"/>
              <w:spacing w:after="0"/>
              <w:rPr>
                <w:sz w:val="20"/>
                <w:szCs w:val="20"/>
                <w:color w:val="auto"/>
              </w:rPr>
            </w:pPr>
            <w:r>
              <w:rPr>
                <w:rFonts w:ascii="Arial" w:cs="Arial" w:eastAsia="Arial" w:hAnsi="Arial"/>
                <w:sz w:val="15"/>
                <w:szCs w:val="15"/>
                <w:b w:val="1"/>
                <w:bCs w:val="1"/>
                <w:color w:val="125288"/>
              </w:rPr>
              <w:t>December 31, 2021</w:t>
            </w:r>
          </w:p>
        </w:tc>
        <w:tc>
          <w:tcPr>
            <w:tcW w:w="1780" w:type="dxa"/>
            <w:vAlign w:val="bottom"/>
            <w:gridSpan w:val="2"/>
          </w:tcPr>
          <w:p>
            <w:pPr>
              <w:jc w:val="right"/>
              <w:spacing w:after="0"/>
              <w:rPr>
                <w:sz w:val="20"/>
                <w:szCs w:val="20"/>
                <w:color w:val="auto"/>
              </w:rPr>
            </w:pPr>
            <w:r>
              <w:rPr>
                <w:rFonts w:ascii="Arial" w:cs="Arial" w:eastAsia="Arial" w:hAnsi="Arial"/>
                <w:sz w:val="15"/>
                <w:szCs w:val="15"/>
                <w:b w:val="1"/>
                <w:bCs w:val="1"/>
                <w:color w:val="125288"/>
              </w:rPr>
              <w:t>December 31, 2020</w:t>
            </w:r>
          </w:p>
        </w:tc>
      </w:tr>
      <w:tr>
        <w:trPr>
          <w:trHeight w:val="37"/>
        </w:trPr>
        <w:tc>
          <w:tcPr>
            <w:tcW w:w="7760" w:type="dxa"/>
            <w:vAlign w:val="bottom"/>
            <w:tcBorders>
              <w:bottom w:val="single" w:sz="8" w:color="125288"/>
            </w:tcBorders>
          </w:tcPr>
          <w:p>
            <w:pPr>
              <w:spacing w:after="0"/>
              <w:rPr>
                <w:sz w:val="3"/>
                <w:szCs w:val="3"/>
                <w:color w:val="auto"/>
              </w:rPr>
            </w:pPr>
          </w:p>
        </w:tc>
        <w:tc>
          <w:tcPr>
            <w:tcW w:w="440" w:type="dxa"/>
            <w:vAlign w:val="bottom"/>
            <w:tcBorders>
              <w:bottom w:val="single" w:sz="8" w:color="125288"/>
            </w:tcBorders>
          </w:tcPr>
          <w:p>
            <w:pPr>
              <w:spacing w:after="0"/>
              <w:rPr>
                <w:sz w:val="3"/>
                <w:szCs w:val="3"/>
                <w:color w:val="auto"/>
              </w:rPr>
            </w:pPr>
          </w:p>
        </w:tc>
        <w:tc>
          <w:tcPr>
            <w:tcW w:w="1280" w:type="dxa"/>
            <w:vAlign w:val="bottom"/>
            <w:tcBorders>
              <w:bottom w:val="single" w:sz="8" w:color="125288"/>
            </w:tcBorders>
          </w:tcPr>
          <w:p>
            <w:pPr>
              <w:spacing w:after="0"/>
              <w:rPr>
                <w:sz w:val="3"/>
                <w:szCs w:val="3"/>
                <w:color w:val="auto"/>
              </w:rPr>
            </w:pPr>
          </w:p>
        </w:tc>
        <w:tc>
          <w:tcPr>
            <w:tcW w:w="860" w:type="dxa"/>
            <w:vAlign w:val="bottom"/>
            <w:tcBorders>
              <w:bottom w:val="single" w:sz="8" w:color="125288"/>
            </w:tcBorders>
          </w:tcPr>
          <w:p>
            <w:pPr>
              <w:spacing w:after="0"/>
              <w:rPr>
                <w:sz w:val="3"/>
                <w:szCs w:val="3"/>
                <w:color w:val="auto"/>
              </w:rPr>
            </w:pPr>
          </w:p>
        </w:tc>
        <w:tc>
          <w:tcPr>
            <w:tcW w:w="920" w:type="dxa"/>
            <w:vAlign w:val="bottom"/>
            <w:tcBorders>
              <w:bottom w:val="single" w:sz="8" w:color="125288"/>
            </w:tcBorders>
          </w:tcPr>
          <w:p>
            <w:pPr>
              <w:spacing w:after="0"/>
              <w:rPr>
                <w:sz w:val="3"/>
                <w:szCs w:val="3"/>
                <w:color w:val="auto"/>
              </w:rPr>
            </w:pPr>
          </w:p>
        </w:tc>
      </w:tr>
      <w:tr>
        <w:trPr>
          <w:trHeight w:val="268"/>
        </w:trPr>
        <w:tc>
          <w:tcPr>
            <w:tcW w:w="7760" w:type="dxa"/>
            <w:vAlign w:val="bottom"/>
          </w:tcPr>
          <w:p>
            <w:pPr>
              <w:ind w:left="40"/>
              <w:spacing w:after="0"/>
              <w:rPr>
                <w:sz w:val="20"/>
                <w:szCs w:val="20"/>
                <w:color w:val="auto"/>
              </w:rPr>
            </w:pPr>
            <w:r>
              <w:rPr>
                <w:rFonts w:ascii="Arial" w:cs="Arial" w:eastAsia="Arial" w:hAnsi="Arial"/>
                <w:sz w:val="17"/>
                <w:szCs w:val="17"/>
                <w:color w:val="auto"/>
              </w:rPr>
              <w:t>Audit Fees</w:t>
            </w:r>
            <w:r>
              <w:rPr>
                <w:rFonts w:ascii="Arial" w:cs="Arial" w:eastAsia="Arial" w:hAnsi="Arial"/>
                <w:sz w:val="9"/>
                <w:szCs w:val="9"/>
                <w:color w:val="auto"/>
              </w:rPr>
              <w:t>(1)</w:t>
            </w:r>
          </w:p>
        </w:tc>
        <w:tc>
          <w:tcPr>
            <w:tcW w:w="440" w:type="dxa"/>
            <w:vAlign w:val="bottom"/>
          </w:tcPr>
          <w:p>
            <w:pPr>
              <w:jc w:val="right"/>
              <w:ind w:right="59"/>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238"/>
              <w:spacing w:after="0"/>
              <w:rPr>
                <w:sz w:val="20"/>
                <w:szCs w:val="20"/>
                <w:color w:val="auto"/>
              </w:rPr>
            </w:pPr>
            <w:r>
              <w:rPr>
                <w:rFonts w:ascii="Arial" w:cs="Arial" w:eastAsia="Arial" w:hAnsi="Arial"/>
                <w:sz w:val="17"/>
                <w:szCs w:val="17"/>
                <w:color w:val="auto"/>
              </w:rPr>
              <w:t>7,095,608</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8,028,335</w:t>
            </w:r>
          </w:p>
        </w:tc>
      </w:tr>
      <w:tr>
        <w:trPr>
          <w:trHeight w:val="81"/>
        </w:trPr>
        <w:tc>
          <w:tcPr>
            <w:tcW w:w="7760" w:type="dxa"/>
            <w:vAlign w:val="bottom"/>
            <w:tcBorders>
              <w:bottom w:val="single" w:sz="8" w:color="125288"/>
            </w:tcBorders>
          </w:tcPr>
          <w:p>
            <w:pPr>
              <w:spacing w:after="0"/>
              <w:rPr>
                <w:sz w:val="7"/>
                <w:szCs w:val="7"/>
                <w:color w:val="auto"/>
              </w:rPr>
            </w:pPr>
          </w:p>
        </w:tc>
        <w:tc>
          <w:tcPr>
            <w:tcW w:w="440" w:type="dxa"/>
            <w:vAlign w:val="bottom"/>
            <w:tcBorders>
              <w:bottom w:val="single" w:sz="8" w:color="125288"/>
            </w:tcBorders>
          </w:tcPr>
          <w:p>
            <w:pPr>
              <w:spacing w:after="0"/>
              <w:rPr>
                <w:sz w:val="7"/>
                <w:szCs w:val="7"/>
                <w:color w:val="auto"/>
              </w:rPr>
            </w:pPr>
          </w:p>
        </w:tc>
        <w:tc>
          <w:tcPr>
            <w:tcW w:w="1280" w:type="dxa"/>
            <w:vAlign w:val="bottom"/>
            <w:tcBorders>
              <w:bottom w:val="single" w:sz="8" w:color="125288"/>
            </w:tcBorders>
          </w:tcPr>
          <w:p>
            <w:pPr>
              <w:spacing w:after="0"/>
              <w:rPr>
                <w:sz w:val="7"/>
                <w:szCs w:val="7"/>
                <w:color w:val="auto"/>
              </w:rPr>
            </w:pPr>
          </w:p>
        </w:tc>
        <w:tc>
          <w:tcPr>
            <w:tcW w:w="860" w:type="dxa"/>
            <w:vAlign w:val="bottom"/>
            <w:tcBorders>
              <w:bottom w:val="single" w:sz="8" w:color="125288"/>
            </w:tcBorders>
          </w:tcPr>
          <w:p>
            <w:pPr>
              <w:spacing w:after="0"/>
              <w:rPr>
                <w:sz w:val="7"/>
                <w:szCs w:val="7"/>
                <w:color w:val="auto"/>
              </w:rPr>
            </w:pPr>
          </w:p>
        </w:tc>
        <w:tc>
          <w:tcPr>
            <w:tcW w:w="920" w:type="dxa"/>
            <w:vAlign w:val="bottom"/>
            <w:tcBorders>
              <w:bottom w:val="single" w:sz="8" w:color="125288"/>
            </w:tcBorders>
          </w:tcPr>
          <w:p>
            <w:pPr>
              <w:spacing w:after="0"/>
              <w:rPr>
                <w:sz w:val="7"/>
                <w:szCs w:val="7"/>
                <w:color w:val="auto"/>
              </w:rPr>
            </w:pPr>
          </w:p>
        </w:tc>
      </w:tr>
      <w:tr>
        <w:trPr>
          <w:trHeight w:val="268"/>
        </w:trPr>
        <w:tc>
          <w:tcPr>
            <w:tcW w:w="7760" w:type="dxa"/>
            <w:vAlign w:val="bottom"/>
          </w:tcPr>
          <w:p>
            <w:pPr>
              <w:ind w:left="40"/>
              <w:spacing w:after="0"/>
              <w:rPr>
                <w:sz w:val="20"/>
                <w:szCs w:val="20"/>
                <w:color w:val="auto"/>
              </w:rPr>
            </w:pPr>
            <w:r>
              <w:rPr>
                <w:rFonts w:ascii="Arial" w:cs="Arial" w:eastAsia="Arial" w:hAnsi="Arial"/>
                <w:sz w:val="17"/>
                <w:szCs w:val="17"/>
                <w:color w:val="auto"/>
              </w:rPr>
              <w:t>Audit-Related Fees</w:t>
            </w:r>
            <w:r>
              <w:rPr>
                <w:rFonts w:ascii="Arial" w:cs="Arial" w:eastAsia="Arial" w:hAnsi="Arial"/>
                <w:sz w:val="9"/>
                <w:szCs w:val="9"/>
                <w:color w:val="auto"/>
              </w:rPr>
              <w:t>(2)</w:t>
            </w:r>
          </w:p>
        </w:tc>
        <w:tc>
          <w:tcPr>
            <w:tcW w:w="440" w:type="dxa"/>
            <w:vAlign w:val="bottom"/>
          </w:tcPr>
          <w:p>
            <w:pPr>
              <w:spacing w:after="0"/>
              <w:rPr>
                <w:sz w:val="23"/>
                <w:szCs w:val="23"/>
                <w:color w:val="auto"/>
              </w:rPr>
            </w:pPr>
          </w:p>
        </w:tc>
        <w:tc>
          <w:tcPr>
            <w:tcW w:w="1280" w:type="dxa"/>
            <w:vAlign w:val="bottom"/>
          </w:tcPr>
          <w:p>
            <w:pPr>
              <w:jc w:val="right"/>
              <w:ind w:right="238"/>
              <w:spacing w:after="0"/>
              <w:rPr>
                <w:sz w:val="20"/>
                <w:szCs w:val="20"/>
                <w:color w:val="auto"/>
              </w:rPr>
            </w:pPr>
            <w:r>
              <w:rPr>
                <w:rFonts w:ascii="Arial" w:cs="Arial" w:eastAsia="Arial" w:hAnsi="Arial"/>
                <w:sz w:val="17"/>
                <w:szCs w:val="17"/>
                <w:color w:val="auto"/>
              </w:rPr>
              <w:t>89,417</w:t>
            </w:r>
          </w:p>
        </w:tc>
        <w:tc>
          <w:tcPr>
            <w:tcW w:w="8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33,000</w:t>
            </w:r>
          </w:p>
        </w:tc>
      </w:tr>
      <w:tr>
        <w:trPr>
          <w:trHeight w:val="81"/>
        </w:trPr>
        <w:tc>
          <w:tcPr>
            <w:tcW w:w="7760" w:type="dxa"/>
            <w:vAlign w:val="bottom"/>
            <w:tcBorders>
              <w:bottom w:val="single" w:sz="8" w:color="125288"/>
            </w:tcBorders>
          </w:tcPr>
          <w:p>
            <w:pPr>
              <w:spacing w:after="0"/>
              <w:rPr>
                <w:sz w:val="7"/>
                <w:szCs w:val="7"/>
                <w:color w:val="auto"/>
              </w:rPr>
            </w:pPr>
          </w:p>
        </w:tc>
        <w:tc>
          <w:tcPr>
            <w:tcW w:w="440" w:type="dxa"/>
            <w:vAlign w:val="bottom"/>
            <w:tcBorders>
              <w:bottom w:val="single" w:sz="8" w:color="125288"/>
            </w:tcBorders>
          </w:tcPr>
          <w:p>
            <w:pPr>
              <w:spacing w:after="0"/>
              <w:rPr>
                <w:sz w:val="7"/>
                <w:szCs w:val="7"/>
                <w:color w:val="auto"/>
              </w:rPr>
            </w:pPr>
          </w:p>
        </w:tc>
        <w:tc>
          <w:tcPr>
            <w:tcW w:w="1280" w:type="dxa"/>
            <w:vAlign w:val="bottom"/>
            <w:tcBorders>
              <w:bottom w:val="single" w:sz="8" w:color="125288"/>
            </w:tcBorders>
          </w:tcPr>
          <w:p>
            <w:pPr>
              <w:spacing w:after="0"/>
              <w:rPr>
                <w:sz w:val="7"/>
                <w:szCs w:val="7"/>
                <w:color w:val="auto"/>
              </w:rPr>
            </w:pPr>
          </w:p>
        </w:tc>
        <w:tc>
          <w:tcPr>
            <w:tcW w:w="860" w:type="dxa"/>
            <w:vAlign w:val="bottom"/>
            <w:tcBorders>
              <w:bottom w:val="single" w:sz="8" w:color="125288"/>
            </w:tcBorders>
          </w:tcPr>
          <w:p>
            <w:pPr>
              <w:spacing w:after="0"/>
              <w:rPr>
                <w:sz w:val="7"/>
                <w:szCs w:val="7"/>
                <w:color w:val="auto"/>
              </w:rPr>
            </w:pPr>
          </w:p>
        </w:tc>
        <w:tc>
          <w:tcPr>
            <w:tcW w:w="920" w:type="dxa"/>
            <w:vAlign w:val="bottom"/>
            <w:tcBorders>
              <w:bottom w:val="single" w:sz="8" w:color="125288"/>
            </w:tcBorders>
          </w:tcPr>
          <w:p>
            <w:pPr>
              <w:spacing w:after="0"/>
              <w:rPr>
                <w:sz w:val="7"/>
                <w:szCs w:val="7"/>
                <w:color w:val="auto"/>
              </w:rPr>
            </w:pPr>
          </w:p>
        </w:tc>
      </w:tr>
      <w:tr>
        <w:trPr>
          <w:trHeight w:val="268"/>
        </w:trPr>
        <w:tc>
          <w:tcPr>
            <w:tcW w:w="7760" w:type="dxa"/>
            <w:vAlign w:val="bottom"/>
          </w:tcPr>
          <w:p>
            <w:pPr>
              <w:ind w:left="40"/>
              <w:spacing w:after="0"/>
              <w:rPr>
                <w:sz w:val="20"/>
                <w:szCs w:val="20"/>
                <w:color w:val="auto"/>
              </w:rPr>
            </w:pPr>
            <w:r>
              <w:rPr>
                <w:rFonts w:ascii="Arial" w:cs="Arial" w:eastAsia="Arial" w:hAnsi="Arial"/>
                <w:sz w:val="17"/>
                <w:szCs w:val="17"/>
                <w:color w:val="auto"/>
              </w:rPr>
              <w:t>Tax Fees</w:t>
            </w:r>
            <w:r>
              <w:rPr>
                <w:rFonts w:ascii="Arial" w:cs="Arial" w:eastAsia="Arial" w:hAnsi="Arial"/>
                <w:sz w:val="9"/>
                <w:szCs w:val="9"/>
                <w:color w:val="auto"/>
              </w:rPr>
              <w:t>(3)</w:t>
            </w:r>
          </w:p>
        </w:tc>
        <w:tc>
          <w:tcPr>
            <w:tcW w:w="440" w:type="dxa"/>
            <w:vAlign w:val="bottom"/>
          </w:tcPr>
          <w:p>
            <w:pPr>
              <w:spacing w:after="0"/>
              <w:rPr>
                <w:sz w:val="23"/>
                <w:szCs w:val="23"/>
                <w:color w:val="auto"/>
              </w:rPr>
            </w:pPr>
          </w:p>
        </w:tc>
        <w:tc>
          <w:tcPr>
            <w:tcW w:w="1280" w:type="dxa"/>
            <w:vAlign w:val="bottom"/>
          </w:tcPr>
          <w:p>
            <w:pPr>
              <w:jc w:val="right"/>
              <w:ind w:right="238"/>
              <w:spacing w:after="0"/>
              <w:rPr>
                <w:sz w:val="20"/>
                <w:szCs w:val="20"/>
                <w:color w:val="auto"/>
              </w:rPr>
            </w:pPr>
            <w:r>
              <w:rPr>
                <w:rFonts w:ascii="Arial" w:cs="Arial" w:eastAsia="Arial" w:hAnsi="Arial"/>
                <w:sz w:val="17"/>
                <w:szCs w:val="17"/>
                <w:color w:val="auto"/>
              </w:rPr>
              <w:t>2,981,132</w:t>
            </w:r>
          </w:p>
        </w:tc>
        <w:tc>
          <w:tcPr>
            <w:tcW w:w="8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2,974,245</w:t>
            </w:r>
          </w:p>
        </w:tc>
      </w:tr>
      <w:tr>
        <w:trPr>
          <w:trHeight w:val="81"/>
        </w:trPr>
        <w:tc>
          <w:tcPr>
            <w:tcW w:w="7760" w:type="dxa"/>
            <w:vAlign w:val="bottom"/>
            <w:tcBorders>
              <w:bottom w:val="single" w:sz="8" w:color="125288"/>
            </w:tcBorders>
          </w:tcPr>
          <w:p>
            <w:pPr>
              <w:spacing w:after="0"/>
              <w:rPr>
                <w:sz w:val="7"/>
                <w:szCs w:val="7"/>
                <w:color w:val="auto"/>
              </w:rPr>
            </w:pPr>
          </w:p>
        </w:tc>
        <w:tc>
          <w:tcPr>
            <w:tcW w:w="440" w:type="dxa"/>
            <w:vAlign w:val="bottom"/>
            <w:tcBorders>
              <w:bottom w:val="single" w:sz="8" w:color="125288"/>
            </w:tcBorders>
          </w:tcPr>
          <w:p>
            <w:pPr>
              <w:spacing w:after="0"/>
              <w:rPr>
                <w:sz w:val="7"/>
                <w:szCs w:val="7"/>
                <w:color w:val="auto"/>
              </w:rPr>
            </w:pPr>
          </w:p>
        </w:tc>
        <w:tc>
          <w:tcPr>
            <w:tcW w:w="1280" w:type="dxa"/>
            <w:vAlign w:val="bottom"/>
            <w:tcBorders>
              <w:bottom w:val="single" w:sz="8" w:color="125288"/>
            </w:tcBorders>
          </w:tcPr>
          <w:p>
            <w:pPr>
              <w:spacing w:after="0"/>
              <w:rPr>
                <w:sz w:val="7"/>
                <w:szCs w:val="7"/>
                <w:color w:val="auto"/>
              </w:rPr>
            </w:pPr>
          </w:p>
        </w:tc>
        <w:tc>
          <w:tcPr>
            <w:tcW w:w="860" w:type="dxa"/>
            <w:vAlign w:val="bottom"/>
            <w:tcBorders>
              <w:bottom w:val="single" w:sz="8" w:color="125288"/>
            </w:tcBorders>
          </w:tcPr>
          <w:p>
            <w:pPr>
              <w:spacing w:after="0"/>
              <w:rPr>
                <w:sz w:val="7"/>
                <w:szCs w:val="7"/>
                <w:color w:val="auto"/>
              </w:rPr>
            </w:pPr>
          </w:p>
        </w:tc>
        <w:tc>
          <w:tcPr>
            <w:tcW w:w="920" w:type="dxa"/>
            <w:vAlign w:val="bottom"/>
            <w:tcBorders>
              <w:bottom w:val="single" w:sz="8" w:color="125288"/>
            </w:tcBorders>
          </w:tcPr>
          <w:p>
            <w:pPr>
              <w:spacing w:after="0"/>
              <w:rPr>
                <w:sz w:val="7"/>
                <w:szCs w:val="7"/>
                <w:color w:val="auto"/>
              </w:rPr>
            </w:pPr>
          </w:p>
        </w:tc>
      </w:tr>
      <w:tr>
        <w:trPr>
          <w:trHeight w:val="268"/>
        </w:trPr>
        <w:tc>
          <w:tcPr>
            <w:tcW w:w="7760" w:type="dxa"/>
            <w:vAlign w:val="bottom"/>
          </w:tcPr>
          <w:p>
            <w:pPr>
              <w:ind w:left="40"/>
              <w:spacing w:after="0"/>
              <w:rPr>
                <w:sz w:val="20"/>
                <w:szCs w:val="20"/>
                <w:color w:val="auto"/>
              </w:rPr>
            </w:pPr>
            <w:r>
              <w:rPr>
                <w:rFonts w:ascii="Arial" w:cs="Arial" w:eastAsia="Arial" w:hAnsi="Arial"/>
                <w:sz w:val="17"/>
                <w:szCs w:val="17"/>
                <w:color w:val="auto"/>
              </w:rPr>
              <w:t>All Other Fees</w:t>
            </w:r>
            <w:r>
              <w:rPr>
                <w:rFonts w:ascii="Arial" w:cs="Arial" w:eastAsia="Arial" w:hAnsi="Arial"/>
                <w:sz w:val="9"/>
                <w:szCs w:val="9"/>
                <w:color w:val="auto"/>
              </w:rPr>
              <w:t>(4)</w:t>
            </w:r>
          </w:p>
        </w:tc>
        <w:tc>
          <w:tcPr>
            <w:tcW w:w="440" w:type="dxa"/>
            <w:vAlign w:val="bottom"/>
          </w:tcPr>
          <w:p>
            <w:pPr>
              <w:spacing w:after="0"/>
              <w:rPr>
                <w:sz w:val="23"/>
                <w:szCs w:val="23"/>
                <w:color w:val="auto"/>
              </w:rPr>
            </w:pPr>
          </w:p>
        </w:tc>
        <w:tc>
          <w:tcPr>
            <w:tcW w:w="1280" w:type="dxa"/>
            <w:vAlign w:val="bottom"/>
          </w:tcPr>
          <w:p>
            <w:pPr>
              <w:jc w:val="right"/>
              <w:ind w:right="238"/>
              <w:spacing w:after="0"/>
              <w:rPr>
                <w:sz w:val="20"/>
                <w:szCs w:val="20"/>
                <w:color w:val="auto"/>
              </w:rPr>
            </w:pPr>
            <w:r>
              <w:rPr>
                <w:rFonts w:ascii="Arial" w:cs="Arial" w:eastAsia="Arial" w:hAnsi="Arial"/>
                <w:sz w:val="17"/>
                <w:szCs w:val="17"/>
                <w:color w:val="auto"/>
              </w:rPr>
              <w:t>5,000</w:t>
            </w:r>
          </w:p>
        </w:tc>
        <w:tc>
          <w:tcPr>
            <w:tcW w:w="8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9,200</w:t>
            </w:r>
          </w:p>
        </w:tc>
      </w:tr>
      <w:tr>
        <w:trPr>
          <w:trHeight w:val="85"/>
        </w:trPr>
        <w:tc>
          <w:tcPr>
            <w:tcW w:w="7760" w:type="dxa"/>
            <w:vAlign w:val="bottom"/>
            <w:tcBorders>
              <w:bottom w:val="single" w:sz="8" w:color="125288"/>
            </w:tcBorders>
          </w:tcPr>
          <w:p>
            <w:pPr>
              <w:spacing w:after="0"/>
              <w:rPr>
                <w:sz w:val="7"/>
                <w:szCs w:val="7"/>
                <w:color w:val="auto"/>
              </w:rPr>
            </w:pPr>
          </w:p>
        </w:tc>
        <w:tc>
          <w:tcPr>
            <w:tcW w:w="440" w:type="dxa"/>
            <w:vAlign w:val="bottom"/>
            <w:tcBorders>
              <w:bottom w:val="single" w:sz="8" w:color="125288"/>
            </w:tcBorders>
          </w:tcPr>
          <w:p>
            <w:pPr>
              <w:spacing w:after="0"/>
              <w:rPr>
                <w:sz w:val="7"/>
                <w:szCs w:val="7"/>
                <w:color w:val="auto"/>
              </w:rPr>
            </w:pPr>
          </w:p>
        </w:tc>
        <w:tc>
          <w:tcPr>
            <w:tcW w:w="1280" w:type="dxa"/>
            <w:vAlign w:val="bottom"/>
            <w:tcBorders>
              <w:bottom w:val="single" w:sz="8" w:color="125288"/>
            </w:tcBorders>
          </w:tcPr>
          <w:p>
            <w:pPr>
              <w:spacing w:after="0"/>
              <w:rPr>
                <w:sz w:val="7"/>
                <w:szCs w:val="7"/>
                <w:color w:val="auto"/>
              </w:rPr>
            </w:pPr>
          </w:p>
        </w:tc>
        <w:tc>
          <w:tcPr>
            <w:tcW w:w="860" w:type="dxa"/>
            <w:vAlign w:val="bottom"/>
            <w:tcBorders>
              <w:bottom w:val="single" w:sz="8" w:color="125288"/>
            </w:tcBorders>
          </w:tcPr>
          <w:p>
            <w:pPr>
              <w:spacing w:after="0"/>
              <w:rPr>
                <w:sz w:val="7"/>
                <w:szCs w:val="7"/>
                <w:color w:val="auto"/>
              </w:rPr>
            </w:pPr>
          </w:p>
        </w:tc>
        <w:tc>
          <w:tcPr>
            <w:tcW w:w="920" w:type="dxa"/>
            <w:vAlign w:val="bottom"/>
            <w:tcBorders>
              <w:bottom w:val="single" w:sz="8" w:color="125288"/>
            </w:tcBorders>
          </w:tcPr>
          <w:p>
            <w:pPr>
              <w:spacing w:after="0"/>
              <w:rPr>
                <w:sz w:val="7"/>
                <w:szCs w:val="7"/>
                <w:color w:val="auto"/>
              </w:rPr>
            </w:pPr>
          </w:p>
        </w:tc>
      </w:tr>
      <w:tr>
        <w:trPr>
          <w:trHeight w:val="276"/>
        </w:trPr>
        <w:tc>
          <w:tcPr>
            <w:tcW w:w="7760" w:type="dxa"/>
            <w:vAlign w:val="bottom"/>
          </w:tcPr>
          <w:p>
            <w:pPr>
              <w:ind w:left="40"/>
              <w:spacing w:after="0"/>
              <w:rPr>
                <w:sz w:val="20"/>
                <w:szCs w:val="20"/>
                <w:color w:val="auto"/>
              </w:rPr>
            </w:pPr>
            <w:r>
              <w:rPr>
                <w:rFonts w:ascii="Arial" w:cs="Arial" w:eastAsia="Arial" w:hAnsi="Arial"/>
                <w:sz w:val="17"/>
                <w:szCs w:val="17"/>
                <w:b w:val="1"/>
                <w:bCs w:val="1"/>
                <w:color w:val="125288"/>
              </w:rPr>
              <w:t>TOTAL</w:t>
            </w:r>
          </w:p>
        </w:tc>
        <w:tc>
          <w:tcPr>
            <w:tcW w:w="440" w:type="dxa"/>
            <w:vAlign w:val="bottom"/>
          </w:tcPr>
          <w:p>
            <w:pPr>
              <w:jc w:val="right"/>
              <w:ind w:right="59"/>
              <w:spacing w:after="0"/>
              <w:rPr>
                <w:sz w:val="20"/>
                <w:szCs w:val="20"/>
                <w:color w:val="auto"/>
              </w:rPr>
            </w:pPr>
            <w:r>
              <w:rPr>
                <w:rFonts w:ascii="Arial" w:cs="Arial" w:eastAsia="Arial" w:hAnsi="Arial"/>
                <w:sz w:val="17"/>
                <w:szCs w:val="17"/>
                <w:b w:val="1"/>
                <w:bCs w:val="1"/>
                <w:color w:val="125288"/>
              </w:rPr>
              <w:t>$</w:t>
            </w:r>
          </w:p>
        </w:tc>
        <w:tc>
          <w:tcPr>
            <w:tcW w:w="1280" w:type="dxa"/>
            <w:vAlign w:val="bottom"/>
          </w:tcPr>
          <w:p>
            <w:pPr>
              <w:jc w:val="right"/>
              <w:ind w:right="238"/>
              <w:spacing w:after="0"/>
              <w:rPr>
                <w:sz w:val="20"/>
                <w:szCs w:val="20"/>
                <w:color w:val="auto"/>
              </w:rPr>
            </w:pPr>
            <w:r>
              <w:rPr>
                <w:rFonts w:ascii="Arial" w:cs="Arial" w:eastAsia="Arial" w:hAnsi="Arial"/>
                <w:sz w:val="17"/>
                <w:szCs w:val="17"/>
                <w:b w:val="1"/>
                <w:bCs w:val="1"/>
                <w:color w:val="125288"/>
              </w:rPr>
              <w:t>10,171,157</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125288"/>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125288"/>
                <w:w w:val="98"/>
              </w:rPr>
              <w:t>11,044,780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148830" cy="152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135" w:lineRule="exact"/>
        <w:rPr>
          <w:sz w:val="20"/>
          <w:szCs w:val="20"/>
          <w:color w:val="auto"/>
        </w:rPr>
      </w:pPr>
    </w:p>
    <w:p>
      <w:pPr>
        <w:jc w:val="both"/>
        <w:ind w:left="320" w:right="80" w:hanging="277"/>
        <w:spacing w:after="0" w:line="253" w:lineRule="auto"/>
        <w:tabs>
          <w:tab w:leader="none" w:pos="32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Audit Fees: This category includes: services provided in connection with the annual audit of our financial statements (including required quarterly reviews of financial statements included in our Quarterly Reports on Form 10-Q); services provided in connection with the annual audit of our internal control over financial reporting, as required by Section 404 of the Sarbanes Oxley Act of 2002; statutory audits required for certain of our non-U.S. subsidiaries; consents, assistance with, and review of, documents filed with the SEC; and other services that are normally provided in connection with statutory or regulatory filings or engagements.</w:t>
      </w:r>
    </w:p>
    <w:p>
      <w:pPr>
        <w:spacing w:after="0" w:line="199" w:lineRule="exact"/>
        <w:rPr>
          <w:rFonts w:ascii="Arial" w:cs="Arial" w:eastAsia="Arial" w:hAnsi="Arial"/>
          <w:sz w:val="15"/>
          <w:szCs w:val="15"/>
          <w:color w:val="auto"/>
        </w:rPr>
      </w:pPr>
    </w:p>
    <w:p>
      <w:pPr>
        <w:ind w:left="320" w:hanging="277"/>
        <w:spacing w:after="0"/>
        <w:tabs>
          <w:tab w:leader="none" w:pos="32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Audit-Related Fees: This category includes fees primarily related to compliance attestation services.</w:t>
      </w:r>
    </w:p>
    <w:p>
      <w:pPr>
        <w:spacing w:after="0" w:line="41" w:lineRule="exact"/>
        <w:rPr>
          <w:rFonts w:ascii="Arial" w:cs="Arial" w:eastAsia="Arial" w:hAnsi="Arial"/>
          <w:sz w:val="15"/>
          <w:szCs w:val="15"/>
          <w:color w:val="auto"/>
        </w:rPr>
      </w:pPr>
    </w:p>
    <w:p>
      <w:pPr>
        <w:ind w:left="320" w:right="80" w:hanging="277"/>
        <w:spacing w:after="0" w:line="266" w:lineRule="auto"/>
        <w:tabs>
          <w:tab w:leader="none" w:pos="32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Tax Fees: This category includes services rendered for U.S. and foreign tax compliance and returns, transfer pricing, research and development tax credit, and other technical tax consulting.</w:t>
      </w:r>
    </w:p>
    <w:p>
      <w:pPr>
        <w:spacing w:after="0" w:line="9" w:lineRule="exact"/>
        <w:rPr>
          <w:rFonts w:ascii="Arial" w:cs="Arial" w:eastAsia="Arial" w:hAnsi="Arial"/>
          <w:sz w:val="15"/>
          <w:szCs w:val="15"/>
          <w:color w:val="auto"/>
        </w:rPr>
      </w:pPr>
    </w:p>
    <w:p>
      <w:pPr>
        <w:ind w:left="320" w:right="80" w:hanging="277"/>
        <w:spacing w:after="0" w:line="266" w:lineRule="auto"/>
        <w:tabs>
          <w:tab w:leader="none" w:pos="32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All Other Fees: This category includes fees for all other services except those described above. Amounts relate to assistance with international industry filings, as well as license fees paid for a disclosure checklist and, for 2020, an online research tool.</w:t>
      </w:r>
    </w:p>
    <w:p>
      <w:pPr>
        <w:spacing w:after="0" w:line="25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PRE-APPROVAL POLICIES AND PROCEDURES</w:t>
      </w: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color w:val="auto"/>
        </w:rPr>
        <w:t>In accordance with its charter, the Audit Committee must approve all audit and non-audit services before they are provided by PwC.</w:t>
      </w:r>
    </w:p>
    <w:p>
      <w:pPr>
        <w:spacing w:after="0" w:line="269"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At the beginning of each year, the Audit Committee approves a budget with respect to audit and non-audit services expected to be provided during the year by PwC. Within that budget, the Audit Committee approves spending attributable to specified classes of services that PwC has historically provided. If proposed services do not fall within one of the pre-approved classes, the services must be specifically pre-approved by the Chair of the Audit Committee and reported to the Audit Committee at its next full meeting. Further, if proposed services would cause the aggregate spending in a particular category—audit, audit-related, tax, and all other—to exceed the pre-approved annual budget for that category of services, those proposed services must first be pre-approved by the Chair of the Audit Committee and reported to the Audit Committee at its next full meeting.</w:t>
      </w:r>
    </w:p>
    <w:p>
      <w:pPr>
        <w:spacing w:after="0" w:line="261"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All services provided to the Company by PwC for 2021 were approved by the Audit Committee in accordance with these pre-approval policies and procedures.</w:t>
      </w:r>
    </w:p>
    <w:p>
      <w:pPr>
        <w:spacing w:after="0" w:line="150" w:lineRule="exact"/>
        <w:rPr>
          <w:sz w:val="20"/>
          <w:szCs w:val="20"/>
          <w:color w:val="auto"/>
        </w:rPr>
      </w:pPr>
    </w:p>
    <w:p>
      <w:pPr>
        <w:spacing w:after="0"/>
        <w:tabs>
          <w:tab w:leader="none" w:pos="7360" w:val="left"/>
          <w:tab w:leader="none" w:pos="9380" w:val="left"/>
          <w:tab w:leader="none" w:pos="1100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33" w:name="page134"/>
    <w:bookmarkEnd w:id="133"/>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AUDIT COMMITTEE REPORT</w:t>
      </w:r>
    </w:p>
    <w:p>
      <w:pPr>
        <w:spacing w:after="0" w:line="285" w:lineRule="exact"/>
        <w:rPr>
          <w:sz w:val="20"/>
          <w:szCs w:val="20"/>
          <w:color w:val="auto"/>
        </w:rPr>
      </w:pPr>
    </w:p>
    <w:p>
      <w:pPr>
        <w:jc w:val="both"/>
        <w:ind w:right="20"/>
        <w:spacing w:after="0" w:line="242" w:lineRule="auto"/>
        <w:rPr>
          <w:sz w:val="20"/>
          <w:szCs w:val="20"/>
          <w:color w:val="auto"/>
        </w:rPr>
      </w:pPr>
      <w:r>
        <w:rPr>
          <w:rFonts w:ascii="Arial" w:cs="Arial" w:eastAsia="Arial" w:hAnsi="Arial"/>
          <w:sz w:val="19"/>
          <w:szCs w:val="19"/>
          <w:b w:val="1"/>
          <w:bCs w:val="1"/>
          <w:color w:val="auto"/>
        </w:rPr>
        <w:t xml:space="preserve">Roles and Responsibilities: </w:t>
      </w:r>
      <w:r>
        <w:rPr>
          <w:rFonts w:ascii="Arial" w:cs="Arial" w:eastAsia="Arial" w:hAnsi="Arial"/>
          <w:sz w:val="19"/>
          <w:szCs w:val="19"/>
          <w:color w:val="auto"/>
        </w:rPr>
        <w:t>Management is responsible for the preparation of the Company’s financial statements and for our</w:t>
      </w:r>
      <w:r>
        <w:rPr>
          <w:rFonts w:ascii="Arial" w:cs="Arial" w:eastAsia="Arial" w:hAnsi="Arial"/>
          <w:sz w:val="19"/>
          <w:szCs w:val="19"/>
          <w:b w:val="1"/>
          <w:bCs w:val="1"/>
          <w:color w:val="auto"/>
        </w:rPr>
        <w:t xml:space="preserve"> </w:t>
      </w:r>
      <w:r>
        <w:rPr>
          <w:rFonts w:ascii="Arial" w:cs="Arial" w:eastAsia="Arial" w:hAnsi="Arial"/>
          <w:sz w:val="19"/>
          <w:szCs w:val="19"/>
          <w:color w:val="auto"/>
        </w:rPr>
        <w:t>system of internal control over financial reporting. Our independent registered public accounting firm, PwC, is responsible for performing an independent audit of our consolidated financial statements and the effectiveness of our internal control over financial reporting in accordance with the standards of the Public Company Accounting Oversight Board (United States) (“PCAOB”), and for issuing a report thereon. The Audit Committee is responsible for overseeing management’s conduct of the financial reporting process and our system of internal control over financial reporting.</w:t>
      </w:r>
    </w:p>
    <w:p>
      <w:pPr>
        <w:spacing w:after="0" w:line="235" w:lineRule="exact"/>
        <w:rPr>
          <w:sz w:val="20"/>
          <w:szCs w:val="20"/>
          <w:color w:val="auto"/>
        </w:rPr>
      </w:pPr>
    </w:p>
    <w:p>
      <w:pPr>
        <w:jc w:val="both"/>
        <w:spacing w:after="0" w:line="239" w:lineRule="auto"/>
        <w:rPr>
          <w:sz w:val="20"/>
          <w:szCs w:val="20"/>
          <w:color w:val="auto"/>
        </w:rPr>
      </w:pPr>
      <w:r>
        <w:rPr>
          <w:rFonts w:ascii="Arial" w:cs="Arial" w:eastAsia="Arial" w:hAnsi="Arial"/>
          <w:sz w:val="19"/>
          <w:szCs w:val="19"/>
          <w:b w:val="1"/>
          <w:bCs w:val="1"/>
          <w:color w:val="auto"/>
        </w:rPr>
        <w:t xml:space="preserve">Required Disclosures and Discussions: </w:t>
      </w:r>
      <w:r>
        <w:rPr>
          <w:rFonts w:ascii="Arial" w:cs="Arial" w:eastAsia="Arial" w:hAnsi="Arial"/>
          <w:sz w:val="19"/>
          <w:szCs w:val="19"/>
          <w:color w:val="auto"/>
        </w:rPr>
        <w:t>The Audit Committee has reviewed and discussed with both management and our</w:t>
      </w:r>
      <w:r>
        <w:rPr>
          <w:rFonts w:ascii="Arial" w:cs="Arial" w:eastAsia="Arial" w:hAnsi="Arial"/>
          <w:sz w:val="19"/>
          <w:szCs w:val="19"/>
          <w:b w:val="1"/>
          <w:bCs w:val="1"/>
          <w:color w:val="auto"/>
        </w:rPr>
        <w:t xml:space="preserve"> </w:t>
      </w:r>
      <w:r>
        <w:rPr>
          <w:rFonts w:ascii="Arial" w:cs="Arial" w:eastAsia="Arial" w:hAnsi="Arial"/>
          <w:sz w:val="19"/>
          <w:szCs w:val="19"/>
          <w:color w:val="auto"/>
        </w:rPr>
        <w:t>independent registered public accounting firm all annual audited financial statements prior to their issuance. Management advised the Audit Committee that each set of financial statements reviewed had been prepared in accordance with generally accepted accounting principles (i.e., GAAP), and reviewed significant accounting and disclosure issues with the Audit Committee. These reviews included discussions with the independent registered public accounting firm regarding the matters required to be discussed by both the PCAOB and the SEC, including under the PCAOB Auditing Standard 1301: Communications with Audit Committees. In addition, the Audit Committee has received and reviewed the written disclosures and the letter from our independent registered public accounting firm under the applicable requirements of the PCAOB regarding the independent registered public accounting firm’s communications with the Audit Committee concerning independence, and has discussed with such firm its independence, including a review of its audit and non-audit fees and services.</w:t>
      </w:r>
    </w:p>
    <w:p>
      <w:pPr>
        <w:spacing w:after="0" w:line="237" w:lineRule="exact"/>
        <w:rPr>
          <w:sz w:val="20"/>
          <w:szCs w:val="20"/>
          <w:color w:val="auto"/>
        </w:rPr>
      </w:pPr>
    </w:p>
    <w:p>
      <w:pPr>
        <w:jc w:val="both"/>
        <w:spacing w:after="0" w:line="247" w:lineRule="auto"/>
        <w:rPr>
          <w:sz w:val="20"/>
          <w:szCs w:val="20"/>
          <w:color w:val="auto"/>
        </w:rPr>
      </w:pPr>
      <w:r>
        <w:rPr>
          <w:rFonts w:ascii="Arial" w:cs="Arial" w:eastAsia="Arial" w:hAnsi="Arial"/>
          <w:sz w:val="19"/>
          <w:szCs w:val="19"/>
          <w:b w:val="1"/>
          <w:bCs w:val="1"/>
          <w:color w:val="auto"/>
        </w:rPr>
        <w:t xml:space="preserve">Committee Recommendation to Include the Financial Statements in the Annual Report: </w:t>
      </w:r>
      <w:r>
        <w:rPr>
          <w:rFonts w:ascii="Arial" w:cs="Arial" w:eastAsia="Arial" w:hAnsi="Arial"/>
          <w:sz w:val="19"/>
          <w:szCs w:val="19"/>
          <w:color w:val="auto"/>
        </w:rPr>
        <w:t>Based on these reviews and</w:t>
      </w:r>
      <w:r>
        <w:rPr>
          <w:rFonts w:ascii="Arial" w:cs="Arial" w:eastAsia="Arial" w:hAnsi="Arial"/>
          <w:sz w:val="19"/>
          <w:szCs w:val="19"/>
          <w:b w:val="1"/>
          <w:bCs w:val="1"/>
          <w:color w:val="auto"/>
        </w:rPr>
        <w:t xml:space="preserve"> </w:t>
      </w:r>
      <w:r>
        <w:rPr>
          <w:rFonts w:ascii="Arial" w:cs="Arial" w:eastAsia="Arial" w:hAnsi="Arial"/>
          <w:sz w:val="19"/>
          <w:szCs w:val="19"/>
          <w:color w:val="auto"/>
        </w:rPr>
        <w:t>discussions, all of the Audit Committee members, whose names are listed below, recommended to our Board that it approve the inclusion of our audited financial statements in our Annual Report on Form 10-K for the period ended December 31, 2021, for filing with the SEC.</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Members of the Audit Committee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Robert Corti (Chair), Hendrik Hartong III, and Peter Nolan</w:t>
      </w:r>
    </w:p>
    <w:p>
      <w:pPr>
        <w:spacing w:after="0" w:line="183" w:lineRule="exact"/>
        <w:rPr>
          <w:sz w:val="20"/>
          <w:szCs w:val="20"/>
          <w:color w:val="auto"/>
        </w:rPr>
      </w:pPr>
    </w:p>
    <w:p>
      <w:pPr>
        <w:spacing w:after="0"/>
        <w:tabs>
          <w:tab w:leader="none" w:pos="7360" w:val="left"/>
          <w:tab w:leader="none" w:pos="9380" w:val="left"/>
          <w:tab w:leader="none" w:pos="1100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34" w:name="page135"/>
    <w:bookmarkEnd w:id="134"/>
    <w:p>
      <w:pPr>
        <w:ind w:left="5"/>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20" w:lineRule="exact"/>
        <w:rPr>
          <w:sz w:val="20"/>
          <w:szCs w:val="20"/>
          <w:color w:val="auto"/>
        </w:rPr>
      </w:pPr>
    </w:p>
    <w:p>
      <w:pPr>
        <w:ind w:left="3085" w:right="380" w:hanging="3066"/>
        <w:spacing w:after="0" w:line="301" w:lineRule="auto"/>
        <w:tabs>
          <w:tab w:leader="none" w:pos="3064" w:val="left"/>
        </w:tabs>
        <w:rPr>
          <w:sz w:val="20"/>
          <w:szCs w:val="20"/>
          <w:color w:val="auto"/>
        </w:rPr>
      </w:pPr>
      <w:r>
        <w:rPr>
          <w:sz w:val="1"/>
          <w:szCs w:val="1"/>
          <w:color w:val="auto"/>
        </w:rPr>
        <w:drawing>
          <wp:inline distT="0" distB="0" distL="0" distR="0">
            <wp:extent cx="445135" cy="151130"/>
            <wp:effectExtent l="0" t="0" r="0" b="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445135" cy="151130"/>
                    </a:xfrm>
                    <a:prstGeom prst="rect">
                      <a:avLst/>
                    </a:prstGeom>
                    <a:noFill/>
                    <a:ln>
                      <a:noFill/>
                    </a:ln>
                  </pic:spPr>
                </pic:pic>
              </a:graphicData>
            </a:graphic>
          </wp:inline>
        </w:drawing>
      </w:r>
      <w:r>
        <w:rPr>
          <w:rFonts w:ascii="Arial" w:cs="Arial" w:eastAsia="Arial" w:hAnsi="Arial"/>
          <w:sz w:val="31"/>
          <w:szCs w:val="31"/>
          <w:b w:val="1"/>
          <w:bCs w:val="1"/>
          <w:color w:val="125288"/>
        </w:rPr>
        <w:t xml:space="preserve"> PROPOSAL 3</w:t>
      </w:r>
      <w:r>
        <w:rPr>
          <w:sz w:val="20"/>
          <w:szCs w:val="20"/>
          <w:color w:val="auto"/>
        </w:rPr>
        <w:tab/>
      </w:r>
      <w:r>
        <w:rPr>
          <w:rFonts w:ascii="Arial" w:cs="Arial" w:eastAsia="Arial" w:hAnsi="Arial"/>
          <w:sz w:val="30"/>
          <w:szCs w:val="30"/>
          <w:b w:val="1"/>
          <w:bCs w:val="1"/>
          <w:color w:val="125288"/>
        </w:rPr>
        <w:t>RATIFICATION OF APPOINTMENT OF INDEPENDENT REGISTERED PUBLIC ACCOUNTING FIRM</w:t>
      </w:r>
    </w:p>
    <w:p>
      <w:pPr>
        <w:spacing w:after="0" w:line="196" w:lineRule="exact"/>
        <w:rPr>
          <w:sz w:val="20"/>
          <w:szCs w:val="20"/>
          <w:color w:val="auto"/>
        </w:rPr>
      </w:pPr>
    </w:p>
    <w:p>
      <w:pPr>
        <w:jc w:val="both"/>
        <w:ind w:left="5"/>
        <w:spacing w:after="0"/>
        <w:rPr>
          <w:sz w:val="20"/>
          <w:szCs w:val="20"/>
          <w:color w:val="auto"/>
        </w:rPr>
      </w:pPr>
      <w:r>
        <w:rPr>
          <w:rFonts w:ascii="Arial" w:cs="Arial" w:eastAsia="Arial" w:hAnsi="Arial"/>
          <w:sz w:val="19"/>
          <w:szCs w:val="19"/>
          <w:color w:val="auto"/>
        </w:rPr>
        <w:t>The Audit Committee of our Board has appointed PwC to serve as the Company’s independent registered public accounting firm for the current fiscal year ending December 31, 2022. Please see “Audit-Related Matters—Independent Registered Public Accounting Firm Fees” above for a description of the services provided to us by PwC during the years ended December 31, 2021, and 2020.</w:t>
      </w:r>
    </w:p>
    <w:p>
      <w:pPr>
        <w:spacing w:after="0" w:line="260"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 Company has engaged PwC as our independent registered public accounting firm since 2008.</w:t>
      </w:r>
    </w:p>
    <w:p>
      <w:pPr>
        <w:spacing w:after="0" w:line="269" w:lineRule="exact"/>
        <w:rPr>
          <w:sz w:val="20"/>
          <w:szCs w:val="20"/>
          <w:color w:val="auto"/>
        </w:rPr>
      </w:pPr>
    </w:p>
    <w:p>
      <w:pPr>
        <w:jc w:val="both"/>
        <w:ind w:left="5" w:right="20"/>
        <w:spacing w:after="0"/>
        <w:rPr>
          <w:sz w:val="20"/>
          <w:szCs w:val="20"/>
          <w:color w:val="auto"/>
        </w:rPr>
      </w:pPr>
      <w:r>
        <w:rPr>
          <w:rFonts w:ascii="Arial" w:cs="Arial" w:eastAsia="Arial" w:hAnsi="Arial"/>
          <w:sz w:val="19"/>
          <w:szCs w:val="19"/>
          <w:color w:val="auto"/>
        </w:rPr>
        <w:t>The Audit Committee meets annually without PwC present to evaluate PwC’s independence and performance in deciding whether to retain PwC or engage a different independent registered public accounting firm. During these reviews, the committee may consider, among other things:</w:t>
      </w:r>
    </w:p>
    <w:p>
      <w:pPr>
        <w:spacing w:after="0" w:line="129" w:lineRule="exact"/>
        <w:rPr>
          <w:sz w:val="20"/>
          <w:szCs w:val="20"/>
          <w:color w:val="auto"/>
        </w:rPr>
      </w:pPr>
    </w:p>
    <w:p>
      <w:pPr>
        <w:ind w:left="145" w:right="40" w:hanging="145"/>
        <w:spacing w:after="0" w:line="242" w:lineRule="auto"/>
        <w:tabs>
          <w:tab w:leader="none" w:pos="145" w:val="left"/>
        </w:tabs>
        <w:numPr>
          <w:ilvl w:val="0"/>
          <w:numId w:val="134"/>
        </w:numPr>
        <w:rPr>
          <w:rFonts w:ascii="Arial" w:cs="Arial" w:eastAsia="Arial" w:hAnsi="Arial"/>
          <w:sz w:val="19"/>
          <w:szCs w:val="19"/>
          <w:color w:val="125288"/>
        </w:rPr>
      </w:pPr>
      <w:r>
        <w:rPr>
          <w:rFonts w:ascii="Arial" w:cs="Arial" w:eastAsia="Arial" w:hAnsi="Arial"/>
          <w:sz w:val="19"/>
          <w:szCs w:val="19"/>
          <w:color w:val="auto"/>
        </w:rPr>
        <w:t>the quality and efficiency of the services PwC provides, including input from management on PwC’s performance, including its effectiveness at demonstrating independent judgment, objectivity, and professional skepticism;</w:t>
      </w:r>
    </w:p>
    <w:p>
      <w:pPr>
        <w:spacing w:after="0" w:line="1" w:lineRule="exact"/>
        <w:rPr>
          <w:rFonts w:ascii="Arial" w:cs="Arial" w:eastAsia="Arial" w:hAnsi="Arial"/>
          <w:sz w:val="19"/>
          <w:szCs w:val="19"/>
          <w:color w:val="125288"/>
        </w:rPr>
      </w:pPr>
    </w:p>
    <w:p>
      <w:pPr>
        <w:ind w:left="145" w:hanging="145"/>
        <w:spacing w:after="0" w:line="195" w:lineRule="auto"/>
        <w:tabs>
          <w:tab w:leader="none" w:pos="145" w:val="left"/>
        </w:tabs>
        <w:numPr>
          <w:ilvl w:val="0"/>
          <w:numId w:val="134"/>
        </w:numPr>
        <w:rPr>
          <w:rFonts w:ascii="Arial" w:cs="Arial" w:eastAsia="Arial" w:hAnsi="Arial"/>
          <w:sz w:val="38"/>
          <w:szCs w:val="38"/>
          <w:color w:val="125288"/>
          <w:vertAlign w:val="subscript"/>
        </w:rPr>
      </w:pPr>
      <w:r>
        <w:rPr>
          <w:rFonts w:ascii="Arial" w:cs="Arial" w:eastAsia="Arial" w:hAnsi="Arial"/>
          <w:sz w:val="19"/>
          <w:szCs w:val="19"/>
          <w:color w:val="auto"/>
        </w:rPr>
        <w:t>PwC’s judgments on critical accounting matters;</w:t>
      </w:r>
    </w:p>
    <w:p>
      <w:pPr>
        <w:spacing w:after="0" w:line="130" w:lineRule="exact"/>
        <w:rPr>
          <w:rFonts w:ascii="Arial" w:cs="Arial" w:eastAsia="Arial" w:hAnsi="Arial"/>
          <w:sz w:val="38"/>
          <w:szCs w:val="38"/>
          <w:color w:val="125288"/>
          <w:vertAlign w:val="subscript"/>
        </w:rPr>
      </w:pPr>
    </w:p>
    <w:p>
      <w:pPr>
        <w:ind w:left="145" w:hanging="145"/>
        <w:spacing w:after="0"/>
        <w:tabs>
          <w:tab w:leader="none" w:pos="145" w:val="left"/>
        </w:tabs>
        <w:numPr>
          <w:ilvl w:val="0"/>
          <w:numId w:val="134"/>
        </w:numPr>
        <w:rPr>
          <w:rFonts w:ascii="Arial" w:cs="Arial" w:eastAsia="Arial" w:hAnsi="Arial"/>
          <w:sz w:val="19"/>
          <w:szCs w:val="19"/>
          <w:color w:val="125288"/>
        </w:rPr>
      </w:pPr>
      <w:r>
        <w:rPr>
          <w:rFonts w:ascii="Arial" w:cs="Arial" w:eastAsia="Arial" w:hAnsi="Arial"/>
          <w:sz w:val="19"/>
          <w:szCs w:val="19"/>
          <w:color w:val="auto"/>
        </w:rPr>
        <w:t>the quality and candor of PwC’s communications with the Audit Committee and management;</w:t>
      </w:r>
    </w:p>
    <w:p>
      <w:pPr>
        <w:spacing w:after="0" w:line="138" w:lineRule="exact"/>
        <w:rPr>
          <w:rFonts w:ascii="Arial" w:cs="Arial" w:eastAsia="Arial" w:hAnsi="Arial"/>
          <w:sz w:val="19"/>
          <w:szCs w:val="19"/>
          <w:color w:val="125288"/>
        </w:rPr>
      </w:pPr>
    </w:p>
    <w:p>
      <w:pPr>
        <w:ind w:left="145" w:hanging="145"/>
        <w:spacing w:after="0"/>
        <w:tabs>
          <w:tab w:leader="none" w:pos="145" w:val="left"/>
        </w:tabs>
        <w:numPr>
          <w:ilvl w:val="0"/>
          <w:numId w:val="134"/>
        </w:numPr>
        <w:rPr>
          <w:rFonts w:ascii="Arial" w:cs="Arial" w:eastAsia="Arial" w:hAnsi="Arial"/>
          <w:sz w:val="19"/>
          <w:szCs w:val="19"/>
          <w:color w:val="125288"/>
        </w:rPr>
      </w:pPr>
      <w:r>
        <w:rPr>
          <w:rFonts w:ascii="Arial" w:cs="Arial" w:eastAsia="Arial" w:hAnsi="Arial"/>
          <w:sz w:val="19"/>
          <w:szCs w:val="19"/>
          <w:color w:val="auto"/>
        </w:rPr>
        <w:t>external data on PwC’s audit quality and performance, including recent PCAOB reports on PwC and its peer firms;</w:t>
      </w:r>
    </w:p>
    <w:p>
      <w:pPr>
        <w:spacing w:after="0" w:line="138" w:lineRule="exact"/>
        <w:rPr>
          <w:rFonts w:ascii="Arial" w:cs="Arial" w:eastAsia="Arial" w:hAnsi="Arial"/>
          <w:sz w:val="19"/>
          <w:szCs w:val="19"/>
          <w:color w:val="125288"/>
        </w:rPr>
      </w:pPr>
    </w:p>
    <w:p>
      <w:pPr>
        <w:ind w:left="145" w:hanging="145"/>
        <w:spacing w:after="0"/>
        <w:tabs>
          <w:tab w:leader="none" w:pos="145" w:val="left"/>
        </w:tabs>
        <w:numPr>
          <w:ilvl w:val="0"/>
          <w:numId w:val="134"/>
        </w:numPr>
        <w:rPr>
          <w:rFonts w:ascii="Arial" w:cs="Arial" w:eastAsia="Arial" w:hAnsi="Arial"/>
          <w:sz w:val="19"/>
          <w:szCs w:val="19"/>
          <w:color w:val="125288"/>
        </w:rPr>
      </w:pPr>
      <w:r>
        <w:rPr>
          <w:rFonts w:ascii="Arial" w:cs="Arial" w:eastAsia="Arial" w:hAnsi="Arial"/>
          <w:sz w:val="19"/>
          <w:szCs w:val="19"/>
          <w:color w:val="auto"/>
        </w:rPr>
        <w:t>PwC’s independence and its processes for maintaining its independence;</w:t>
      </w:r>
    </w:p>
    <w:p>
      <w:pPr>
        <w:spacing w:after="0" w:line="138" w:lineRule="exact"/>
        <w:rPr>
          <w:rFonts w:ascii="Arial" w:cs="Arial" w:eastAsia="Arial" w:hAnsi="Arial"/>
          <w:sz w:val="19"/>
          <w:szCs w:val="19"/>
          <w:color w:val="125288"/>
        </w:rPr>
      </w:pPr>
    </w:p>
    <w:p>
      <w:pPr>
        <w:ind w:left="145" w:hanging="145"/>
        <w:spacing w:after="0"/>
        <w:tabs>
          <w:tab w:leader="none" w:pos="145" w:val="left"/>
        </w:tabs>
        <w:numPr>
          <w:ilvl w:val="0"/>
          <w:numId w:val="134"/>
        </w:numPr>
        <w:rPr>
          <w:rFonts w:ascii="Arial" w:cs="Arial" w:eastAsia="Arial" w:hAnsi="Arial"/>
          <w:sz w:val="19"/>
          <w:szCs w:val="19"/>
          <w:color w:val="125288"/>
        </w:rPr>
      </w:pPr>
      <w:r>
        <w:rPr>
          <w:rFonts w:ascii="Arial" w:cs="Arial" w:eastAsia="Arial" w:hAnsi="Arial"/>
          <w:sz w:val="19"/>
          <w:szCs w:val="19"/>
          <w:color w:val="auto"/>
        </w:rPr>
        <w:t>PwC’s technical expertise and knowledge of the Company’s global operations and industry;</w:t>
      </w:r>
    </w:p>
    <w:p>
      <w:pPr>
        <w:spacing w:after="0" w:line="9" w:lineRule="exact"/>
        <w:rPr>
          <w:rFonts w:ascii="Arial" w:cs="Arial" w:eastAsia="Arial" w:hAnsi="Arial"/>
          <w:sz w:val="19"/>
          <w:szCs w:val="19"/>
          <w:color w:val="125288"/>
        </w:rPr>
      </w:pPr>
    </w:p>
    <w:p>
      <w:pPr>
        <w:ind w:left="145" w:hanging="145"/>
        <w:spacing w:after="0" w:line="195" w:lineRule="auto"/>
        <w:tabs>
          <w:tab w:leader="none" w:pos="145" w:val="left"/>
        </w:tabs>
        <w:numPr>
          <w:ilvl w:val="0"/>
          <w:numId w:val="134"/>
        </w:numPr>
        <w:rPr>
          <w:rFonts w:ascii="Arial" w:cs="Arial" w:eastAsia="Arial" w:hAnsi="Arial"/>
          <w:sz w:val="38"/>
          <w:szCs w:val="38"/>
          <w:color w:val="125288"/>
          <w:vertAlign w:val="subscript"/>
        </w:rPr>
      </w:pPr>
      <w:r>
        <w:rPr>
          <w:rFonts w:ascii="Arial" w:cs="Arial" w:eastAsia="Arial" w:hAnsi="Arial"/>
          <w:sz w:val="19"/>
          <w:szCs w:val="19"/>
          <w:color w:val="auto"/>
        </w:rPr>
        <w:t>PwC’s global capabilities;</w:t>
      </w:r>
    </w:p>
    <w:p>
      <w:pPr>
        <w:spacing w:after="0" w:line="37" w:lineRule="exact"/>
        <w:rPr>
          <w:rFonts w:ascii="Arial" w:cs="Arial" w:eastAsia="Arial" w:hAnsi="Arial"/>
          <w:sz w:val="38"/>
          <w:szCs w:val="38"/>
          <w:color w:val="125288"/>
          <w:vertAlign w:val="subscript"/>
        </w:rPr>
      </w:pPr>
    </w:p>
    <w:p>
      <w:pPr>
        <w:ind w:left="145" w:hanging="145"/>
        <w:spacing w:after="0" w:line="181" w:lineRule="auto"/>
        <w:tabs>
          <w:tab w:leader="none" w:pos="145" w:val="left"/>
        </w:tabs>
        <w:numPr>
          <w:ilvl w:val="0"/>
          <w:numId w:val="134"/>
        </w:numPr>
        <w:rPr>
          <w:rFonts w:ascii="Arial" w:cs="Arial" w:eastAsia="Arial" w:hAnsi="Arial"/>
          <w:sz w:val="37"/>
          <w:szCs w:val="37"/>
          <w:color w:val="125288"/>
          <w:vertAlign w:val="subscript"/>
        </w:rPr>
      </w:pPr>
      <w:r>
        <w:rPr>
          <w:rFonts w:ascii="Arial" w:cs="Arial" w:eastAsia="Arial" w:hAnsi="Arial"/>
          <w:sz w:val="19"/>
          <w:szCs w:val="19"/>
          <w:color w:val="auto"/>
        </w:rPr>
        <w:t>the appropriateness of PwC’s fees; and</w:t>
      </w:r>
    </w:p>
    <w:p>
      <w:pPr>
        <w:spacing w:after="0" w:line="128" w:lineRule="exact"/>
        <w:rPr>
          <w:rFonts w:ascii="Arial" w:cs="Arial" w:eastAsia="Arial" w:hAnsi="Arial"/>
          <w:sz w:val="37"/>
          <w:szCs w:val="37"/>
          <w:color w:val="125288"/>
          <w:vertAlign w:val="subscript"/>
        </w:rPr>
      </w:pPr>
    </w:p>
    <w:p>
      <w:pPr>
        <w:ind w:left="145" w:hanging="145"/>
        <w:spacing w:after="0"/>
        <w:tabs>
          <w:tab w:leader="none" w:pos="145" w:val="left"/>
        </w:tabs>
        <w:numPr>
          <w:ilvl w:val="0"/>
          <w:numId w:val="134"/>
        </w:numPr>
        <w:rPr>
          <w:rFonts w:ascii="Arial" w:cs="Arial" w:eastAsia="Arial" w:hAnsi="Arial"/>
          <w:sz w:val="19"/>
          <w:szCs w:val="19"/>
          <w:color w:val="125288"/>
        </w:rPr>
      </w:pPr>
      <w:r>
        <w:rPr>
          <w:rFonts w:ascii="Arial" w:cs="Arial" w:eastAsia="Arial" w:hAnsi="Arial"/>
          <w:sz w:val="19"/>
          <w:szCs w:val="19"/>
          <w:color w:val="auto"/>
        </w:rPr>
        <w:t>PwC’s tenure as our independent registered public accounting firm, including the benefits of a longer tenure.</w:t>
      </w:r>
    </w:p>
    <w:p>
      <w:pPr>
        <w:spacing w:after="0" w:line="283" w:lineRule="exact"/>
        <w:rPr>
          <w:sz w:val="20"/>
          <w:szCs w:val="20"/>
          <w:color w:val="auto"/>
        </w:rPr>
      </w:pPr>
    </w:p>
    <w:p>
      <w:pPr>
        <w:ind w:left="45"/>
        <w:spacing w:after="0"/>
        <w:tabs>
          <w:tab w:leader="none" w:pos="4524" w:val="left"/>
        </w:tabs>
        <w:rPr>
          <w:sz w:val="20"/>
          <w:szCs w:val="20"/>
          <w:color w:val="auto"/>
        </w:rPr>
      </w:pPr>
      <w:r>
        <w:rPr>
          <w:rFonts w:ascii="Arial" w:cs="Arial" w:eastAsia="Arial" w:hAnsi="Arial"/>
          <w:sz w:val="15"/>
          <w:szCs w:val="15"/>
          <w:b w:val="1"/>
          <w:bCs w:val="1"/>
          <w:color w:val="125288"/>
        </w:rPr>
        <w:t>Benefits of Long Tenure</w:t>
      </w:r>
      <w:r>
        <w:rPr>
          <w:sz w:val="20"/>
          <w:szCs w:val="20"/>
          <w:color w:val="auto"/>
        </w:rPr>
        <w:tab/>
      </w:r>
      <w:r>
        <w:rPr>
          <w:rFonts w:ascii="Arial" w:cs="Arial" w:eastAsia="Arial" w:hAnsi="Arial"/>
          <w:sz w:val="15"/>
          <w:szCs w:val="15"/>
          <w:b w:val="1"/>
          <w:bCs w:val="1"/>
          <w:color w:val="125288"/>
        </w:rPr>
        <w:t>Independence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8830" cy="152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p>
      <w:pPr>
        <w:spacing w:after="0" w:line="171" w:lineRule="exact"/>
        <w:rPr>
          <w:sz w:val="20"/>
          <w:szCs w:val="20"/>
          <w:color w:val="auto"/>
        </w:rPr>
      </w:pPr>
    </w:p>
    <w:p>
      <w:pPr>
        <w:ind w:left="205" w:right="188" w:hanging="157"/>
        <w:spacing w:after="0" w:line="239" w:lineRule="auto"/>
        <w:tabs>
          <w:tab w:leader="none" w:pos="205" w:val="left"/>
        </w:tabs>
        <w:numPr>
          <w:ilvl w:val="0"/>
          <w:numId w:val="135"/>
        </w:numPr>
        <w:rPr>
          <w:rFonts w:ascii="Arial" w:cs="Arial" w:eastAsia="Arial" w:hAnsi="Arial"/>
          <w:sz w:val="17"/>
          <w:szCs w:val="17"/>
          <w:color w:val="125288"/>
        </w:rPr>
      </w:pPr>
      <w:r>
        <w:rPr>
          <w:rFonts w:ascii="Arial" w:cs="Arial" w:eastAsia="Arial" w:hAnsi="Arial"/>
          <w:sz w:val="17"/>
          <w:szCs w:val="17"/>
          <w:b w:val="1"/>
          <w:bCs w:val="1"/>
          <w:color w:val="auto"/>
        </w:rPr>
        <w:t>Enhanced audit quality</w:t>
      </w:r>
      <w:r>
        <w:rPr>
          <w:rFonts w:ascii="Arial" w:cs="Arial" w:eastAsia="Arial" w:hAnsi="Arial"/>
          <w:sz w:val="17"/>
          <w:szCs w:val="17"/>
          <w:color w:val="auto"/>
        </w:rPr>
        <w:t>—PwC has significant</w:t>
      </w:r>
      <w:r>
        <w:rPr>
          <w:rFonts w:ascii="Arial" w:cs="Arial" w:eastAsia="Arial" w:hAnsi="Arial"/>
          <w:sz w:val="17"/>
          <w:szCs w:val="17"/>
          <w:b w:val="1"/>
          <w:bCs w:val="1"/>
          <w:color w:val="auto"/>
        </w:rPr>
        <w:t xml:space="preserve"> </w:t>
      </w:r>
      <w:r>
        <w:rPr>
          <w:rFonts w:ascii="Arial" w:cs="Arial" w:eastAsia="Arial" w:hAnsi="Arial"/>
          <w:sz w:val="17"/>
          <w:szCs w:val="17"/>
          <w:color w:val="auto"/>
        </w:rPr>
        <w:t>institutional knowledge and deep expertise regarding the Company’s global business, accounting policies and practices, and internal control over financial reporting, and this enhances audit quality.</w:t>
      </w:r>
    </w:p>
    <w:p>
      <w:pPr>
        <w:spacing w:after="0" w:line="8" w:lineRule="exact"/>
        <w:rPr>
          <w:rFonts w:ascii="Arial" w:cs="Arial" w:eastAsia="Arial" w:hAnsi="Arial"/>
          <w:sz w:val="17"/>
          <w:szCs w:val="17"/>
          <w:color w:val="125288"/>
        </w:rPr>
      </w:pPr>
    </w:p>
    <w:p>
      <w:pPr>
        <w:ind w:left="205" w:right="48" w:hanging="157"/>
        <w:spacing w:after="0" w:line="259" w:lineRule="auto"/>
        <w:tabs>
          <w:tab w:leader="none" w:pos="205" w:val="left"/>
        </w:tabs>
        <w:numPr>
          <w:ilvl w:val="0"/>
          <w:numId w:val="135"/>
        </w:numPr>
        <w:rPr>
          <w:rFonts w:ascii="Arial" w:cs="Arial" w:eastAsia="Arial" w:hAnsi="Arial"/>
          <w:sz w:val="16"/>
          <w:szCs w:val="16"/>
          <w:color w:val="125288"/>
        </w:rPr>
      </w:pPr>
      <w:r>
        <w:rPr>
          <w:rFonts w:ascii="Arial" w:cs="Arial" w:eastAsia="Arial" w:hAnsi="Arial"/>
          <w:sz w:val="16"/>
          <w:szCs w:val="16"/>
          <w:b w:val="1"/>
          <w:bCs w:val="1"/>
          <w:color w:val="auto"/>
        </w:rPr>
        <w:t>Competitive fees</w:t>
      </w:r>
      <w:r>
        <w:rPr>
          <w:rFonts w:ascii="Arial" w:cs="Arial" w:eastAsia="Arial" w:hAnsi="Arial"/>
          <w:sz w:val="16"/>
          <w:szCs w:val="16"/>
          <w:color w:val="auto"/>
        </w:rPr>
        <w:t>—In part because of PwC’s</w:t>
      </w:r>
      <w:r>
        <w:rPr>
          <w:rFonts w:ascii="Arial" w:cs="Arial" w:eastAsia="Arial" w:hAnsi="Arial"/>
          <w:sz w:val="16"/>
          <w:szCs w:val="16"/>
          <w:b w:val="1"/>
          <w:bCs w:val="1"/>
          <w:color w:val="auto"/>
        </w:rPr>
        <w:t xml:space="preserve"> </w:t>
      </w:r>
      <w:r>
        <w:rPr>
          <w:rFonts w:ascii="Arial" w:cs="Arial" w:eastAsia="Arial" w:hAnsi="Arial"/>
          <w:sz w:val="16"/>
          <w:szCs w:val="16"/>
          <w:color w:val="auto"/>
        </w:rPr>
        <w:t>familiarity with the Company, we believe the fees we pay PwC are competitive with those of other independent registered public accounting firms.</w:t>
      </w:r>
    </w:p>
    <w:p>
      <w:pPr>
        <w:spacing w:after="0" w:line="2" w:lineRule="exact"/>
        <w:rPr>
          <w:rFonts w:ascii="Arial" w:cs="Arial" w:eastAsia="Arial" w:hAnsi="Arial"/>
          <w:sz w:val="16"/>
          <w:szCs w:val="16"/>
          <w:color w:val="125288"/>
        </w:rPr>
      </w:pPr>
    </w:p>
    <w:p>
      <w:pPr>
        <w:ind w:left="205" w:right="108" w:hanging="157"/>
        <w:spacing w:after="0" w:line="239" w:lineRule="auto"/>
        <w:tabs>
          <w:tab w:leader="none" w:pos="205" w:val="left"/>
        </w:tabs>
        <w:numPr>
          <w:ilvl w:val="0"/>
          <w:numId w:val="135"/>
        </w:numPr>
        <w:rPr>
          <w:rFonts w:ascii="Arial" w:cs="Arial" w:eastAsia="Arial" w:hAnsi="Arial"/>
          <w:sz w:val="17"/>
          <w:szCs w:val="17"/>
          <w:color w:val="125288"/>
        </w:rPr>
      </w:pPr>
      <w:r>
        <w:rPr>
          <w:rFonts w:ascii="Arial" w:cs="Arial" w:eastAsia="Arial" w:hAnsi="Arial"/>
          <w:sz w:val="17"/>
          <w:szCs w:val="17"/>
          <w:b w:val="1"/>
          <w:bCs w:val="1"/>
          <w:color w:val="auto"/>
        </w:rPr>
        <w:t>Avoid costs and onboarding associated with new auditor</w:t>
      </w:r>
      <w:r>
        <w:rPr>
          <w:rFonts w:ascii="Arial" w:cs="Arial" w:eastAsia="Arial" w:hAnsi="Arial"/>
          <w:sz w:val="17"/>
          <w:szCs w:val="17"/>
          <w:color w:val="auto"/>
        </w:rPr>
        <w:t>— Bringing on a new auditor</w:t>
      </w:r>
      <w:r>
        <w:rPr>
          <w:rFonts w:ascii="Arial" w:cs="Arial" w:eastAsia="Arial" w:hAnsi="Arial"/>
          <w:sz w:val="17"/>
          <w:szCs w:val="17"/>
          <w:b w:val="1"/>
          <w:bCs w:val="1"/>
          <w:color w:val="auto"/>
        </w:rPr>
        <w:t xml:space="preserve"> </w:t>
      </w:r>
      <w:r>
        <w:rPr>
          <w:rFonts w:ascii="Arial" w:cs="Arial" w:eastAsia="Arial" w:hAnsi="Arial"/>
          <w:sz w:val="17"/>
          <w:szCs w:val="17"/>
          <w:color w:val="auto"/>
        </w:rPr>
        <w:t>requires expenses related to educating the new auditor and a significant time commitment that could distract from management’s focus on financial reporting and internal controls.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52" w:right="300" w:hanging="152"/>
        <w:spacing w:after="0" w:line="248" w:lineRule="auto"/>
        <w:tabs>
          <w:tab w:leader="none" w:pos="152" w:val="left"/>
        </w:tabs>
        <w:numPr>
          <w:ilvl w:val="0"/>
          <w:numId w:val="136"/>
        </w:numPr>
        <w:rPr>
          <w:rFonts w:ascii="Arial" w:cs="Arial" w:eastAsia="Arial" w:hAnsi="Arial"/>
          <w:sz w:val="17"/>
          <w:szCs w:val="17"/>
          <w:color w:val="125288"/>
        </w:rPr>
      </w:pPr>
      <w:r>
        <w:rPr>
          <w:rFonts w:ascii="Arial" w:cs="Arial" w:eastAsia="Arial" w:hAnsi="Arial"/>
          <w:sz w:val="17"/>
          <w:szCs w:val="17"/>
          <w:b w:val="1"/>
          <w:bCs w:val="1"/>
          <w:color w:val="auto"/>
        </w:rPr>
        <w:t>Audit Committee oversight</w:t>
      </w:r>
      <w:r>
        <w:rPr>
          <w:rFonts w:ascii="Arial" w:cs="Arial" w:eastAsia="Arial" w:hAnsi="Arial"/>
          <w:sz w:val="17"/>
          <w:szCs w:val="17"/>
          <w:color w:val="auto"/>
        </w:rPr>
        <w:t>—Oversight includes regular private sessions with PwC,</w:t>
      </w:r>
      <w:r>
        <w:rPr>
          <w:rFonts w:ascii="Arial" w:cs="Arial" w:eastAsia="Arial" w:hAnsi="Arial"/>
          <w:sz w:val="17"/>
          <w:szCs w:val="17"/>
          <w:b w:val="1"/>
          <w:bCs w:val="1"/>
          <w:color w:val="auto"/>
        </w:rPr>
        <w:t xml:space="preserve"> </w:t>
      </w:r>
      <w:r>
        <w:rPr>
          <w:rFonts w:ascii="Arial" w:cs="Arial" w:eastAsia="Arial" w:hAnsi="Arial"/>
          <w:sz w:val="17"/>
          <w:szCs w:val="17"/>
          <w:color w:val="auto"/>
        </w:rPr>
        <w:t>discussion with PwC about the scope of its audit, and a comprehensive annual evaluation when determining whether to continue to engage PwC.</w:t>
      </w:r>
    </w:p>
    <w:p>
      <w:pPr>
        <w:ind w:left="152" w:right="100" w:hanging="152"/>
        <w:spacing w:after="0" w:line="238" w:lineRule="auto"/>
        <w:tabs>
          <w:tab w:leader="none" w:pos="152" w:val="left"/>
        </w:tabs>
        <w:numPr>
          <w:ilvl w:val="0"/>
          <w:numId w:val="136"/>
        </w:numPr>
        <w:rPr>
          <w:rFonts w:ascii="Arial" w:cs="Arial" w:eastAsia="Arial" w:hAnsi="Arial"/>
          <w:sz w:val="17"/>
          <w:szCs w:val="17"/>
          <w:color w:val="125288"/>
        </w:rPr>
      </w:pPr>
      <w:r>
        <w:rPr>
          <w:rFonts w:ascii="Arial" w:cs="Arial" w:eastAsia="Arial" w:hAnsi="Arial"/>
          <w:sz w:val="17"/>
          <w:szCs w:val="17"/>
          <w:b w:val="1"/>
          <w:bCs w:val="1"/>
          <w:color w:val="auto"/>
        </w:rPr>
        <w:t>Selection of Lead Engagement Partner</w:t>
      </w:r>
      <w:r>
        <w:rPr>
          <w:rFonts w:ascii="Arial" w:cs="Arial" w:eastAsia="Arial" w:hAnsi="Arial"/>
          <w:sz w:val="17"/>
          <w:szCs w:val="17"/>
          <w:color w:val="auto"/>
        </w:rPr>
        <w:t>—The Audit Committee and its Chair are</w:t>
      </w:r>
      <w:r>
        <w:rPr>
          <w:rFonts w:ascii="Arial" w:cs="Arial" w:eastAsia="Arial" w:hAnsi="Arial"/>
          <w:sz w:val="17"/>
          <w:szCs w:val="17"/>
          <w:b w:val="1"/>
          <w:bCs w:val="1"/>
          <w:color w:val="auto"/>
        </w:rPr>
        <w:t xml:space="preserve"> </w:t>
      </w:r>
      <w:r>
        <w:rPr>
          <w:rFonts w:ascii="Arial" w:cs="Arial" w:eastAsia="Arial" w:hAnsi="Arial"/>
          <w:sz w:val="17"/>
          <w:szCs w:val="17"/>
          <w:color w:val="auto"/>
        </w:rPr>
        <w:t>actively involved in the selection of the new lead engagement partner in connection with the mandated rotation of that position every five years. In 2019, in connection with the mandated rotation of PwC’s lead engagement partner effective beginning with PwC’s audit of the Company’s 2020 financial statements, we interviewed PwC partners who met professional, industry and personal criteria, and selected finalists. The Chair of the Audit Committee participated in interviews with the finalists and helped select the lead engagement partner.</w:t>
      </w:r>
    </w:p>
    <w:p>
      <w:pPr>
        <w:spacing w:after="0" w:line="6" w:lineRule="exact"/>
        <w:rPr>
          <w:rFonts w:ascii="Arial" w:cs="Arial" w:eastAsia="Arial" w:hAnsi="Arial"/>
          <w:sz w:val="17"/>
          <w:szCs w:val="17"/>
          <w:color w:val="125288"/>
        </w:rPr>
      </w:pPr>
    </w:p>
    <w:p>
      <w:pPr>
        <w:jc w:val="both"/>
        <w:ind w:left="152" w:right="160" w:hanging="152"/>
        <w:spacing w:after="0" w:line="263" w:lineRule="auto"/>
        <w:tabs>
          <w:tab w:leader="none" w:pos="152" w:val="left"/>
        </w:tabs>
        <w:numPr>
          <w:ilvl w:val="0"/>
          <w:numId w:val="136"/>
        </w:numPr>
        <w:rPr>
          <w:rFonts w:ascii="Arial" w:cs="Arial" w:eastAsia="Arial" w:hAnsi="Arial"/>
          <w:sz w:val="16"/>
          <w:szCs w:val="16"/>
          <w:color w:val="125288"/>
        </w:rPr>
      </w:pPr>
      <w:r>
        <w:rPr>
          <w:rFonts w:ascii="Arial" w:cs="Arial" w:eastAsia="Arial" w:hAnsi="Arial"/>
          <w:sz w:val="16"/>
          <w:szCs w:val="16"/>
          <w:b w:val="1"/>
          <w:bCs w:val="1"/>
          <w:color w:val="auto"/>
        </w:rPr>
        <w:t>Rigorous limits on non-audit services</w:t>
      </w:r>
      <w:r>
        <w:rPr>
          <w:rFonts w:ascii="Arial" w:cs="Arial" w:eastAsia="Arial" w:hAnsi="Arial"/>
          <w:sz w:val="16"/>
          <w:szCs w:val="16"/>
          <w:color w:val="auto"/>
        </w:rPr>
        <w:t>—We require Audit Committee pre-approval of</w:t>
      </w:r>
      <w:r>
        <w:rPr>
          <w:rFonts w:ascii="Arial" w:cs="Arial" w:eastAsia="Arial" w:hAnsi="Arial"/>
          <w:sz w:val="16"/>
          <w:szCs w:val="16"/>
          <w:b w:val="1"/>
          <w:bCs w:val="1"/>
          <w:color w:val="auto"/>
        </w:rPr>
        <w:t xml:space="preserve"> </w:t>
      </w:r>
      <w:r>
        <w:rPr>
          <w:rFonts w:ascii="Arial" w:cs="Arial" w:eastAsia="Arial" w:hAnsi="Arial"/>
          <w:sz w:val="16"/>
          <w:szCs w:val="16"/>
          <w:color w:val="auto"/>
        </w:rPr>
        <w:t>non-audit services, prohibit certain types of non-audit services that would otherwise be permissible under SEC rules, and only engage PwC when it is best suited for the job.</w:t>
      </w:r>
    </w:p>
    <w:p>
      <w:pPr>
        <w:spacing w:after="0" w:line="1" w:lineRule="exact"/>
        <w:rPr>
          <w:rFonts w:ascii="Arial" w:cs="Arial" w:eastAsia="Arial" w:hAnsi="Arial"/>
          <w:sz w:val="16"/>
          <w:szCs w:val="16"/>
          <w:color w:val="125288"/>
        </w:rPr>
      </w:pPr>
    </w:p>
    <w:p>
      <w:pPr>
        <w:ind w:left="152" w:right="80" w:hanging="152"/>
        <w:spacing w:after="0" w:line="243" w:lineRule="auto"/>
        <w:tabs>
          <w:tab w:leader="none" w:pos="152" w:val="left"/>
        </w:tabs>
        <w:numPr>
          <w:ilvl w:val="0"/>
          <w:numId w:val="136"/>
        </w:numPr>
        <w:rPr>
          <w:rFonts w:ascii="Arial" w:cs="Arial" w:eastAsia="Arial" w:hAnsi="Arial"/>
          <w:sz w:val="17"/>
          <w:szCs w:val="17"/>
          <w:color w:val="125288"/>
        </w:rPr>
      </w:pPr>
      <w:r>
        <w:rPr>
          <w:rFonts w:ascii="Arial" w:cs="Arial" w:eastAsia="Arial" w:hAnsi="Arial"/>
          <w:sz w:val="17"/>
          <w:szCs w:val="17"/>
          <w:b w:val="1"/>
          <w:bCs w:val="1"/>
          <w:color w:val="auto"/>
        </w:rPr>
        <w:t>PwC’s strong internal independence process</w:t>
      </w:r>
      <w:r>
        <w:rPr>
          <w:rFonts w:ascii="Arial" w:cs="Arial" w:eastAsia="Arial" w:hAnsi="Arial"/>
          <w:sz w:val="17"/>
          <w:szCs w:val="17"/>
          <w:color w:val="auto"/>
        </w:rPr>
        <w:t>—PwC conducts periodic internal</w:t>
      </w:r>
      <w:r>
        <w:rPr>
          <w:rFonts w:ascii="Arial" w:cs="Arial" w:eastAsia="Arial" w:hAnsi="Arial"/>
          <w:sz w:val="17"/>
          <w:szCs w:val="17"/>
          <w:b w:val="1"/>
          <w:bCs w:val="1"/>
          <w:color w:val="auto"/>
        </w:rPr>
        <w:t xml:space="preserve"> </w:t>
      </w:r>
      <w:r>
        <w:rPr>
          <w:rFonts w:ascii="Arial" w:cs="Arial" w:eastAsia="Arial" w:hAnsi="Arial"/>
          <w:sz w:val="17"/>
          <w:szCs w:val="17"/>
          <w:color w:val="auto"/>
        </w:rPr>
        <w:t>reviews of its audit and other work, assesses the adequacy of partners and other personnel working on the Company’s account, and rotates the lead engagement partner consistent with independence requirements.</w:t>
      </w:r>
    </w:p>
    <w:p>
      <w:pPr>
        <w:spacing w:after="0" w:line="4" w:lineRule="exact"/>
        <w:rPr>
          <w:rFonts w:ascii="Arial" w:cs="Arial" w:eastAsia="Arial" w:hAnsi="Arial"/>
          <w:sz w:val="17"/>
          <w:szCs w:val="17"/>
          <w:color w:val="125288"/>
        </w:rPr>
      </w:pPr>
    </w:p>
    <w:p>
      <w:pPr>
        <w:ind w:left="152" w:right="180" w:hanging="152"/>
        <w:spacing w:after="0" w:line="248" w:lineRule="auto"/>
        <w:tabs>
          <w:tab w:leader="none" w:pos="152" w:val="left"/>
        </w:tabs>
        <w:numPr>
          <w:ilvl w:val="0"/>
          <w:numId w:val="136"/>
        </w:numPr>
        <w:rPr>
          <w:rFonts w:ascii="Arial" w:cs="Arial" w:eastAsia="Arial" w:hAnsi="Arial"/>
          <w:sz w:val="17"/>
          <w:szCs w:val="17"/>
          <w:color w:val="125288"/>
        </w:rPr>
      </w:pPr>
      <w:r>
        <w:rPr>
          <w:rFonts w:ascii="Arial" w:cs="Arial" w:eastAsia="Arial" w:hAnsi="Arial"/>
          <w:sz w:val="17"/>
          <w:szCs w:val="17"/>
          <w:b w:val="1"/>
          <w:bCs w:val="1"/>
          <w:color w:val="auto"/>
        </w:rPr>
        <w:t>Strong regulatory framework</w:t>
      </w:r>
      <w:r>
        <w:rPr>
          <w:rFonts w:ascii="Arial" w:cs="Arial" w:eastAsia="Arial" w:hAnsi="Arial"/>
          <w:sz w:val="17"/>
          <w:szCs w:val="17"/>
          <w:color w:val="auto"/>
        </w:rPr>
        <w:t>—PwC, as an independent registered public accounting</w:t>
      </w:r>
      <w:r>
        <w:rPr>
          <w:rFonts w:ascii="Arial" w:cs="Arial" w:eastAsia="Arial" w:hAnsi="Arial"/>
          <w:sz w:val="17"/>
          <w:szCs w:val="17"/>
          <w:b w:val="1"/>
          <w:bCs w:val="1"/>
          <w:color w:val="auto"/>
        </w:rPr>
        <w:t xml:space="preserve"> </w:t>
      </w:r>
      <w:r>
        <w:rPr>
          <w:rFonts w:ascii="Arial" w:cs="Arial" w:eastAsia="Arial" w:hAnsi="Arial"/>
          <w:sz w:val="17"/>
          <w:szCs w:val="17"/>
          <w:color w:val="auto"/>
        </w:rPr>
        <w:t>firm, is subject to PCAOB inspections, “Big 4” peer reviews, and PCAOB and SEC oversight.</w:t>
      </w:r>
    </w:p>
    <w:p>
      <w:pPr>
        <w:ind w:left="152" w:right="140" w:hanging="152"/>
        <w:spacing w:after="0" w:line="248" w:lineRule="auto"/>
        <w:tabs>
          <w:tab w:leader="none" w:pos="152" w:val="left"/>
        </w:tabs>
        <w:numPr>
          <w:ilvl w:val="0"/>
          <w:numId w:val="136"/>
        </w:numPr>
        <w:rPr>
          <w:rFonts w:ascii="Arial" w:cs="Arial" w:eastAsia="Arial" w:hAnsi="Arial"/>
          <w:sz w:val="17"/>
          <w:szCs w:val="17"/>
          <w:color w:val="125288"/>
        </w:rPr>
      </w:pPr>
      <w:r>
        <w:rPr>
          <w:rFonts w:ascii="Arial" w:cs="Arial" w:eastAsia="Arial" w:hAnsi="Arial"/>
          <w:sz w:val="17"/>
          <w:szCs w:val="17"/>
          <w:b w:val="1"/>
          <w:bCs w:val="1"/>
          <w:color w:val="auto"/>
        </w:rPr>
        <w:t>Restrictions on hiring</w:t>
      </w:r>
      <w:r>
        <w:rPr>
          <w:rFonts w:ascii="Arial" w:cs="Arial" w:eastAsia="Arial" w:hAnsi="Arial"/>
          <w:sz w:val="17"/>
          <w:szCs w:val="17"/>
          <w:color w:val="auto"/>
        </w:rPr>
        <w:t>—The Audit Committee has adopted restrictions on our hiring of</w:t>
      </w:r>
      <w:r>
        <w:rPr>
          <w:rFonts w:ascii="Arial" w:cs="Arial" w:eastAsia="Arial" w:hAnsi="Arial"/>
          <w:sz w:val="17"/>
          <w:szCs w:val="17"/>
          <w:b w:val="1"/>
          <w:bCs w:val="1"/>
          <w:color w:val="auto"/>
        </w:rPr>
        <w:t xml:space="preserve"> </w:t>
      </w:r>
      <w:r>
        <w:rPr>
          <w:rFonts w:ascii="Arial" w:cs="Arial" w:eastAsia="Arial" w:hAnsi="Arial"/>
          <w:sz w:val="17"/>
          <w:szCs w:val="17"/>
          <w:color w:val="auto"/>
        </w:rPr>
        <w:t>current or former partners and employees of the Company’s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-2890520</wp:posOffset>
            </wp:positionH>
            <wp:positionV relativeFrom="paragraph">
              <wp:posOffset>48260</wp:posOffset>
            </wp:positionV>
            <wp:extent cx="7148830" cy="152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33" w:space="720"/>
            <w:col w:w="6712"/>
          </w:cols>
          <w:pgMar w:left="315" w:top="144" w:right="319" w:bottom="1440" w:gutter="0" w:footer="0" w:header="0"/>
          <w:type w:val="continuous"/>
        </w:sectPr>
      </w:pPr>
    </w:p>
    <w:p>
      <w:pPr>
        <w:spacing w:after="0" w:line="62" w:lineRule="exact"/>
        <w:rPr>
          <w:sz w:val="20"/>
          <w:szCs w:val="20"/>
          <w:color w:val="auto"/>
        </w:rPr>
      </w:pPr>
    </w:p>
    <w:p>
      <w:pPr>
        <w:ind w:left="5"/>
        <w:spacing w:after="0"/>
        <w:tabs>
          <w:tab w:leader="none" w:pos="7364" w:val="left"/>
          <w:tab w:leader="none" w:pos="9384" w:val="left"/>
          <w:tab w:leader="none" w:pos="1100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type w:val="continuous"/>
        </w:sectPr>
      </w:pPr>
    </w:p>
    <w:bookmarkStart w:id="135" w:name="page136"/>
    <w:bookmarkEnd w:id="135"/>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35"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Based on the most recent such evaluation, the Audit Committee and the Board believe that retaining PwC to serve as the Company’s independent registered public accounting firm for the year ending December 31, 2022, is in the best interests of the Company and our shareholders. While our Audit Committee is responsible for selecting our auditors, and shareholder approval is not required for the appointment of PwC as our independent registered public accounting firm, we believe our shareholders should have the opportunity to ratify such appointment, and we are requesting they do so at the Annual Meeting.</w:t>
      </w:r>
    </w:p>
    <w:p>
      <w:pPr>
        <w:spacing w:after="0" w:line="260"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Representatives of PwC are expected to be present at the Annual Meeting and will have the opportunity to make a statement if they wish. They are also expected to be available to respond to appropriate questions.</w:t>
      </w:r>
    </w:p>
    <w:p>
      <w:pPr>
        <w:spacing w:after="0" w:line="23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REQUIRED VOTE AND BOARD RECOMMENDATION</w:t>
      </w:r>
    </w:p>
    <w:p>
      <w:pPr>
        <w:spacing w:after="0" w:line="30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This proposal will be approved if it receives the affirmative vote of the holders of a majority of the voting power of the shares present in person or by proxy and entitled to vote on the matter at the Annual Meeting. In the event our shareholders do not ratify the appointment, our Audit Committee will reconsider its selection next year. Even if the appointment is ratified, our Audit Committee may direct the appointment of a different independent registered public accounting firm at any time during the year if the Audit Committee determines that such a change would be in the best interests of the Company and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168910</wp:posOffset>
            </wp:positionV>
            <wp:extent cx="6038850" cy="71691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038850" cy="716915"/>
                    </a:xfrm>
                    <a:prstGeom prst="rect">
                      <a:avLst/>
                    </a:prstGeom>
                    <a:noFill/>
                  </pic:spPr>
                </pic:pic>
              </a:graphicData>
            </a:graphic>
          </wp:anchor>
        </w:drawing>
      </w:r>
    </w:p>
    <w:p>
      <w:pPr>
        <w:spacing w:after="0" w:line="346" w:lineRule="exact"/>
        <w:rPr>
          <w:sz w:val="20"/>
          <w:szCs w:val="20"/>
          <w:color w:val="auto"/>
        </w:rPr>
      </w:pPr>
    </w:p>
    <w:p>
      <w:pPr>
        <w:ind w:left="1580" w:right="1120"/>
        <w:spacing w:after="0" w:line="271" w:lineRule="auto"/>
        <w:rPr>
          <w:sz w:val="20"/>
          <w:szCs w:val="20"/>
          <w:color w:val="auto"/>
        </w:rPr>
      </w:pPr>
      <w:r>
        <w:rPr>
          <w:rFonts w:ascii="Arial" w:cs="Arial" w:eastAsia="Arial" w:hAnsi="Arial"/>
          <w:sz w:val="24"/>
          <w:szCs w:val="24"/>
          <w:b w:val="1"/>
          <w:bCs w:val="1"/>
          <w:color w:val="auto"/>
        </w:rPr>
        <w:t xml:space="preserve">YOUR BOARD UNANIMOUSLY RECOMMENDS THAT YOU VOTE </w:t>
      </w:r>
      <w:r>
        <w:rPr>
          <w:rFonts w:ascii="Arial" w:cs="Arial" w:eastAsia="Arial" w:hAnsi="Arial"/>
          <w:sz w:val="24"/>
          <w:szCs w:val="24"/>
          <w:b w:val="1"/>
          <w:bCs w:val="1"/>
          <w:color w:val="125288"/>
        </w:rPr>
        <w:t>FOR</w:t>
      </w:r>
      <w:r>
        <w:rPr>
          <w:rFonts w:ascii="Arial" w:cs="Arial" w:eastAsia="Arial" w:hAnsi="Arial"/>
          <w:sz w:val="24"/>
          <w:szCs w:val="24"/>
          <w:b w:val="1"/>
          <w:bCs w:val="1"/>
          <w:color w:val="auto"/>
        </w:rPr>
        <w:t xml:space="preserve"> THE RATIFICATION OF THE APPOINTMENT OF PWC AS THE COMPANY’S INDEPENDENT REGISTERED PUBLIC ACCOUNTING FIRM.</w:t>
      </w:r>
    </w:p>
    <w:p>
      <w:pPr>
        <w:spacing w:after="0" w:line="315" w:lineRule="exact"/>
        <w:rPr>
          <w:sz w:val="20"/>
          <w:szCs w:val="20"/>
          <w:color w:val="auto"/>
        </w:rPr>
      </w:pPr>
    </w:p>
    <w:p>
      <w:pPr>
        <w:spacing w:after="0"/>
        <w:tabs>
          <w:tab w:leader="none" w:pos="7360" w:val="left"/>
          <w:tab w:leader="none" w:pos="9380" w:val="left"/>
          <w:tab w:leader="none" w:pos="1100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36" w:name="page137"/>
    <w:bookmarkEnd w:id="136"/>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20" w:lineRule="exact"/>
        <w:rPr>
          <w:sz w:val="20"/>
          <w:szCs w:val="20"/>
          <w:color w:val="auto"/>
        </w:rPr>
      </w:pPr>
    </w:p>
    <w:p>
      <w:pPr>
        <w:ind w:left="3080" w:right="2000" w:hanging="3066"/>
        <w:spacing w:after="0" w:line="278" w:lineRule="auto"/>
        <w:tabs>
          <w:tab w:leader="none" w:pos="3060" w:val="left"/>
        </w:tabs>
        <w:rPr>
          <w:sz w:val="20"/>
          <w:szCs w:val="20"/>
          <w:color w:val="auto"/>
        </w:rPr>
      </w:pPr>
      <w:r>
        <w:rPr>
          <w:sz w:val="1"/>
          <w:szCs w:val="1"/>
          <w:color w:val="auto"/>
        </w:rPr>
        <w:drawing>
          <wp:inline distT="0" distB="0" distL="0" distR="0">
            <wp:extent cx="445135" cy="151130"/>
            <wp:effectExtent l="0" t="0" r="0" b="0"/>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45135" cy="151130"/>
                    </a:xfrm>
                    <a:prstGeom prst="rect">
                      <a:avLst/>
                    </a:prstGeom>
                    <a:noFill/>
                    <a:ln>
                      <a:noFill/>
                    </a:ln>
                  </pic:spPr>
                </pic:pic>
              </a:graphicData>
            </a:graphic>
          </wp:inline>
        </w:drawing>
      </w:r>
      <w:r>
        <w:rPr>
          <w:rFonts w:ascii="Arial" w:cs="Arial" w:eastAsia="Arial" w:hAnsi="Arial"/>
          <w:sz w:val="31"/>
          <w:szCs w:val="31"/>
          <w:b w:val="1"/>
          <w:bCs w:val="1"/>
          <w:color w:val="125288"/>
        </w:rPr>
        <w:t xml:space="preserve"> PROPOSAL 4</w:t>
      </w:r>
      <w:r>
        <w:rPr>
          <w:sz w:val="20"/>
          <w:szCs w:val="20"/>
          <w:color w:val="auto"/>
        </w:rPr>
        <w:tab/>
      </w:r>
      <w:r>
        <w:rPr>
          <w:rFonts w:ascii="Arial" w:cs="Arial" w:eastAsia="Arial" w:hAnsi="Arial"/>
          <w:sz w:val="30"/>
          <w:szCs w:val="30"/>
          <w:b w:val="1"/>
          <w:bCs w:val="1"/>
          <w:color w:val="125288"/>
        </w:rPr>
        <w:t>SHAREHOLDER PROPOSAL REGARDING THE NOMINATION OF AN EMPLOYEE REPRESENTATIVE DIRECTOR</w:t>
      </w:r>
    </w:p>
    <w:p>
      <w:pPr>
        <w:spacing w:after="0" w:line="205"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GENERAL</w:t>
      </w:r>
    </w:p>
    <w:p>
      <w:pPr>
        <w:spacing w:after="0" w:line="309" w:lineRule="exact"/>
        <w:rPr>
          <w:sz w:val="20"/>
          <w:szCs w:val="20"/>
          <w:color w:val="auto"/>
        </w:rPr>
      </w:pPr>
    </w:p>
    <w:p>
      <w:pPr>
        <w:jc w:val="both"/>
        <w:spacing w:after="0"/>
        <w:rPr>
          <w:sz w:val="20"/>
          <w:szCs w:val="20"/>
          <w:color w:val="auto"/>
        </w:rPr>
      </w:pPr>
      <w:r>
        <w:rPr>
          <w:rFonts w:ascii="Arial" w:cs="Arial" w:eastAsia="Arial" w:hAnsi="Arial"/>
          <w:sz w:val="19"/>
          <w:szCs w:val="19"/>
          <w:color w:val="auto"/>
        </w:rPr>
        <w:t>In accordance with SEC rules, we have set forth below a shareholder proposal, along with the supporting statement of the shareholder proponent, for which we and our Board accept no responsibility. The shareholder proposal will be voted on at our Annual Meeting only if properly presented at our Annual Meeting by or on behalf of the shareholder proponent.</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As explained below, our Board unanimously recommends that you vote “AGAINST” proposal 4.</w:t>
      </w:r>
    </w:p>
    <w:p>
      <w:pPr>
        <w:spacing w:after="0" w:line="293" w:lineRule="exact"/>
        <w:rPr>
          <w:sz w:val="20"/>
          <w:szCs w:val="20"/>
          <w:color w:val="auto"/>
        </w:rPr>
      </w:pPr>
    </w:p>
    <w:p>
      <w:pPr>
        <w:jc w:val="both"/>
        <w:spacing w:after="0"/>
        <w:rPr>
          <w:sz w:val="20"/>
          <w:szCs w:val="20"/>
          <w:color w:val="auto"/>
        </w:rPr>
      </w:pPr>
      <w:r>
        <w:rPr>
          <w:rFonts w:ascii="Arial" w:cs="Arial" w:eastAsia="Arial" w:hAnsi="Arial"/>
          <w:sz w:val="19"/>
          <w:szCs w:val="19"/>
          <w:color w:val="auto"/>
        </w:rPr>
        <w:t>The proposal was submitted by the AFL-CIO Reserve Fund, 815 Black Lives Matter Plaza NW, Washington, DC 20006. The shareholder was the beneficial owner of at least $2,000 worth of our Common Stock for at least three years as of the date the proposal was submitted and has notified the Company of its intent to present the following proposal at the Annual Meeting.</w:t>
      </w:r>
    </w:p>
    <w:p>
      <w:pPr>
        <w:spacing w:after="0" w:line="235"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PROPOSAL AND SUPPORTING STATEMENT</w:t>
      </w:r>
    </w:p>
    <w:p>
      <w:pPr>
        <w:spacing w:after="0" w:line="309"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RESOLVED, shareholders of Activision Blizzard, Inc. (“Activision” or the “Company”) urge the Board of Directors (the “Board”) to adopt a policy of nominating a director candidate who is selected by the Company’s non-management employees (the “Employee Representative Director Nominee”). The Employee Representative Director Nominee shall be selected by non-management employees using an election process. Compliance with this policy shall be excused if the Employee Representative Director Nominee does not consent to serve on the Board or would cause the Company to violate any law, regulation, or stock exchange listing requirement.</w:t>
      </w:r>
    </w:p>
    <w:p>
      <w:pPr>
        <w:spacing w:after="0" w:line="23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SUPPORTING STATEMENT</w:t>
      </w:r>
    </w:p>
    <w:p>
      <w:pPr>
        <w:spacing w:after="0" w:line="142"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Employee representation on boards of directors can contribute to long-term corporate performance in several ways. A non-management employee representative can result in better board decision-making by facilitating information sharing between the board and employees. Employees may be more productive and better motivated if they have a voice in the governance of the corporation. They may also be more willing to invest time and energy to develop firm-specific knowledge and experience that contributes to a high productivity workplace.</w:t>
      </w:r>
    </w:p>
    <w:p>
      <w:pPr>
        <w:spacing w:after="0" w:line="260"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Employee board representation is common in Europe where over a dozen countries require some form of “co-determination” for private-sector companies. A recent academic study of co-determination in Germany did not find any negative profitability effects or detrimental changes in wages or investment levels resulting from employee representation on boards.</w:t>
      </w:r>
      <w:r>
        <w:rPr>
          <w:rFonts w:ascii="Arial" w:cs="Arial" w:eastAsia="Arial" w:hAnsi="Arial"/>
          <w:sz w:val="21"/>
          <w:szCs w:val="21"/>
          <w:color w:val="auto"/>
          <w:vertAlign w:val="superscript"/>
        </w:rPr>
        <w:t>1</w:t>
      </w:r>
      <w:r>
        <w:rPr>
          <w:rFonts w:ascii="Arial" w:cs="Arial" w:eastAsia="Arial" w:hAnsi="Arial"/>
          <w:sz w:val="19"/>
          <w:szCs w:val="19"/>
          <w:color w:val="auto"/>
        </w:rPr>
        <w:t xml:space="preserve"> The Organisation for Economic Co-operation and Development (“OECD”) has also urged that “[m]echanisms for employee participation should be permitted to develop.”</w:t>
      </w:r>
      <w:r>
        <w:rPr>
          <w:rFonts w:ascii="Arial" w:cs="Arial" w:eastAsia="Arial" w:hAnsi="Arial"/>
          <w:sz w:val="21"/>
          <w:szCs w:val="21"/>
          <w:color w:val="auto"/>
          <w:vertAlign w:val="superscript"/>
        </w:rPr>
        <w:t>2</w:t>
      </w:r>
    </w:p>
    <w:p>
      <w:pPr>
        <w:spacing w:after="0" w:line="210"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color w:val="auto"/>
        </w:rPr>
        <w:t>We believe that including an employee representative on Activision’s Board will be particularly beneficial in light of recent allegations regarding sexual misconduct at the Company. Activision CEO Bobby Kotick reportedly had known for years about alleged sexual assault at the Company but did not inform the Board.</w:t>
      </w:r>
      <w:r>
        <w:rPr>
          <w:rFonts w:ascii="Arial" w:cs="Arial" w:eastAsia="Arial" w:hAnsi="Arial"/>
          <w:sz w:val="21"/>
          <w:szCs w:val="21"/>
          <w:color w:val="auto"/>
          <w:vertAlign w:val="superscript"/>
        </w:rPr>
        <w:t>3</w:t>
      </w:r>
      <w:r>
        <w:rPr>
          <w:rFonts w:ascii="Arial" w:cs="Arial" w:eastAsia="Arial" w:hAnsi="Arial"/>
          <w:sz w:val="19"/>
          <w:szCs w:val="19"/>
          <w:color w:val="auto"/>
        </w:rPr>
        <w:t xml:space="preserve"> The Securities and Exchange Commission, Equal Employment Opportunity Commission, and California Department of Fair Employment and Housing have launched investigations into how Activision has handled these allegations.</w:t>
      </w:r>
      <w:r>
        <w:rPr>
          <w:rFonts w:ascii="Arial" w:cs="Arial" w:eastAsia="Arial" w:hAnsi="Arial"/>
          <w:sz w:val="21"/>
          <w:szCs w:val="21"/>
          <w:color w:val="auto"/>
          <w:vertAlign w:val="superscript"/>
        </w:rPr>
        <w:t>4</w:t>
      </w:r>
    </w:p>
    <w:p>
      <w:pPr>
        <w:spacing w:after="0" w:line="104" w:lineRule="exact"/>
        <w:rPr>
          <w:sz w:val="20"/>
          <w:szCs w:val="20"/>
          <w:color w:val="auto"/>
        </w:rPr>
      </w:pPr>
    </w:p>
    <w:p>
      <w:pPr>
        <w:spacing w:after="0"/>
        <w:tabs>
          <w:tab w:leader="none" w:pos="7360" w:val="left"/>
          <w:tab w:leader="none" w:pos="9380" w:val="left"/>
          <w:tab w:leader="none" w:pos="1100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37" w:name="page138"/>
    <w:bookmarkEnd w:id="137"/>
    <w:p>
      <w:pPr>
        <w:ind w:left="5"/>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35" w:lineRule="exact"/>
        <w:rPr>
          <w:sz w:val="20"/>
          <w:szCs w:val="20"/>
          <w:color w:val="auto"/>
        </w:rPr>
      </w:pPr>
    </w:p>
    <w:p>
      <w:pPr>
        <w:jc w:val="both"/>
        <w:ind w:left="5"/>
        <w:spacing w:after="0" w:line="238" w:lineRule="auto"/>
        <w:rPr>
          <w:sz w:val="20"/>
          <w:szCs w:val="20"/>
          <w:color w:val="auto"/>
        </w:rPr>
      </w:pPr>
      <w:r>
        <w:rPr>
          <w:rFonts w:ascii="Arial" w:cs="Arial" w:eastAsia="Arial" w:hAnsi="Arial"/>
          <w:sz w:val="19"/>
          <w:szCs w:val="19"/>
          <w:color w:val="auto"/>
        </w:rPr>
        <w:t>In our opinion, Activision can help repair its employees’ trust in the governance of the Company by adopting this proposal. We also believe that adopting this proposal will contribute to a needed refreshment of the Board by adding an employee perspective to Board deliberations. Finally, it is our view that an employee Board representative will help hold management accountable for employees’ concerns, including the prevention of workplace sexual harassment and assault.</w:t>
      </w:r>
    </w:p>
    <w:p>
      <w:pPr>
        <w:spacing w:after="0" w:line="263" w:lineRule="exact"/>
        <w:rPr>
          <w:sz w:val="20"/>
          <w:szCs w:val="20"/>
          <w:color w:val="auto"/>
        </w:rPr>
      </w:pPr>
    </w:p>
    <w:p>
      <w:pPr>
        <w:ind w:left="5"/>
        <w:spacing w:after="0"/>
        <w:rPr>
          <w:sz w:val="20"/>
          <w:szCs w:val="20"/>
          <w:color w:val="auto"/>
        </w:rPr>
      </w:pPr>
      <w:r>
        <w:rPr>
          <w:rFonts w:ascii="Arial" w:cs="Arial" w:eastAsia="Arial" w:hAnsi="Arial"/>
          <w:sz w:val="19"/>
          <w:szCs w:val="19"/>
          <w:color w:val="auto"/>
        </w:rPr>
        <w:t>For these reasons, we urge a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174625</wp:posOffset>
            </wp:positionV>
            <wp:extent cx="7148830" cy="152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313" w:lineRule="exact"/>
        <w:rPr>
          <w:sz w:val="20"/>
          <w:szCs w:val="20"/>
          <w:color w:val="auto"/>
        </w:rPr>
      </w:pPr>
    </w:p>
    <w:p>
      <w:pPr>
        <w:ind w:left="225" w:right="40" w:hanging="213"/>
        <w:spacing w:after="0" w:line="288" w:lineRule="auto"/>
        <w:tabs>
          <w:tab w:leader="none" w:pos="225" w:val="left"/>
        </w:tabs>
        <w:numPr>
          <w:ilvl w:val="0"/>
          <w:numId w:val="137"/>
        </w:numPr>
        <w:rPr>
          <w:rFonts w:ascii="Arial" w:cs="Arial" w:eastAsia="Arial" w:hAnsi="Arial"/>
          <w:sz w:val="15"/>
          <w:szCs w:val="15"/>
          <w:color w:val="auto"/>
        </w:rPr>
      </w:pPr>
      <w:r>
        <w:rPr>
          <w:rFonts w:ascii="Arial" w:cs="Arial" w:eastAsia="Arial" w:hAnsi="Arial"/>
          <w:sz w:val="15"/>
          <w:szCs w:val="15"/>
          <w:color w:val="auto"/>
        </w:rPr>
        <w:t xml:space="preserve">Simon Jäger, Benjamin Schoefer, Jörg Heining, “Labor in the Boardroom,” </w:t>
      </w:r>
      <w:r>
        <w:rPr>
          <w:rFonts w:ascii="Arial" w:cs="Arial" w:eastAsia="Arial" w:hAnsi="Arial"/>
          <w:sz w:val="15"/>
          <w:szCs w:val="15"/>
          <w:i w:val="1"/>
          <w:iCs w:val="1"/>
          <w:color w:val="auto"/>
        </w:rPr>
        <w:t>The Quarterly Journal of Economics</w:t>
      </w:r>
      <w:r>
        <w:rPr>
          <w:rFonts w:ascii="Arial" w:cs="Arial" w:eastAsia="Arial" w:hAnsi="Arial"/>
          <w:sz w:val="15"/>
          <w:szCs w:val="15"/>
          <w:color w:val="auto"/>
        </w:rPr>
        <w:t>, Volume 136, Issue 2, May 2021, Pages 669– 725, https://doi.org/10.1093/qje/qjaa038.</w:t>
      </w:r>
    </w:p>
    <w:p>
      <w:pPr>
        <w:spacing w:after="0" w:line="6" w:lineRule="exact"/>
        <w:rPr>
          <w:sz w:val="20"/>
          <w:szCs w:val="20"/>
          <w:color w:val="auto"/>
        </w:rPr>
      </w:pPr>
    </w:p>
    <w:p>
      <w:pPr>
        <w:ind w:left="5"/>
        <w:spacing w:after="0"/>
        <w:rPr>
          <w:sz w:val="20"/>
          <w:szCs w:val="20"/>
          <w:color w:val="auto"/>
        </w:rPr>
      </w:pPr>
      <w:r>
        <w:rPr>
          <w:rFonts w:ascii="Arial" w:cs="Arial" w:eastAsia="Arial" w:hAnsi="Arial"/>
          <w:sz w:val="15"/>
          <w:szCs w:val="15"/>
          <w:color w:val="auto"/>
        </w:rPr>
        <w:t>2  OECD, G20/OECD Principles of Corporate Governance, 2015, https://doi.org/10.1787/9789264236882-en.</w:t>
      </w:r>
    </w:p>
    <w:p>
      <w:pPr>
        <w:spacing w:after="0" w:line="25" w:lineRule="exact"/>
        <w:rPr>
          <w:sz w:val="20"/>
          <w:szCs w:val="20"/>
          <w:color w:val="auto"/>
        </w:rPr>
      </w:pPr>
    </w:p>
    <w:p>
      <w:pPr>
        <w:ind w:left="205" w:right="40" w:hanging="205"/>
        <w:spacing w:after="0" w:line="272" w:lineRule="auto"/>
        <w:tabs>
          <w:tab w:leader="none" w:pos="205" w:val="left"/>
        </w:tabs>
        <w:numPr>
          <w:ilvl w:val="0"/>
          <w:numId w:val="138"/>
        </w:numPr>
        <w:rPr>
          <w:rFonts w:ascii="Arial" w:cs="Arial" w:eastAsia="Arial" w:hAnsi="Arial"/>
          <w:sz w:val="15"/>
          <w:szCs w:val="15"/>
          <w:color w:val="auto"/>
        </w:rPr>
      </w:pPr>
      <w:r>
        <w:rPr>
          <w:rFonts w:ascii="Arial" w:cs="Arial" w:eastAsia="Arial" w:hAnsi="Arial"/>
          <w:sz w:val="15"/>
          <w:szCs w:val="15"/>
          <w:color w:val="auto"/>
        </w:rPr>
        <w:t xml:space="preserve">Kirsten Grind, Ben Fritz, Sarah Needleman, “Activision CEO Bobby Kotick Knew for Years About Sexual- Misconduct Allegations at Videogame Giant,” </w:t>
      </w:r>
      <w:r>
        <w:rPr>
          <w:rFonts w:ascii="Arial" w:cs="Arial" w:eastAsia="Arial" w:hAnsi="Arial"/>
          <w:sz w:val="15"/>
          <w:szCs w:val="15"/>
          <w:i w:val="1"/>
          <w:iCs w:val="1"/>
          <w:color w:val="auto"/>
        </w:rPr>
        <w:t>The Wall</w:t>
      </w:r>
      <w:r>
        <w:rPr>
          <w:rFonts w:ascii="Arial" w:cs="Arial" w:eastAsia="Arial" w:hAnsi="Arial"/>
          <w:sz w:val="15"/>
          <w:szCs w:val="15"/>
          <w:color w:val="auto"/>
        </w:rPr>
        <w:t xml:space="preserve"> </w:t>
      </w:r>
      <w:r>
        <w:rPr>
          <w:rFonts w:ascii="Arial" w:cs="Arial" w:eastAsia="Arial" w:hAnsi="Arial"/>
          <w:sz w:val="15"/>
          <w:szCs w:val="15"/>
          <w:i w:val="1"/>
          <w:iCs w:val="1"/>
          <w:color w:val="auto"/>
        </w:rPr>
        <w:t>Street Journal</w:t>
      </w:r>
      <w:r>
        <w:rPr>
          <w:rFonts w:ascii="Arial" w:cs="Arial" w:eastAsia="Arial" w:hAnsi="Arial"/>
          <w:sz w:val="15"/>
          <w:szCs w:val="15"/>
          <w:color w:val="auto"/>
        </w:rPr>
        <w:t>, November 16, 2021, https://www.wsj.com/articles/activision-videogames-bobby-kotick-sexual-misconduct-allegations-11637075680.</w:t>
      </w:r>
    </w:p>
    <w:p>
      <w:pPr>
        <w:spacing w:after="0" w:line="1" w:lineRule="exact"/>
        <w:rPr>
          <w:sz w:val="20"/>
          <w:szCs w:val="20"/>
          <w:color w:val="auto"/>
        </w:rPr>
      </w:pPr>
    </w:p>
    <w:p>
      <w:pPr>
        <w:ind w:left="205" w:right="40" w:hanging="205"/>
        <w:spacing w:after="0" w:line="288" w:lineRule="auto"/>
        <w:tabs>
          <w:tab w:leader="none" w:pos="205" w:val="left"/>
        </w:tabs>
        <w:numPr>
          <w:ilvl w:val="0"/>
          <w:numId w:val="139"/>
        </w:numPr>
        <w:rPr>
          <w:rFonts w:ascii="Arial" w:cs="Arial" w:eastAsia="Arial" w:hAnsi="Arial"/>
          <w:sz w:val="15"/>
          <w:szCs w:val="15"/>
          <w:color w:val="auto"/>
        </w:rPr>
      </w:pPr>
      <w:r>
        <w:rPr>
          <w:rFonts w:ascii="Arial" w:cs="Arial" w:eastAsia="Arial" w:hAnsi="Arial"/>
          <w:sz w:val="15"/>
          <w:szCs w:val="15"/>
          <w:color w:val="auto"/>
        </w:rPr>
        <w:t xml:space="preserve">Kirsten Grind, Sarah Needleman, “SEC Is Investigating Activision Blizzard Over Workplace Practices, Disclosures” </w:t>
      </w:r>
      <w:r>
        <w:rPr>
          <w:rFonts w:ascii="Arial" w:cs="Arial" w:eastAsia="Arial" w:hAnsi="Arial"/>
          <w:sz w:val="15"/>
          <w:szCs w:val="15"/>
          <w:i w:val="1"/>
          <w:iCs w:val="1"/>
          <w:color w:val="auto"/>
        </w:rPr>
        <w:t>The Wall Street Journal,</w:t>
      </w:r>
      <w:r>
        <w:rPr>
          <w:rFonts w:ascii="Arial" w:cs="Arial" w:eastAsia="Arial" w:hAnsi="Arial"/>
          <w:sz w:val="15"/>
          <w:szCs w:val="15"/>
          <w:color w:val="auto"/>
        </w:rPr>
        <w:t xml:space="preserve"> September 20, 2021, https://www.wsj.com/articles/sec-is-investigatingactivision-blizzard-over-workplace-practices-disclosures-11632165080.</w:t>
      </w:r>
    </w:p>
    <w:p>
      <w:pPr>
        <w:spacing w:after="0" w:line="317" w:lineRule="exact"/>
        <w:rPr>
          <w:sz w:val="20"/>
          <w:szCs w:val="20"/>
          <w:color w:val="auto"/>
        </w:rPr>
      </w:pPr>
    </w:p>
    <w:p>
      <w:pPr>
        <w:ind w:left="5"/>
        <w:spacing w:after="0"/>
        <w:rPr>
          <w:sz w:val="20"/>
          <w:szCs w:val="20"/>
          <w:color w:val="auto"/>
        </w:rPr>
      </w:pPr>
      <w:r>
        <w:rPr>
          <w:rFonts w:ascii="Arial" w:cs="Arial" w:eastAsia="Arial" w:hAnsi="Arial"/>
          <w:sz w:val="26"/>
          <w:szCs w:val="26"/>
          <w:b w:val="1"/>
          <w:bCs w:val="1"/>
          <w:color w:val="auto"/>
        </w:rPr>
        <w:t>OPPOSING STATEMENT</w:t>
      </w:r>
    </w:p>
    <w:p>
      <w:pPr>
        <w:spacing w:after="0" w:line="283" w:lineRule="exact"/>
        <w:rPr>
          <w:sz w:val="20"/>
          <w:szCs w:val="20"/>
          <w:color w:val="auto"/>
        </w:rPr>
      </w:pPr>
    </w:p>
    <w:p>
      <w:pPr>
        <w:ind w:left="5"/>
        <w:spacing w:after="0"/>
        <w:rPr>
          <w:sz w:val="20"/>
          <w:szCs w:val="20"/>
          <w:color w:val="auto"/>
        </w:rPr>
      </w:pPr>
      <w:r>
        <w:rPr>
          <w:rFonts w:ascii="Arial" w:cs="Arial" w:eastAsia="Arial" w:hAnsi="Arial"/>
          <w:sz w:val="24"/>
          <w:szCs w:val="24"/>
          <w:b w:val="1"/>
          <w:bCs w:val="1"/>
          <w:color w:val="auto"/>
        </w:rPr>
        <w:t>Board Statement</w:t>
      </w:r>
    </w:p>
    <w:p>
      <w:pPr>
        <w:spacing w:after="0" w:line="118"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The Board recommends that you vote “Against” this proposal.</w:t>
      </w:r>
    </w:p>
    <w:p>
      <w:pPr>
        <w:spacing w:after="0" w:line="293" w:lineRule="exact"/>
        <w:rPr>
          <w:sz w:val="20"/>
          <w:szCs w:val="20"/>
          <w:color w:val="auto"/>
        </w:rPr>
      </w:pPr>
    </w:p>
    <w:p>
      <w:pPr>
        <w:jc w:val="both"/>
        <w:ind w:left="5"/>
        <w:spacing w:after="0"/>
        <w:rPr>
          <w:sz w:val="20"/>
          <w:szCs w:val="20"/>
          <w:color w:val="auto"/>
        </w:rPr>
      </w:pPr>
      <w:r>
        <w:rPr>
          <w:rFonts w:ascii="Arial" w:cs="Arial" w:eastAsia="Arial" w:hAnsi="Arial"/>
          <w:sz w:val="19"/>
          <w:szCs w:val="19"/>
          <w:color w:val="auto"/>
        </w:rPr>
        <w:t>The Board supports the Company’s mission of becoming the most welcoming, inclusive company in our industry and leadership’s commitments to produce meaningful change and provide employees the resources, avenues to provide feedback, and support to succeed in our collective aspiration to be the model workplace in our industry.</w:t>
      </w:r>
    </w:p>
    <w:p>
      <w:pPr>
        <w:spacing w:after="0" w:line="236" w:lineRule="exact"/>
        <w:rPr>
          <w:sz w:val="20"/>
          <w:szCs w:val="20"/>
          <w:color w:val="auto"/>
        </w:rPr>
      </w:pPr>
    </w:p>
    <w:p>
      <w:pPr>
        <w:jc w:val="both"/>
        <w:ind w:left="5"/>
        <w:spacing w:after="0" w:line="272" w:lineRule="auto"/>
        <w:rPr>
          <w:sz w:val="20"/>
          <w:szCs w:val="20"/>
          <w:color w:val="auto"/>
        </w:rPr>
      </w:pPr>
      <w:r>
        <w:rPr>
          <w:rFonts w:ascii="Arial" w:cs="Arial" w:eastAsia="Arial" w:hAnsi="Arial"/>
          <w:sz w:val="19"/>
          <w:szCs w:val="19"/>
          <w:b w:val="1"/>
          <w:bCs w:val="1"/>
          <w:color w:val="auto"/>
        </w:rPr>
        <w:t>While the Board appreciates hearing the perspectives of our shareholders, as we describe below, we do not believe this proposal is in the best interests of the Company or its shareholders.</w:t>
      </w:r>
    </w:p>
    <w:p>
      <w:pPr>
        <w:spacing w:after="0" w:line="230" w:lineRule="exact"/>
        <w:rPr>
          <w:sz w:val="20"/>
          <w:szCs w:val="20"/>
          <w:color w:val="auto"/>
        </w:rPr>
      </w:pPr>
    </w:p>
    <w:p>
      <w:pPr>
        <w:jc w:val="both"/>
        <w:ind w:left="5"/>
        <w:spacing w:after="0" w:line="238" w:lineRule="auto"/>
        <w:rPr>
          <w:sz w:val="20"/>
          <w:szCs w:val="20"/>
          <w:color w:val="auto"/>
        </w:rPr>
      </w:pPr>
      <w:r>
        <w:rPr>
          <w:rFonts w:ascii="Arial" w:cs="Arial" w:eastAsia="Arial" w:hAnsi="Arial"/>
          <w:sz w:val="19"/>
          <w:szCs w:val="19"/>
          <w:color w:val="auto"/>
        </w:rPr>
        <w:t>The independent Nominating and Corporate Governance Committee undertakes a thorough process of evaluating director nominees, which seeks to assure that our director candidates reflect a diversity of perspectives, backgrounds, and experiences, meet the Board’s immediate and ongoing needs with regard to experience and skills, and contribute to the overall makeup of the Board, among other important factors. The Nominating and Corporate Governance Committee also considers how nominees would affect the independence of the Board as a whole.</w:t>
      </w:r>
    </w:p>
    <w:p>
      <w:pPr>
        <w:spacing w:after="0" w:line="240" w:lineRule="exact"/>
        <w:rPr>
          <w:sz w:val="20"/>
          <w:szCs w:val="20"/>
          <w:color w:val="auto"/>
        </w:rPr>
      </w:pPr>
    </w:p>
    <w:p>
      <w:pPr>
        <w:ind w:left="5"/>
        <w:spacing w:after="0"/>
        <w:rPr>
          <w:sz w:val="20"/>
          <w:szCs w:val="20"/>
          <w:color w:val="auto"/>
        </w:rPr>
      </w:pPr>
      <w:r>
        <w:rPr>
          <w:rFonts w:ascii="Arial" w:cs="Arial" w:eastAsia="Arial" w:hAnsi="Arial"/>
          <w:sz w:val="19"/>
          <w:szCs w:val="19"/>
          <w:i w:val="1"/>
          <w:iCs w:val="1"/>
          <w:color w:val="auto"/>
        </w:rPr>
        <w:t>The Company has existing corporate governance practices and procedures for nominating and considering Board members.</w:t>
      </w:r>
    </w:p>
    <w:p>
      <w:pPr>
        <w:spacing w:after="0" w:line="158" w:lineRule="exact"/>
        <w:rPr>
          <w:sz w:val="20"/>
          <w:szCs w:val="20"/>
          <w:color w:val="auto"/>
        </w:rPr>
      </w:pPr>
    </w:p>
    <w:p>
      <w:pPr>
        <w:jc w:val="both"/>
        <w:ind w:left="5"/>
        <w:spacing w:after="0" w:line="236" w:lineRule="auto"/>
        <w:rPr>
          <w:sz w:val="20"/>
          <w:szCs w:val="20"/>
          <w:color w:val="auto"/>
        </w:rPr>
      </w:pPr>
      <w:r>
        <w:rPr>
          <w:rFonts w:ascii="Arial" w:cs="Arial" w:eastAsia="Arial" w:hAnsi="Arial"/>
          <w:sz w:val="19"/>
          <w:szCs w:val="19"/>
          <w:color w:val="auto"/>
        </w:rPr>
        <w:t>The proposal would require that the Board nominate a director selected solely by the employees, who, if elected, would be a non-independent member of the Board. This approach seeks to replace the careful judgment of the Board as to the criteria that should be reflected in a director candidate pool. As described under “Proposal 1—Election of Directors—How We Identify Candidates for our Board,” the Nominating and Corporate Governance Committee considers several attributes in its selection of director candidates, including a candidate’s experience; knowledge; skills; expertise; personal and professional integrity; character; business judgment; time availability in light of other commitments; and independence. In addition, our Corporate Governance Principles and Policies reflect our commitment to Board diversity, providing that the initial list from which any new independent director nominee is chosen includes qualified female and racially/ethnically diverse candidates.</w:t>
      </w:r>
    </w:p>
    <w:p>
      <w:pPr>
        <w:spacing w:after="0" w:line="267" w:lineRule="exact"/>
        <w:rPr>
          <w:sz w:val="20"/>
          <w:szCs w:val="20"/>
          <w:color w:val="auto"/>
        </w:rPr>
      </w:pPr>
    </w:p>
    <w:p>
      <w:pPr>
        <w:jc w:val="both"/>
        <w:ind w:left="5"/>
        <w:spacing w:after="0" w:line="238" w:lineRule="auto"/>
        <w:rPr>
          <w:sz w:val="20"/>
          <w:szCs w:val="20"/>
          <w:color w:val="auto"/>
        </w:rPr>
      </w:pPr>
      <w:r>
        <w:rPr>
          <w:rFonts w:ascii="Arial" w:cs="Arial" w:eastAsia="Arial" w:hAnsi="Arial"/>
          <w:sz w:val="19"/>
          <w:szCs w:val="19"/>
          <w:color w:val="auto"/>
        </w:rPr>
        <w:t>The Board and Nominating and Corporate Governance Committee must have discretion to determine the director criteria to best serve the shareholders of the Company, as this continuously evolving criteria is necessary to help guide the Company in achieving its strategic priorities and managing risk. This is particularly important in light of the scope and complexity of the Company’s business. Providing non-management employees with a dedicated position on the Board utilizing a different process for Board representation or applying a different set of qualifications would adversely affect the role of the Board in this process.</w:t>
      </w:r>
    </w:p>
    <w:p>
      <w:pPr>
        <w:spacing w:after="0" w:line="260" w:lineRule="exact"/>
        <w:rPr>
          <w:sz w:val="20"/>
          <w:szCs w:val="20"/>
          <w:color w:val="auto"/>
        </w:rPr>
      </w:pPr>
    </w:p>
    <w:p>
      <w:pPr>
        <w:jc w:val="both"/>
        <w:ind w:left="5" w:right="20"/>
        <w:spacing w:after="0"/>
        <w:rPr>
          <w:sz w:val="20"/>
          <w:szCs w:val="20"/>
          <w:color w:val="auto"/>
        </w:rPr>
      </w:pPr>
      <w:r>
        <w:rPr>
          <w:rFonts w:ascii="Arial" w:cs="Arial" w:eastAsia="Arial" w:hAnsi="Arial"/>
          <w:sz w:val="19"/>
          <w:szCs w:val="19"/>
          <w:color w:val="auto"/>
        </w:rPr>
        <w:t>We also believe that an employee candidate for our Board should be evaluated by the same criteria and standards as any other director candidate. The proposal would require us to deviate from the rigor of our existing processes and undermine the role of our Nominating and Corporate Governance Committee and the Board in one of the most critical and strategic</w:t>
      </w:r>
    </w:p>
    <w:p>
      <w:pPr>
        <w:spacing w:after="0" w:line="154" w:lineRule="exact"/>
        <w:rPr>
          <w:sz w:val="20"/>
          <w:szCs w:val="20"/>
          <w:color w:val="auto"/>
        </w:rPr>
      </w:pPr>
    </w:p>
    <w:p>
      <w:pPr>
        <w:ind w:left="5"/>
        <w:spacing w:after="0"/>
        <w:tabs>
          <w:tab w:leader="none" w:pos="7364" w:val="left"/>
          <w:tab w:leader="none" w:pos="9384" w:val="left"/>
          <w:tab w:leader="none" w:pos="1100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bookmarkStart w:id="138" w:name="page139"/>
    <w:bookmarkEnd w:id="138"/>
    <w:p>
      <w:pPr>
        <w:ind w:left="5"/>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35" w:lineRule="exact"/>
        <w:rPr>
          <w:sz w:val="20"/>
          <w:szCs w:val="20"/>
          <w:color w:val="auto"/>
        </w:rPr>
      </w:pPr>
    </w:p>
    <w:p>
      <w:pPr>
        <w:jc w:val="both"/>
        <w:ind w:left="5" w:right="20"/>
        <w:spacing w:after="0"/>
        <w:rPr>
          <w:sz w:val="20"/>
          <w:szCs w:val="20"/>
          <w:color w:val="auto"/>
        </w:rPr>
      </w:pPr>
      <w:r>
        <w:rPr>
          <w:rFonts w:ascii="Arial" w:cs="Arial" w:eastAsia="Arial" w:hAnsi="Arial"/>
          <w:sz w:val="19"/>
          <w:szCs w:val="19"/>
          <w:color w:val="auto"/>
        </w:rPr>
        <w:t>elements of corporate governance—the selection of director candidates. Importantly, inclusion of a non-management employee would decrease the level of independence on the Board, and therefore its effectiveness. Based on investor feedback, we have only allowed independent directors to serve on board committees and eight of our ten Directors are independent.</w:t>
      </w:r>
    </w:p>
    <w:p>
      <w:pPr>
        <w:spacing w:after="0" w:line="240" w:lineRule="exact"/>
        <w:rPr>
          <w:sz w:val="20"/>
          <w:szCs w:val="20"/>
          <w:color w:val="auto"/>
        </w:rPr>
      </w:pPr>
    </w:p>
    <w:p>
      <w:pPr>
        <w:jc w:val="both"/>
        <w:ind w:left="5" w:right="20"/>
        <w:spacing w:after="0" w:line="267" w:lineRule="auto"/>
        <w:rPr>
          <w:sz w:val="20"/>
          <w:szCs w:val="20"/>
          <w:color w:val="auto"/>
        </w:rPr>
      </w:pPr>
      <w:r>
        <w:rPr>
          <w:rFonts w:ascii="Arial" w:cs="Arial" w:eastAsia="Arial" w:hAnsi="Arial"/>
          <w:sz w:val="19"/>
          <w:szCs w:val="19"/>
          <w:i w:val="1"/>
          <w:iCs w:val="1"/>
          <w:color w:val="auto"/>
        </w:rPr>
        <w:t>Feedback from our employees is deeply valued. In addition to existing channels of communication, we have taken a number of steps to expand mechanisms for feedback and also to improve our workplace and address specific concerns. These include:</w:t>
      </w:r>
    </w:p>
    <w:p>
      <w:pPr>
        <w:spacing w:after="0" w:line="104" w:lineRule="exact"/>
        <w:rPr>
          <w:sz w:val="20"/>
          <w:szCs w:val="20"/>
          <w:color w:val="auto"/>
        </w:rPr>
      </w:pPr>
    </w:p>
    <w:p>
      <w:pPr>
        <w:jc w:val="both"/>
        <w:ind w:left="145" w:right="40" w:hanging="145"/>
        <w:spacing w:after="0" w:line="238" w:lineRule="auto"/>
        <w:tabs>
          <w:tab w:leader="none" w:pos="145" w:val="left"/>
        </w:tabs>
        <w:numPr>
          <w:ilvl w:val="0"/>
          <w:numId w:val="140"/>
        </w:numPr>
        <w:rPr>
          <w:rFonts w:ascii="Arial" w:cs="Arial" w:eastAsia="Arial" w:hAnsi="Arial"/>
          <w:sz w:val="19"/>
          <w:szCs w:val="19"/>
          <w:color w:val="125288"/>
        </w:rPr>
      </w:pPr>
      <w:r>
        <w:rPr>
          <w:rFonts w:ascii="Arial" w:cs="Arial" w:eastAsia="Arial" w:hAnsi="Arial"/>
          <w:sz w:val="19"/>
          <w:szCs w:val="19"/>
          <w:color w:val="auto"/>
        </w:rPr>
        <w:t>In November 2021, the Board formed the “Workplace Responsibility Committee,” comprised of two independent directors, to oversee the Company’s progress in successfully implementing its workplace policies, procedures, and commitments. The Committee will, among other things, develop key performance indicators and/or other means to measure progress and ensure accountability, in consultation with management.</w:t>
      </w:r>
    </w:p>
    <w:p>
      <w:pPr>
        <w:spacing w:after="0" w:line="131" w:lineRule="exact"/>
        <w:rPr>
          <w:rFonts w:ascii="Arial" w:cs="Arial" w:eastAsia="Arial" w:hAnsi="Arial"/>
          <w:sz w:val="19"/>
          <w:szCs w:val="19"/>
          <w:color w:val="125288"/>
        </w:rPr>
      </w:pPr>
    </w:p>
    <w:p>
      <w:pPr>
        <w:jc w:val="both"/>
        <w:ind w:left="145" w:right="40" w:hanging="145"/>
        <w:spacing w:after="0" w:line="238" w:lineRule="auto"/>
        <w:tabs>
          <w:tab w:leader="none" w:pos="145" w:val="left"/>
        </w:tabs>
        <w:numPr>
          <w:ilvl w:val="0"/>
          <w:numId w:val="140"/>
        </w:numPr>
        <w:rPr>
          <w:rFonts w:ascii="Arial" w:cs="Arial" w:eastAsia="Arial" w:hAnsi="Arial"/>
          <w:sz w:val="19"/>
          <w:szCs w:val="19"/>
          <w:color w:val="125288"/>
        </w:rPr>
      </w:pPr>
      <w:r>
        <w:rPr>
          <w:rFonts w:ascii="Arial" w:cs="Arial" w:eastAsia="Arial" w:hAnsi="Arial"/>
          <w:sz w:val="19"/>
          <w:szCs w:val="19"/>
          <w:color w:val="auto"/>
        </w:rPr>
        <w:t>The Company launched Upward Feedback in December 2021, an annual process where employees share constructive, actionable feedback to their managers through an anonymous survey, enabling awareness regarding managers’ inclusive behaviors and commitment to living our values and has provided a summary of the results to the Chief Executive Officer and the Workplace Responsibility Committee.</w:t>
      </w:r>
    </w:p>
    <w:p>
      <w:pPr>
        <w:spacing w:after="0" w:line="131" w:lineRule="exact"/>
        <w:rPr>
          <w:rFonts w:ascii="Arial" w:cs="Arial" w:eastAsia="Arial" w:hAnsi="Arial"/>
          <w:sz w:val="19"/>
          <w:szCs w:val="19"/>
          <w:color w:val="125288"/>
        </w:rPr>
      </w:pPr>
    </w:p>
    <w:p>
      <w:pPr>
        <w:jc w:val="both"/>
        <w:ind w:left="145" w:right="40" w:hanging="145"/>
        <w:spacing w:after="0" w:line="238" w:lineRule="auto"/>
        <w:tabs>
          <w:tab w:leader="none" w:pos="145" w:val="left"/>
        </w:tabs>
        <w:numPr>
          <w:ilvl w:val="0"/>
          <w:numId w:val="140"/>
        </w:numPr>
        <w:rPr>
          <w:rFonts w:ascii="Arial" w:cs="Arial" w:eastAsia="Arial" w:hAnsi="Arial"/>
          <w:sz w:val="19"/>
          <w:szCs w:val="19"/>
          <w:color w:val="125288"/>
        </w:rPr>
      </w:pPr>
      <w:r>
        <w:rPr>
          <w:rFonts w:ascii="Arial" w:cs="Arial" w:eastAsia="Arial" w:hAnsi="Arial"/>
          <w:sz w:val="19"/>
          <w:szCs w:val="19"/>
          <w:color w:val="auto"/>
        </w:rPr>
        <w:t>Employee engagement also plays a critical role in how we identify and improve the way we work. We gather our employees’ views through multiple means, including small group meetings with leadership, pulse surveys, listening sessions and the newly added annual upward feedback program. We emphasize to employees that the feedback program is an excellent opportunity to “provide honest, candid feedback about their experience working for the Company.” Our employee feedback is dynamic and relevant to our employees’ immediate needs.</w:t>
      </w:r>
    </w:p>
    <w:p>
      <w:pPr>
        <w:spacing w:after="0" w:line="260"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auto"/>
        </w:rPr>
        <w:t>* * * *</w:t>
      </w:r>
    </w:p>
    <w:p>
      <w:pPr>
        <w:spacing w:after="0" w:line="269" w:lineRule="exact"/>
        <w:rPr>
          <w:sz w:val="20"/>
          <w:szCs w:val="20"/>
          <w:color w:val="auto"/>
        </w:rPr>
      </w:pPr>
    </w:p>
    <w:p>
      <w:pPr>
        <w:jc w:val="both"/>
        <w:ind w:left="5" w:right="20"/>
        <w:spacing w:after="0" w:line="238" w:lineRule="auto"/>
        <w:rPr>
          <w:sz w:val="20"/>
          <w:szCs w:val="20"/>
          <w:color w:val="auto"/>
        </w:rPr>
      </w:pPr>
      <w:r>
        <w:rPr>
          <w:rFonts w:ascii="Arial" w:cs="Arial" w:eastAsia="Arial" w:hAnsi="Arial"/>
          <w:sz w:val="19"/>
          <w:szCs w:val="19"/>
          <w:color w:val="auto"/>
        </w:rPr>
        <w:t xml:space="preserve">The Company welcomes the perspective of our shareholders, including by their vote on this proposal. However, given our robust director nomination process, our commitment to strong corporate governance practices, our enhanced channels of communication with our employees, and our continued dedication to improving our workplace, we believe the proposal to alter our Board nomination process is neither necessary nor in the best interests of our Company or our shareholders. </w:t>
      </w:r>
      <w:r>
        <w:rPr>
          <w:rFonts w:ascii="Arial" w:cs="Arial" w:eastAsia="Arial" w:hAnsi="Arial"/>
          <w:sz w:val="19"/>
          <w:szCs w:val="19"/>
          <w:b w:val="1"/>
          <w:bCs w:val="1"/>
          <w:color w:val="auto"/>
        </w:rPr>
        <w:t>Therefore, the Board unanimously</w:t>
      </w:r>
      <w:r>
        <w:rPr>
          <w:rFonts w:ascii="Arial" w:cs="Arial" w:eastAsia="Arial" w:hAnsi="Arial"/>
          <w:sz w:val="19"/>
          <w:szCs w:val="19"/>
          <w:color w:val="auto"/>
        </w:rPr>
        <w:t xml:space="preserve"> </w:t>
      </w:r>
      <w:r>
        <w:rPr>
          <w:rFonts w:ascii="Arial" w:cs="Arial" w:eastAsia="Arial" w:hAnsi="Arial"/>
          <w:sz w:val="19"/>
          <w:szCs w:val="19"/>
          <w:b w:val="1"/>
          <w:bCs w:val="1"/>
          <w:color w:val="auto"/>
        </w:rPr>
        <w:t>recommends that you vote “AGAINST” proposal 4.</w:t>
      </w:r>
    </w:p>
    <w:p>
      <w:pPr>
        <w:spacing w:after="0" w:line="235" w:lineRule="exact"/>
        <w:rPr>
          <w:sz w:val="20"/>
          <w:szCs w:val="20"/>
          <w:color w:val="auto"/>
        </w:rPr>
      </w:pPr>
    </w:p>
    <w:p>
      <w:pPr>
        <w:ind w:left="5"/>
        <w:spacing w:after="0"/>
        <w:rPr>
          <w:sz w:val="20"/>
          <w:szCs w:val="20"/>
          <w:color w:val="auto"/>
        </w:rPr>
      </w:pPr>
      <w:r>
        <w:rPr>
          <w:rFonts w:ascii="Arial" w:cs="Arial" w:eastAsia="Arial" w:hAnsi="Arial"/>
          <w:sz w:val="26"/>
          <w:szCs w:val="26"/>
          <w:b w:val="1"/>
          <w:bCs w:val="1"/>
          <w:color w:val="auto"/>
        </w:rPr>
        <w:t>REQUIRED VOTE AND BOARD RECOMMENDATION</w:t>
      </w:r>
    </w:p>
    <w:p>
      <w:pPr>
        <w:spacing w:after="0" w:line="309" w:lineRule="exact"/>
        <w:rPr>
          <w:sz w:val="20"/>
          <w:szCs w:val="20"/>
          <w:color w:val="auto"/>
        </w:rPr>
      </w:pPr>
    </w:p>
    <w:p>
      <w:pPr>
        <w:jc w:val="both"/>
        <w:ind w:left="5" w:right="20"/>
        <w:spacing w:after="0" w:line="238" w:lineRule="auto"/>
        <w:rPr>
          <w:sz w:val="20"/>
          <w:szCs w:val="20"/>
          <w:color w:val="auto"/>
        </w:rPr>
      </w:pPr>
      <w:r>
        <w:rPr>
          <w:rFonts w:ascii="Arial" w:cs="Arial" w:eastAsia="Arial" w:hAnsi="Arial"/>
          <w:sz w:val="19"/>
          <w:szCs w:val="19"/>
          <w:color w:val="auto"/>
        </w:rPr>
        <w:t>This proposal will be approved if it receives the affirmative vote of the holders of a majority of the voting power of the shares present in person or by proxy and entitled to vote on the matter at the Annual Meeting. While our Board believes that the views of the Company’s shareholders are of the utmost importance and will carefully consider the outcome of the vote expressed by our shareholders when making future disclosure decisions, the vote will not be binding upon them. Our Board ultimately has a duty to act in what it believes to be the best interests of the Company and all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168910</wp:posOffset>
            </wp:positionV>
            <wp:extent cx="6038850" cy="53594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038850" cy="535940"/>
                    </a:xfrm>
                    <a:prstGeom prst="rect">
                      <a:avLst/>
                    </a:prstGeom>
                    <a:noFill/>
                  </pic:spPr>
                </pic:pic>
              </a:graphicData>
            </a:graphic>
          </wp:anchor>
        </w:drawing>
      </w:r>
    </w:p>
    <w:p>
      <w:pPr>
        <w:spacing w:after="0" w:line="370" w:lineRule="exact"/>
        <w:rPr>
          <w:sz w:val="20"/>
          <w:szCs w:val="20"/>
          <w:color w:val="auto"/>
        </w:rPr>
      </w:pPr>
    </w:p>
    <w:p>
      <w:pPr>
        <w:ind w:left="1505" w:right="980"/>
        <w:spacing w:after="0" w:line="273" w:lineRule="auto"/>
        <w:rPr>
          <w:sz w:val="20"/>
          <w:szCs w:val="20"/>
          <w:color w:val="auto"/>
        </w:rPr>
      </w:pPr>
      <w:r>
        <w:rPr>
          <w:rFonts w:ascii="Arial" w:cs="Arial" w:eastAsia="Arial" w:hAnsi="Arial"/>
          <w:sz w:val="25"/>
          <w:szCs w:val="25"/>
          <w:b w:val="1"/>
          <w:bCs w:val="1"/>
          <w:color w:val="auto"/>
        </w:rPr>
        <w:t xml:space="preserve">YOUR BOARD UNANIMOUSLY RECOMMENDS THAT YOU VOTE </w:t>
      </w:r>
      <w:r>
        <w:rPr>
          <w:rFonts w:ascii="Arial" w:cs="Arial" w:eastAsia="Arial" w:hAnsi="Arial"/>
          <w:sz w:val="25"/>
          <w:szCs w:val="25"/>
          <w:b w:val="1"/>
          <w:bCs w:val="1"/>
          <w:color w:val="125288"/>
        </w:rPr>
        <w:t>AGAINST</w:t>
      </w:r>
      <w:r>
        <w:rPr>
          <w:rFonts w:ascii="Arial" w:cs="Arial" w:eastAsia="Arial" w:hAnsi="Arial"/>
          <w:sz w:val="25"/>
          <w:szCs w:val="25"/>
          <w:b w:val="1"/>
          <w:bCs w:val="1"/>
          <w:color w:val="auto"/>
        </w:rPr>
        <w:t xml:space="preserve"> PROPOSAL 4.</w:t>
      </w:r>
    </w:p>
    <w:p>
      <w:pPr>
        <w:spacing w:after="0" w:line="275" w:lineRule="exact"/>
        <w:rPr>
          <w:sz w:val="20"/>
          <w:szCs w:val="20"/>
          <w:color w:val="auto"/>
        </w:rPr>
      </w:pPr>
    </w:p>
    <w:p>
      <w:pPr>
        <w:ind w:left="5"/>
        <w:spacing w:after="0"/>
        <w:tabs>
          <w:tab w:leader="none" w:pos="7364" w:val="left"/>
          <w:tab w:leader="none" w:pos="9384" w:val="left"/>
          <w:tab w:leader="none" w:pos="1100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bookmarkStart w:id="139" w:name="page140"/>
    <w:bookmarkEnd w:id="139"/>
    <w:p>
      <w:pPr>
        <w:ind w:left="5"/>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20" w:lineRule="exact"/>
        <w:rPr>
          <w:sz w:val="20"/>
          <w:szCs w:val="20"/>
          <w:color w:val="auto"/>
        </w:rPr>
      </w:pPr>
    </w:p>
    <w:p>
      <w:pPr>
        <w:ind w:left="3085" w:right="1300" w:hanging="3066"/>
        <w:spacing w:after="0" w:line="271" w:lineRule="auto"/>
        <w:tabs>
          <w:tab w:leader="none" w:pos="3064" w:val="left"/>
        </w:tabs>
        <w:rPr>
          <w:sz w:val="20"/>
          <w:szCs w:val="20"/>
          <w:color w:val="auto"/>
        </w:rPr>
      </w:pPr>
      <w:r>
        <w:rPr>
          <w:sz w:val="1"/>
          <w:szCs w:val="1"/>
          <w:color w:val="auto"/>
        </w:rPr>
        <w:drawing>
          <wp:inline distT="0" distB="0" distL="0" distR="0">
            <wp:extent cx="445135" cy="151130"/>
            <wp:effectExtent l="0" t="0" r="0" b="0"/>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45135" cy="151130"/>
                    </a:xfrm>
                    <a:prstGeom prst="rect">
                      <a:avLst/>
                    </a:prstGeom>
                    <a:noFill/>
                    <a:ln>
                      <a:noFill/>
                    </a:ln>
                  </pic:spPr>
                </pic:pic>
              </a:graphicData>
            </a:graphic>
          </wp:inline>
        </w:drawing>
      </w:r>
      <w:r>
        <w:rPr>
          <w:rFonts w:ascii="Arial" w:cs="Arial" w:eastAsia="Arial" w:hAnsi="Arial"/>
          <w:sz w:val="31"/>
          <w:szCs w:val="31"/>
          <w:b w:val="1"/>
          <w:bCs w:val="1"/>
          <w:color w:val="125288"/>
        </w:rPr>
        <w:t xml:space="preserve"> PROPOSAL 5</w:t>
      </w:r>
      <w:r>
        <w:rPr>
          <w:sz w:val="20"/>
          <w:szCs w:val="20"/>
          <w:color w:val="auto"/>
        </w:rPr>
        <w:tab/>
      </w:r>
      <w:r>
        <w:rPr>
          <w:rFonts w:ascii="Arial" w:cs="Arial" w:eastAsia="Arial" w:hAnsi="Arial"/>
          <w:sz w:val="30"/>
          <w:szCs w:val="30"/>
          <w:b w:val="1"/>
          <w:bCs w:val="1"/>
          <w:color w:val="125288"/>
        </w:rPr>
        <w:t>SHAREHOLDER PROPOSAL REGARDING THE PREPARATION OF A REPORT ABOUT THE COMPANY’S EFFORTS TO PREVENT ABUSE, HARASSMENT, AND DISCRIMINATION</w:t>
      </w:r>
    </w:p>
    <w:p>
      <w:pPr>
        <w:spacing w:after="0" w:line="215" w:lineRule="exact"/>
        <w:rPr>
          <w:sz w:val="20"/>
          <w:szCs w:val="20"/>
          <w:color w:val="auto"/>
        </w:rPr>
      </w:pPr>
    </w:p>
    <w:p>
      <w:pPr>
        <w:ind w:left="5"/>
        <w:spacing w:after="0"/>
        <w:rPr>
          <w:sz w:val="20"/>
          <w:szCs w:val="20"/>
          <w:color w:val="auto"/>
        </w:rPr>
      </w:pPr>
      <w:r>
        <w:rPr>
          <w:rFonts w:ascii="Arial" w:cs="Arial" w:eastAsia="Arial" w:hAnsi="Arial"/>
          <w:sz w:val="26"/>
          <w:szCs w:val="26"/>
          <w:b w:val="1"/>
          <w:bCs w:val="1"/>
          <w:color w:val="auto"/>
        </w:rPr>
        <w:t>GENERAL</w:t>
      </w:r>
    </w:p>
    <w:p>
      <w:pPr>
        <w:spacing w:after="0" w:line="309" w:lineRule="exact"/>
        <w:rPr>
          <w:sz w:val="20"/>
          <w:szCs w:val="20"/>
          <w:color w:val="auto"/>
        </w:rPr>
      </w:pPr>
    </w:p>
    <w:p>
      <w:pPr>
        <w:jc w:val="both"/>
        <w:ind w:left="5"/>
        <w:spacing w:after="0"/>
        <w:rPr>
          <w:sz w:val="20"/>
          <w:szCs w:val="20"/>
          <w:color w:val="auto"/>
        </w:rPr>
      </w:pPr>
      <w:r>
        <w:rPr>
          <w:rFonts w:ascii="Arial" w:cs="Arial" w:eastAsia="Arial" w:hAnsi="Arial"/>
          <w:sz w:val="19"/>
          <w:szCs w:val="19"/>
          <w:color w:val="auto"/>
        </w:rPr>
        <w:t>In accordance with SEC rules, we have set forth below a shareholder proposal, along with the supporting statement of the shareholder proponent, for which we and our Board accept no responsibility. The shareholder proposal will be voted on at our Annual Meeting only if properly presented at our Annual Meeting by or on behalf of the shareholder proponent.</w:t>
      </w:r>
    </w:p>
    <w:p>
      <w:pPr>
        <w:spacing w:after="0" w:line="236"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As explained below, our Board unanimously recommends that you vote “AGAINST” proposal 5.</w:t>
      </w:r>
    </w:p>
    <w:p>
      <w:pPr>
        <w:spacing w:after="0" w:line="293" w:lineRule="exact"/>
        <w:rPr>
          <w:sz w:val="20"/>
          <w:szCs w:val="20"/>
          <w:color w:val="auto"/>
        </w:rPr>
      </w:pPr>
    </w:p>
    <w:p>
      <w:pPr>
        <w:jc w:val="both"/>
        <w:ind w:left="5"/>
        <w:spacing w:after="0" w:line="232" w:lineRule="auto"/>
        <w:rPr>
          <w:sz w:val="20"/>
          <w:szCs w:val="20"/>
          <w:color w:val="auto"/>
        </w:rPr>
      </w:pPr>
      <w:r>
        <w:rPr>
          <w:rFonts w:ascii="Arial" w:cs="Arial" w:eastAsia="Arial" w:hAnsi="Arial"/>
          <w:sz w:val="19"/>
          <w:szCs w:val="19"/>
          <w:color w:val="auto"/>
        </w:rPr>
        <w:t xml:space="preserve">The proposal was submitted by the New York State Common Retirement Fund, 110 State Street, 14 </w:t>
      </w:r>
      <w:r>
        <w:rPr>
          <w:rFonts w:ascii="Arial" w:cs="Arial" w:eastAsia="Arial" w:hAnsi="Arial"/>
          <w:sz w:val="21"/>
          <w:szCs w:val="21"/>
          <w:color w:val="auto"/>
          <w:vertAlign w:val="superscript"/>
        </w:rPr>
        <w:t>th</w:t>
      </w:r>
      <w:r>
        <w:rPr>
          <w:rFonts w:ascii="Arial" w:cs="Arial" w:eastAsia="Arial" w:hAnsi="Arial"/>
          <w:sz w:val="19"/>
          <w:szCs w:val="19"/>
          <w:color w:val="auto"/>
        </w:rPr>
        <w:t xml:space="preserve"> Floor, Albany, NY 12236. The shareholder was the beneficial owner of 1,552,194 shares of our Common Stock for at least one year as of the date the proposal was submitted and has notified the Company of its intent to present the following proposal at the Annual Meeting.</w:t>
      </w:r>
    </w:p>
    <w:p>
      <w:pPr>
        <w:spacing w:after="0" w:line="234" w:lineRule="exact"/>
        <w:rPr>
          <w:sz w:val="20"/>
          <w:szCs w:val="20"/>
          <w:color w:val="auto"/>
        </w:rPr>
      </w:pPr>
    </w:p>
    <w:p>
      <w:pPr>
        <w:ind w:left="5"/>
        <w:spacing w:after="0"/>
        <w:rPr>
          <w:sz w:val="20"/>
          <w:szCs w:val="20"/>
          <w:color w:val="auto"/>
        </w:rPr>
      </w:pPr>
      <w:r>
        <w:rPr>
          <w:rFonts w:ascii="Arial" w:cs="Arial" w:eastAsia="Arial" w:hAnsi="Arial"/>
          <w:sz w:val="26"/>
          <w:szCs w:val="26"/>
          <w:b w:val="1"/>
          <w:bCs w:val="1"/>
          <w:color w:val="auto"/>
        </w:rPr>
        <w:t>PROPOSAL AND SUPPORTING STATEMENT</w:t>
      </w:r>
    </w:p>
    <w:p>
      <w:pPr>
        <w:spacing w:after="0" w:line="285"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Resolved</w:t>
      </w:r>
    </w:p>
    <w:p>
      <w:pPr>
        <w:spacing w:after="0" w:line="293" w:lineRule="exact"/>
        <w:rPr>
          <w:sz w:val="20"/>
          <w:szCs w:val="20"/>
          <w:color w:val="auto"/>
        </w:rPr>
      </w:pPr>
    </w:p>
    <w:p>
      <w:pPr>
        <w:jc w:val="both"/>
        <w:ind w:left="5"/>
        <w:spacing w:after="0" w:line="238" w:lineRule="auto"/>
        <w:rPr>
          <w:sz w:val="20"/>
          <w:szCs w:val="20"/>
          <w:color w:val="auto"/>
        </w:rPr>
      </w:pPr>
      <w:r>
        <w:rPr>
          <w:rFonts w:ascii="Arial" w:cs="Arial" w:eastAsia="Arial" w:hAnsi="Arial"/>
          <w:sz w:val="19"/>
          <w:szCs w:val="19"/>
          <w:color w:val="auto"/>
        </w:rPr>
        <w:t>Shareholders request the Board of Directors of Activision Blizzard, Inc., to oversee the preparation of an annual public report describing and quantifying the effectiveness and outcomes of Company efforts to prevent abuse, harassment and discrimination against protected classes of employees. The report should also disclose the Company’s progress on relevant metrics and targets such as the:</w:t>
      </w:r>
    </w:p>
    <w:p>
      <w:pPr>
        <w:spacing w:after="0" w:line="132" w:lineRule="exact"/>
        <w:rPr>
          <w:sz w:val="20"/>
          <w:szCs w:val="20"/>
          <w:color w:val="auto"/>
        </w:rPr>
      </w:pPr>
    </w:p>
    <w:p>
      <w:pPr>
        <w:jc w:val="both"/>
        <w:ind w:left="145" w:right="40" w:hanging="145"/>
        <w:spacing w:after="0"/>
        <w:tabs>
          <w:tab w:leader="none" w:pos="145" w:val="left"/>
        </w:tabs>
        <w:numPr>
          <w:ilvl w:val="0"/>
          <w:numId w:val="141"/>
        </w:numPr>
        <w:rPr>
          <w:rFonts w:ascii="Arial" w:cs="Arial" w:eastAsia="Arial" w:hAnsi="Arial"/>
          <w:sz w:val="19"/>
          <w:szCs w:val="19"/>
          <w:color w:val="125288"/>
        </w:rPr>
      </w:pPr>
      <w:r>
        <w:rPr>
          <w:rFonts w:ascii="Arial" w:cs="Arial" w:eastAsia="Arial" w:hAnsi="Arial"/>
          <w:sz w:val="19"/>
          <w:szCs w:val="19"/>
          <w:color w:val="auto"/>
        </w:rPr>
        <w:t>total number and aggregate dollar amount of disputes settled by the Company related to sexual abuse, harassment or discrimination based on race, religion, sex, national origin, age, disability, genetic information, service member status, gender identify, or sexual orientation for the last three years;</w:t>
      </w:r>
    </w:p>
    <w:p>
      <w:pPr>
        <w:spacing w:after="0" w:line="129"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141"/>
        </w:numPr>
        <w:rPr>
          <w:rFonts w:ascii="Arial" w:cs="Arial" w:eastAsia="Arial" w:hAnsi="Arial"/>
          <w:sz w:val="19"/>
          <w:szCs w:val="19"/>
          <w:color w:val="125288"/>
        </w:rPr>
      </w:pPr>
      <w:r>
        <w:rPr>
          <w:rFonts w:ascii="Arial" w:cs="Arial" w:eastAsia="Arial" w:hAnsi="Arial"/>
          <w:sz w:val="19"/>
          <w:szCs w:val="19"/>
          <w:color w:val="auto"/>
        </w:rPr>
        <w:t>Company’s progress toward reducing the average length of time it takes to resolve sexual abuse, harassment or discrimination complaints either through internal processes or litigation;</w:t>
      </w:r>
    </w:p>
    <w:p>
      <w:pPr>
        <w:spacing w:after="0" w:line="124"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141"/>
        </w:numPr>
        <w:rPr>
          <w:rFonts w:ascii="Arial" w:cs="Arial" w:eastAsia="Arial" w:hAnsi="Arial"/>
          <w:sz w:val="19"/>
          <w:szCs w:val="19"/>
          <w:color w:val="125288"/>
        </w:rPr>
      </w:pPr>
      <w:r>
        <w:rPr>
          <w:rFonts w:ascii="Arial" w:cs="Arial" w:eastAsia="Arial" w:hAnsi="Arial"/>
          <w:sz w:val="19"/>
          <w:szCs w:val="19"/>
          <w:color w:val="auto"/>
        </w:rPr>
        <w:t>total number of pending sexual abuse, harassment or discrimination complaints the Company is seeking to resolve through internal processes or ligation; and</w:t>
      </w:r>
    </w:p>
    <w:p>
      <w:pPr>
        <w:spacing w:after="0" w:line="124" w:lineRule="exact"/>
        <w:rPr>
          <w:rFonts w:ascii="Arial" w:cs="Arial" w:eastAsia="Arial" w:hAnsi="Arial"/>
          <w:sz w:val="19"/>
          <w:szCs w:val="19"/>
          <w:color w:val="125288"/>
        </w:rPr>
      </w:pPr>
    </w:p>
    <w:p>
      <w:pPr>
        <w:ind w:left="145" w:hanging="145"/>
        <w:spacing w:after="0"/>
        <w:tabs>
          <w:tab w:leader="none" w:pos="145" w:val="left"/>
        </w:tabs>
        <w:numPr>
          <w:ilvl w:val="0"/>
          <w:numId w:val="141"/>
        </w:numPr>
        <w:rPr>
          <w:rFonts w:ascii="Arial" w:cs="Arial" w:eastAsia="Arial" w:hAnsi="Arial"/>
          <w:sz w:val="19"/>
          <w:szCs w:val="19"/>
          <w:color w:val="125288"/>
        </w:rPr>
      </w:pPr>
      <w:r>
        <w:rPr>
          <w:rFonts w:ascii="Arial" w:cs="Arial" w:eastAsia="Arial" w:hAnsi="Arial"/>
          <w:sz w:val="19"/>
          <w:szCs w:val="19"/>
          <w:color w:val="auto"/>
        </w:rPr>
        <w:t>pay and hours worked consolidated data required by the California Department of Fair Employment and Housing (Department).</w:t>
      </w:r>
    </w:p>
    <w:p>
      <w:pPr>
        <w:spacing w:after="0" w:line="269" w:lineRule="exact"/>
        <w:rPr>
          <w:sz w:val="20"/>
          <w:szCs w:val="20"/>
          <w:color w:val="auto"/>
        </w:rPr>
      </w:pPr>
    </w:p>
    <w:p>
      <w:pPr>
        <w:ind w:left="5" w:right="20"/>
        <w:spacing w:after="0" w:line="245" w:lineRule="auto"/>
        <w:rPr>
          <w:sz w:val="20"/>
          <w:szCs w:val="20"/>
          <w:color w:val="auto"/>
        </w:rPr>
      </w:pPr>
      <w:r>
        <w:rPr>
          <w:rFonts w:ascii="Arial" w:cs="Arial" w:eastAsia="Arial" w:hAnsi="Arial"/>
          <w:sz w:val="19"/>
          <w:szCs w:val="19"/>
          <w:color w:val="auto"/>
        </w:rPr>
        <w:t>This report should not include the names of accusers or details of their settlements without their consent and should be prepared at a reasonable cost and omit any information that is proprietary, privileged, or violative of contractual obligations.</w:t>
      </w:r>
    </w:p>
    <w:p>
      <w:pPr>
        <w:spacing w:after="0" w:line="150" w:lineRule="exact"/>
        <w:rPr>
          <w:sz w:val="20"/>
          <w:szCs w:val="20"/>
          <w:color w:val="auto"/>
        </w:rPr>
      </w:pPr>
    </w:p>
    <w:p>
      <w:pPr>
        <w:ind w:left="5"/>
        <w:spacing w:after="0"/>
        <w:tabs>
          <w:tab w:leader="none" w:pos="7364" w:val="left"/>
          <w:tab w:leader="none" w:pos="9384" w:val="left"/>
          <w:tab w:leader="none" w:pos="1100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bookmarkStart w:id="140" w:name="page141"/>
    <w:bookmarkEnd w:id="140"/>
    <w:p>
      <w:pPr>
        <w:ind w:left="5"/>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10" w:lineRule="exact"/>
        <w:rPr>
          <w:sz w:val="20"/>
          <w:szCs w:val="20"/>
          <w:color w:val="auto"/>
        </w:rPr>
      </w:pPr>
    </w:p>
    <w:p>
      <w:pPr>
        <w:ind w:left="5"/>
        <w:spacing w:after="0"/>
        <w:rPr>
          <w:sz w:val="20"/>
          <w:szCs w:val="20"/>
          <w:color w:val="auto"/>
        </w:rPr>
      </w:pPr>
      <w:r>
        <w:rPr>
          <w:rFonts w:ascii="Arial" w:cs="Arial" w:eastAsia="Arial" w:hAnsi="Arial"/>
          <w:sz w:val="24"/>
          <w:szCs w:val="24"/>
          <w:b w:val="1"/>
          <w:bCs w:val="1"/>
          <w:color w:val="auto"/>
        </w:rPr>
        <w:t>Supporting Statement</w:t>
      </w:r>
    </w:p>
    <w:p>
      <w:pPr>
        <w:spacing w:after="0" w:line="142" w:lineRule="exact"/>
        <w:rPr>
          <w:sz w:val="20"/>
          <w:szCs w:val="20"/>
          <w:color w:val="auto"/>
        </w:rPr>
      </w:pPr>
    </w:p>
    <w:p>
      <w:pPr>
        <w:jc w:val="both"/>
        <w:ind w:left="5" w:right="20"/>
        <w:spacing w:after="0" w:line="238" w:lineRule="auto"/>
        <w:rPr>
          <w:sz w:val="20"/>
          <w:szCs w:val="20"/>
          <w:color w:val="auto"/>
        </w:rPr>
      </w:pPr>
      <w:r>
        <w:rPr>
          <w:rFonts w:ascii="Arial" w:cs="Arial" w:eastAsia="Arial" w:hAnsi="Arial"/>
          <w:sz w:val="19"/>
          <w:szCs w:val="19"/>
          <w:color w:val="auto"/>
        </w:rPr>
        <w:t>An investigation of the Company by the Department resulted in litigation alleging discrimination, retaliation, and unequal pay. The Department estimates the Company’s total liability to 2,500 allegedly injured employees to be $930,320,000. For years, there have been alarming news reports that detail allegedly rampant sexual abuse, discrimination, harassment, and retaliation directed toward female employees.</w:t>
      </w:r>
    </w:p>
    <w:p>
      <w:pPr>
        <w:spacing w:after="0" w:line="263" w:lineRule="exact"/>
        <w:rPr>
          <w:sz w:val="20"/>
          <w:szCs w:val="20"/>
          <w:color w:val="auto"/>
        </w:rPr>
      </w:pPr>
    </w:p>
    <w:p>
      <w:pPr>
        <w:jc w:val="both"/>
        <w:ind w:left="5" w:right="20"/>
        <w:spacing w:after="0" w:line="238" w:lineRule="auto"/>
        <w:rPr>
          <w:sz w:val="20"/>
          <w:szCs w:val="20"/>
          <w:color w:val="auto"/>
        </w:rPr>
      </w:pPr>
      <w:r>
        <w:rPr>
          <w:rFonts w:ascii="Arial" w:cs="Arial" w:eastAsia="Arial" w:hAnsi="Arial"/>
          <w:sz w:val="19"/>
          <w:szCs w:val="19"/>
          <w:color w:val="auto"/>
        </w:rPr>
        <w:t>Despite the allegations of the Department investigations and other reports, the Company’s 2020 ESG Report states that the Company “provid[es] our employees with the opportunities and resources they need to unlock their potential” develops games “that reflect the communities we serve...begin[ning] with a diverse and inclusive workplace, as “broad-appeal entertainment” cannot be developed “without people with diverse backgrounds and skills.” The Company claims it is “committed to ensuring equal pay for equal work while always rewarding superior performance,” and has considered “pay equity” in compensation decisions “for a number of years.”</w:t>
      </w:r>
    </w:p>
    <w:p>
      <w:pPr>
        <w:spacing w:after="0" w:line="260" w:lineRule="exact"/>
        <w:rPr>
          <w:sz w:val="20"/>
          <w:szCs w:val="20"/>
          <w:color w:val="auto"/>
        </w:rPr>
      </w:pPr>
    </w:p>
    <w:p>
      <w:pPr>
        <w:jc w:val="both"/>
        <w:ind w:left="5"/>
        <w:spacing w:after="0" w:line="238" w:lineRule="auto"/>
        <w:rPr>
          <w:sz w:val="20"/>
          <w:szCs w:val="20"/>
          <w:color w:val="auto"/>
        </w:rPr>
      </w:pPr>
      <w:r>
        <w:rPr>
          <w:rFonts w:ascii="Arial" w:cs="Arial" w:eastAsia="Arial" w:hAnsi="Arial"/>
          <w:sz w:val="19"/>
          <w:szCs w:val="19"/>
          <w:color w:val="auto"/>
        </w:rPr>
        <w:t>A report such as the one requested would assist shareholders in assessing whether the Company is improving its workforce management, whether its actions align with the Company’s public statements and whether it remains a sustainable investment. Civil rights violations within the workplace including but not limited to sexual abuse, harassment, and discrimination can result in substantial costs to companies, including fines, penalties, legal costs, costs related to absenteeism, and reduced productivity.</w:t>
      </w:r>
    </w:p>
    <w:p>
      <w:pPr>
        <w:spacing w:after="0" w:line="263" w:lineRule="exact"/>
        <w:rPr>
          <w:sz w:val="20"/>
          <w:szCs w:val="20"/>
          <w:color w:val="auto"/>
        </w:rPr>
      </w:pPr>
    </w:p>
    <w:p>
      <w:pPr>
        <w:jc w:val="both"/>
        <w:ind w:left="5"/>
        <w:spacing w:after="0"/>
        <w:rPr>
          <w:sz w:val="20"/>
          <w:szCs w:val="20"/>
          <w:color w:val="auto"/>
        </w:rPr>
      </w:pPr>
      <w:r>
        <w:rPr>
          <w:rFonts w:ascii="Arial" w:cs="Arial" w:eastAsia="Arial" w:hAnsi="Arial"/>
          <w:sz w:val="19"/>
          <w:szCs w:val="19"/>
          <w:color w:val="auto"/>
        </w:rPr>
        <w:t>The Company may also have difficulties in retaining and recruiting employees, given the public walk-outs and unmet demands for change by its employees. Reports and findings of misconduct at the Company may also jeopardize its relationships with key customers and consumers, putting the Company at further risk.</w:t>
      </w:r>
    </w:p>
    <w:p>
      <w:pPr>
        <w:spacing w:after="0" w:line="235" w:lineRule="exact"/>
        <w:rPr>
          <w:sz w:val="20"/>
          <w:szCs w:val="20"/>
          <w:color w:val="auto"/>
        </w:rPr>
      </w:pPr>
    </w:p>
    <w:p>
      <w:pPr>
        <w:ind w:left="5"/>
        <w:spacing w:after="0"/>
        <w:rPr>
          <w:sz w:val="20"/>
          <w:szCs w:val="20"/>
          <w:color w:val="auto"/>
        </w:rPr>
      </w:pPr>
      <w:r>
        <w:rPr>
          <w:rFonts w:ascii="Arial" w:cs="Arial" w:eastAsia="Arial" w:hAnsi="Arial"/>
          <w:sz w:val="26"/>
          <w:szCs w:val="26"/>
          <w:b w:val="1"/>
          <w:bCs w:val="1"/>
          <w:color w:val="auto"/>
        </w:rPr>
        <w:t>OPPOSING STATEMENT</w:t>
      </w:r>
    </w:p>
    <w:p>
      <w:pPr>
        <w:spacing w:after="0" w:line="283" w:lineRule="exact"/>
        <w:rPr>
          <w:sz w:val="20"/>
          <w:szCs w:val="20"/>
          <w:color w:val="auto"/>
        </w:rPr>
      </w:pPr>
    </w:p>
    <w:p>
      <w:pPr>
        <w:ind w:left="5"/>
        <w:spacing w:after="0"/>
        <w:rPr>
          <w:sz w:val="20"/>
          <w:szCs w:val="20"/>
          <w:color w:val="auto"/>
        </w:rPr>
      </w:pPr>
      <w:r>
        <w:rPr>
          <w:rFonts w:ascii="Arial" w:cs="Arial" w:eastAsia="Arial" w:hAnsi="Arial"/>
          <w:sz w:val="24"/>
          <w:szCs w:val="24"/>
          <w:b w:val="1"/>
          <w:bCs w:val="1"/>
          <w:color w:val="auto"/>
        </w:rPr>
        <w:t>Board Statement</w:t>
      </w:r>
    </w:p>
    <w:p>
      <w:pPr>
        <w:spacing w:after="0" w:line="118" w:lineRule="exact"/>
        <w:rPr>
          <w:sz w:val="20"/>
          <w:szCs w:val="20"/>
          <w:color w:val="auto"/>
        </w:rPr>
      </w:pPr>
    </w:p>
    <w:p>
      <w:pPr>
        <w:jc w:val="both"/>
        <w:ind w:left="5"/>
        <w:spacing w:after="0" w:line="272" w:lineRule="auto"/>
        <w:rPr>
          <w:sz w:val="20"/>
          <w:szCs w:val="20"/>
          <w:color w:val="auto"/>
        </w:rPr>
      </w:pPr>
      <w:r>
        <w:rPr>
          <w:rFonts w:ascii="Arial" w:cs="Arial" w:eastAsia="Arial" w:hAnsi="Arial"/>
          <w:sz w:val="19"/>
          <w:szCs w:val="19"/>
          <w:b w:val="1"/>
          <w:bCs w:val="1"/>
          <w:color w:val="auto"/>
        </w:rPr>
        <w:t>The Board recommends that you vote “Against” this proposal. While the Board appreciates hearing the perspectives of our shareholders, we do not believe this proposal is in the best interests of the Company or its shareholders.</w:t>
      </w:r>
    </w:p>
    <w:p>
      <w:pPr>
        <w:spacing w:after="0" w:line="231" w:lineRule="exact"/>
        <w:rPr>
          <w:sz w:val="20"/>
          <w:szCs w:val="20"/>
          <w:color w:val="auto"/>
        </w:rPr>
      </w:pPr>
    </w:p>
    <w:p>
      <w:pPr>
        <w:ind w:left="5"/>
        <w:spacing w:after="0"/>
        <w:rPr>
          <w:sz w:val="20"/>
          <w:szCs w:val="20"/>
          <w:color w:val="auto"/>
        </w:rPr>
      </w:pPr>
      <w:r>
        <w:rPr>
          <w:rFonts w:ascii="Arial" w:cs="Arial" w:eastAsia="Arial" w:hAnsi="Arial"/>
          <w:sz w:val="20"/>
          <w:szCs w:val="20"/>
          <w:u w:val="single" w:color="auto"/>
          <w:color w:val="125288"/>
        </w:rPr>
        <w:t>Summary</w:t>
      </w:r>
    </w:p>
    <w:p>
      <w:pPr>
        <w:spacing w:after="0" w:line="149" w:lineRule="exact"/>
        <w:rPr>
          <w:sz w:val="20"/>
          <w:szCs w:val="20"/>
          <w:color w:val="auto"/>
        </w:rPr>
      </w:pPr>
    </w:p>
    <w:p>
      <w:pPr>
        <w:jc w:val="both"/>
        <w:ind w:left="5"/>
        <w:spacing w:after="0"/>
        <w:rPr>
          <w:sz w:val="20"/>
          <w:szCs w:val="20"/>
          <w:color w:val="auto"/>
        </w:rPr>
      </w:pPr>
      <w:r>
        <w:rPr>
          <w:rFonts w:ascii="Arial" w:cs="Arial" w:eastAsia="Arial" w:hAnsi="Arial"/>
          <w:sz w:val="19"/>
          <w:szCs w:val="19"/>
          <w:color w:val="auto"/>
        </w:rPr>
        <w:t>We as a Company are deeply committed to preventing all forms of abuse, harassment, and discrimination and creating a safe and welcoming workplace for all members of our community. We believe, however, that preparation of the proposed report is not the best way to achieve these goals, for these reasons:</w:t>
      </w:r>
    </w:p>
    <w:p>
      <w:pPr>
        <w:spacing w:after="0" w:line="260" w:lineRule="exact"/>
        <w:rPr>
          <w:sz w:val="20"/>
          <w:szCs w:val="20"/>
          <w:color w:val="auto"/>
        </w:rPr>
      </w:pPr>
    </w:p>
    <w:p>
      <w:pPr>
        <w:jc w:val="both"/>
        <w:ind w:left="145" w:right="40" w:hanging="145"/>
        <w:spacing w:after="0"/>
        <w:tabs>
          <w:tab w:leader="none" w:pos="145" w:val="left"/>
        </w:tabs>
        <w:numPr>
          <w:ilvl w:val="0"/>
          <w:numId w:val="142"/>
        </w:numPr>
        <w:rPr>
          <w:rFonts w:ascii="Arial" w:cs="Arial" w:eastAsia="Arial" w:hAnsi="Arial"/>
          <w:sz w:val="19"/>
          <w:szCs w:val="19"/>
          <w:color w:val="125288"/>
        </w:rPr>
      </w:pPr>
      <w:r>
        <w:rPr>
          <w:rFonts w:ascii="Arial" w:cs="Arial" w:eastAsia="Arial" w:hAnsi="Arial"/>
          <w:sz w:val="19"/>
          <w:szCs w:val="19"/>
          <w:color w:val="auto"/>
        </w:rPr>
        <w:t>First, the Board believes that, rather than diverting energy and resources toward creating yet another report, we should continue to directly respond to employee concerns. Focusing all our attention on these concerns is the best way quickly and effectively to create genuine change in our workplace.</w:t>
      </w:r>
    </w:p>
    <w:p>
      <w:pPr>
        <w:spacing w:after="0" w:line="129" w:lineRule="exact"/>
        <w:rPr>
          <w:rFonts w:ascii="Arial" w:cs="Arial" w:eastAsia="Arial" w:hAnsi="Arial"/>
          <w:sz w:val="19"/>
          <w:szCs w:val="19"/>
          <w:color w:val="125288"/>
        </w:rPr>
      </w:pPr>
    </w:p>
    <w:p>
      <w:pPr>
        <w:jc w:val="both"/>
        <w:ind w:left="145" w:right="40" w:hanging="145"/>
        <w:spacing w:after="0"/>
        <w:tabs>
          <w:tab w:leader="none" w:pos="145" w:val="left"/>
        </w:tabs>
        <w:numPr>
          <w:ilvl w:val="0"/>
          <w:numId w:val="142"/>
        </w:numPr>
        <w:rPr>
          <w:rFonts w:ascii="Arial" w:cs="Arial" w:eastAsia="Arial" w:hAnsi="Arial"/>
          <w:sz w:val="19"/>
          <w:szCs w:val="19"/>
          <w:color w:val="125288"/>
        </w:rPr>
      </w:pPr>
      <w:r>
        <w:rPr>
          <w:rFonts w:ascii="Arial" w:cs="Arial" w:eastAsia="Arial" w:hAnsi="Arial"/>
          <w:sz w:val="19"/>
          <w:szCs w:val="19"/>
          <w:color w:val="auto"/>
        </w:rPr>
        <w:t>Second, the proposed report itself, even if completed after significant time and expense, would create a set of metrics that are simply not the best measures of how the Company is responding to employee concerns. The Board is committed to measuring the speed and effectiveness of our changes accurately, not based on metrics that are not precisely tailored to our Company’s situation.</w:t>
      </w:r>
    </w:p>
    <w:p>
      <w:pPr>
        <w:spacing w:after="0" w:line="129" w:lineRule="exact"/>
        <w:rPr>
          <w:sz w:val="20"/>
          <w:szCs w:val="20"/>
          <w:color w:val="auto"/>
        </w:rPr>
      </w:pPr>
    </w:p>
    <w:p>
      <w:pPr>
        <w:ind w:left="5" w:right="20"/>
        <w:spacing w:after="0" w:line="245" w:lineRule="auto"/>
        <w:rPr>
          <w:sz w:val="20"/>
          <w:szCs w:val="20"/>
          <w:color w:val="auto"/>
        </w:rPr>
      </w:pPr>
      <w:r>
        <w:rPr>
          <w:rFonts w:ascii="Arial" w:cs="Arial" w:eastAsia="Arial" w:hAnsi="Arial"/>
          <w:sz w:val="19"/>
          <w:szCs w:val="19"/>
          <w:color w:val="auto"/>
        </w:rPr>
        <w:t>As such, the Company is of the view that continuing to focus its efforts on responding directly to employee concerns and continuing to implement workplace improvements is the best path forward.</w:t>
      </w:r>
    </w:p>
    <w:p>
      <w:pPr>
        <w:spacing w:after="0" w:line="256" w:lineRule="exact"/>
        <w:rPr>
          <w:sz w:val="20"/>
          <w:szCs w:val="20"/>
          <w:color w:val="auto"/>
        </w:rPr>
      </w:pPr>
    </w:p>
    <w:p>
      <w:pPr>
        <w:ind w:left="5"/>
        <w:spacing w:after="0"/>
        <w:rPr>
          <w:sz w:val="20"/>
          <w:szCs w:val="20"/>
          <w:color w:val="auto"/>
        </w:rPr>
      </w:pPr>
      <w:r>
        <w:rPr>
          <w:rFonts w:ascii="Arial" w:cs="Arial" w:eastAsia="Arial" w:hAnsi="Arial"/>
          <w:sz w:val="20"/>
          <w:szCs w:val="20"/>
          <w:u w:val="single" w:color="auto"/>
          <w:color w:val="125288"/>
        </w:rPr>
        <w:t>The Company’s Initiatives So Far</w:t>
      </w:r>
    </w:p>
    <w:p>
      <w:pPr>
        <w:spacing w:after="0" w:line="149" w:lineRule="exact"/>
        <w:rPr>
          <w:sz w:val="20"/>
          <w:szCs w:val="20"/>
          <w:color w:val="auto"/>
        </w:rPr>
      </w:pPr>
    </w:p>
    <w:p>
      <w:pPr>
        <w:ind w:left="5"/>
        <w:spacing w:after="0"/>
        <w:rPr>
          <w:sz w:val="20"/>
          <w:szCs w:val="20"/>
          <w:color w:val="auto"/>
        </w:rPr>
      </w:pPr>
      <w:r>
        <w:rPr>
          <w:rFonts w:ascii="Arial" w:cs="Arial" w:eastAsia="Arial" w:hAnsi="Arial"/>
          <w:sz w:val="19"/>
          <w:szCs w:val="19"/>
          <w:color w:val="auto"/>
        </w:rPr>
        <w:t>To date, we have taken many significant steps to improve our workplace and address concerns identified by the proponent, including:</w:t>
      </w:r>
    </w:p>
    <w:p>
      <w:pPr>
        <w:spacing w:after="0" w:line="269" w:lineRule="exact"/>
        <w:rPr>
          <w:sz w:val="20"/>
          <w:szCs w:val="20"/>
          <w:color w:val="auto"/>
        </w:rPr>
      </w:pPr>
    </w:p>
    <w:p>
      <w:pPr>
        <w:jc w:val="both"/>
        <w:ind w:left="145" w:right="40" w:hanging="145"/>
        <w:spacing w:after="0"/>
        <w:tabs>
          <w:tab w:leader="none" w:pos="145" w:val="left"/>
        </w:tabs>
        <w:numPr>
          <w:ilvl w:val="0"/>
          <w:numId w:val="143"/>
        </w:numPr>
        <w:rPr>
          <w:rFonts w:ascii="Arial" w:cs="Arial" w:eastAsia="Arial" w:hAnsi="Arial"/>
          <w:sz w:val="19"/>
          <w:szCs w:val="19"/>
          <w:color w:val="125288"/>
        </w:rPr>
      </w:pPr>
      <w:r>
        <w:rPr>
          <w:rFonts w:ascii="Arial" w:cs="Arial" w:eastAsia="Arial" w:hAnsi="Arial"/>
          <w:sz w:val="19"/>
          <w:szCs w:val="19"/>
          <w:color w:val="auto"/>
        </w:rPr>
        <w:t>In November 2021, the Board of Directors formed the Workplace Responsibility Committee to oversee the Company’s progress in successfully implementing its workplace policies, procedures, and commitments. The Committee will, among other things, require management to develop key performance indicators and/or other means to measure progress and ensure accountability.</w:t>
      </w:r>
    </w:p>
    <w:p>
      <w:pPr>
        <w:spacing w:after="0" w:line="297" w:lineRule="exact"/>
        <w:rPr>
          <w:sz w:val="20"/>
          <w:szCs w:val="20"/>
          <w:color w:val="auto"/>
        </w:rPr>
      </w:pPr>
    </w:p>
    <w:p>
      <w:pPr>
        <w:ind w:left="5"/>
        <w:spacing w:after="0"/>
        <w:tabs>
          <w:tab w:leader="none" w:pos="7364" w:val="left"/>
          <w:tab w:leader="none" w:pos="9384" w:val="left"/>
          <w:tab w:leader="none" w:pos="1100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bookmarkStart w:id="141" w:name="page142"/>
    <w:bookmarkEnd w:id="141"/>
    <w:p>
      <w:pPr>
        <w:ind w:left="5"/>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35" w:lineRule="exact"/>
        <w:rPr>
          <w:sz w:val="20"/>
          <w:szCs w:val="20"/>
          <w:color w:val="auto"/>
        </w:rPr>
      </w:pPr>
    </w:p>
    <w:p>
      <w:pPr>
        <w:jc w:val="both"/>
        <w:ind w:left="145" w:right="40" w:hanging="145"/>
        <w:spacing w:after="0" w:line="238" w:lineRule="auto"/>
        <w:tabs>
          <w:tab w:leader="none" w:pos="145" w:val="left"/>
        </w:tabs>
        <w:numPr>
          <w:ilvl w:val="0"/>
          <w:numId w:val="144"/>
        </w:numPr>
        <w:rPr>
          <w:rFonts w:ascii="Arial" w:cs="Arial" w:eastAsia="Arial" w:hAnsi="Arial"/>
          <w:sz w:val="19"/>
          <w:szCs w:val="19"/>
          <w:color w:val="125288"/>
        </w:rPr>
      </w:pPr>
      <w:r>
        <w:rPr>
          <w:rFonts w:ascii="Arial" w:cs="Arial" w:eastAsia="Arial" w:hAnsi="Arial"/>
          <w:sz w:val="19"/>
          <w:szCs w:val="19"/>
          <w:color w:val="auto"/>
        </w:rPr>
        <w:t>The Company has investigated—and will continue to investigate—complaints of harassment, discrimination and retaliation raised through numerous reporting channels. In October 2021, the Company combined our investigations groups into one centralized “investigations unit” within the ethics &amp; compliance team. This centralized unit with expanded resources increases our ability to conduct prompt investigations and maintain and measure consistency throughout investigations of all types and across the Company.</w:t>
      </w:r>
    </w:p>
    <w:p>
      <w:pPr>
        <w:spacing w:after="0" w:line="129" w:lineRule="exact"/>
        <w:rPr>
          <w:rFonts w:ascii="Arial" w:cs="Arial" w:eastAsia="Arial" w:hAnsi="Arial"/>
          <w:sz w:val="19"/>
          <w:szCs w:val="19"/>
          <w:color w:val="125288"/>
        </w:rPr>
      </w:pPr>
    </w:p>
    <w:p>
      <w:pPr>
        <w:ind w:left="145" w:hanging="145"/>
        <w:spacing w:after="0"/>
        <w:tabs>
          <w:tab w:leader="none" w:pos="145" w:val="left"/>
        </w:tabs>
        <w:numPr>
          <w:ilvl w:val="0"/>
          <w:numId w:val="144"/>
        </w:numPr>
        <w:rPr>
          <w:rFonts w:ascii="Arial" w:cs="Arial" w:eastAsia="Arial" w:hAnsi="Arial"/>
          <w:sz w:val="19"/>
          <w:szCs w:val="19"/>
          <w:color w:val="125288"/>
        </w:rPr>
      </w:pPr>
      <w:r>
        <w:rPr>
          <w:rFonts w:ascii="Arial" w:cs="Arial" w:eastAsia="Arial" w:hAnsi="Arial"/>
          <w:sz w:val="19"/>
          <w:szCs w:val="19"/>
          <w:color w:val="auto"/>
        </w:rPr>
        <w:t>In October 2021, the Company announced the launch of a new zero-tolerance harassment policy Company-wide.</w:t>
      </w:r>
    </w:p>
    <w:p>
      <w:pPr>
        <w:spacing w:after="0" w:line="138"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144"/>
        </w:numPr>
        <w:rPr>
          <w:rFonts w:ascii="Arial" w:cs="Arial" w:eastAsia="Arial" w:hAnsi="Arial"/>
          <w:sz w:val="19"/>
          <w:szCs w:val="19"/>
          <w:color w:val="125288"/>
        </w:rPr>
      </w:pPr>
      <w:r>
        <w:rPr>
          <w:rFonts w:ascii="Arial" w:cs="Arial" w:eastAsia="Arial" w:hAnsi="Arial"/>
          <w:sz w:val="19"/>
          <w:szCs w:val="19"/>
          <w:color w:val="auto"/>
        </w:rPr>
        <w:t>In response to employee feedback, the Company is waiving required arbitration for individual sexual harassment, discrimination, or related retaliation claims arising after October 28, 2021.</w:t>
      </w:r>
    </w:p>
    <w:p>
      <w:pPr>
        <w:spacing w:after="0" w:line="124" w:lineRule="exact"/>
        <w:rPr>
          <w:rFonts w:ascii="Arial" w:cs="Arial" w:eastAsia="Arial" w:hAnsi="Arial"/>
          <w:sz w:val="19"/>
          <w:szCs w:val="19"/>
          <w:color w:val="125288"/>
        </w:rPr>
      </w:pPr>
    </w:p>
    <w:p>
      <w:pPr>
        <w:ind w:left="145" w:hanging="145"/>
        <w:spacing w:after="0"/>
        <w:tabs>
          <w:tab w:leader="none" w:pos="145" w:val="left"/>
        </w:tabs>
        <w:numPr>
          <w:ilvl w:val="0"/>
          <w:numId w:val="144"/>
        </w:numPr>
        <w:rPr>
          <w:rFonts w:ascii="Arial" w:cs="Arial" w:eastAsia="Arial" w:hAnsi="Arial"/>
          <w:sz w:val="19"/>
          <w:szCs w:val="19"/>
          <w:color w:val="125288"/>
        </w:rPr>
      </w:pPr>
      <w:r>
        <w:rPr>
          <w:rFonts w:ascii="Arial" w:cs="Arial" w:eastAsia="Arial" w:hAnsi="Arial"/>
          <w:sz w:val="19"/>
          <w:szCs w:val="19"/>
          <w:color w:val="auto"/>
        </w:rPr>
        <w:t>We are committed to continuing to grow our investment in anti-harassment and anti-discrimination training resources.</w:t>
      </w:r>
    </w:p>
    <w:p>
      <w:pPr>
        <w:spacing w:after="0" w:line="138" w:lineRule="exact"/>
        <w:rPr>
          <w:rFonts w:ascii="Arial" w:cs="Arial" w:eastAsia="Arial" w:hAnsi="Arial"/>
          <w:sz w:val="19"/>
          <w:szCs w:val="19"/>
          <w:color w:val="125288"/>
        </w:rPr>
      </w:pPr>
    </w:p>
    <w:p>
      <w:pPr>
        <w:jc w:val="both"/>
        <w:ind w:left="145" w:right="40" w:hanging="145"/>
        <w:spacing w:after="0" w:line="238" w:lineRule="auto"/>
        <w:tabs>
          <w:tab w:leader="none" w:pos="145" w:val="left"/>
        </w:tabs>
        <w:numPr>
          <w:ilvl w:val="0"/>
          <w:numId w:val="144"/>
        </w:numPr>
        <w:rPr>
          <w:rFonts w:ascii="Arial" w:cs="Arial" w:eastAsia="Arial" w:hAnsi="Arial"/>
          <w:sz w:val="19"/>
          <w:szCs w:val="19"/>
          <w:color w:val="125288"/>
        </w:rPr>
      </w:pPr>
      <w:r>
        <w:rPr>
          <w:rFonts w:ascii="Arial" w:cs="Arial" w:eastAsia="Arial" w:hAnsi="Arial"/>
          <w:sz w:val="19"/>
          <w:szCs w:val="19"/>
          <w:color w:val="auto"/>
        </w:rPr>
        <w:t>The Company launched “Upward Feedback” in December 2021, an annual process where employees share constructive, actionable feedback to their managers through an anonymous survey, enabling awareness regarding managers’ inclusive behaviors and commitment to living our values and has provided a summary of the results to the Chief Executive Officer and the Workplace Responsibility Committee.</w:t>
      </w:r>
    </w:p>
    <w:p>
      <w:pPr>
        <w:spacing w:after="0" w:line="131" w:lineRule="exact"/>
        <w:rPr>
          <w:rFonts w:ascii="Arial" w:cs="Arial" w:eastAsia="Arial" w:hAnsi="Arial"/>
          <w:sz w:val="19"/>
          <w:szCs w:val="19"/>
          <w:color w:val="125288"/>
        </w:rPr>
      </w:pPr>
    </w:p>
    <w:p>
      <w:pPr>
        <w:jc w:val="both"/>
        <w:ind w:left="145" w:right="40" w:hanging="145"/>
        <w:spacing w:after="0"/>
        <w:tabs>
          <w:tab w:leader="none" w:pos="145" w:val="left"/>
        </w:tabs>
        <w:numPr>
          <w:ilvl w:val="0"/>
          <w:numId w:val="144"/>
        </w:numPr>
        <w:rPr>
          <w:rFonts w:ascii="Arial" w:cs="Arial" w:eastAsia="Arial" w:hAnsi="Arial"/>
          <w:sz w:val="19"/>
          <w:szCs w:val="19"/>
          <w:color w:val="125288"/>
        </w:rPr>
      </w:pPr>
      <w:r>
        <w:rPr>
          <w:rFonts w:ascii="Arial" w:cs="Arial" w:eastAsia="Arial" w:hAnsi="Arial"/>
          <w:sz w:val="19"/>
          <w:szCs w:val="19"/>
          <w:color w:val="auto"/>
        </w:rPr>
        <w:t>Our Way2Play Heroes program is receiving additional resources and recognition through an overall expansion of the program. Way2Play Heroes are volunteers who help other employees understand reporting options, champion speaking up, and provide feedback and advise on how to strengthen our overall ethics &amp; compliance program.</w:t>
      </w:r>
    </w:p>
    <w:p>
      <w:pPr>
        <w:spacing w:after="0" w:line="129" w:lineRule="exact"/>
        <w:rPr>
          <w:rFonts w:ascii="Arial" w:cs="Arial" w:eastAsia="Arial" w:hAnsi="Arial"/>
          <w:sz w:val="19"/>
          <w:szCs w:val="19"/>
          <w:color w:val="125288"/>
        </w:rPr>
      </w:pPr>
    </w:p>
    <w:p>
      <w:pPr>
        <w:ind w:left="145" w:right="40" w:hanging="145"/>
        <w:spacing w:after="0" w:line="245" w:lineRule="auto"/>
        <w:tabs>
          <w:tab w:leader="none" w:pos="145" w:val="left"/>
        </w:tabs>
        <w:numPr>
          <w:ilvl w:val="0"/>
          <w:numId w:val="144"/>
        </w:numPr>
        <w:rPr>
          <w:rFonts w:ascii="Arial" w:cs="Arial" w:eastAsia="Arial" w:hAnsi="Arial"/>
          <w:sz w:val="19"/>
          <w:szCs w:val="19"/>
          <w:color w:val="125288"/>
        </w:rPr>
      </w:pPr>
      <w:r>
        <w:rPr>
          <w:rFonts w:ascii="Arial" w:cs="Arial" w:eastAsia="Arial" w:hAnsi="Arial"/>
          <w:sz w:val="19"/>
          <w:szCs w:val="19"/>
          <w:color w:val="auto"/>
        </w:rPr>
        <w:t>The Company released its “U.S. Pay Equity Review 2020” in October 2021. This review, conducted by an independent firm, showed that women on average earned slightly more than men for comparable work in 2020.</w:t>
      </w:r>
    </w:p>
    <w:p>
      <w:pPr>
        <w:spacing w:after="0" w:line="124" w:lineRule="exact"/>
        <w:rPr>
          <w:rFonts w:ascii="Arial" w:cs="Arial" w:eastAsia="Arial" w:hAnsi="Arial"/>
          <w:sz w:val="19"/>
          <w:szCs w:val="19"/>
          <w:color w:val="125288"/>
        </w:rPr>
      </w:pPr>
    </w:p>
    <w:p>
      <w:pPr>
        <w:jc w:val="both"/>
        <w:ind w:left="145" w:right="40" w:hanging="145"/>
        <w:spacing w:after="0"/>
        <w:tabs>
          <w:tab w:leader="none" w:pos="145" w:val="left"/>
        </w:tabs>
        <w:numPr>
          <w:ilvl w:val="0"/>
          <w:numId w:val="144"/>
        </w:numPr>
        <w:rPr>
          <w:rFonts w:ascii="Arial" w:cs="Arial" w:eastAsia="Arial" w:hAnsi="Arial"/>
          <w:sz w:val="19"/>
          <w:szCs w:val="19"/>
          <w:color w:val="125288"/>
        </w:rPr>
      </w:pPr>
      <w:r>
        <w:rPr>
          <w:rFonts w:ascii="Arial" w:cs="Arial" w:eastAsia="Arial" w:hAnsi="Arial"/>
          <w:sz w:val="19"/>
          <w:szCs w:val="19"/>
          <w:color w:val="auto"/>
        </w:rPr>
        <w:t>The Company also released its “2021 Representation Data” report in December 2021, based on data in Company records as of November 30, 2021, which includes detailed and disaggregated company data with respect to gender globally, and for the US, racial and ethnic diversity.</w:t>
      </w:r>
    </w:p>
    <w:p>
      <w:pPr>
        <w:spacing w:after="0" w:line="104" w:lineRule="exact"/>
        <w:rPr>
          <w:sz w:val="20"/>
          <w:szCs w:val="20"/>
          <w:color w:val="auto"/>
        </w:rPr>
      </w:pPr>
    </w:p>
    <w:p>
      <w:pPr>
        <w:ind w:left="5"/>
        <w:spacing w:after="0"/>
        <w:rPr>
          <w:sz w:val="20"/>
          <w:szCs w:val="20"/>
          <w:color w:val="auto"/>
        </w:rPr>
      </w:pPr>
      <w:r>
        <w:rPr>
          <w:rFonts w:ascii="Arial" w:cs="Arial" w:eastAsia="Arial" w:hAnsi="Arial"/>
          <w:sz w:val="24"/>
          <w:szCs w:val="24"/>
          <w:b w:val="1"/>
          <w:bCs w:val="1"/>
          <w:color w:val="auto"/>
        </w:rPr>
        <w:t>The Company’s Commitment to Transparency</w:t>
      </w:r>
    </w:p>
    <w:p>
      <w:pPr>
        <w:spacing w:after="0" w:line="142" w:lineRule="exact"/>
        <w:rPr>
          <w:sz w:val="20"/>
          <w:szCs w:val="20"/>
          <w:color w:val="auto"/>
        </w:rPr>
      </w:pPr>
    </w:p>
    <w:p>
      <w:pPr>
        <w:jc w:val="both"/>
        <w:ind w:left="5"/>
        <w:spacing w:after="0" w:line="237" w:lineRule="auto"/>
        <w:rPr>
          <w:sz w:val="20"/>
          <w:szCs w:val="20"/>
          <w:color w:val="auto"/>
        </w:rPr>
      </w:pPr>
      <w:r>
        <w:rPr>
          <w:rFonts w:ascii="Arial" w:cs="Arial" w:eastAsia="Arial" w:hAnsi="Arial"/>
          <w:sz w:val="19"/>
          <w:szCs w:val="19"/>
          <w:color w:val="auto"/>
        </w:rPr>
        <w:t>We believe transparency with our stakeholders is an important part of our mission. Where we can, in light of privacy and other limitations, we expect to share more information with our employees and shareholders as to the outcome of our efforts relating to our workplace environment. For example, in our upcoming ESG report for 2021, we expect to make our consolidated EEO-1 report publicly available and may supplement our EEO-1 data with fuller information on the demographics of our workforce using classifications and job levels that we believe are more accurate and useful in assessing our progress in every country in which we operate.</w:t>
      </w:r>
    </w:p>
    <w:p>
      <w:pPr>
        <w:spacing w:after="0" w:line="263" w:lineRule="exact"/>
        <w:rPr>
          <w:sz w:val="20"/>
          <w:szCs w:val="20"/>
          <w:color w:val="auto"/>
        </w:rPr>
      </w:pPr>
    </w:p>
    <w:p>
      <w:pPr>
        <w:jc w:val="both"/>
        <w:ind w:left="5"/>
        <w:spacing w:after="0" w:line="245" w:lineRule="auto"/>
        <w:rPr>
          <w:sz w:val="20"/>
          <w:szCs w:val="20"/>
          <w:color w:val="auto"/>
        </w:rPr>
      </w:pPr>
      <w:r>
        <w:rPr>
          <w:rFonts w:ascii="Arial" w:cs="Arial" w:eastAsia="Arial" w:hAnsi="Arial"/>
          <w:sz w:val="19"/>
          <w:szCs w:val="19"/>
          <w:color w:val="auto"/>
        </w:rPr>
        <w:t>Such disclosure will be tailored with the interests of our employees and shareholders in mind. We are committed to making meaningful and positive change, and our efforts to date are just the start.</w:t>
      </w:r>
    </w:p>
    <w:p>
      <w:pPr>
        <w:spacing w:after="0" w:line="255" w:lineRule="exact"/>
        <w:rPr>
          <w:sz w:val="20"/>
          <w:szCs w:val="20"/>
          <w:color w:val="auto"/>
        </w:rPr>
      </w:pPr>
    </w:p>
    <w:p>
      <w:pPr>
        <w:jc w:val="both"/>
        <w:ind w:left="5"/>
        <w:spacing w:after="0" w:line="237" w:lineRule="auto"/>
        <w:rPr>
          <w:sz w:val="20"/>
          <w:szCs w:val="20"/>
          <w:color w:val="auto"/>
        </w:rPr>
      </w:pPr>
      <w:r>
        <w:rPr>
          <w:rFonts w:ascii="Arial" w:cs="Arial" w:eastAsia="Arial" w:hAnsi="Arial"/>
          <w:sz w:val="19"/>
          <w:szCs w:val="19"/>
          <w:color w:val="auto"/>
        </w:rPr>
        <w:t>At the same time, we have engaged with shareholders regarding our workplace environment and received input from them around the reporting of information such as that contemplated in the proposal. Consistent with our views, some of our shareholders have similarly expressed concerns that disclosing metrics like those requested in the proposal would not meaningfully inform the Company’s shareholders. As a foundational matter, the metrics would be presented without context or benchmarking to understand their relative significance and magnitude as compared to other companies. The volume of settled and pending claims, aggregate dollar amount of settled disputes, and the speed to resolution does not communicate whether the amount of such claims is reasonable or whether they were satisfactorily resolved.</w:t>
      </w:r>
    </w:p>
    <w:p>
      <w:pPr>
        <w:spacing w:after="0" w:line="261" w:lineRule="exact"/>
        <w:rPr>
          <w:sz w:val="20"/>
          <w:szCs w:val="20"/>
          <w:color w:val="auto"/>
        </w:rPr>
      </w:pPr>
    </w:p>
    <w:p>
      <w:pPr>
        <w:jc w:val="both"/>
        <w:ind w:left="5"/>
        <w:spacing w:after="0" w:line="237" w:lineRule="auto"/>
        <w:rPr>
          <w:sz w:val="20"/>
          <w:szCs w:val="20"/>
          <w:color w:val="auto"/>
        </w:rPr>
      </w:pPr>
      <w:r>
        <w:rPr>
          <w:rFonts w:ascii="Arial" w:cs="Arial" w:eastAsia="Arial" w:hAnsi="Arial"/>
          <w:sz w:val="19"/>
          <w:szCs w:val="19"/>
          <w:color w:val="auto"/>
        </w:rPr>
        <w:t>Furthermore, disclosing data about such matters, even on an aggregated basis, could potentially reveal more information about an individual employee’s allegations than that employee would wish to reveal, while excluding that data at an employee’s request could lead to public reports that are misleading and not helpful to shareholders. Ultimately, reporting aggregated statistics would not present a complete or meaningful picture of the status of these matters or the Company’s improvements in its workplace. Such reporting would also divert resources away from our continuous efforts to improve our workplace culture and ensure a safe working environment.</w:t>
      </w:r>
    </w:p>
    <w:p>
      <w:pPr>
        <w:spacing w:after="0" w:line="263" w:lineRule="exact"/>
        <w:rPr>
          <w:sz w:val="20"/>
          <w:szCs w:val="20"/>
          <w:color w:val="auto"/>
        </w:rPr>
      </w:pPr>
    </w:p>
    <w:p>
      <w:pPr>
        <w:jc w:val="both"/>
        <w:ind w:left="5" w:right="20"/>
        <w:spacing w:after="0" w:line="245" w:lineRule="auto"/>
        <w:rPr>
          <w:sz w:val="20"/>
          <w:szCs w:val="20"/>
          <w:color w:val="auto"/>
        </w:rPr>
      </w:pPr>
      <w:r>
        <w:rPr>
          <w:rFonts w:ascii="Arial" w:cs="Arial" w:eastAsia="Arial" w:hAnsi="Arial"/>
          <w:sz w:val="19"/>
          <w:szCs w:val="19"/>
          <w:color w:val="auto"/>
        </w:rPr>
        <w:t>Finally, the proposal is premised, in part, on an unsupported and, we believe, inaccurate and substantially overstated assessment of hypothetical</w:t>
      </w:r>
    </w:p>
    <w:p>
      <w:pPr>
        <w:spacing w:after="0" w:line="150" w:lineRule="exact"/>
        <w:rPr>
          <w:sz w:val="20"/>
          <w:szCs w:val="20"/>
          <w:color w:val="auto"/>
        </w:rPr>
      </w:pPr>
    </w:p>
    <w:p>
      <w:pPr>
        <w:ind w:left="5"/>
        <w:spacing w:after="0"/>
        <w:tabs>
          <w:tab w:leader="none" w:pos="7364" w:val="left"/>
          <w:tab w:leader="none" w:pos="9384" w:val="left"/>
          <w:tab w:leader="none" w:pos="1100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bookmarkStart w:id="142" w:name="page143"/>
    <w:bookmarkEnd w:id="142"/>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35"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liability calculated by an attorney in a filing made on behalf of the California Department of Fair Employment and Housing. The speculative liability estimate appears to be based on faulty assumptions, inaccurate guesses about factual matters, and multiple mathematical errors. This inaccurate information does not in any way lend support to the request in the proposal.</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 * * *</w:t>
      </w:r>
    </w:p>
    <w:p>
      <w:pPr>
        <w:spacing w:after="0" w:line="269" w:lineRule="exact"/>
        <w:rPr>
          <w:sz w:val="20"/>
          <w:szCs w:val="20"/>
          <w:color w:val="auto"/>
        </w:rPr>
      </w:pPr>
    </w:p>
    <w:p>
      <w:pPr>
        <w:jc w:val="both"/>
        <w:ind w:right="20"/>
        <w:spacing w:after="0" w:line="235" w:lineRule="auto"/>
        <w:rPr>
          <w:sz w:val="20"/>
          <w:szCs w:val="20"/>
          <w:color w:val="auto"/>
        </w:rPr>
      </w:pPr>
      <w:r>
        <w:rPr>
          <w:rFonts w:ascii="Arial" w:cs="Arial" w:eastAsia="Arial" w:hAnsi="Arial"/>
          <w:sz w:val="19"/>
          <w:szCs w:val="19"/>
          <w:color w:val="auto"/>
        </w:rPr>
        <w:t>The Company welcomes the perspective of our shareholders, including by their vote on this proposal. However, for the reasons expressed above, we believe the proposal is neither necessary nor in the best interests of our Company or our shareholders.</w:t>
      </w:r>
    </w:p>
    <w:p>
      <w:pPr>
        <w:spacing w:after="0"/>
        <w:rPr>
          <w:sz w:val="20"/>
          <w:szCs w:val="20"/>
          <w:color w:val="auto"/>
        </w:rPr>
      </w:pPr>
      <w:r>
        <w:rPr>
          <w:rFonts w:ascii="Arial" w:cs="Arial" w:eastAsia="Arial" w:hAnsi="Arial"/>
          <w:sz w:val="19"/>
          <w:szCs w:val="19"/>
          <w:b w:val="1"/>
          <w:bCs w:val="1"/>
          <w:color w:val="auto"/>
        </w:rPr>
        <w:t>Therefore, the Board unanimously recommends that you vote “AGAINST” proposal 5.</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t>
      </w:r>
    </w:p>
    <w:p>
      <w:pPr>
        <w:spacing w:after="0" w:line="268"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REQUIRED VOTE AND BOARD RECOMMENDATION</w:t>
      </w:r>
    </w:p>
    <w:p>
      <w:pPr>
        <w:spacing w:after="0" w:line="309"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This proposal will be approved if it receives the affirmative vote of the holders of a majority of the voting power of the shares present in person or by proxy and entitled to vote on the matter at the Annual Meeting. While our Board believes that the views of the Company’s shareholders are of the utmost importance and will carefully consider the outcome of the vote expressed by our shareholders when making future disclosure decisions, the vote will not be binding upon them. Our Board ultimately has a duty to act in what it believes to be the best interests of the Company and all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168910</wp:posOffset>
            </wp:positionV>
            <wp:extent cx="6038850" cy="5359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038850" cy="535940"/>
                    </a:xfrm>
                    <a:prstGeom prst="rect">
                      <a:avLst/>
                    </a:prstGeom>
                    <a:noFill/>
                  </pic:spPr>
                </pic:pic>
              </a:graphicData>
            </a:graphic>
          </wp:anchor>
        </w:drawing>
      </w:r>
    </w:p>
    <w:p>
      <w:pPr>
        <w:spacing w:after="0" w:line="370" w:lineRule="exact"/>
        <w:rPr>
          <w:sz w:val="20"/>
          <w:szCs w:val="20"/>
          <w:color w:val="auto"/>
        </w:rPr>
      </w:pPr>
    </w:p>
    <w:p>
      <w:pPr>
        <w:ind w:left="1500" w:right="980"/>
        <w:spacing w:after="0" w:line="273" w:lineRule="auto"/>
        <w:rPr>
          <w:sz w:val="20"/>
          <w:szCs w:val="20"/>
          <w:color w:val="auto"/>
        </w:rPr>
      </w:pPr>
      <w:r>
        <w:rPr>
          <w:rFonts w:ascii="Arial" w:cs="Arial" w:eastAsia="Arial" w:hAnsi="Arial"/>
          <w:sz w:val="25"/>
          <w:szCs w:val="25"/>
          <w:b w:val="1"/>
          <w:bCs w:val="1"/>
          <w:color w:val="auto"/>
        </w:rPr>
        <w:t xml:space="preserve">YOUR BOARD UNANIMOUSLY RECOMMENDS THAT YOU VOTE </w:t>
      </w:r>
      <w:r>
        <w:rPr>
          <w:rFonts w:ascii="Arial" w:cs="Arial" w:eastAsia="Arial" w:hAnsi="Arial"/>
          <w:sz w:val="25"/>
          <w:szCs w:val="25"/>
          <w:b w:val="1"/>
          <w:bCs w:val="1"/>
          <w:color w:val="125288"/>
        </w:rPr>
        <w:t>AGAINST</w:t>
      </w:r>
      <w:r>
        <w:rPr>
          <w:rFonts w:ascii="Arial" w:cs="Arial" w:eastAsia="Arial" w:hAnsi="Arial"/>
          <w:sz w:val="25"/>
          <w:szCs w:val="25"/>
          <w:b w:val="1"/>
          <w:bCs w:val="1"/>
          <w:color w:val="auto"/>
        </w:rPr>
        <w:t xml:space="preserve"> PROPOSAL 5.</w:t>
      </w:r>
    </w:p>
    <w:p>
      <w:pPr>
        <w:spacing w:after="0" w:line="275" w:lineRule="exact"/>
        <w:rPr>
          <w:sz w:val="20"/>
          <w:szCs w:val="20"/>
          <w:color w:val="auto"/>
        </w:rPr>
      </w:pPr>
    </w:p>
    <w:p>
      <w:pPr>
        <w:spacing w:after="0"/>
        <w:tabs>
          <w:tab w:leader="none" w:pos="7360" w:val="left"/>
          <w:tab w:leader="none" w:pos="9380" w:val="left"/>
          <w:tab w:leader="none" w:pos="1100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43" w:name="page144"/>
    <w:bookmarkEnd w:id="143"/>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sz w:val="1"/>
          <w:szCs w:val="1"/>
          <w:color w:val="auto"/>
        </w:rPr>
        <w:drawing>
          <wp:inline distT="0" distB="0" distL="0" distR="0">
            <wp:extent cx="445135" cy="151130"/>
            <wp:effectExtent l="0" t="0" r="0" b="0"/>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445135" cy="151130"/>
                    </a:xfrm>
                    <a:prstGeom prst="rect">
                      <a:avLst/>
                    </a:prstGeom>
                    <a:noFill/>
                    <a:ln>
                      <a:noFill/>
                    </a:ln>
                  </pic:spPr>
                </pic:pic>
              </a:graphicData>
            </a:graphic>
          </wp:inline>
        </w:drawing>
      </w:r>
      <w:r>
        <w:rPr>
          <w:rFonts w:ascii="Arial" w:cs="Arial" w:eastAsia="Arial" w:hAnsi="Arial"/>
          <w:sz w:val="31"/>
          <w:szCs w:val="31"/>
          <w:b w:val="1"/>
          <w:bCs w:val="1"/>
          <w:color w:val="125288"/>
        </w:rPr>
        <w:t xml:space="preserve"> BENEFICIAL OWNERSHIP MATTERS</w:t>
      </w:r>
    </w:p>
    <w:p>
      <w:pPr>
        <w:spacing w:after="0" w:line="311"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SECURITY OWNERSHIP OF OUR OFFICERS AND DIRECTORS</w:t>
      </w:r>
    </w:p>
    <w:p>
      <w:pPr>
        <w:spacing w:after="0" w:line="309"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The following table sets forth information, as of April 22, 2022, with respect to the beneficial ownership of our Common Stock by (1) our NEOs, (2) each director and each nominee for election as director, and (3) all current executive officers and directors as a group. Unless otherwise noted, the persons named in the table have sole voting and investment power with respect to all shares shown as beneficially owned by such shareholder.</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420" w:type="dxa"/>
            <w:vAlign w:val="bottom"/>
            <w:gridSpan w:val="2"/>
          </w:tcPr>
          <w:p>
            <w:pPr>
              <w:jc w:val="right"/>
              <w:ind w:right="618"/>
              <w:spacing w:after="0"/>
              <w:rPr>
                <w:sz w:val="20"/>
                <w:szCs w:val="20"/>
                <w:color w:val="auto"/>
              </w:rPr>
            </w:pPr>
            <w:r>
              <w:rPr>
                <w:rFonts w:ascii="Arial" w:cs="Arial" w:eastAsia="Arial" w:hAnsi="Arial"/>
                <w:sz w:val="15"/>
                <w:szCs w:val="15"/>
                <w:b w:val="1"/>
                <w:bCs w:val="1"/>
                <w:color w:val="125288"/>
              </w:rPr>
              <w:t>Shares of Activision Blizzard Beneficially Owned</w:t>
            </w:r>
          </w:p>
        </w:tc>
        <w:tc>
          <w:tcPr>
            <w:tcW w:w="1380" w:type="dxa"/>
            <w:vAlign w:val="bottom"/>
          </w:tcPr>
          <w:p>
            <w:pPr>
              <w:spacing w:after="0"/>
              <w:rPr>
                <w:sz w:val="17"/>
                <w:szCs w:val="17"/>
                <w:color w:val="auto"/>
              </w:rPr>
            </w:pPr>
          </w:p>
        </w:tc>
      </w:tr>
      <w:tr>
        <w:trPr>
          <w:trHeight w:val="37"/>
        </w:trPr>
        <w:tc>
          <w:tcPr>
            <w:tcW w:w="3500" w:type="dxa"/>
            <w:vAlign w:val="bottom"/>
          </w:tcPr>
          <w:p>
            <w:pPr>
              <w:spacing w:after="0"/>
              <w:rPr>
                <w:sz w:val="3"/>
                <w:szCs w:val="3"/>
                <w:color w:val="auto"/>
              </w:rPr>
            </w:pPr>
          </w:p>
        </w:tc>
        <w:tc>
          <w:tcPr>
            <w:tcW w:w="1960" w:type="dxa"/>
            <w:vAlign w:val="bottom"/>
            <w:tcBorders>
              <w:bottom w:val="single" w:sz="8" w:color="125288"/>
            </w:tcBorders>
          </w:tcPr>
          <w:p>
            <w:pPr>
              <w:spacing w:after="0"/>
              <w:rPr>
                <w:sz w:val="3"/>
                <w:szCs w:val="3"/>
                <w:color w:val="auto"/>
              </w:rPr>
            </w:pPr>
          </w:p>
        </w:tc>
        <w:tc>
          <w:tcPr>
            <w:tcW w:w="2300" w:type="dxa"/>
            <w:vAlign w:val="bottom"/>
            <w:tcBorders>
              <w:bottom w:val="single" w:sz="8" w:color="125288"/>
            </w:tcBorders>
          </w:tcPr>
          <w:p>
            <w:pPr>
              <w:spacing w:after="0"/>
              <w:rPr>
                <w:sz w:val="3"/>
                <w:szCs w:val="3"/>
                <w:color w:val="auto"/>
              </w:rPr>
            </w:pPr>
          </w:p>
        </w:tc>
        <w:tc>
          <w:tcPr>
            <w:tcW w:w="2120" w:type="dxa"/>
            <w:vAlign w:val="bottom"/>
            <w:tcBorders>
              <w:bottom w:val="single" w:sz="8" w:color="125288"/>
            </w:tcBorders>
          </w:tcPr>
          <w:p>
            <w:pPr>
              <w:spacing w:after="0"/>
              <w:rPr>
                <w:sz w:val="3"/>
                <w:szCs w:val="3"/>
                <w:color w:val="auto"/>
              </w:rPr>
            </w:pPr>
          </w:p>
        </w:tc>
        <w:tc>
          <w:tcPr>
            <w:tcW w:w="1380" w:type="dxa"/>
            <w:vAlign w:val="bottom"/>
            <w:tcBorders>
              <w:bottom w:val="single" w:sz="8" w:color="125288"/>
            </w:tcBorders>
          </w:tcPr>
          <w:p>
            <w:pPr>
              <w:spacing w:after="0"/>
              <w:rPr>
                <w:sz w:val="3"/>
                <w:szCs w:val="3"/>
                <w:color w:val="auto"/>
              </w:rPr>
            </w:pPr>
          </w:p>
        </w:tc>
      </w:tr>
      <w:tr>
        <w:trPr>
          <w:trHeight w:val="214"/>
        </w:trPr>
        <w:tc>
          <w:tcPr>
            <w:tcW w:w="3500" w:type="dxa"/>
            <w:vAlign w:val="bottom"/>
          </w:tcPr>
          <w:p>
            <w:pPr>
              <w:spacing w:after="0"/>
              <w:rPr>
                <w:sz w:val="18"/>
                <w:szCs w:val="18"/>
                <w:color w:val="auto"/>
              </w:rPr>
            </w:pPr>
          </w:p>
        </w:tc>
        <w:tc>
          <w:tcPr>
            <w:tcW w:w="1960" w:type="dxa"/>
            <w:vAlign w:val="bottom"/>
          </w:tcPr>
          <w:p>
            <w:pPr>
              <w:jc w:val="right"/>
              <w:ind w:right="358"/>
              <w:spacing w:after="0"/>
              <w:rPr>
                <w:sz w:val="20"/>
                <w:szCs w:val="20"/>
                <w:color w:val="auto"/>
              </w:rPr>
            </w:pPr>
            <w:r>
              <w:rPr>
                <w:rFonts w:ascii="Arial" w:cs="Arial" w:eastAsia="Arial" w:hAnsi="Arial"/>
                <w:sz w:val="15"/>
                <w:szCs w:val="15"/>
                <w:b w:val="1"/>
                <w:bCs w:val="1"/>
                <w:color w:val="125288"/>
              </w:rPr>
              <w:t>Shares</w:t>
            </w:r>
          </w:p>
        </w:tc>
        <w:tc>
          <w:tcPr>
            <w:tcW w:w="2300" w:type="dxa"/>
            <w:vAlign w:val="bottom"/>
          </w:tcPr>
          <w:p>
            <w:pPr>
              <w:jc w:val="right"/>
              <w:ind w:right="398"/>
              <w:spacing w:after="0"/>
              <w:rPr>
                <w:sz w:val="20"/>
                <w:szCs w:val="20"/>
                <w:color w:val="auto"/>
              </w:rPr>
            </w:pPr>
            <w:r>
              <w:rPr>
                <w:rFonts w:ascii="Arial" w:cs="Arial" w:eastAsia="Arial" w:hAnsi="Arial"/>
                <w:sz w:val="15"/>
                <w:szCs w:val="15"/>
                <w:b w:val="1"/>
                <w:bCs w:val="1"/>
                <w:color w:val="125288"/>
              </w:rPr>
              <w:t>Right to</w:t>
            </w:r>
          </w:p>
        </w:tc>
        <w:tc>
          <w:tcPr>
            <w:tcW w:w="2120" w:type="dxa"/>
            <w:vAlign w:val="bottom"/>
          </w:tcPr>
          <w:p>
            <w:pPr>
              <w:jc w:val="right"/>
              <w:ind w:right="278"/>
              <w:spacing w:after="0"/>
              <w:rPr>
                <w:sz w:val="20"/>
                <w:szCs w:val="20"/>
                <w:color w:val="auto"/>
              </w:rPr>
            </w:pPr>
            <w:r>
              <w:rPr>
                <w:rFonts w:ascii="Arial" w:cs="Arial" w:eastAsia="Arial" w:hAnsi="Arial"/>
                <w:sz w:val="15"/>
                <w:szCs w:val="15"/>
                <w:b w:val="1"/>
                <w:bCs w:val="1"/>
                <w:color w:val="125288"/>
              </w:rPr>
              <w:t>Total Shares Owned</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125288"/>
              </w:rPr>
              <w:t>Percent of</w:t>
            </w:r>
          </w:p>
        </w:tc>
      </w:tr>
      <w:tr>
        <w:trPr>
          <w:trHeight w:val="217"/>
        </w:trPr>
        <w:tc>
          <w:tcPr>
            <w:tcW w:w="3500" w:type="dxa"/>
            <w:vAlign w:val="bottom"/>
          </w:tcPr>
          <w:p>
            <w:pPr>
              <w:spacing w:after="0"/>
              <w:rPr>
                <w:sz w:val="18"/>
                <w:szCs w:val="18"/>
                <w:color w:val="auto"/>
              </w:rPr>
            </w:pPr>
          </w:p>
        </w:tc>
        <w:tc>
          <w:tcPr>
            <w:tcW w:w="1960" w:type="dxa"/>
            <w:vAlign w:val="bottom"/>
          </w:tcPr>
          <w:p>
            <w:pPr>
              <w:jc w:val="right"/>
              <w:ind w:right="358"/>
              <w:spacing w:after="0"/>
              <w:rPr>
                <w:sz w:val="20"/>
                <w:szCs w:val="20"/>
                <w:color w:val="auto"/>
              </w:rPr>
            </w:pPr>
            <w:r>
              <w:rPr>
                <w:rFonts w:ascii="Arial" w:cs="Arial" w:eastAsia="Arial" w:hAnsi="Arial"/>
                <w:sz w:val="15"/>
                <w:szCs w:val="15"/>
                <w:b w:val="1"/>
                <w:bCs w:val="1"/>
                <w:color w:val="125288"/>
              </w:rPr>
              <w:t>Owned</w:t>
            </w:r>
          </w:p>
        </w:tc>
        <w:tc>
          <w:tcPr>
            <w:tcW w:w="2300" w:type="dxa"/>
            <w:vAlign w:val="bottom"/>
          </w:tcPr>
          <w:p>
            <w:pPr>
              <w:jc w:val="right"/>
              <w:ind w:right="398"/>
              <w:spacing w:after="0" w:line="217" w:lineRule="exact"/>
              <w:rPr>
                <w:sz w:val="20"/>
                <w:szCs w:val="20"/>
                <w:color w:val="auto"/>
              </w:rPr>
            </w:pPr>
            <w:r>
              <w:rPr>
                <w:rFonts w:ascii="Arial" w:cs="Arial" w:eastAsia="Arial" w:hAnsi="Arial"/>
                <w:sz w:val="15"/>
                <w:szCs w:val="15"/>
                <w:b w:val="1"/>
                <w:bCs w:val="1"/>
                <w:color w:val="125288"/>
              </w:rPr>
              <w:t>Acquire</w:t>
            </w:r>
            <w:r>
              <w:rPr>
                <w:rFonts w:ascii="Arial" w:cs="Arial" w:eastAsia="Arial" w:hAnsi="Arial"/>
                <w:sz w:val="25"/>
                <w:szCs w:val="25"/>
                <w:b w:val="1"/>
                <w:bCs w:val="1"/>
                <w:color w:val="125288"/>
                <w:vertAlign w:val="superscript"/>
              </w:rPr>
              <w:t>(1)</w:t>
            </w:r>
          </w:p>
        </w:tc>
        <w:tc>
          <w:tcPr>
            <w:tcW w:w="2120" w:type="dxa"/>
            <w:vAlign w:val="bottom"/>
          </w:tcPr>
          <w:p>
            <w:pPr>
              <w:jc w:val="right"/>
              <w:ind w:right="278"/>
              <w:spacing w:after="0"/>
              <w:rPr>
                <w:sz w:val="20"/>
                <w:szCs w:val="20"/>
                <w:color w:val="auto"/>
              </w:rPr>
            </w:pPr>
            <w:r>
              <w:rPr>
                <w:rFonts w:ascii="Arial" w:cs="Arial" w:eastAsia="Arial" w:hAnsi="Arial"/>
                <w:sz w:val="15"/>
                <w:szCs w:val="15"/>
                <w:b w:val="1"/>
                <w:bCs w:val="1"/>
                <w:color w:val="125288"/>
              </w:rPr>
              <w:t>plus Right to Acquire</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125288"/>
              </w:rPr>
              <w:t>Outstanding</w:t>
            </w:r>
          </w:p>
        </w:tc>
      </w:tr>
      <w:tr>
        <w:trPr>
          <w:trHeight w:val="273"/>
        </w:trPr>
        <w:tc>
          <w:tcPr>
            <w:tcW w:w="3500" w:type="dxa"/>
            <w:vAlign w:val="bottom"/>
            <w:tcBorders>
              <w:bottom w:val="single" w:sz="8" w:color="125288"/>
            </w:tcBorders>
          </w:tcPr>
          <w:p>
            <w:pPr>
              <w:ind w:left="40"/>
              <w:spacing w:after="0"/>
              <w:rPr>
                <w:sz w:val="20"/>
                <w:szCs w:val="20"/>
                <w:color w:val="auto"/>
              </w:rPr>
            </w:pPr>
            <w:r>
              <w:rPr>
                <w:rFonts w:ascii="Arial" w:cs="Arial" w:eastAsia="Arial" w:hAnsi="Arial"/>
                <w:sz w:val="15"/>
                <w:szCs w:val="15"/>
                <w:b w:val="1"/>
                <w:bCs w:val="1"/>
                <w:color w:val="125288"/>
              </w:rPr>
              <w:t>Name</w:t>
            </w:r>
          </w:p>
        </w:tc>
        <w:tc>
          <w:tcPr>
            <w:tcW w:w="1960" w:type="dxa"/>
            <w:vAlign w:val="bottom"/>
            <w:tcBorders>
              <w:bottom w:val="single" w:sz="8" w:color="125288"/>
            </w:tcBorders>
          </w:tcPr>
          <w:p>
            <w:pPr>
              <w:jc w:val="right"/>
              <w:ind w:right="298"/>
              <w:spacing w:after="0"/>
              <w:rPr>
                <w:sz w:val="20"/>
                <w:szCs w:val="20"/>
                <w:color w:val="auto"/>
              </w:rPr>
            </w:pPr>
            <w:r>
              <w:rPr>
                <w:rFonts w:ascii="Arial" w:cs="Arial" w:eastAsia="Arial" w:hAnsi="Arial"/>
                <w:sz w:val="15"/>
                <w:szCs w:val="15"/>
                <w:b w:val="1"/>
                <w:bCs w:val="1"/>
                <w:color w:val="125288"/>
              </w:rPr>
              <w:t>(#)</w:t>
            </w:r>
          </w:p>
        </w:tc>
        <w:tc>
          <w:tcPr>
            <w:tcW w:w="2300" w:type="dxa"/>
            <w:vAlign w:val="bottom"/>
            <w:tcBorders>
              <w:bottom w:val="single" w:sz="8" w:color="125288"/>
            </w:tcBorders>
          </w:tcPr>
          <w:p>
            <w:pPr>
              <w:jc w:val="right"/>
              <w:ind w:right="338"/>
              <w:spacing w:after="0"/>
              <w:rPr>
                <w:sz w:val="20"/>
                <w:szCs w:val="20"/>
                <w:color w:val="auto"/>
              </w:rPr>
            </w:pPr>
            <w:r>
              <w:rPr>
                <w:rFonts w:ascii="Arial" w:cs="Arial" w:eastAsia="Arial" w:hAnsi="Arial"/>
                <w:sz w:val="15"/>
                <w:szCs w:val="15"/>
                <w:b w:val="1"/>
                <w:bCs w:val="1"/>
                <w:color w:val="125288"/>
              </w:rPr>
              <w:t>(#)</w:t>
            </w:r>
          </w:p>
        </w:tc>
        <w:tc>
          <w:tcPr>
            <w:tcW w:w="2120" w:type="dxa"/>
            <w:vAlign w:val="bottom"/>
            <w:tcBorders>
              <w:bottom w:val="single" w:sz="8" w:color="125288"/>
            </w:tcBorders>
          </w:tcPr>
          <w:p>
            <w:pPr>
              <w:jc w:val="right"/>
              <w:ind w:right="278"/>
              <w:spacing w:after="0"/>
              <w:rPr>
                <w:sz w:val="20"/>
                <w:szCs w:val="20"/>
                <w:color w:val="auto"/>
              </w:rPr>
            </w:pPr>
            <w:r>
              <w:rPr>
                <w:rFonts w:ascii="Arial" w:cs="Arial" w:eastAsia="Arial" w:hAnsi="Arial"/>
                <w:sz w:val="15"/>
                <w:szCs w:val="15"/>
                <w:b w:val="1"/>
                <w:bCs w:val="1"/>
                <w:color w:val="125288"/>
              </w:rPr>
              <w:t>(#)</w:t>
            </w:r>
          </w:p>
        </w:tc>
        <w:tc>
          <w:tcPr>
            <w:tcW w:w="1380" w:type="dxa"/>
            <w:vAlign w:val="bottom"/>
            <w:tcBorders>
              <w:bottom w:val="single" w:sz="8" w:color="125288"/>
            </w:tcBorders>
          </w:tcPr>
          <w:p>
            <w:pPr>
              <w:jc w:val="right"/>
              <w:spacing w:after="0" w:line="274" w:lineRule="exact"/>
              <w:rPr>
                <w:sz w:val="20"/>
                <w:szCs w:val="20"/>
                <w:color w:val="auto"/>
              </w:rPr>
            </w:pPr>
            <w:r>
              <w:rPr>
                <w:rFonts w:ascii="Arial" w:cs="Arial" w:eastAsia="Arial" w:hAnsi="Arial"/>
                <w:sz w:val="15"/>
                <w:szCs w:val="15"/>
                <w:b w:val="1"/>
                <w:bCs w:val="1"/>
                <w:color w:val="125288"/>
              </w:rPr>
              <w:t>Shares</w:t>
            </w:r>
            <w:r>
              <w:rPr>
                <w:rFonts w:ascii="Arial" w:cs="Arial" w:eastAsia="Arial" w:hAnsi="Arial"/>
                <w:sz w:val="25"/>
                <w:szCs w:val="25"/>
                <w:b w:val="1"/>
                <w:bCs w:val="1"/>
                <w:color w:val="125288"/>
                <w:vertAlign w:val="superscript"/>
              </w:rPr>
              <w:t>(2)</w:t>
            </w:r>
            <w:r>
              <w:rPr>
                <w:rFonts w:ascii="Arial" w:cs="Arial" w:eastAsia="Arial" w:hAnsi="Arial"/>
                <w:sz w:val="15"/>
                <w:szCs w:val="15"/>
                <w:b w:val="1"/>
                <w:bCs w:val="1"/>
                <w:color w:val="125288"/>
              </w:rPr>
              <w:t xml:space="preserve"> (%)</w:t>
            </w:r>
          </w:p>
        </w:tc>
      </w:tr>
      <w:tr>
        <w:trPr>
          <w:trHeight w:val="347"/>
        </w:trPr>
        <w:tc>
          <w:tcPr>
            <w:tcW w:w="3500" w:type="dxa"/>
            <w:vAlign w:val="bottom"/>
            <w:tcBorders>
              <w:bottom w:val="single" w:sz="8" w:color="125288"/>
            </w:tcBorders>
          </w:tcPr>
          <w:p>
            <w:pPr>
              <w:ind w:left="40"/>
              <w:spacing w:after="0"/>
              <w:rPr>
                <w:sz w:val="20"/>
                <w:szCs w:val="20"/>
                <w:color w:val="auto"/>
              </w:rPr>
            </w:pPr>
            <w:r>
              <w:rPr>
                <w:rFonts w:ascii="Arial" w:cs="Arial" w:eastAsia="Arial" w:hAnsi="Arial"/>
                <w:sz w:val="17"/>
                <w:szCs w:val="17"/>
                <w:b w:val="1"/>
                <w:bCs w:val="1"/>
                <w:color w:val="auto"/>
              </w:rPr>
              <w:t>Daniel Alegre</w:t>
            </w:r>
          </w:p>
        </w:tc>
        <w:tc>
          <w:tcPr>
            <w:tcW w:w="1960" w:type="dxa"/>
            <w:vAlign w:val="bottom"/>
            <w:tcBorders>
              <w:bottom w:val="single" w:sz="8" w:color="125288"/>
            </w:tcBorders>
          </w:tcPr>
          <w:p>
            <w:pPr>
              <w:jc w:val="right"/>
              <w:ind w:right="298"/>
              <w:spacing w:after="0"/>
              <w:rPr>
                <w:sz w:val="20"/>
                <w:szCs w:val="20"/>
                <w:color w:val="auto"/>
              </w:rPr>
            </w:pPr>
            <w:r>
              <w:rPr>
                <w:rFonts w:ascii="Arial" w:cs="Arial" w:eastAsia="Arial" w:hAnsi="Arial"/>
                <w:sz w:val="17"/>
                <w:szCs w:val="17"/>
                <w:color w:val="auto"/>
              </w:rPr>
              <w:t>17,625</w:t>
            </w:r>
          </w:p>
        </w:tc>
        <w:tc>
          <w:tcPr>
            <w:tcW w:w="2300" w:type="dxa"/>
            <w:vAlign w:val="bottom"/>
            <w:tcBorders>
              <w:bottom w:val="single" w:sz="8" w:color="125288"/>
            </w:tcBorders>
          </w:tcPr>
          <w:p>
            <w:pPr>
              <w:jc w:val="right"/>
              <w:ind w:right="198"/>
              <w:spacing w:after="0"/>
              <w:rPr>
                <w:sz w:val="20"/>
                <w:szCs w:val="20"/>
                <w:color w:val="auto"/>
              </w:rPr>
            </w:pPr>
            <w:r>
              <w:rPr>
                <w:rFonts w:ascii="Arial" w:cs="Arial" w:eastAsia="Arial" w:hAnsi="Arial"/>
                <w:sz w:val="17"/>
                <w:szCs w:val="17"/>
                <w:color w:val="auto"/>
              </w:rPr>
              <w:t>137,879</w:t>
            </w:r>
            <w:r>
              <w:rPr>
                <w:rFonts w:ascii="Arial" w:cs="Arial" w:eastAsia="Arial" w:hAnsi="Arial"/>
                <w:sz w:val="25"/>
                <w:szCs w:val="25"/>
                <w:color w:val="auto"/>
                <w:vertAlign w:val="superscript"/>
              </w:rPr>
              <w:t>(3)</w:t>
            </w:r>
          </w:p>
        </w:tc>
        <w:tc>
          <w:tcPr>
            <w:tcW w:w="2120" w:type="dxa"/>
            <w:vAlign w:val="bottom"/>
            <w:tcBorders>
              <w:bottom w:val="single" w:sz="8" w:color="125288"/>
            </w:tcBorders>
          </w:tcPr>
          <w:p>
            <w:pPr>
              <w:jc w:val="right"/>
              <w:ind w:right="278"/>
              <w:spacing w:after="0"/>
              <w:rPr>
                <w:sz w:val="20"/>
                <w:szCs w:val="20"/>
                <w:color w:val="auto"/>
              </w:rPr>
            </w:pPr>
            <w:r>
              <w:rPr>
                <w:rFonts w:ascii="Arial" w:cs="Arial" w:eastAsia="Arial" w:hAnsi="Arial"/>
                <w:sz w:val="17"/>
                <w:szCs w:val="17"/>
                <w:color w:val="auto"/>
              </w:rPr>
              <w:t>155,504</w:t>
            </w:r>
          </w:p>
        </w:tc>
        <w:tc>
          <w:tcPr>
            <w:tcW w:w="1380" w:type="dxa"/>
            <w:vAlign w:val="bottom"/>
            <w:tcBorders>
              <w:bottom w:val="single" w:sz="8" w:color="125288"/>
            </w:tcBorders>
          </w:tcPr>
          <w:p>
            <w:pPr>
              <w:jc w:val="right"/>
              <w:spacing w:after="0"/>
              <w:rPr>
                <w:sz w:val="20"/>
                <w:szCs w:val="20"/>
                <w:color w:val="auto"/>
              </w:rPr>
            </w:pPr>
            <w:r>
              <w:rPr>
                <w:rFonts w:ascii="Arial" w:cs="Arial" w:eastAsia="Arial" w:hAnsi="Arial"/>
                <w:sz w:val="17"/>
                <w:szCs w:val="17"/>
                <w:color w:val="auto"/>
              </w:rPr>
              <w:t>*</w:t>
            </w:r>
          </w:p>
        </w:tc>
      </w:tr>
      <w:tr>
        <w:trPr>
          <w:trHeight w:val="349"/>
        </w:trPr>
        <w:tc>
          <w:tcPr>
            <w:tcW w:w="3500" w:type="dxa"/>
            <w:vAlign w:val="bottom"/>
            <w:tcBorders>
              <w:bottom w:val="single" w:sz="8" w:color="125288"/>
            </w:tcBorders>
          </w:tcPr>
          <w:p>
            <w:pPr>
              <w:ind w:left="40"/>
              <w:spacing w:after="0"/>
              <w:rPr>
                <w:sz w:val="20"/>
                <w:szCs w:val="20"/>
                <w:color w:val="auto"/>
              </w:rPr>
            </w:pPr>
            <w:r>
              <w:rPr>
                <w:rFonts w:ascii="Arial" w:cs="Arial" w:eastAsia="Arial" w:hAnsi="Arial"/>
                <w:sz w:val="17"/>
                <w:szCs w:val="17"/>
                <w:b w:val="1"/>
                <w:bCs w:val="1"/>
                <w:color w:val="auto"/>
              </w:rPr>
              <w:t>Reveta Bowers</w:t>
            </w:r>
          </w:p>
        </w:tc>
        <w:tc>
          <w:tcPr>
            <w:tcW w:w="1960" w:type="dxa"/>
            <w:vAlign w:val="bottom"/>
            <w:tcBorders>
              <w:bottom w:val="single" w:sz="8" w:color="125288"/>
            </w:tcBorders>
          </w:tcPr>
          <w:p>
            <w:pPr>
              <w:jc w:val="right"/>
              <w:ind w:right="158"/>
              <w:spacing w:after="0"/>
              <w:rPr>
                <w:sz w:val="20"/>
                <w:szCs w:val="20"/>
                <w:color w:val="auto"/>
              </w:rPr>
            </w:pPr>
            <w:r>
              <w:rPr>
                <w:rFonts w:ascii="Arial" w:cs="Arial" w:eastAsia="Arial" w:hAnsi="Arial"/>
                <w:sz w:val="17"/>
                <w:szCs w:val="17"/>
                <w:color w:val="auto"/>
              </w:rPr>
              <w:t>15,955</w:t>
            </w:r>
            <w:r>
              <w:rPr>
                <w:rFonts w:ascii="Arial" w:cs="Arial" w:eastAsia="Arial" w:hAnsi="Arial"/>
                <w:sz w:val="25"/>
                <w:szCs w:val="25"/>
                <w:color w:val="auto"/>
                <w:vertAlign w:val="superscript"/>
              </w:rPr>
              <w:t>(4)</w:t>
            </w:r>
          </w:p>
        </w:tc>
        <w:tc>
          <w:tcPr>
            <w:tcW w:w="2300" w:type="dxa"/>
            <w:vAlign w:val="bottom"/>
            <w:tcBorders>
              <w:bottom w:val="single" w:sz="8" w:color="125288"/>
            </w:tcBorders>
          </w:tcPr>
          <w:p>
            <w:pPr>
              <w:jc w:val="right"/>
              <w:ind w:right="198"/>
              <w:spacing w:after="0"/>
              <w:rPr>
                <w:sz w:val="20"/>
                <w:szCs w:val="20"/>
                <w:color w:val="auto"/>
              </w:rPr>
            </w:pPr>
            <w:r>
              <w:rPr>
                <w:rFonts w:ascii="Arial" w:cs="Arial" w:eastAsia="Arial" w:hAnsi="Arial"/>
                <w:sz w:val="17"/>
                <w:szCs w:val="17"/>
                <w:color w:val="auto"/>
              </w:rPr>
              <w:t>670</w:t>
            </w:r>
            <w:r>
              <w:rPr>
                <w:rFonts w:ascii="Arial" w:cs="Arial" w:eastAsia="Arial" w:hAnsi="Arial"/>
                <w:sz w:val="25"/>
                <w:szCs w:val="25"/>
                <w:color w:val="auto"/>
                <w:vertAlign w:val="superscript"/>
              </w:rPr>
              <w:t>(5)</w:t>
            </w:r>
          </w:p>
        </w:tc>
        <w:tc>
          <w:tcPr>
            <w:tcW w:w="2120" w:type="dxa"/>
            <w:vAlign w:val="bottom"/>
            <w:tcBorders>
              <w:bottom w:val="single" w:sz="8" w:color="125288"/>
            </w:tcBorders>
          </w:tcPr>
          <w:p>
            <w:pPr>
              <w:jc w:val="right"/>
              <w:ind w:right="278"/>
              <w:spacing w:after="0"/>
              <w:rPr>
                <w:sz w:val="20"/>
                <w:szCs w:val="20"/>
                <w:color w:val="auto"/>
              </w:rPr>
            </w:pPr>
            <w:r>
              <w:rPr>
                <w:rFonts w:ascii="Arial" w:cs="Arial" w:eastAsia="Arial" w:hAnsi="Arial"/>
                <w:sz w:val="17"/>
                <w:szCs w:val="17"/>
                <w:color w:val="auto"/>
              </w:rPr>
              <w:t>16,625</w:t>
            </w:r>
          </w:p>
        </w:tc>
        <w:tc>
          <w:tcPr>
            <w:tcW w:w="1380" w:type="dxa"/>
            <w:vAlign w:val="bottom"/>
            <w:tcBorders>
              <w:bottom w:val="single" w:sz="8" w:color="125288"/>
            </w:tcBorders>
          </w:tcPr>
          <w:p>
            <w:pPr>
              <w:jc w:val="right"/>
              <w:spacing w:after="0"/>
              <w:rPr>
                <w:sz w:val="20"/>
                <w:szCs w:val="20"/>
                <w:color w:val="auto"/>
              </w:rPr>
            </w:pPr>
            <w:r>
              <w:rPr>
                <w:rFonts w:ascii="Arial" w:cs="Arial" w:eastAsia="Arial" w:hAnsi="Arial"/>
                <w:sz w:val="17"/>
                <w:szCs w:val="17"/>
                <w:color w:val="auto"/>
              </w:rPr>
              <w:t>*</w:t>
            </w:r>
          </w:p>
        </w:tc>
      </w:tr>
      <w:tr>
        <w:trPr>
          <w:trHeight w:val="349"/>
        </w:trPr>
        <w:tc>
          <w:tcPr>
            <w:tcW w:w="3500" w:type="dxa"/>
            <w:vAlign w:val="bottom"/>
            <w:tcBorders>
              <w:bottom w:val="single" w:sz="8" w:color="125288"/>
            </w:tcBorders>
          </w:tcPr>
          <w:p>
            <w:pPr>
              <w:ind w:left="40"/>
              <w:spacing w:after="0"/>
              <w:rPr>
                <w:sz w:val="20"/>
                <w:szCs w:val="20"/>
                <w:color w:val="auto"/>
              </w:rPr>
            </w:pPr>
            <w:r>
              <w:rPr>
                <w:rFonts w:ascii="Arial" w:cs="Arial" w:eastAsia="Arial" w:hAnsi="Arial"/>
                <w:sz w:val="17"/>
                <w:szCs w:val="17"/>
                <w:b w:val="1"/>
                <w:bCs w:val="1"/>
                <w:color w:val="auto"/>
              </w:rPr>
              <w:t>Brian Bulatao</w:t>
            </w:r>
          </w:p>
        </w:tc>
        <w:tc>
          <w:tcPr>
            <w:tcW w:w="1960" w:type="dxa"/>
            <w:vAlign w:val="bottom"/>
            <w:tcBorders>
              <w:bottom w:val="single" w:sz="8" w:color="125288"/>
            </w:tcBorders>
          </w:tcPr>
          <w:p>
            <w:pPr>
              <w:jc w:val="right"/>
              <w:ind w:right="298"/>
              <w:spacing w:after="0"/>
              <w:rPr>
                <w:sz w:val="20"/>
                <w:szCs w:val="20"/>
                <w:color w:val="auto"/>
              </w:rPr>
            </w:pPr>
            <w:r>
              <w:rPr>
                <w:rFonts w:ascii="Arial" w:cs="Arial" w:eastAsia="Arial" w:hAnsi="Arial"/>
                <w:sz w:val="17"/>
                <w:szCs w:val="17"/>
                <w:color w:val="auto"/>
              </w:rPr>
              <w:t>—</w:t>
            </w:r>
          </w:p>
        </w:tc>
        <w:tc>
          <w:tcPr>
            <w:tcW w:w="2300" w:type="dxa"/>
            <w:vAlign w:val="bottom"/>
            <w:tcBorders>
              <w:bottom w:val="single" w:sz="8" w:color="125288"/>
            </w:tcBorders>
          </w:tcPr>
          <w:p>
            <w:pPr>
              <w:jc w:val="right"/>
              <w:ind w:right="198"/>
              <w:spacing w:after="0"/>
              <w:rPr>
                <w:sz w:val="20"/>
                <w:szCs w:val="20"/>
                <w:color w:val="auto"/>
              </w:rPr>
            </w:pPr>
            <w:r>
              <w:rPr>
                <w:rFonts w:ascii="Arial" w:cs="Arial" w:eastAsia="Arial" w:hAnsi="Arial"/>
                <w:sz w:val="17"/>
                <w:szCs w:val="17"/>
                <w:color w:val="auto"/>
              </w:rPr>
              <w:t>15,747</w:t>
            </w:r>
            <w:r>
              <w:rPr>
                <w:rFonts w:ascii="Arial" w:cs="Arial" w:eastAsia="Arial" w:hAnsi="Arial"/>
                <w:sz w:val="25"/>
                <w:szCs w:val="25"/>
                <w:color w:val="auto"/>
                <w:vertAlign w:val="superscript"/>
              </w:rPr>
              <w:t>(3)</w:t>
            </w:r>
          </w:p>
        </w:tc>
        <w:tc>
          <w:tcPr>
            <w:tcW w:w="2120" w:type="dxa"/>
            <w:vAlign w:val="bottom"/>
            <w:tcBorders>
              <w:bottom w:val="single" w:sz="8" w:color="125288"/>
            </w:tcBorders>
          </w:tcPr>
          <w:p>
            <w:pPr>
              <w:jc w:val="right"/>
              <w:ind w:right="278"/>
              <w:spacing w:after="0"/>
              <w:rPr>
                <w:sz w:val="20"/>
                <w:szCs w:val="20"/>
                <w:color w:val="auto"/>
              </w:rPr>
            </w:pPr>
            <w:r>
              <w:rPr>
                <w:rFonts w:ascii="Arial" w:cs="Arial" w:eastAsia="Arial" w:hAnsi="Arial"/>
                <w:sz w:val="17"/>
                <w:szCs w:val="17"/>
                <w:color w:val="auto"/>
              </w:rPr>
              <w:t>15,747</w:t>
            </w:r>
          </w:p>
        </w:tc>
        <w:tc>
          <w:tcPr>
            <w:tcW w:w="1380" w:type="dxa"/>
            <w:vAlign w:val="bottom"/>
            <w:tcBorders>
              <w:bottom w:val="single" w:sz="8" w:color="125288"/>
            </w:tcBorders>
          </w:tcPr>
          <w:p>
            <w:pPr>
              <w:jc w:val="right"/>
              <w:spacing w:after="0"/>
              <w:rPr>
                <w:sz w:val="20"/>
                <w:szCs w:val="20"/>
                <w:color w:val="auto"/>
              </w:rPr>
            </w:pPr>
            <w:r>
              <w:rPr>
                <w:rFonts w:ascii="Arial" w:cs="Arial" w:eastAsia="Arial" w:hAnsi="Arial"/>
                <w:sz w:val="17"/>
                <w:szCs w:val="17"/>
                <w:color w:val="auto"/>
              </w:rPr>
              <w:t>*</w:t>
            </w:r>
          </w:p>
        </w:tc>
      </w:tr>
      <w:tr>
        <w:trPr>
          <w:trHeight w:val="349"/>
        </w:trPr>
        <w:tc>
          <w:tcPr>
            <w:tcW w:w="3500" w:type="dxa"/>
            <w:vAlign w:val="bottom"/>
            <w:tcBorders>
              <w:bottom w:val="single" w:sz="8" w:color="125288"/>
            </w:tcBorders>
          </w:tcPr>
          <w:p>
            <w:pPr>
              <w:ind w:left="40"/>
              <w:spacing w:after="0"/>
              <w:rPr>
                <w:sz w:val="20"/>
                <w:szCs w:val="20"/>
                <w:color w:val="auto"/>
              </w:rPr>
            </w:pPr>
            <w:r>
              <w:rPr>
                <w:rFonts w:ascii="Arial" w:cs="Arial" w:eastAsia="Arial" w:hAnsi="Arial"/>
                <w:sz w:val="17"/>
                <w:szCs w:val="17"/>
                <w:b w:val="1"/>
                <w:bCs w:val="1"/>
                <w:color w:val="auto"/>
              </w:rPr>
              <w:t>Robert Corti</w:t>
            </w:r>
          </w:p>
        </w:tc>
        <w:tc>
          <w:tcPr>
            <w:tcW w:w="1960" w:type="dxa"/>
            <w:vAlign w:val="bottom"/>
            <w:tcBorders>
              <w:bottom w:val="single" w:sz="8" w:color="125288"/>
            </w:tcBorders>
          </w:tcPr>
          <w:p>
            <w:pPr>
              <w:jc w:val="right"/>
              <w:ind w:right="158"/>
              <w:spacing w:after="0"/>
              <w:rPr>
                <w:sz w:val="20"/>
                <w:szCs w:val="20"/>
                <w:color w:val="auto"/>
              </w:rPr>
            </w:pPr>
            <w:r>
              <w:rPr>
                <w:rFonts w:ascii="Arial" w:cs="Arial" w:eastAsia="Arial" w:hAnsi="Arial"/>
                <w:sz w:val="17"/>
                <w:szCs w:val="17"/>
                <w:color w:val="auto"/>
              </w:rPr>
              <w:t>121,687</w:t>
            </w:r>
            <w:r>
              <w:rPr>
                <w:rFonts w:ascii="Arial" w:cs="Arial" w:eastAsia="Arial" w:hAnsi="Arial"/>
                <w:sz w:val="25"/>
                <w:szCs w:val="25"/>
                <w:color w:val="auto"/>
                <w:vertAlign w:val="superscript"/>
              </w:rPr>
              <w:t>(6)</w:t>
            </w:r>
          </w:p>
        </w:tc>
        <w:tc>
          <w:tcPr>
            <w:tcW w:w="2300" w:type="dxa"/>
            <w:vAlign w:val="bottom"/>
            <w:tcBorders>
              <w:bottom w:val="single" w:sz="8" w:color="125288"/>
            </w:tcBorders>
          </w:tcPr>
          <w:p>
            <w:pPr>
              <w:jc w:val="right"/>
              <w:ind w:right="198"/>
              <w:spacing w:after="0"/>
              <w:rPr>
                <w:sz w:val="20"/>
                <w:szCs w:val="20"/>
                <w:color w:val="auto"/>
              </w:rPr>
            </w:pPr>
            <w:r>
              <w:rPr>
                <w:rFonts w:ascii="Arial" w:cs="Arial" w:eastAsia="Arial" w:hAnsi="Arial"/>
                <w:sz w:val="17"/>
                <w:szCs w:val="17"/>
                <w:color w:val="auto"/>
              </w:rPr>
              <w:t>670</w:t>
            </w:r>
            <w:r>
              <w:rPr>
                <w:rFonts w:ascii="Arial" w:cs="Arial" w:eastAsia="Arial" w:hAnsi="Arial"/>
                <w:sz w:val="25"/>
                <w:szCs w:val="25"/>
                <w:color w:val="auto"/>
                <w:vertAlign w:val="superscript"/>
              </w:rPr>
              <w:t>(5)</w:t>
            </w:r>
          </w:p>
        </w:tc>
        <w:tc>
          <w:tcPr>
            <w:tcW w:w="2120" w:type="dxa"/>
            <w:vAlign w:val="bottom"/>
            <w:tcBorders>
              <w:bottom w:val="single" w:sz="8" w:color="125288"/>
            </w:tcBorders>
          </w:tcPr>
          <w:p>
            <w:pPr>
              <w:jc w:val="right"/>
              <w:ind w:right="278"/>
              <w:spacing w:after="0"/>
              <w:rPr>
                <w:sz w:val="20"/>
                <w:szCs w:val="20"/>
                <w:color w:val="auto"/>
              </w:rPr>
            </w:pPr>
            <w:r>
              <w:rPr>
                <w:rFonts w:ascii="Arial" w:cs="Arial" w:eastAsia="Arial" w:hAnsi="Arial"/>
                <w:sz w:val="17"/>
                <w:szCs w:val="17"/>
                <w:color w:val="auto"/>
              </w:rPr>
              <w:t>122,357</w:t>
            </w:r>
          </w:p>
        </w:tc>
        <w:tc>
          <w:tcPr>
            <w:tcW w:w="1380" w:type="dxa"/>
            <w:vAlign w:val="bottom"/>
            <w:tcBorders>
              <w:bottom w:val="single" w:sz="8" w:color="125288"/>
            </w:tcBorders>
          </w:tcPr>
          <w:p>
            <w:pPr>
              <w:jc w:val="right"/>
              <w:spacing w:after="0"/>
              <w:rPr>
                <w:sz w:val="20"/>
                <w:szCs w:val="20"/>
                <w:color w:val="auto"/>
              </w:rPr>
            </w:pPr>
            <w:r>
              <w:rPr>
                <w:rFonts w:ascii="Arial" w:cs="Arial" w:eastAsia="Arial" w:hAnsi="Arial"/>
                <w:sz w:val="17"/>
                <w:szCs w:val="17"/>
                <w:color w:val="auto"/>
              </w:rPr>
              <w:t>*</w:t>
            </w:r>
          </w:p>
        </w:tc>
      </w:tr>
      <w:tr>
        <w:trPr>
          <w:trHeight w:val="270"/>
        </w:trPr>
        <w:tc>
          <w:tcPr>
            <w:tcW w:w="3500" w:type="dxa"/>
            <w:vAlign w:val="bottom"/>
          </w:tcPr>
          <w:p>
            <w:pPr>
              <w:ind w:left="40"/>
              <w:spacing w:after="0"/>
              <w:rPr>
                <w:sz w:val="20"/>
                <w:szCs w:val="20"/>
                <w:color w:val="auto"/>
              </w:rPr>
            </w:pPr>
            <w:r>
              <w:rPr>
                <w:rFonts w:ascii="Arial" w:cs="Arial" w:eastAsia="Arial" w:hAnsi="Arial"/>
                <w:sz w:val="17"/>
                <w:szCs w:val="17"/>
                <w:b w:val="1"/>
                <w:bCs w:val="1"/>
                <w:color w:val="auto"/>
              </w:rPr>
              <w:t>Kerry Carr</w:t>
            </w:r>
          </w:p>
        </w:tc>
        <w:tc>
          <w:tcPr>
            <w:tcW w:w="1960" w:type="dxa"/>
            <w:vAlign w:val="bottom"/>
          </w:tcPr>
          <w:p>
            <w:pPr>
              <w:jc w:val="right"/>
              <w:ind w:right="298"/>
              <w:spacing w:after="0"/>
              <w:rPr>
                <w:sz w:val="20"/>
                <w:szCs w:val="20"/>
                <w:color w:val="auto"/>
              </w:rPr>
            </w:pPr>
            <w:r>
              <w:rPr>
                <w:rFonts w:ascii="Arial" w:cs="Arial" w:eastAsia="Arial" w:hAnsi="Arial"/>
                <w:sz w:val="17"/>
                <w:szCs w:val="17"/>
                <w:color w:val="auto"/>
              </w:rPr>
              <w:t>—</w:t>
            </w:r>
          </w:p>
        </w:tc>
        <w:tc>
          <w:tcPr>
            <w:tcW w:w="2300" w:type="dxa"/>
            <w:vAlign w:val="bottom"/>
          </w:tcPr>
          <w:p>
            <w:pPr>
              <w:jc w:val="right"/>
              <w:ind w:right="338"/>
              <w:spacing w:after="0"/>
              <w:rPr>
                <w:sz w:val="20"/>
                <w:szCs w:val="20"/>
                <w:color w:val="auto"/>
              </w:rPr>
            </w:pPr>
            <w:r>
              <w:rPr>
                <w:rFonts w:ascii="Arial" w:cs="Arial" w:eastAsia="Arial" w:hAnsi="Arial"/>
                <w:sz w:val="17"/>
                <w:szCs w:val="17"/>
                <w:color w:val="auto"/>
              </w:rPr>
              <w:t>—</w:t>
            </w:r>
          </w:p>
        </w:tc>
        <w:tc>
          <w:tcPr>
            <w:tcW w:w="2120" w:type="dxa"/>
            <w:vAlign w:val="bottom"/>
          </w:tcPr>
          <w:p>
            <w:pPr>
              <w:jc w:val="right"/>
              <w:ind w:right="278"/>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81"/>
        </w:trPr>
        <w:tc>
          <w:tcPr>
            <w:tcW w:w="3500" w:type="dxa"/>
            <w:vAlign w:val="bottom"/>
            <w:tcBorders>
              <w:bottom w:val="single" w:sz="8" w:color="125288"/>
            </w:tcBorders>
          </w:tcPr>
          <w:p>
            <w:pPr>
              <w:spacing w:after="0"/>
              <w:rPr>
                <w:sz w:val="7"/>
                <w:szCs w:val="7"/>
                <w:color w:val="auto"/>
              </w:rPr>
            </w:pPr>
          </w:p>
        </w:tc>
        <w:tc>
          <w:tcPr>
            <w:tcW w:w="1960" w:type="dxa"/>
            <w:vAlign w:val="bottom"/>
            <w:tcBorders>
              <w:bottom w:val="single" w:sz="8" w:color="125288"/>
            </w:tcBorders>
          </w:tcPr>
          <w:p>
            <w:pPr>
              <w:spacing w:after="0"/>
              <w:rPr>
                <w:sz w:val="7"/>
                <w:szCs w:val="7"/>
                <w:color w:val="auto"/>
              </w:rPr>
            </w:pPr>
          </w:p>
        </w:tc>
        <w:tc>
          <w:tcPr>
            <w:tcW w:w="2300" w:type="dxa"/>
            <w:vAlign w:val="bottom"/>
            <w:tcBorders>
              <w:bottom w:val="single" w:sz="8" w:color="125288"/>
            </w:tcBorders>
          </w:tcPr>
          <w:p>
            <w:pPr>
              <w:spacing w:after="0"/>
              <w:rPr>
                <w:sz w:val="7"/>
                <w:szCs w:val="7"/>
                <w:color w:val="auto"/>
              </w:rPr>
            </w:pPr>
          </w:p>
        </w:tc>
        <w:tc>
          <w:tcPr>
            <w:tcW w:w="2120" w:type="dxa"/>
            <w:vAlign w:val="bottom"/>
            <w:tcBorders>
              <w:bottom w:val="single" w:sz="8" w:color="125288"/>
            </w:tcBorders>
          </w:tcPr>
          <w:p>
            <w:pPr>
              <w:spacing w:after="0"/>
              <w:rPr>
                <w:sz w:val="7"/>
                <w:szCs w:val="7"/>
                <w:color w:val="auto"/>
              </w:rPr>
            </w:pPr>
          </w:p>
        </w:tc>
        <w:tc>
          <w:tcPr>
            <w:tcW w:w="1380" w:type="dxa"/>
            <w:vAlign w:val="bottom"/>
            <w:tcBorders>
              <w:bottom w:val="single" w:sz="8" w:color="125288"/>
            </w:tcBorders>
          </w:tcPr>
          <w:p>
            <w:pPr>
              <w:spacing w:after="0"/>
              <w:rPr>
                <w:sz w:val="7"/>
                <w:szCs w:val="7"/>
                <w:color w:val="auto"/>
              </w:rPr>
            </w:pPr>
          </w:p>
        </w:tc>
      </w:tr>
      <w:tr>
        <w:trPr>
          <w:trHeight w:val="268"/>
        </w:trPr>
        <w:tc>
          <w:tcPr>
            <w:tcW w:w="3500" w:type="dxa"/>
            <w:vAlign w:val="bottom"/>
          </w:tcPr>
          <w:p>
            <w:pPr>
              <w:ind w:left="40"/>
              <w:spacing w:after="0"/>
              <w:rPr>
                <w:sz w:val="20"/>
                <w:szCs w:val="20"/>
                <w:color w:val="auto"/>
              </w:rPr>
            </w:pPr>
            <w:r>
              <w:rPr>
                <w:rFonts w:ascii="Arial" w:cs="Arial" w:eastAsia="Arial" w:hAnsi="Arial"/>
                <w:sz w:val="17"/>
                <w:szCs w:val="17"/>
                <w:b w:val="1"/>
                <w:bCs w:val="1"/>
                <w:color w:val="auto"/>
              </w:rPr>
              <w:t>Grant Dixton</w:t>
            </w:r>
          </w:p>
        </w:tc>
        <w:tc>
          <w:tcPr>
            <w:tcW w:w="1960" w:type="dxa"/>
            <w:vAlign w:val="bottom"/>
          </w:tcPr>
          <w:p>
            <w:pPr>
              <w:jc w:val="right"/>
              <w:ind w:right="298"/>
              <w:spacing w:after="0"/>
              <w:rPr>
                <w:sz w:val="20"/>
                <w:szCs w:val="20"/>
                <w:color w:val="auto"/>
              </w:rPr>
            </w:pPr>
            <w:r>
              <w:rPr>
                <w:rFonts w:ascii="Arial" w:cs="Arial" w:eastAsia="Arial" w:hAnsi="Arial"/>
                <w:sz w:val="17"/>
                <w:szCs w:val="17"/>
                <w:color w:val="auto"/>
              </w:rPr>
              <w:t>—</w:t>
            </w:r>
          </w:p>
        </w:tc>
        <w:tc>
          <w:tcPr>
            <w:tcW w:w="2300" w:type="dxa"/>
            <w:vAlign w:val="bottom"/>
          </w:tcPr>
          <w:p>
            <w:pPr>
              <w:jc w:val="right"/>
              <w:ind w:right="338"/>
              <w:spacing w:after="0"/>
              <w:rPr>
                <w:sz w:val="20"/>
                <w:szCs w:val="20"/>
                <w:color w:val="auto"/>
              </w:rPr>
            </w:pPr>
            <w:r>
              <w:rPr>
                <w:rFonts w:ascii="Arial" w:cs="Arial" w:eastAsia="Arial" w:hAnsi="Arial"/>
                <w:sz w:val="17"/>
                <w:szCs w:val="17"/>
                <w:color w:val="auto"/>
              </w:rPr>
              <w:t>—</w:t>
            </w:r>
          </w:p>
        </w:tc>
        <w:tc>
          <w:tcPr>
            <w:tcW w:w="2120" w:type="dxa"/>
            <w:vAlign w:val="bottom"/>
          </w:tcPr>
          <w:p>
            <w:pPr>
              <w:jc w:val="right"/>
              <w:ind w:right="278"/>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81"/>
        </w:trPr>
        <w:tc>
          <w:tcPr>
            <w:tcW w:w="3500" w:type="dxa"/>
            <w:vAlign w:val="bottom"/>
            <w:tcBorders>
              <w:bottom w:val="single" w:sz="8" w:color="125288"/>
            </w:tcBorders>
          </w:tcPr>
          <w:p>
            <w:pPr>
              <w:spacing w:after="0"/>
              <w:rPr>
                <w:sz w:val="7"/>
                <w:szCs w:val="7"/>
                <w:color w:val="auto"/>
              </w:rPr>
            </w:pPr>
          </w:p>
        </w:tc>
        <w:tc>
          <w:tcPr>
            <w:tcW w:w="1960" w:type="dxa"/>
            <w:vAlign w:val="bottom"/>
            <w:tcBorders>
              <w:bottom w:val="single" w:sz="8" w:color="125288"/>
            </w:tcBorders>
          </w:tcPr>
          <w:p>
            <w:pPr>
              <w:spacing w:after="0"/>
              <w:rPr>
                <w:sz w:val="7"/>
                <w:szCs w:val="7"/>
                <w:color w:val="auto"/>
              </w:rPr>
            </w:pPr>
          </w:p>
        </w:tc>
        <w:tc>
          <w:tcPr>
            <w:tcW w:w="2300" w:type="dxa"/>
            <w:vAlign w:val="bottom"/>
            <w:tcBorders>
              <w:bottom w:val="single" w:sz="8" w:color="125288"/>
            </w:tcBorders>
          </w:tcPr>
          <w:p>
            <w:pPr>
              <w:spacing w:after="0"/>
              <w:rPr>
                <w:sz w:val="7"/>
                <w:szCs w:val="7"/>
                <w:color w:val="auto"/>
              </w:rPr>
            </w:pPr>
          </w:p>
        </w:tc>
        <w:tc>
          <w:tcPr>
            <w:tcW w:w="2120" w:type="dxa"/>
            <w:vAlign w:val="bottom"/>
            <w:tcBorders>
              <w:bottom w:val="single" w:sz="8" w:color="125288"/>
            </w:tcBorders>
          </w:tcPr>
          <w:p>
            <w:pPr>
              <w:spacing w:after="0"/>
              <w:rPr>
                <w:sz w:val="7"/>
                <w:szCs w:val="7"/>
                <w:color w:val="auto"/>
              </w:rPr>
            </w:pPr>
          </w:p>
        </w:tc>
        <w:tc>
          <w:tcPr>
            <w:tcW w:w="1380" w:type="dxa"/>
            <w:vAlign w:val="bottom"/>
            <w:tcBorders>
              <w:bottom w:val="single" w:sz="8" w:color="125288"/>
            </w:tcBorders>
          </w:tcPr>
          <w:p>
            <w:pPr>
              <w:spacing w:after="0"/>
              <w:rPr>
                <w:sz w:val="7"/>
                <w:szCs w:val="7"/>
                <w:color w:val="auto"/>
              </w:rPr>
            </w:pPr>
          </w:p>
        </w:tc>
      </w:tr>
      <w:tr>
        <w:trPr>
          <w:trHeight w:val="268"/>
        </w:trPr>
        <w:tc>
          <w:tcPr>
            <w:tcW w:w="3500" w:type="dxa"/>
            <w:vAlign w:val="bottom"/>
          </w:tcPr>
          <w:p>
            <w:pPr>
              <w:ind w:left="40"/>
              <w:spacing w:after="0"/>
              <w:rPr>
                <w:sz w:val="20"/>
                <w:szCs w:val="20"/>
                <w:color w:val="auto"/>
              </w:rPr>
            </w:pPr>
            <w:r>
              <w:rPr>
                <w:rFonts w:ascii="Arial" w:cs="Arial" w:eastAsia="Arial" w:hAnsi="Arial"/>
                <w:sz w:val="17"/>
                <w:szCs w:val="17"/>
                <w:b w:val="1"/>
                <w:bCs w:val="1"/>
                <w:color w:val="auto"/>
              </w:rPr>
              <w:t>Dennis Durkin</w:t>
            </w:r>
          </w:p>
        </w:tc>
        <w:tc>
          <w:tcPr>
            <w:tcW w:w="1960" w:type="dxa"/>
            <w:vAlign w:val="bottom"/>
          </w:tcPr>
          <w:p>
            <w:pPr>
              <w:jc w:val="right"/>
              <w:ind w:right="298"/>
              <w:spacing w:after="0"/>
              <w:rPr>
                <w:sz w:val="20"/>
                <w:szCs w:val="20"/>
                <w:color w:val="auto"/>
              </w:rPr>
            </w:pPr>
            <w:r>
              <w:rPr>
                <w:rFonts w:ascii="Arial" w:cs="Arial" w:eastAsia="Arial" w:hAnsi="Arial"/>
                <w:sz w:val="17"/>
                <w:szCs w:val="17"/>
                <w:color w:val="auto"/>
              </w:rPr>
              <w:t>157,559</w:t>
            </w:r>
          </w:p>
        </w:tc>
        <w:tc>
          <w:tcPr>
            <w:tcW w:w="2300" w:type="dxa"/>
            <w:vAlign w:val="bottom"/>
          </w:tcPr>
          <w:p>
            <w:pPr>
              <w:jc w:val="right"/>
              <w:ind w:right="338"/>
              <w:spacing w:after="0"/>
              <w:rPr>
                <w:sz w:val="20"/>
                <w:szCs w:val="20"/>
                <w:color w:val="auto"/>
              </w:rPr>
            </w:pPr>
            <w:r>
              <w:rPr>
                <w:rFonts w:ascii="Arial" w:cs="Arial" w:eastAsia="Arial" w:hAnsi="Arial"/>
                <w:sz w:val="17"/>
                <w:szCs w:val="17"/>
                <w:color w:val="auto"/>
              </w:rPr>
              <w:t>—</w:t>
            </w:r>
          </w:p>
        </w:tc>
        <w:tc>
          <w:tcPr>
            <w:tcW w:w="2120" w:type="dxa"/>
            <w:vAlign w:val="bottom"/>
          </w:tcPr>
          <w:p>
            <w:pPr>
              <w:jc w:val="right"/>
              <w:ind w:right="278"/>
              <w:spacing w:after="0"/>
              <w:rPr>
                <w:sz w:val="20"/>
                <w:szCs w:val="20"/>
                <w:color w:val="auto"/>
              </w:rPr>
            </w:pPr>
            <w:r>
              <w:rPr>
                <w:rFonts w:ascii="Arial" w:cs="Arial" w:eastAsia="Arial" w:hAnsi="Arial"/>
                <w:sz w:val="17"/>
                <w:szCs w:val="17"/>
                <w:color w:val="auto"/>
              </w:rPr>
              <w:t>157,559</w:t>
            </w: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81"/>
        </w:trPr>
        <w:tc>
          <w:tcPr>
            <w:tcW w:w="3500" w:type="dxa"/>
            <w:vAlign w:val="bottom"/>
            <w:tcBorders>
              <w:bottom w:val="single" w:sz="8" w:color="125288"/>
            </w:tcBorders>
          </w:tcPr>
          <w:p>
            <w:pPr>
              <w:spacing w:after="0"/>
              <w:rPr>
                <w:sz w:val="7"/>
                <w:szCs w:val="7"/>
                <w:color w:val="auto"/>
              </w:rPr>
            </w:pPr>
          </w:p>
        </w:tc>
        <w:tc>
          <w:tcPr>
            <w:tcW w:w="1960" w:type="dxa"/>
            <w:vAlign w:val="bottom"/>
            <w:tcBorders>
              <w:bottom w:val="single" w:sz="8" w:color="125288"/>
            </w:tcBorders>
          </w:tcPr>
          <w:p>
            <w:pPr>
              <w:spacing w:after="0"/>
              <w:rPr>
                <w:sz w:val="7"/>
                <w:szCs w:val="7"/>
                <w:color w:val="auto"/>
              </w:rPr>
            </w:pPr>
          </w:p>
        </w:tc>
        <w:tc>
          <w:tcPr>
            <w:tcW w:w="2300" w:type="dxa"/>
            <w:vAlign w:val="bottom"/>
            <w:tcBorders>
              <w:bottom w:val="single" w:sz="8" w:color="125288"/>
            </w:tcBorders>
          </w:tcPr>
          <w:p>
            <w:pPr>
              <w:spacing w:after="0"/>
              <w:rPr>
                <w:sz w:val="7"/>
                <w:szCs w:val="7"/>
                <w:color w:val="auto"/>
              </w:rPr>
            </w:pPr>
          </w:p>
        </w:tc>
        <w:tc>
          <w:tcPr>
            <w:tcW w:w="2120" w:type="dxa"/>
            <w:vAlign w:val="bottom"/>
            <w:tcBorders>
              <w:bottom w:val="single" w:sz="8" w:color="125288"/>
            </w:tcBorders>
          </w:tcPr>
          <w:p>
            <w:pPr>
              <w:spacing w:after="0"/>
              <w:rPr>
                <w:sz w:val="7"/>
                <w:szCs w:val="7"/>
                <w:color w:val="auto"/>
              </w:rPr>
            </w:pPr>
          </w:p>
        </w:tc>
        <w:tc>
          <w:tcPr>
            <w:tcW w:w="1380" w:type="dxa"/>
            <w:vAlign w:val="bottom"/>
            <w:tcBorders>
              <w:bottom w:val="single" w:sz="8" w:color="125288"/>
            </w:tcBorders>
          </w:tcPr>
          <w:p>
            <w:pPr>
              <w:spacing w:after="0"/>
              <w:rPr>
                <w:sz w:val="7"/>
                <w:szCs w:val="7"/>
                <w:color w:val="auto"/>
              </w:rPr>
            </w:pPr>
          </w:p>
        </w:tc>
      </w:tr>
      <w:tr>
        <w:trPr>
          <w:trHeight w:val="349"/>
        </w:trPr>
        <w:tc>
          <w:tcPr>
            <w:tcW w:w="3500" w:type="dxa"/>
            <w:vAlign w:val="bottom"/>
            <w:tcBorders>
              <w:bottom w:val="single" w:sz="8" w:color="125288"/>
            </w:tcBorders>
          </w:tcPr>
          <w:p>
            <w:pPr>
              <w:ind w:left="40"/>
              <w:spacing w:after="0"/>
              <w:rPr>
                <w:sz w:val="20"/>
                <w:szCs w:val="20"/>
                <w:color w:val="auto"/>
              </w:rPr>
            </w:pPr>
            <w:r>
              <w:rPr>
                <w:rFonts w:ascii="Arial" w:cs="Arial" w:eastAsia="Arial" w:hAnsi="Arial"/>
                <w:sz w:val="17"/>
                <w:szCs w:val="17"/>
                <w:b w:val="1"/>
                <w:bCs w:val="1"/>
                <w:color w:val="auto"/>
              </w:rPr>
              <w:t>Hendrik Hartong III</w:t>
            </w:r>
          </w:p>
        </w:tc>
        <w:tc>
          <w:tcPr>
            <w:tcW w:w="1960" w:type="dxa"/>
            <w:vAlign w:val="bottom"/>
            <w:tcBorders>
              <w:bottom w:val="single" w:sz="8" w:color="125288"/>
            </w:tcBorders>
          </w:tcPr>
          <w:p>
            <w:pPr>
              <w:jc w:val="right"/>
              <w:ind w:right="158"/>
              <w:spacing w:after="0"/>
              <w:rPr>
                <w:sz w:val="20"/>
                <w:szCs w:val="20"/>
                <w:color w:val="auto"/>
              </w:rPr>
            </w:pPr>
            <w:r>
              <w:rPr>
                <w:rFonts w:ascii="Arial" w:cs="Arial" w:eastAsia="Arial" w:hAnsi="Arial"/>
                <w:sz w:val="17"/>
                <w:szCs w:val="17"/>
                <w:color w:val="auto"/>
              </w:rPr>
              <w:t>39,064</w:t>
            </w:r>
            <w:r>
              <w:rPr>
                <w:rFonts w:ascii="Arial" w:cs="Arial" w:eastAsia="Arial" w:hAnsi="Arial"/>
                <w:sz w:val="25"/>
                <w:szCs w:val="25"/>
                <w:color w:val="auto"/>
                <w:vertAlign w:val="superscript"/>
              </w:rPr>
              <w:t>(7)</w:t>
            </w:r>
          </w:p>
        </w:tc>
        <w:tc>
          <w:tcPr>
            <w:tcW w:w="2300" w:type="dxa"/>
            <w:vAlign w:val="bottom"/>
            <w:tcBorders>
              <w:bottom w:val="single" w:sz="8" w:color="125288"/>
            </w:tcBorders>
          </w:tcPr>
          <w:p>
            <w:pPr>
              <w:jc w:val="right"/>
              <w:ind w:right="198"/>
              <w:spacing w:after="0"/>
              <w:rPr>
                <w:sz w:val="20"/>
                <w:szCs w:val="20"/>
                <w:color w:val="auto"/>
              </w:rPr>
            </w:pPr>
            <w:r>
              <w:rPr>
                <w:rFonts w:ascii="Arial" w:cs="Arial" w:eastAsia="Arial" w:hAnsi="Arial"/>
                <w:sz w:val="17"/>
                <w:szCs w:val="17"/>
                <w:color w:val="auto"/>
              </w:rPr>
              <w:t>670</w:t>
            </w:r>
            <w:r>
              <w:rPr>
                <w:rFonts w:ascii="Arial" w:cs="Arial" w:eastAsia="Arial" w:hAnsi="Arial"/>
                <w:sz w:val="25"/>
                <w:szCs w:val="25"/>
                <w:color w:val="auto"/>
                <w:vertAlign w:val="superscript"/>
              </w:rPr>
              <w:t>(5)</w:t>
            </w:r>
          </w:p>
        </w:tc>
        <w:tc>
          <w:tcPr>
            <w:tcW w:w="2120" w:type="dxa"/>
            <w:vAlign w:val="bottom"/>
            <w:tcBorders>
              <w:bottom w:val="single" w:sz="8" w:color="125288"/>
            </w:tcBorders>
          </w:tcPr>
          <w:p>
            <w:pPr>
              <w:jc w:val="right"/>
              <w:ind w:right="278"/>
              <w:spacing w:after="0"/>
              <w:rPr>
                <w:sz w:val="20"/>
                <w:szCs w:val="20"/>
                <w:color w:val="auto"/>
              </w:rPr>
            </w:pPr>
            <w:r>
              <w:rPr>
                <w:rFonts w:ascii="Arial" w:cs="Arial" w:eastAsia="Arial" w:hAnsi="Arial"/>
                <w:sz w:val="17"/>
                <w:szCs w:val="17"/>
                <w:color w:val="auto"/>
              </w:rPr>
              <w:t>39,734</w:t>
            </w:r>
          </w:p>
        </w:tc>
        <w:tc>
          <w:tcPr>
            <w:tcW w:w="1380" w:type="dxa"/>
            <w:vAlign w:val="bottom"/>
            <w:tcBorders>
              <w:bottom w:val="single" w:sz="8" w:color="125288"/>
            </w:tcBorders>
          </w:tcPr>
          <w:p>
            <w:pPr>
              <w:jc w:val="right"/>
              <w:spacing w:after="0"/>
              <w:rPr>
                <w:sz w:val="20"/>
                <w:szCs w:val="20"/>
                <w:color w:val="auto"/>
              </w:rPr>
            </w:pPr>
            <w:r>
              <w:rPr>
                <w:rFonts w:ascii="Arial" w:cs="Arial" w:eastAsia="Arial" w:hAnsi="Arial"/>
                <w:sz w:val="17"/>
                <w:szCs w:val="17"/>
                <w:color w:val="auto"/>
              </w:rPr>
              <w:t>*</w:t>
            </w:r>
          </w:p>
        </w:tc>
      </w:tr>
      <w:tr>
        <w:trPr>
          <w:trHeight w:val="347"/>
        </w:trPr>
        <w:tc>
          <w:tcPr>
            <w:tcW w:w="3500" w:type="dxa"/>
            <w:vAlign w:val="bottom"/>
            <w:tcBorders>
              <w:bottom w:val="single" w:sz="8" w:color="125288"/>
            </w:tcBorders>
          </w:tcPr>
          <w:p>
            <w:pPr>
              <w:ind w:left="40"/>
              <w:spacing w:after="0"/>
              <w:rPr>
                <w:sz w:val="20"/>
                <w:szCs w:val="20"/>
                <w:color w:val="auto"/>
              </w:rPr>
            </w:pPr>
            <w:r>
              <w:rPr>
                <w:rFonts w:ascii="Arial" w:cs="Arial" w:eastAsia="Arial" w:hAnsi="Arial"/>
                <w:sz w:val="17"/>
                <w:szCs w:val="17"/>
                <w:b w:val="1"/>
                <w:bCs w:val="1"/>
                <w:color w:val="auto"/>
              </w:rPr>
              <w:t>Brian Kelly</w:t>
            </w:r>
          </w:p>
        </w:tc>
        <w:tc>
          <w:tcPr>
            <w:tcW w:w="1960" w:type="dxa"/>
            <w:vAlign w:val="bottom"/>
            <w:tcBorders>
              <w:bottom w:val="single" w:sz="8" w:color="125288"/>
            </w:tcBorders>
          </w:tcPr>
          <w:p>
            <w:pPr>
              <w:jc w:val="right"/>
              <w:ind w:right="158"/>
              <w:spacing w:after="0"/>
              <w:rPr>
                <w:sz w:val="20"/>
                <w:szCs w:val="20"/>
                <w:color w:val="auto"/>
              </w:rPr>
            </w:pPr>
            <w:r>
              <w:rPr>
                <w:rFonts w:ascii="Arial" w:cs="Arial" w:eastAsia="Arial" w:hAnsi="Arial"/>
                <w:sz w:val="17"/>
                <w:szCs w:val="17"/>
                <w:color w:val="auto"/>
              </w:rPr>
              <w:t>1,156,091</w:t>
            </w:r>
            <w:r>
              <w:rPr>
                <w:rFonts w:ascii="Arial" w:cs="Arial" w:eastAsia="Arial" w:hAnsi="Arial"/>
                <w:sz w:val="25"/>
                <w:szCs w:val="25"/>
                <w:color w:val="auto"/>
                <w:vertAlign w:val="superscript"/>
              </w:rPr>
              <w:t>(8)</w:t>
            </w:r>
          </w:p>
        </w:tc>
        <w:tc>
          <w:tcPr>
            <w:tcW w:w="2300" w:type="dxa"/>
            <w:vAlign w:val="bottom"/>
            <w:tcBorders>
              <w:bottom w:val="single" w:sz="8" w:color="125288"/>
            </w:tcBorders>
          </w:tcPr>
          <w:p>
            <w:pPr>
              <w:jc w:val="right"/>
              <w:ind w:right="198"/>
              <w:spacing w:after="0"/>
              <w:rPr>
                <w:sz w:val="20"/>
                <w:szCs w:val="20"/>
                <w:color w:val="auto"/>
              </w:rPr>
            </w:pPr>
            <w:r>
              <w:rPr>
                <w:rFonts w:ascii="Arial" w:cs="Arial" w:eastAsia="Arial" w:hAnsi="Arial"/>
                <w:sz w:val="17"/>
                <w:szCs w:val="17"/>
                <w:color w:val="auto"/>
              </w:rPr>
              <w:t>81,346</w:t>
            </w:r>
            <w:r>
              <w:rPr>
                <w:rFonts w:ascii="Arial" w:cs="Arial" w:eastAsia="Arial" w:hAnsi="Arial"/>
                <w:sz w:val="25"/>
                <w:szCs w:val="25"/>
                <w:color w:val="auto"/>
                <w:vertAlign w:val="superscript"/>
              </w:rPr>
              <w:t>(9)</w:t>
            </w:r>
          </w:p>
        </w:tc>
        <w:tc>
          <w:tcPr>
            <w:tcW w:w="2120" w:type="dxa"/>
            <w:vAlign w:val="bottom"/>
            <w:tcBorders>
              <w:bottom w:val="single" w:sz="8" w:color="125288"/>
            </w:tcBorders>
          </w:tcPr>
          <w:p>
            <w:pPr>
              <w:jc w:val="right"/>
              <w:ind w:right="278"/>
              <w:spacing w:after="0"/>
              <w:rPr>
                <w:sz w:val="20"/>
                <w:szCs w:val="20"/>
                <w:color w:val="auto"/>
              </w:rPr>
            </w:pPr>
            <w:r>
              <w:rPr>
                <w:rFonts w:ascii="Arial" w:cs="Arial" w:eastAsia="Arial" w:hAnsi="Arial"/>
                <w:sz w:val="17"/>
                <w:szCs w:val="17"/>
                <w:color w:val="auto"/>
              </w:rPr>
              <w:t>1,237,437</w:t>
            </w:r>
          </w:p>
        </w:tc>
        <w:tc>
          <w:tcPr>
            <w:tcW w:w="1380" w:type="dxa"/>
            <w:vAlign w:val="bottom"/>
            <w:tcBorders>
              <w:bottom w:val="single" w:sz="8" w:color="125288"/>
            </w:tcBorders>
          </w:tcPr>
          <w:p>
            <w:pPr>
              <w:jc w:val="right"/>
              <w:spacing w:after="0"/>
              <w:rPr>
                <w:sz w:val="20"/>
                <w:szCs w:val="20"/>
                <w:color w:val="auto"/>
              </w:rPr>
            </w:pPr>
            <w:r>
              <w:rPr>
                <w:rFonts w:ascii="Arial" w:cs="Arial" w:eastAsia="Arial" w:hAnsi="Arial"/>
                <w:sz w:val="17"/>
                <w:szCs w:val="17"/>
                <w:color w:val="auto"/>
              </w:rPr>
              <w:t>*</w:t>
            </w:r>
          </w:p>
        </w:tc>
      </w:tr>
      <w:tr>
        <w:trPr>
          <w:trHeight w:val="349"/>
        </w:trPr>
        <w:tc>
          <w:tcPr>
            <w:tcW w:w="3500" w:type="dxa"/>
            <w:vAlign w:val="bottom"/>
            <w:tcBorders>
              <w:bottom w:val="single" w:sz="8" w:color="125288"/>
            </w:tcBorders>
          </w:tcPr>
          <w:p>
            <w:pPr>
              <w:ind w:left="40"/>
              <w:spacing w:after="0"/>
              <w:rPr>
                <w:sz w:val="20"/>
                <w:szCs w:val="20"/>
                <w:color w:val="auto"/>
              </w:rPr>
            </w:pPr>
            <w:r>
              <w:rPr>
                <w:rFonts w:ascii="Arial" w:cs="Arial" w:eastAsia="Arial" w:hAnsi="Arial"/>
                <w:sz w:val="17"/>
                <w:szCs w:val="17"/>
                <w:b w:val="1"/>
                <w:bCs w:val="1"/>
                <w:color w:val="auto"/>
              </w:rPr>
              <w:t>Robert Kotick</w:t>
            </w:r>
          </w:p>
        </w:tc>
        <w:tc>
          <w:tcPr>
            <w:tcW w:w="1960" w:type="dxa"/>
            <w:vAlign w:val="bottom"/>
            <w:tcBorders>
              <w:bottom w:val="single" w:sz="8" w:color="125288"/>
            </w:tcBorders>
          </w:tcPr>
          <w:p>
            <w:pPr>
              <w:jc w:val="right"/>
              <w:ind w:right="78"/>
              <w:spacing w:after="0"/>
              <w:rPr>
                <w:sz w:val="20"/>
                <w:szCs w:val="20"/>
                <w:color w:val="auto"/>
              </w:rPr>
            </w:pPr>
            <w:r>
              <w:rPr>
                <w:rFonts w:ascii="Arial" w:cs="Arial" w:eastAsia="Arial" w:hAnsi="Arial"/>
                <w:sz w:val="17"/>
                <w:szCs w:val="17"/>
                <w:color w:val="auto"/>
              </w:rPr>
              <w:t>4,296,550</w:t>
            </w:r>
            <w:r>
              <w:rPr>
                <w:rFonts w:ascii="Arial" w:cs="Arial" w:eastAsia="Arial" w:hAnsi="Arial"/>
                <w:sz w:val="25"/>
                <w:szCs w:val="25"/>
                <w:color w:val="auto"/>
                <w:vertAlign w:val="superscript"/>
              </w:rPr>
              <w:t>(10)</w:t>
            </w:r>
          </w:p>
        </w:tc>
        <w:tc>
          <w:tcPr>
            <w:tcW w:w="2300" w:type="dxa"/>
            <w:vAlign w:val="bottom"/>
            <w:tcBorders>
              <w:bottom w:val="single" w:sz="8" w:color="125288"/>
            </w:tcBorders>
          </w:tcPr>
          <w:p>
            <w:pPr>
              <w:jc w:val="right"/>
              <w:ind w:right="198"/>
              <w:spacing w:after="0"/>
              <w:rPr>
                <w:sz w:val="20"/>
                <w:szCs w:val="20"/>
                <w:color w:val="auto"/>
              </w:rPr>
            </w:pPr>
            <w:r>
              <w:rPr>
                <w:rFonts w:ascii="Arial" w:cs="Arial" w:eastAsia="Arial" w:hAnsi="Arial"/>
                <w:sz w:val="17"/>
                <w:szCs w:val="17"/>
                <w:color w:val="auto"/>
              </w:rPr>
              <w:t>2,201,878</w:t>
            </w:r>
            <w:r>
              <w:rPr>
                <w:rFonts w:ascii="Arial" w:cs="Arial" w:eastAsia="Arial" w:hAnsi="Arial"/>
                <w:sz w:val="25"/>
                <w:szCs w:val="25"/>
                <w:color w:val="auto"/>
                <w:vertAlign w:val="superscript"/>
              </w:rPr>
              <w:t>(3)</w:t>
            </w:r>
          </w:p>
        </w:tc>
        <w:tc>
          <w:tcPr>
            <w:tcW w:w="2120" w:type="dxa"/>
            <w:vAlign w:val="bottom"/>
            <w:tcBorders>
              <w:bottom w:val="single" w:sz="8" w:color="125288"/>
            </w:tcBorders>
          </w:tcPr>
          <w:p>
            <w:pPr>
              <w:jc w:val="right"/>
              <w:ind w:right="278"/>
              <w:spacing w:after="0"/>
              <w:rPr>
                <w:sz w:val="20"/>
                <w:szCs w:val="20"/>
                <w:color w:val="auto"/>
              </w:rPr>
            </w:pPr>
            <w:r>
              <w:rPr>
                <w:rFonts w:ascii="Arial" w:cs="Arial" w:eastAsia="Arial" w:hAnsi="Arial"/>
                <w:sz w:val="17"/>
                <w:szCs w:val="17"/>
                <w:color w:val="auto"/>
              </w:rPr>
              <w:t>6,498,428</w:t>
            </w:r>
          </w:p>
        </w:tc>
        <w:tc>
          <w:tcPr>
            <w:tcW w:w="1380" w:type="dxa"/>
            <w:vAlign w:val="bottom"/>
            <w:tcBorders>
              <w:bottom w:val="single" w:sz="8" w:color="125288"/>
            </w:tcBorders>
          </w:tcPr>
          <w:p>
            <w:pPr>
              <w:jc w:val="right"/>
              <w:spacing w:after="0"/>
              <w:rPr>
                <w:sz w:val="20"/>
                <w:szCs w:val="20"/>
                <w:color w:val="auto"/>
              </w:rPr>
            </w:pPr>
            <w:r>
              <w:rPr>
                <w:rFonts w:ascii="Arial" w:cs="Arial" w:eastAsia="Arial" w:hAnsi="Arial"/>
                <w:sz w:val="17"/>
                <w:szCs w:val="17"/>
                <w:color w:val="auto"/>
              </w:rPr>
              <w:t>*</w:t>
            </w:r>
          </w:p>
        </w:tc>
      </w:tr>
      <w:tr>
        <w:trPr>
          <w:trHeight w:val="270"/>
        </w:trPr>
        <w:tc>
          <w:tcPr>
            <w:tcW w:w="3500" w:type="dxa"/>
            <w:vAlign w:val="bottom"/>
          </w:tcPr>
          <w:p>
            <w:pPr>
              <w:ind w:left="40"/>
              <w:spacing w:after="0"/>
              <w:rPr>
                <w:sz w:val="20"/>
                <w:szCs w:val="20"/>
                <w:color w:val="auto"/>
              </w:rPr>
            </w:pPr>
            <w:r>
              <w:rPr>
                <w:rFonts w:ascii="Arial" w:cs="Arial" w:eastAsia="Arial" w:hAnsi="Arial"/>
                <w:sz w:val="17"/>
                <w:szCs w:val="17"/>
                <w:b w:val="1"/>
                <w:bCs w:val="1"/>
                <w:color w:val="auto"/>
              </w:rPr>
              <w:t>Lulu Meservey</w:t>
            </w:r>
          </w:p>
        </w:tc>
        <w:tc>
          <w:tcPr>
            <w:tcW w:w="1960" w:type="dxa"/>
            <w:vAlign w:val="bottom"/>
          </w:tcPr>
          <w:p>
            <w:pPr>
              <w:jc w:val="right"/>
              <w:ind w:right="298"/>
              <w:spacing w:after="0"/>
              <w:rPr>
                <w:sz w:val="20"/>
                <w:szCs w:val="20"/>
                <w:color w:val="auto"/>
              </w:rPr>
            </w:pPr>
            <w:r>
              <w:rPr>
                <w:rFonts w:ascii="Arial" w:cs="Arial" w:eastAsia="Arial" w:hAnsi="Arial"/>
                <w:sz w:val="17"/>
                <w:szCs w:val="17"/>
                <w:color w:val="auto"/>
              </w:rPr>
              <w:t>—</w:t>
            </w:r>
          </w:p>
        </w:tc>
        <w:tc>
          <w:tcPr>
            <w:tcW w:w="2300" w:type="dxa"/>
            <w:vAlign w:val="bottom"/>
          </w:tcPr>
          <w:p>
            <w:pPr>
              <w:jc w:val="right"/>
              <w:ind w:right="338"/>
              <w:spacing w:after="0"/>
              <w:rPr>
                <w:sz w:val="20"/>
                <w:szCs w:val="20"/>
                <w:color w:val="auto"/>
              </w:rPr>
            </w:pPr>
            <w:r>
              <w:rPr>
                <w:rFonts w:ascii="Arial" w:cs="Arial" w:eastAsia="Arial" w:hAnsi="Arial"/>
                <w:sz w:val="17"/>
                <w:szCs w:val="17"/>
                <w:color w:val="auto"/>
              </w:rPr>
              <w:t>—</w:t>
            </w:r>
          </w:p>
        </w:tc>
        <w:tc>
          <w:tcPr>
            <w:tcW w:w="2120" w:type="dxa"/>
            <w:vAlign w:val="bottom"/>
          </w:tcPr>
          <w:p>
            <w:pPr>
              <w:jc w:val="right"/>
              <w:ind w:right="278"/>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81"/>
        </w:trPr>
        <w:tc>
          <w:tcPr>
            <w:tcW w:w="3500" w:type="dxa"/>
            <w:vAlign w:val="bottom"/>
            <w:tcBorders>
              <w:bottom w:val="single" w:sz="8" w:color="125288"/>
            </w:tcBorders>
          </w:tcPr>
          <w:p>
            <w:pPr>
              <w:spacing w:after="0"/>
              <w:rPr>
                <w:sz w:val="7"/>
                <w:szCs w:val="7"/>
                <w:color w:val="auto"/>
              </w:rPr>
            </w:pPr>
          </w:p>
        </w:tc>
        <w:tc>
          <w:tcPr>
            <w:tcW w:w="1960" w:type="dxa"/>
            <w:vAlign w:val="bottom"/>
            <w:tcBorders>
              <w:bottom w:val="single" w:sz="8" w:color="125288"/>
            </w:tcBorders>
          </w:tcPr>
          <w:p>
            <w:pPr>
              <w:spacing w:after="0"/>
              <w:rPr>
                <w:sz w:val="7"/>
                <w:szCs w:val="7"/>
                <w:color w:val="auto"/>
              </w:rPr>
            </w:pPr>
          </w:p>
        </w:tc>
        <w:tc>
          <w:tcPr>
            <w:tcW w:w="2300" w:type="dxa"/>
            <w:vAlign w:val="bottom"/>
            <w:tcBorders>
              <w:bottom w:val="single" w:sz="8" w:color="125288"/>
            </w:tcBorders>
          </w:tcPr>
          <w:p>
            <w:pPr>
              <w:spacing w:after="0"/>
              <w:rPr>
                <w:sz w:val="7"/>
                <w:szCs w:val="7"/>
                <w:color w:val="auto"/>
              </w:rPr>
            </w:pPr>
          </w:p>
        </w:tc>
        <w:tc>
          <w:tcPr>
            <w:tcW w:w="2120" w:type="dxa"/>
            <w:vAlign w:val="bottom"/>
            <w:tcBorders>
              <w:bottom w:val="single" w:sz="8" w:color="125288"/>
            </w:tcBorders>
          </w:tcPr>
          <w:p>
            <w:pPr>
              <w:spacing w:after="0"/>
              <w:rPr>
                <w:sz w:val="7"/>
                <w:szCs w:val="7"/>
                <w:color w:val="auto"/>
              </w:rPr>
            </w:pPr>
          </w:p>
        </w:tc>
        <w:tc>
          <w:tcPr>
            <w:tcW w:w="1380" w:type="dxa"/>
            <w:vAlign w:val="bottom"/>
            <w:tcBorders>
              <w:bottom w:val="single" w:sz="8" w:color="125288"/>
            </w:tcBorders>
          </w:tcPr>
          <w:p>
            <w:pPr>
              <w:spacing w:after="0"/>
              <w:rPr>
                <w:sz w:val="7"/>
                <w:szCs w:val="7"/>
                <w:color w:val="auto"/>
              </w:rPr>
            </w:pPr>
          </w:p>
        </w:tc>
      </w:tr>
      <w:tr>
        <w:trPr>
          <w:trHeight w:val="347"/>
        </w:trPr>
        <w:tc>
          <w:tcPr>
            <w:tcW w:w="3500" w:type="dxa"/>
            <w:vAlign w:val="bottom"/>
            <w:tcBorders>
              <w:bottom w:val="single" w:sz="8" w:color="125288"/>
            </w:tcBorders>
          </w:tcPr>
          <w:p>
            <w:pPr>
              <w:ind w:left="40"/>
              <w:spacing w:after="0"/>
              <w:rPr>
                <w:sz w:val="20"/>
                <w:szCs w:val="20"/>
                <w:color w:val="auto"/>
              </w:rPr>
            </w:pPr>
            <w:r>
              <w:rPr>
                <w:rFonts w:ascii="Arial" w:cs="Arial" w:eastAsia="Arial" w:hAnsi="Arial"/>
                <w:sz w:val="17"/>
                <w:szCs w:val="17"/>
                <w:b w:val="1"/>
                <w:bCs w:val="1"/>
                <w:color w:val="auto"/>
              </w:rPr>
              <w:t>Barry Meyer</w:t>
            </w:r>
          </w:p>
        </w:tc>
        <w:tc>
          <w:tcPr>
            <w:tcW w:w="1960" w:type="dxa"/>
            <w:vAlign w:val="bottom"/>
            <w:tcBorders>
              <w:bottom w:val="single" w:sz="8" w:color="125288"/>
            </w:tcBorders>
          </w:tcPr>
          <w:p>
            <w:pPr>
              <w:jc w:val="right"/>
              <w:ind w:right="78"/>
              <w:spacing w:after="0"/>
              <w:rPr>
                <w:sz w:val="20"/>
                <w:szCs w:val="20"/>
                <w:color w:val="auto"/>
              </w:rPr>
            </w:pPr>
            <w:r>
              <w:rPr>
                <w:rFonts w:ascii="Arial" w:cs="Arial" w:eastAsia="Arial" w:hAnsi="Arial"/>
                <w:sz w:val="17"/>
                <w:szCs w:val="17"/>
                <w:color w:val="auto"/>
              </w:rPr>
              <w:t>51,723</w:t>
            </w:r>
            <w:r>
              <w:rPr>
                <w:rFonts w:ascii="Arial" w:cs="Arial" w:eastAsia="Arial" w:hAnsi="Arial"/>
                <w:sz w:val="25"/>
                <w:szCs w:val="25"/>
                <w:color w:val="auto"/>
                <w:vertAlign w:val="superscript"/>
              </w:rPr>
              <w:t>(11)</w:t>
            </w:r>
          </w:p>
        </w:tc>
        <w:tc>
          <w:tcPr>
            <w:tcW w:w="2300" w:type="dxa"/>
            <w:vAlign w:val="bottom"/>
            <w:tcBorders>
              <w:bottom w:val="single" w:sz="8" w:color="125288"/>
            </w:tcBorders>
          </w:tcPr>
          <w:p>
            <w:pPr>
              <w:jc w:val="right"/>
              <w:ind w:right="198"/>
              <w:spacing w:after="0"/>
              <w:rPr>
                <w:sz w:val="20"/>
                <w:szCs w:val="20"/>
                <w:color w:val="auto"/>
              </w:rPr>
            </w:pPr>
            <w:r>
              <w:rPr>
                <w:rFonts w:ascii="Arial" w:cs="Arial" w:eastAsia="Arial" w:hAnsi="Arial"/>
                <w:sz w:val="17"/>
                <w:szCs w:val="17"/>
                <w:color w:val="auto"/>
              </w:rPr>
              <w:t>670</w:t>
            </w:r>
            <w:r>
              <w:rPr>
                <w:rFonts w:ascii="Arial" w:cs="Arial" w:eastAsia="Arial" w:hAnsi="Arial"/>
                <w:sz w:val="25"/>
                <w:szCs w:val="25"/>
                <w:color w:val="auto"/>
                <w:vertAlign w:val="superscript"/>
              </w:rPr>
              <w:t>(5)</w:t>
            </w:r>
          </w:p>
        </w:tc>
        <w:tc>
          <w:tcPr>
            <w:tcW w:w="2120" w:type="dxa"/>
            <w:vAlign w:val="bottom"/>
            <w:tcBorders>
              <w:bottom w:val="single" w:sz="8" w:color="125288"/>
            </w:tcBorders>
          </w:tcPr>
          <w:p>
            <w:pPr>
              <w:jc w:val="right"/>
              <w:ind w:right="278"/>
              <w:spacing w:after="0"/>
              <w:rPr>
                <w:sz w:val="20"/>
                <w:szCs w:val="20"/>
                <w:color w:val="auto"/>
              </w:rPr>
            </w:pPr>
            <w:r>
              <w:rPr>
                <w:rFonts w:ascii="Arial" w:cs="Arial" w:eastAsia="Arial" w:hAnsi="Arial"/>
                <w:sz w:val="17"/>
                <w:szCs w:val="17"/>
                <w:color w:val="auto"/>
              </w:rPr>
              <w:t>52,393</w:t>
            </w:r>
          </w:p>
        </w:tc>
        <w:tc>
          <w:tcPr>
            <w:tcW w:w="1380" w:type="dxa"/>
            <w:vAlign w:val="bottom"/>
            <w:tcBorders>
              <w:bottom w:val="single" w:sz="8" w:color="125288"/>
            </w:tcBorders>
          </w:tcPr>
          <w:p>
            <w:pPr>
              <w:jc w:val="right"/>
              <w:spacing w:after="0"/>
              <w:rPr>
                <w:sz w:val="20"/>
                <w:szCs w:val="20"/>
                <w:color w:val="auto"/>
              </w:rPr>
            </w:pPr>
            <w:r>
              <w:rPr>
                <w:rFonts w:ascii="Arial" w:cs="Arial" w:eastAsia="Arial" w:hAnsi="Arial"/>
                <w:sz w:val="17"/>
                <w:szCs w:val="17"/>
                <w:color w:val="auto"/>
              </w:rPr>
              <w:t>*</w:t>
            </w:r>
          </w:p>
        </w:tc>
      </w:tr>
      <w:tr>
        <w:trPr>
          <w:trHeight w:val="349"/>
        </w:trPr>
        <w:tc>
          <w:tcPr>
            <w:tcW w:w="3500" w:type="dxa"/>
            <w:vAlign w:val="bottom"/>
            <w:tcBorders>
              <w:bottom w:val="single" w:sz="8" w:color="125288"/>
            </w:tcBorders>
          </w:tcPr>
          <w:p>
            <w:pPr>
              <w:ind w:left="40"/>
              <w:spacing w:after="0"/>
              <w:rPr>
                <w:sz w:val="20"/>
                <w:szCs w:val="20"/>
                <w:color w:val="auto"/>
              </w:rPr>
            </w:pPr>
            <w:r>
              <w:rPr>
                <w:rFonts w:ascii="Arial" w:cs="Arial" w:eastAsia="Arial" w:hAnsi="Arial"/>
                <w:sz w:val="17"/>
                <w:szCs w:val="17"/>
                <w:b w:val="1"/>
                <w:bCs w:val="1"/>
                <w:color w:val="auto"/>
              </w:rPr>
              <w:t>Robert Morgado</w:t>
            </w:r>
          </w:p>
        </w:tc>
        <w:tc>
          <w:tcPr>
            <w:tcW w:w="1960" w:type="dxa"/>
            <w:vAlign w:val="bottom"/>
            <w:tcBorders>
              <w:bottom w:val="single" w:sz="8" w:color="125288"/>
            </w:tcBorders>
          </w:tcPr>
          <w:p>
            <w:pPr>
              <w:jc w:val="right"/>
              <w:ind w:right="78"/>
              <w:spacing w:after="0"/>
              <w:rPr>
                <w:sz w:val="20"/>
                <w:szCs w:val="20"/>
                <w:color w:val="auto"/>
              </w:rPr>
            </w:pPr>
            <w:r>
              <w:rPr>
                <w:rFonts w:ascii="Arial" w:cs="Arial" w:eastAsia="Arial" w:hAnsi="Arial"/>
                <w:sz w:val="17"/>
                <w:szCs w:val="17"/>
                <w:color w:val="auto"/>
              </w:rPr>
              <w:t>120,090</w:t>
            </w:r>
            <w:r>
              <w:rPr>
                <w:rFonts w:ascii="Arial" w:cs="Arial" w:eastAsia="Arial" w:hAnsi="Arial"/>
                <w:sz w:val="25"/>
                <w:szCs w:val="25"/>
                <w:color w:val="auto"/>
                <w:vertAlign w:val="superscript"/>
              </w:rPr>
              <w:t>(12)</w:t>
            </w:r>
          </w:p>
        </w:tc>
        <w:tc>
          <w:tcPr>
            <w:tcW w:w="2300" w:type="dxa"/>
            <w:vAlign w:val="bottom"/>
            <w:tcBorders>
              <w:bottom w:val="single" w:sz="8" w:color="125288"/>
            </w:tcBorders>
          </w:tcPr>
          <w:p>
            <w:pPr>
              <w:jc w:val="right"/>
              <w:ind w:right="118"/>
              <w:spacing w:after="0"/>
              <w:rPr>
                <w:sz w:val="20"/>
                <w:szCs w:val="20"/>
                <w:color w:val="auto"/>
              </w:rPr>
            </w:pPr>
            <w:r>
              <w:rPr>
                <w:rFonts w:ascii="Arial" w:cs="Arial" w:eastAsia="Arial" w:hAnsi="Arial"/>
                <w:sz w:val="17"/>
                <w:szCs w:val="17"/>
                <w:color w:val="auto"/>
              </w:rPr>
              <w:t>44,000</w:t>
            </w:r>
            <w:r>
              <w:rPr>
                <w:rFonts w:ascii="Arial" w:cs="Arial" w:eastAsia="Arial" w:hAnsi="Arial"/>
                <w:sz w:val="25"/>
                <w:szCs w:val="25"/>
                <w:color w:val="auto"/>
                <w:vertAlign w:val="superscript"/>
              </w:rPr>
              <w:t>(13)</w:t>
            </w:r>
          </w:p>
        </w:tc>
        <w:tc>
          <w:tcPr>
            <w:tcW w:w="2120" w:type="dxa"/>
            <w:vAlign w:val="bottom"/>
            <w:tcBorders>
              <w:bottom w:val="single" w:sz="8" w:color="125288"/>
            </w:tcBorders>
          </w:tcPr>
          <w:p>
            <w:pPr>
              <w:jc w:val="right"/>
              <w:ind w:right="278"/>
              <w:spacing w:after="0"/>
              <w:rPr>
                <w:sz w:val="20"/>
                <w:szCs w:val="20"/>
                <w:color w:val="auto"/>
              </w:rPr>
            </w:pPr>
            <w:r>
              <w:rPr>
                <w:rFonts w:ascii="Arial" w:cs="Arial" w:eastAsia="Arial" w:hAnsi="Arial"/>
                <w:sz w:val="17"/>
                <w:szCs w:val="17"/>
                <w:color w:val="auto"/>
              </w:rPr>
              <w:t>164,760</w:t>
            </w:r>
          </w:p>
        </w:tc>
        <w:tc>
          <w:tcPr>
            <w:tcW w:w="1380" w:type="dxa"/>
            <w:vAlign w:val="bottom"/>
            <w:tcBorders>
              <w:bottom w:val="single" w:sz="8" w:color="125288"/>
            </w:tcBorders>
          </w:tcPr>
          <w:p>
            <w:pPr>
              <w:jc w:val="right"/>
              <w:spacing w:after="0"/>
              <w:rPr>
                <w:sz w:val="20"/>
                <w:szCs w:val="20"/>
                <w:color w:val="auto"/>
              </w:rPr>
            </w:pPr>
            <w:r>
              <w:rPr>
                <w:rFonts w:ascii="Arial" w:cs="Arial" w:eastAsia="Arial" w:hAnsi="Arial"/>
                <w:sz w:val="17"/>
                <w:szCs w:val="17"/>
                <w:color w:val="auto"/>
              </w:rPr>
              <w:t>*</w:t>
            </w:r>
          </w:p>
        </w:tc>
      </w:tr>
      <w:tr>
        <w:trPr>
          <w:trHeight w:val="349"/>
        </w:trPr>
        <w:tc>
          <w:tcPr>
            <w:tcW w:w="3500" w:type="dxa"/>
            <w:vAlign w:val="bottom"/>
            <w:tcBorders>
              <w:bottom w:val="single" w:sz="8" w:color="125288"/>
            </w:tcBorders>
          </w:tcPr>
          <w:p>
            <w:pPr>
              <w:ind w:left="40"/>
              <w:spacing w:after="0"/>
              <w:rPr>
                <w:sz w:val="20"/>
                <w:szCs w:val="20"/>
                <w:color w:val="auto"/>
              </w:rPr>
            </w:pPr>
            <w:r>
              <w:rPr>
                <w:rFonts w:ascii="Arial" w:cs="Arial" w:eastAsia="Arial" w:hAnsi="Arial"/>
                <w:sz w:val="17"/>
                <w:szCs w:val="17"/>
                <w:b w:val="1"/>
                <w:bCs w:val="1"/>
                <w:color w:val="auto"/>
              </w:rPr>
              <w:t>Peter Nolan</w:t>
            </w:r>
          </w:p>
        </w:tc>
        <w:tc>
          <w:tcPr>
            <w:tcW w:w="1960" w:type="dxa"/>
            <w:vAlign w:val="bottom"/>
            <w:tcBorders>
              <w:bottom w:val="single" w:sz="8" w:color="125288"/>
            </w:tcBorders>
          </w:tcPr>
          <w:p>
            <w:pPr>
              <w:jc w:val="right"/>
              <w:ind w:right="78"/>
              <w:spacing w:after="0"/>
              <w:rPr>
                <w:sz w:val="20"/>
                <w:szCs w:val="20"/>
                <w:color w:val="auto"/>
              </w:rPr>
            </w:pPr>
            <w:r>
              <w:rPr>
                <w:rFonts w:ascii="Arial" w:cs="Arial" w:eastAsia="Arial" w:hAnsi="Arial"/>
                <w:sz w:val="17"/>
                <w:szCs w:val="17"/>
                <w:color w:val="auto"/>
              </w:rPr>
              <w:t>221,449</w:t>
            </w:r>
            <w:r>
              <w:rPr>
                <w:rFonts w:ascii="Arial" w:cs="Arial" w:eastAsia="Arial" w:hAnsi="Arial"/>
                <w:sz w:val="25"/>
                <w:szCs w:val="25"/>
                <w:color w:val="auto"/>
                <w:vertAlign w:val="superscript"/>
              </w:rPr>
              <w:t>(14)</w:t>
            </w:r>
          </w:p>
        </w:tc>
        <w:tc>
          <w:tcPr>
            <w:tcW w:w="2300" w:type="dxa"/>
            <w:vAlign w:val="bottom"/>
            <w:tcBorders>
              <w:bottom w:val="single" w:sz="8" w:color="125288"/>
            </w:tcBorders>
          </w:tcPr>
          <w:p>
            <w:pPr>
              <w:jc w:val="right"/>
              <w:ind w:right="198"/>
              <w:spacing w:after="0"/>
              <w:rPr>
                <w:sz w:val="20"/>
                <w:szCs w:val="20"/>
                <w:color w:val="auto"/>
              </w:rPr>
            </w:pPr>
            <w:r>
              <w:rPr>
                <w:rFonts w:ascii="Arial" w:cs="Arial" w:eastAsia="Arial" w:hAnsi="Arial"/>
                <w:sz w:val="17"/>
                <w:szCs w:val="17"/>
                <w:color w:val="auto"/>
              </w:rPr>
              <w:t>670</w:t>
            </w:r>
            <w:r>
              <w:rPr>
                <w:rFonts w:ascii="Arial" w:cs="Arial" w:eastAsia="Arial" w:hAnsi="Arial"/>
                <w:sz w:val="25"/>
                <w:szCs w:val="25"/>
                <w:color w:val="auto"/>
                <w:vertAlign w:val="superscript"/>
              </w:rPr>
              <w:t>(5)</w:t>
            </w:r>
          </w:p>
        </w:tc>
        <w:tc>
          <w:tcPr>
            <w:tcW w:w="2120" w:type="dxa"/>
            <w:vAlign w:val="bottom"/>
            <w:tcBorders>
              <w:bottom w:val="single" w:sz="8" w:color="125288"/>
            </w:tcBorders>
          </w:tcPr>
          <w:p>
            <w:pPr>
              <w:jc w:val="right"/>
              <w:ind w:right="278"/>
              <w:spacing w:after="0"/>
              <w:rPr>
                <w:sz w:val="20"/>
                <w:szCs w:val="20"/>
                <w:color w:val="auto"/>
              </w:rPr>
            </w:pPr>
            <w:r>
              <w:rPr>
                <w:rFonts w:ascii="Arial" w:cs="Arial" w:eastAsia="Arial" w:hAnsi="Arial"/>
                <w:sz w:val="17"/>
                <w:szCs w:val="17"/>
                <w:color w:val="auto"/>
              </w:rPr>
              <w:t>222,119</w:t>
            </w:r>
          </w:p>
        </w:tc>
        <w:tc>
          <w:tcPr>
            <w:tcW w:w="1380" w:type="dxa"/>
            <w:vAlign w:val="bottom"/>
            <w:tcBorders>
              <w:bottom w:val="single" w:sz="8" w:color="125288"/>
            </w:tcBorders>
          </w:tcPr>
          <w:p>
            <w:pPr>
              <w:jc w:val="right"/>
              <w:spacing w:after="0"/>
              <w:rPr>
                <w:sz w:val="20"/>
                <w:szCs w:val="20"/>
                <w:color w:val="auto"/>
              </w:rPr>
            </w:pPr>
            <w:r>
              <w:rPr>
                <w:rFonts w:ascii="Arial" w:cs="Arial" w:eastAsia="Arial" w:hAnsi="Arial"/>
                <w:sz w:val="17"/>
                <w:szCs w:val="17"/>
                <w:color w:val="auto"/>
              </w:rPr>
              <w:t>*</w:t>
            </w:r>
          </w:p>
        </w:tc>
      </w:tr>
      <w:tr>
        <w:trPr>
          <w:trHeight w:val="349"/>
        </w:trPr>
        <w:tc>
          <w:tcPr>
            <w:tcW w:w="3500" w:type="dxa"/>
            <w:vAlign w:val="bottom"/>
            <w:tcBorders>
              <w:bottom w:val="single" w:sz="8" w:color="125288"/>
            </w:tcBorders>
          </w:tcPr>
          <w:p>
            <w:pPr>
              <w:ind w:left="40"/>
              <w:spacing w:after="0"/>
              <w:rPr>
                <w:sz w:val="20"/>
                <w:szCs w:val="20"/>
                <w:color w:val="auto"/>
              </w:rPr>
            </w:pPr>
            <w:r>
              <w:rPr>
                <w:rFonts w:ascii="Arial" w:cs="Arial" w:eastAsia="Arial" w:hAnsi="Arial"/>
                <w:sz w:val="17"/>
                <w:szCs w:val="17"/>
                <w:b w:val="1"/>
                <w:bCs w:val="1"/>
                <w:color w:val="auto"/>
              </w:rPr>
              <w:t>Dawn Ostroff</w:t>
            </w:r>
          </w:p>
        </w:tc>
        <w:tc>
          <w:tcPr>
            <w:tcW w:w="1960" w:type="dxa"/>
            <w:vAlign w:val="bottom"/>
            <w:tcBorders>
              <w:bottom w:val="single" w:sz="8" w:color="125288"/>
            </w:tcBorders>
          </w:tcPr>
          <w:p>
            <w:pPr>
              <w:jc w:val="right"/>
              <w:ind w:right="298"/>
              <w:spacing w:after="0"/>
              <w:rPr>
                <w:sz w:val="20"/>
                <w:szCs w:val="20"/>
                <w:color w:val="auto"/>
              </w:rPr>
            </w:pPr>
            <w:r>
              <w:rPr>
                <w:rFonts w:ascii="Arial" w:cs="Arial" w:eastAsia="Arial" w:hAnsi="Arial"/>
                <w:sz w:val="17"/>
                <w:szCs w:val="17"/>
                <w:color w:val="auto"/>
              </w:rPr>
              <w:t>5,438</w:t>
            </w:r>
          </w:p>
        </w:tc>
        <w:tc>
          <w:tcPr>
            <w:tcW w:w="2300" w:type="dxa"/>
            <w:vAlign w:val="bottom"/>
            <w:tcBorders>
              <w:bottom w:val="single" w:sz="8" w:color="125288"/>
            </w:tcBorders>
          </w:tcPr>
          <w:p>
            <w:pPr>
              <w:jc w:val="right"/>
              <w:ind w:right="198"/>
              <w:spacing w:after="0"/>
              <w:rPr>
                <w:sz w:val="20"/>
                <w:szCs w:val="20"/>
                <w:color w:val="auto"/>
              </w:rPr>
            </w:pPr>
            <w:r>
              <w:rPr>
                <w:rFonts w:ascii="Arial" w:cs="Arial" w:eastAsia="Arial" w:hAnsi="Arial"/>
                <w:sz w:val="17"/>
                <w:szCs w:val="17"/>
                <w:color w:val="auto"/>
              </w:rPr>
              <w:t>670</w:t>
            </w:r>
            <w:r>
              <w:rPr>
                <w:rFonts w:ascii="Arial" w:cs="Arial" w:eastAsia="Arial" w:hAnsi="Arial"/>
                <w:sz w:val="25"/>
                <w:szCs w:val="25"/>
                <w:color w:val="auto"/>
                <w:vertAlign w:val="superscript"/>
              </w:rPr>
              <w:t>(5)</w:t>
            </w:r>
          </w:p>
        </w:tc>
        <w:tc>
          <w:tcPr>
            <w:tcW w:w="2120" w:type="dxa"/>
            <w:vAlign w:val="bottom"/>
            <w:tcBorders>
              <w:bottom w:val="single" w:sz="8" w:color="125288"/>
            </w:tcBorders>
          </w:tcPr>
          <w:p>
            <w:pPr>
              <w:jc w:val="right"/>
              <w:ind w:right="278"/>
              <w:spacing w:after="0"/>
              <w:rPr>
                <w:sz w:val="20"/>
                <w:szCs w:val="20"/>
                <w:color w:val="auto"/>
              </w:rPr>
            </w:pPr>
            <w:r>
              <w:rPr>
                <w:rFonts w:ascii="Arial" w:cs="Arial" w:eastAsia="Arial" w:hAnsi="Arial"/>
                <w:sz w:val="17"/>
                <w:szCs w:val="17"/>
                <w:color w:val="auto"/>
              </w:rPr>
              <w:t>6,108</w:t>
            </w:r>
          </w:p>
        </w:tc>
        <w:tc>
          <w:tcPr>
            <w:tcW w:w="1380" w:type="dxa"/>
            <w:vAlign w:val="bottom"/>
            <w:tcBorders>
              <w:bottom w:val="single" w:sz="8" w:color="125288"/>
            </w:tcBorders>
          </w:tcPr>
          <w:p>
            <w:pPr>
              <w:jc w:val="right"/>
              <w:spacing w:after="0"/>
              <w:rPr>
                <w:sz w:val="20"/>
                <w:szCs w:val="20"/>
                <w:color w:val="auto"/>
              </w:rPr>
            </w:pPr>
            <w:r>
              <w:rPr>
                <w:rFonts w:ascii="Arial" w:cs="Arial" w:eastAsia="Arial" w:hAnsi="Arial"/>
                <w:sz w:val="17"/>
                <w:szCs w:val="17"/>
                <w:color w:val="auto"/>
              </w:rPr>
              <w:t>*</w:t>
            </w:r>
          </w:p>
        </w:tc>
      </w:tr>
      <w:tr>
        <w:trPr>
          <w:trHeight w:val="349"/>
        </w:trPr>
        <w:tc>
          <w:tcPr>
            <w:tcW w:w="3500" w:type="dxa"/>
            <w:vAlign w:val="bottom"/>
            <w:tcBorders>
              <w:bottom w:val="single" w:sz="8" w:color="125288"/>
            </w:tcBorders>
          </w:tcPr>
          <w:p>
            <w:pPr>
              <w:ind w:left="40"/>
              <w:spacing w:after="0"/>
              <w:rPr>
                <w:sz w:val="20"/>
                <w:szCs w:val="20"/>
                <w:color w:val="auto"/>
              </w:rPr>
            </w:pPr>
            <w:r>
              <w:rPr>
                <w:rFonts w:ascii="Arial" w:cs="Arial" w:eastAsia="Arial" w:hAnsi="Arial"/>
                <w:sz w:val="17"/>
                <w:szCs w:val="17"/>
                <w:b w:val="1"/>
                <w:bCs w:val="1"/>
                <w:color w:val="auto"/>
              </w:rPr>
              <w:t>Casey Wasserman</w:t>
            </w:r>
          </w:p>
        </w:tc>
        <w:tc>
          <w:tcPr>
            <w:tcW w:w="1960" w:type="dxa"/>
            <w:vAlign w:val="bottom"/>
            <w:tcBorders>
              <w:bottom w:val="single" w:sz="8" w:color="125288"/>
            </w:tcBorders>
          </w:tcPr>
          <w:p>
            <w:pPr>
              <w:jc w:val="right"/>
              <w:ind w:right="78"/>
              <w:spacing w:after="0"/>
              <w:rPr>
                <w:sz w:val="20"/>
                <w:szCs w:val="20"/>
                <w:color w:val="auto"/>
              </w:rPr>
            </w:pPr>
            <w:r>
              <w:rPr>
                <w:rFonts w:ascii="Arial" w:cs="Arial" w:eastAsia="Arial" w:hAnsi="Arial"/>
                <w:sz w:val="17"/>
                <w:szCs w:val="17"/>
                <w:color w:val="auto"/>
              </w:rPr>
              <w:t>23,730</w:t>
            </w:r>
            <w:r>
              <w:rPr>
                <w:rFonts w:ascii="Arial" w:cs="Arial" w:eastAsia="Arial" w:hAnsi="Arial"/>
                <w:sz w:val="25"/>
                <w:szCs w:val="25"/>
                <w:color w:val="auto"/>
                <w:vertAlign w:val="superscript"/>
              </w:rPr>
              <w:t>(15)</w:t>
            </w:r>
          </w:p>
        </w:tc>
        <w:tc>
          <w:tcPr>
            <w:tcW w:w="2300" w:type="dxa"/>
            <w:vAlign w:val="bottom"/>
            <w:tcBorders>
              <w:bottom w:val="single" w:sz="8" w:color="125288"/>
            </w:tcBorders>
          </w:tcPr>
          <w:p>
            <w:pPr>
              <w:jc w:val="right"/>
              <w:ind w:right="198"/>
              <w:spacing w:after="0"/>
              <w:rPr>
                <w:sz w:val="20"/>
                <w:szCs w:val="20"/>
                <w:color w:val="auto"/>
              </w:rPr>
            </w:pPr>
            <w:r>
              <w:rPr>
                <w:rFonts w:ascii="Arial" w:cs="Arial" w:eastAsia="Arial" w:hAnsi="Arial"/>
                <w:sz w:val="17"/>
                <w:szCs w:val="17"/>
                <w:color w:val="auto"/>
              </w:rPr>
              <w:t>670</w:t>
            </w:r>
            <w:r>
              <w:rPr>
                <w:rFonts w:ascii="Arial" w:cs="Arial" w:eastAsia="Arial" w:hAnsi="Arial"/>
                <w:sz w:val="25"/>
                <w:szCs w:val="25"/>
                <w:color w:val="auto"/>
                <w:vertAlign w:val="superscript"/>
              </w:rPr>
              <w:t>(5)</w:t>
            </w:r>
          </w:p>
        </w:tc>
        <w:tc>
          <w:tcPr>
            <w:tcW w:w="2120" w:type="dxa"/>
            <w:vAlign w:val="bottom"/>
            <w:tcBorders>
              <w:bottom w:val="single" w:sz="8" w:color="125288"/>
            </w:tcBorders>
          </w:tcPr>
          <w:p>
            <w:pPr>
              <w:jc w:val="right"/>
              <w:ind w:right="278"/>
              <w:spacing w:after="0"/>
              <w:rPr>
                <w:sz w:val="20"/>
                <w:szCs w:val="20"/>
                <w:color w:val="auto"/>
              </w:rPr>
            </w:pPr>
            <w:r>
              <w:rPr>
                <w:rFonts w:ascii="Arial" w:cs="Arial" w:eastAsia="Arial" w:hAnsi="Arial"/>
                <w:sz w:val="17"/>
                <w:szCs w:val="17"/>
                <w:color w:val="auto"/>
              </w:rPr>
              <w:t>24,400</w:t>
            </w:r>
          </w:p>
        </w:tc>
        <w:tc>
          <w:tcPr>
            <w:tcW w:w="1380" w:type="dxa"/>
            <w:vAlign w:val="bottom"/>
            <w:tcBorders>
              <w:bottom w:val="single" w:sz="8" w:color="125288"/>
            </w:tcBorders>
          </w:tcPr>
          <w:p>
            <w:pPr>
              <w:jc w:val="right"/>
              <w:spacing w:after="0"/>
              <w:rPr>
                <w:sz w:val="20"/>
                <w:szCs w:val="20"/>
                <w:color w:val="auto"/>
              </w:rPr>
            </w:pPr>
            <w:r>
              <w:rPr>
                <w:rFonts w:ascii="Arial" w:cs="Arial" w:eastAsia="Arial" w:hAnsi="Arial"/>
                <w:sz w:val="17"/>
                <w:szCs w:val="17"/>
                <w:color w:val="auto"/>
              </w:rPr>
              <w:t>*</w:t>
            </w:r>
          </w:p>
        </w:tc>
      </w:tr>
      <w:tr>
        <w:trPr>
          <w:trHeight w:val="349"/>
        </w:trPr>
        <w:tc>
          <w:tcPr>
            <w:tcW w:w="3500" w:type="dxa"/>
            <w:vAlign w:val="bottom"/>
            <w:tcBorders>
              <w:bottom w:val="single" w:sz="8" w:color="125288"/>
            </w:tcBorders>
          </w:tcPr>
          <w:p>
            <w:pPr>
              <w:ind w:left="40"/>
              <w:spacing w:after="0"/>
              <w:rPr>
                <w:sz w:val="20"/>
                <w:szCs w:val="20"/>
                <w:color w:val="auto"/>
              </w:rPr>
            </w:pPr>
            <w:r>
              <w:rPr>
                <w:rFonts w:ascii="Arial" w:cs="Arial" w:eastAsia="Arial" w:hAnsi="Arial"/>
                <w:sz w:val="17"/>
                <w:szCs w:val="17"/>
                <w:b w:val="1"/>
                <w:bCs w:val="1"/>
                <w:color w:val="auto"/>
              </w:rPr>
              <w:t>Armin Zerza</w:t>
            </w:r>
          </w:p>
        </w:tc>
        <w:tc>
          <w:tcPr>
            <w:tcW w:w="1960" w:type="dxa"/>
            <w:vAlign w:val="bottom"/>
            <w:tcBorders>
              <w:bottom w:val="single" w:sz="8" w:color="125288"/>
            </w:tcBorders>
          </w:tcPr>
          <w:p>
            <w:pPr>
              <w:jc w:val="right"/>
              <w:ind w:right="298"/>
              <w:spacing w:after="0"/>
              <w:rPr>
                <w:sz w:val="20"/>
                <w:szCs w:val="20"/>
                <w:color w:val="auto"/>
              </w:rPr>
            </w:pPr>
            <w:r>
              <w:rPr>
                <w:rFonts w:ascii="Arial" w:cs="Arial" w:eastAsia="Arial" w:hAnsi="Arial"/>
                <w:sz w:val="17"/>
                <w:szCs w:val="17"/>
                <w:color w:val="auto"/>
              </w:rPr>
              <w:t>13,469</w:t>
            </w:r>
          </w:p>
        </w:tc>
        <w:tc>
          <w:tcPr>
            <w:tcW w:w="2300" w:type="dxa"/>
            <w:vAlign w:val="bottom"/>
            <w:tcBorders>
              <w:bottom w:val="single" w:sz="8" w:color="125288"/>
            </w:tcBorders>
          </w:tcPr>
          <w:p>
            <w:pPr>
              <w:jc w:val="right"/>
              <w:ind w:right="198"/>
              <w:spacing w:after="0"/>
              <w:rPr>
                <w:sz w:val="20"/>
                <w:szCs w:val="20"/>
                <w:color w:val="auto"/>
              </w:rPr>
            </w:pPr>
            <w:r>
              <w:rPr>
                <w:rFonts w:ascii="Arial" w:cs="Arial" w:eastAsia="Arial" w:hAnsi="Arial"/>
                <w:sz w:val="17"/>
                <w:szCs w:val="17"/>
                <w:color w:val="auto"/>
              </w:rPr>
              <w:t>53,355</w:t>
            </w:r>
            <w:r>
              <w:rPr>
                <w:rFonts w:ascii="Arial" w:cs="Arial" w:eastAsia="Arial" w:hAnsi="Arial"/>
                <w:sz w:val="25"/>
                <w:szCs w:val="25"/>
                <w:color w:val="auto"/>
                <w:vertAlign w:val="superscript"/>
              </w:rPr>
              <w:t>(3)</w:t>
            </w:r>
          </w:p>
        </w:tc>
        <w:tc>
          <w:tcPr>
            <w:tcW w:w="2120" w:type="dxa"/>
            <w:vAlign w:val="bottom"/>
            <w:tcBorders>
              <w:bottom w:val="single" w:sz="8" w:color="125288"/>
            </w:tcBorders>
          </w:tcPr>
          <w:p>
            <w:pPr>
              <w:jc w:val="right"/>
              <w:ind w:right="278"/>
              <w:spacing w:after="0"/>
              <w:rPr>
                <w:sz w:val="20"/>
                <w:szCs w:val="20"/>
                <w:color w:val="auto"/>
              </w:rPr>
            </w:pPr>
            <w:r>
              <w:rPr>
                <w:rFonts w:ascii="Arial" w:cs="Arial" w:eastAsia="Arial" w:hAnsi="Arial"/>
                <w:sz w:val="17"/>
                <w:szCs w:val="17"/>
                <w:color w:val="auto"/>
              </w:rPr>
              <w:t>66,824</w:t>
            </w:r>
          </w:p>
        </w:tc>
        <w:tc>
          <w:tcPr>
            <w:tcW w:w="1380" w:type="dxa"/>
            <w:vAlign w:val="bottom"/>
            <w:tcBorders>
              <w:bottom w:val="single" w:sz="8" w:color="125288"/>
            </w:tcBorders>
          </w:tcPr>
          <w:p>
            <w:pPr>
              <w:jc w:val="right"/>
              <w:spacing w:after="0"/>
              <w:rPr>
                <w:sz w:val="20"/>
                <w:szCs w:val="20"/>
                <w:color w:val="auto"/>
              </w:rPr>
            </w:pPr>
            <w:r>
              <w:rPr>
                <w:rFonts w:ascii="Arial" w:cs="Arial" w:eastAsia="Arial" w:hAnsi="Arial"/>
                <w:sz w:val="17"/>
                <w:szCs w:val="17"/>
                <w:color w:val="auto"/>
              </w:rPr>
              <w:t>*</w:t>
            </w:r>
          </w:p>
        </w:tc>
      </w:tr>
      <w:tr>
        <w:trPr>
          <w:trHeight w:val="239"/>
        </w:trPr>
        <w:tc>
          <w:tcPr>
            <w:tcW w:w="3500" w:type="dxa"/>
            <w:vAlign w:val="bottom"/>
          </w:tcPr>
          <w:p>
            <w:pPr>
              <w:ind w:left="40"/>
              <w:spacing w:after="0"/>
              <w:rPr>
                <w:sz w:val="20"/>
                <w:szCs w:val="20"/>
                <w:color w:val="auto"/>
              </w:rPr>
            </w:pPr>
            <w:r>
              <w:rPr>
                <w:rFonts w:ascii="Arial" w:cs="Arial" w:eastAsia="Arial" w:hAnsi="Arial"/>
                <w:sz w:val="17"/>
                <w:szCs w:val="17"/>
                <w:b w:val="1"/>
                <w:bCs w:val="1"/>
                <w:color w:val="auto"/>
                <w:w w:val="99"/>
              </w:rPr>
              <w:t>All current directors and executive officers</w:t>
            </w:r>
          </w:p>
        </w:tc>
        <w:tc>
          <w:tcPr>
            <w:tcW w:w="1960" w:type="dxa"/>
            <w:vAlign w:val="bottom"/>
          </w:tcPr>
          <w:p>
            <w:pPr>
              <w:jc w:val="right"/>
              <w:ind w:right="78"/>
              <w:spacing w:after="0" w:line="239" w:lineRule="exact"/>
              <w:rPr>
                <w:sz w:val="20"/>
                <w:szCs w:val="20"/>
                <w:color w:val="auto"/>
              </w:rPr>
            </w:pPr>
            <w:r>
              <w:rPr>
                <w:rFonts w:ascii="Arial" w:cs="Arial" w:eastAsia="Arial" w:hAnsi="Arial"/>
                <w:sz w:val="17"/>
                <w:szCs w:val="17"/>
                <w:color w:val="auto"/>
              </w:rPr>
              <w:t>6,082,871</w:t>
            </w:r>
            <w:r>
              <w:rPr>
                <w:rFonts w:ascii="Arial" w:cs="Arial" w:eastAsia="Arial" w:hAnsi="Arial"/>
                <w:sz w:val="25"/>
                <w:szCs w:val="25"/>
                <w:color w:val="auto"/>
                <w:vertAlign w:val="superscript"/>
              </w:rPr>
              <w:t>(16)</w:t>
            </w:r>
          </w:p>
        </w:tc>
        <w:tc>
          <w:tcPr>
            <w:tcW w:w="2300" w:type="dxa"/>
            <w:vAlign w:val="bottom"/>
          </w:tcPr>
          <w:p>
            <w:pPr>
              <w:jc w:val="right"/>
              <w:ind w:right="118"/>
              <w:spacing w:after="0" w:line="239" w:lineRule="exact"/>
              <w:rPr>
                <w:sz w:val="20"/>
                <w:szCs w:val="20"/>
                <w:color w:val="auto"/>
              </w:rPr>
            </w:pPr>
            <w:r>
              <w:rPr>
                <w:rFonts w:ascii="Arial" w:cs="Arial" w:eastAsia="Arial" w:hAnsi="Arial"/>
                <w:sz w:val="17"/>
                <w:szCs w:val="17"/>
                <w:color w:val="auto"/>
              </w:rPr>
              <w:t>2,539,565</w:t>
            </w:r>
            <w:r>
              <w:rPr>
                <w:rFonts w:ascii="Arial" w:cs="Arial" w:eastAsia="Arial" w:hAnsi="Arial"/>
                <w:sz w:val="25"/>
                <w:szCs w:val="25"/>
                <w:color w:val="auto"/>
                <w:vertAlign w:val="superscript"/>
              </w:rPr>
              <w:t>(17)</w:t>
            </w:r>
          </w:p>
        </w:tc>
        <w:tc>
          <w:tcPr>
            <w:tcW w:w="2120" w:type="dxa"/>
            <w:vAlign w:val="bottom"/>
          </w:tcPr>
          <w:p>
            <w:pPr>
              <w:jc w:val="right"/>
              <w:ind w:right="278"/>
              <w:spacing w:after="0"/>
              <w:rPr>
                <w:sz w:val="20"/>
                <w:szCs w:val="20"/>
                <w:color w:val="auto"/>
              </w:rPr>
            </w:pPr>
            <w:r>
              <w:rPr>
                <w:rFonts w:ascii="Arial" w:cs="Arial" w:eastAsia="Arial" w:hAnsi="Arial"/>
                <w:sz w:val="17"/>
                <w:szCs w:val="17"/>
                <w:color w:val="auto"/>
              </w:rPr>
              <w:t>8,622,435</w:t>
            </w:r>
          </w:p>
        </w:tc>
        <w:tc>
          <w:tcPr>
            <w:tcW w:w="1380" w:type="dxa"/>
            <w:vAlign w:val="bottom"/>
          </w:tcPr>
          <w:p>
            <w:pPr>
              <w:jc w:val="right"/>
              <w:spacing w:after="0"/>
              <w:rPr>
                <w:sz w:val="20"/>
                <w:szCs w:val="20"/>
                <w:color w:val="auto"/>
              </w:rPr>
            </w:pPr>
            <w:r>
              <w:rPr>
                <w:rFonts w:ascii="Arial" w:cs="Arial" w:eastAsia="Arial" w:hAnsi="Arial"/>
                <w:sz w:val="17"/>
                <w:szCs w:val="17"/>
                <w:color w:val="auto"/>
              </w:rPr>
              <w:t>1.10</w:t>
            </w:r>
          </w:p>
        </w:tc>
      </w:tr>
      <w:tr>
        <w:trPr>
          <w:trHeight w:val="221"/>
        </w:trPr>
        <w:tc>
          <w:tcPr>
            <w:tcW w:w="3500" w:type="dxa"/>
            <w:vAlign w:val="bottom"/>
          </w:tcPr>
          <w:p>
            <w:pPr>
              <w:ind w:left="40"/>
              <w:spacing w:after="0"/>
              <w:rPr>
                <w:sz w:val="20"/>
                <w:szCs w:val="20"/>
                <w:color w:val="auto"/>
              </w:rPr>
            </w:pPr>
            <w:r>
              <w:rPr>
                <w:rFonts w:ascii="Arial" w:cs="Arial" w:eastAsia="Arial" w:hAnsi="Arial"/>
                <w:sz w:val="17"/>
                <w:szCs w:val="17"/>
                <w:b w:val="1"/>
                <w:bCs w:val="1"/>
                <w:color w:val="auto"/>
              </w:rPr>
              <w:t>as a group (15 persons)</w:t>
            </w:r>
          </w:p>
        </w:tc>
        <w:tc>
          <w:tcPr>
            <w:tcW w:w="19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3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148830" cy="1524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159" w:lineRule="exact"/>
        <w:rPr>
          <w:sz w:val="20"/>
          <w:szCs w:val="20"/>
          <w:color w:val="auto"/>
        </w:rPr>
      </w:pPr>
    </w:p>
    <w:p>
      <w:pPr>
        <w:ind w:left="320" w:hanging="277"/>
        <w:spacing w:after="0"/>
        <w:tabs>
          <w:tab w:leader="none" w:pos="32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Less than 1%.</w:t>
      </w:r>
    </w:p>
    <w:p>
      <w:pPr>
        <w:spacing w:after="0" w:line="41" w:lineRule="exact"/>
        <w:rPr>
          <w:sz w:val="20"/>
          <w:szCs w:val="20"/>
          <w:color w:val="auto"/>
        </w:rPr>
      </w:pPr>
    </w:p>
    <w:p>
      <w:pPr>
        <w:jc w:val="both"/>
        <w:ind w:left="320" w:right="80" w:hanging="277"/>
        <w:spacing w:after="0" w:line="257" w:lineRule="auto"/>
        <w:tabs>
          <w:tab w:leader="none" w:pos="32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Consists of shares of our Common Stock that may be acquired upon (a) the exercise of stock options to purchase shares of our Common Stock that are exercisable on or within 60 days of April 22, 2022 (i.e., by June 21, 2022), and (b) the vesting of restricted share units reflecting the right to receive shares of our Common Stock that vest, or the settlement of vested restricted share units that settle, within 60 days of April 22, 2022 (i.e., by June 21, 2022).</w:t>
      </w:r>
    </w:p>
    <w:p>
      <w:pPr>
        <w:spacing w:after="0" w:line="16" w:lineRule="exact"/>
        <w:rPr>
          <w:rFonts w:ascii="Arial" w:cs="Arial" w:eastAsia="Arial" w:hAnsi="Arial"/>
          <w:sz w:val="15"/>
          <w:szCs w:val="15"/>
          <w:color w:val="auto"/>
        </w:rPr>
      </w:pPr>
    </w:p>
    <w:p>
      <w:pPr>
        <w:jc w:val="both"/>
        <w:ind w:left="320" w:right="80" w:hanging="277"/>
        <w:spacing w:after="0" w:line="254" w:lineRule="auto"/>
        <w:tabs>
          <w:tab w:leader="none" w:pos="32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The percent of outstanding shares was calculated by dividing the number of shares of our Common Stock beneficially owned by each beneficial owner or group of beneficial owners as of April 22, 2022 (including the number of shares that each beneficial owner or group of beneficial owners had the right to acquire within 60 days of that date) by the sum of (a) the total number of shares of our Common Stock outstanding on that date (i.e., 781,848,813) and (b) the number of shares that may be acquired by such beneficial owner or group of beneficial owners within 60 days of that date.</w:t>
      </w:r>
    </w:p>
    <w:p>
      <w:pPr>
        <w:spacing w:after="0" w:line="18" w:lineRule="exact"/>
        <w:rPr>
          <w:rFonts w:ascii="Arial" w:cs="Arial" w:eastAsia="Arial" w:hAnsi="Arial"/>
          <w:sz w:val="15"/>
          <w:szCs w:val="15"/>
          <w:color w:val="auto"/>
        </w:rPr>
      </w:pPr>
    </w:p>
    <w:p>
      <w:pPr>
        <w:ind w:left="320" w:hanging="277"/>
        <w:spacing w:after="0"/>
        <w:tabs>
          <w:tab w:leader="none" w:pos="32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Consists of options to purchase shares of our Common Stock.</w:t>
      </w:r>
    </w:p>
    <w:p>
      <w:pPr>
        <w:spacing w:after="0" w:line="41" w:lineRule="exact"/>
        <w:rPr>
          <w:rFonts w:ascii="Arial" w:cs="Arial" w:eastAsia="Arial" w:hAnsi="Arial"/>
          <w:sz w:val="15"/>
          <w:szCs w:val="15"/>
          <w:color w:val="auto"/>
        </w:rPr>
      </w:pPr>
    </w:p>
    <w:p>
      <w:pPr>
        <w:ind w:left="320" w:right="80" w:hanging="277"/>
        <w:spacing w:after="0" w:line="266" w:lineRule="auto"/>
        <w:tabs>
          <w:tab w:leader="none" w:pos="32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Consists of shares of our Common Stock held by the Bowers Family Trust of 2004. Ms. Bowers and her husband, Bobbie S. Bowers, are co-trustees and share voting and investment power with respect to those securities.</w:t>
      </w:r>
    </w:p>
    <w:p>
      <w:pPr>
        <w:spacing w:after="0" w:line="169" w:lineRule="exact"/>
        <w:rPr>
          <w:sz w:val="20"/>
          <w:szCs w:val="20"/>
          <w:color w:val="auto"/>
        </w:rPr>
      </w:pPr>
    </w:p>
    <w:p>
      <w:pPr>
        <w:spacing w:after="0"/>
        <w:tabs>
          <w:tab w:leader="none" w:pos="7360" w:val="left"/>
          <w:tab w:leader="none" w:pos="9380" w:val="left"/>
          <w:tab w:leader="none" w:pos="1100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44" w:name="page145"/>
    <w:bookmarkEnd w:id="144"/>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55" w:lineRule="exact"/>
        <w:rPr>
          <w:sz w:val="20"/>
          <w:szCs w:val="20"/>
          <w:color w:val="auto"/>
        </w:rPr>
      </w:pPr>
    </w:p>
    <w:p>
      <w:pPr>
        <w:ind w:left="340" w:hanging="285"/>
        <w:spacing w:after="0"/>
        <w:tabs>
          <w:tab w:leader="none" w:pos="34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Consists of RSUs.</w:t>
      </w:r>
    </w:p>
    <w:p>
      <w:pPr>
        <w:spacing w:after="0" w:line="41" w:lineRule="exact"/>
        <w:rPr>
          <w:rFonts w:ascii="Arial" w:cs="Arial" w:eastAsia="Arial" w:hAnsi="Arial"/>
          <w:sz w:val="15"/>
          <w:szCs w:val="15"/>
          <w:color w:val="auto"/>
        </w:rPr>
      </w:pPr>
    </w:p>
    <w:p>
      <w:pPr>
        <w:ind w:left="340" w:hanging="285"/>
        <w:spacing w:after="0"/>
        <w:tabs>
          <w:tab w:leader="none" w:pos="34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Consists of (a) 59,409 shares held by the Jo Ann Corti Revocable Trust and (b) 62,278 shares held by the Robert J. Corti Revocable Trust.</w:t>
      </w:r>
    </w:p>
    <w:p>
      <w:pPr>
        <w:spacing w:after="0" w:line="41" w:lineRule="exact"/>
        <w:rPr>
          <w:rFonts w:ascii="Arial" w:cs="Arial" w:eastAsia="Arial" w:hAnsi="Arial"/>
          <w:sz w:val="15"/>
          <w:szCs w:val="15"/>
          <w:color w:val="auto"/>
        </w:rPr>
      </w:pPr>
    </w:p>
    <w:p>
      <w:pPr>
        <w:ind w:left="340" w:right="100" w:hanging="285"/>
        <w:spacing w:after="0" w:line="266" w:lineRule="auto"/>
        <w:tabs>
          <w:tab w:leader="none" w:pos="34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Consists of (a) 37,843 shares directly held by Mr. Hartong, (b) 1,000 shares held in a trust for Mr. Hartong’s son, and (c) 221 shares indirectly held through the Susan Hartong Revocable Trust, as to which Mr. Hartong disclaims beneficial ownership.</w:t>
      </w:r>
    </w:p>
    <w:p>
      <w:pPr>
        <w:spacing w:after="0" w:line="9" w:lineRule="exact"/>
        <w:rPr>
          <w:rFonts w:ascii="Arial" w:cs="Arial" w:eastAsia="Arial" w:hAnsi="Arial"/>
          <w:sz w:val="15"/>
          <w:szCs w:val="15"/>
          <w:color w:val="auto"/>
        </w:rPr>
      </w:pPr>
    </w:p>
    <w:p>
      <w:pPr>
        <w:jc w:val="both"/>
        <w:ind w:left="340" w:right="100" w:hanging="285"/>
        <w:spacing w:after="0" w:line="252" w:lineRule="auto"/>
        <w:tabs>
          <w:tab w:leader="none" w:pos="34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Consists of (a) 22,226 shares directly held by Mr. Kelly, (b) 574,721 shares held by ASAC TJKS LLC, a limited liability company managed by Mr. Kelly, (c) one share held by ASAC II LLC, a limited liability company of which Messrs. Kelly and Kotick are the managers, as to which Mr. Kelly disclaims beneficial ownership except to the extent of his pecuniary interest therein, (d) 526,684 shares held by the 31427N Trust, of which Mr. Kelly is the trustee, as to which Mr. Kelly disclaims beneficial ownership, (e) 32,457 shares held by the Brian &amp; Joelle Kelly Family Foundation, a charitable foundation of which Mr. Kelly is a trustee, as to which Mr. Kelly disclaims beneficial ownership and (f) two shares held indirectly by Delmonte Investments, LLC, of which Mr. Kelly is a member and manager.</w:t>
      </w:r>
    </w:p>
    <w:p>
      <w:pPr>
        <w:spacing w:after="0" w:line="200" w:lineRule="exact"/>
        <w:rPr>
          <w:rFonts w:ascii="Arial" w:cs="Arial" w:eastAsia="Arial" w:hAnsi="Arial"/>
          <w:sz w:val="15"/>
          <w:szCs w:val="15"/>
          <w:color w:val="auto"/>
        </w:rPr>
      </w:pPr>
    </w:p>
    <w:p>
      <w:pPr>
        <w:ind w:left="340" w:hanging="285"/>
        <w:spacing w:after="0"/>
        <w:tabs>
          <w:tab w:leader="none" w:pos="34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Consists of (a) options to purchase 80,676 shares of our Common Stock and (b) 670 RSUs.</w:t>
      </w:r>
    </w:p>
    <w:p>
      <w:pPr>
        <w:spacing w:after="0" w:line="41" w:lineRule="exact"/>
        <w:rPr>
          <w:rFonts w:ascii="Arial" w:cs="Arial" w:eastAsia="Arial" w:hAnsi="Arial"/>
          <w:sz w:val="15"/>
          <w:szCs w:val="15"/>
          <w:color w:val="auto"/>
        </w:rPr>
      </w:pPr>
    </w:p>
    <w:p>
      <w:pPr>
        <w:jc w:val="both"/>
        <w:ind w:left="340" w:right="100" w:hanging="285"/>
        <w:spacing w:after="0" w:line="253" w:lineRule="auto"/>
        <w:tabs>
          <w:tab w:leader="none" w:pos="353" w:val="left"/>
        </w:tabs>
        <w:numPr>
          <w:ilvl w:val="0"/>
          <w:numId w:val="147"/>
        </w:numPr>
        <w:rPr>
          <w:rFonts w:ascii="Arial" w:cs="Arial" w:eastAsia="Arial" w:hAnsi="Arial"/>
          <w:sz w:val="15"/>
          <w:szCs w:val="15"/>
          <w:color w:val="auto"/>
        </w:rPr>
      </w:pPr>
      <w:r>
        <w:rPr>
          <w:rFonts w:ascii="Arial" w:cs="Arial" w:eastAsia="Arial" w:hAnsi="Arial"/>
          <w:sz w:val="15"/>
          <w:szCs w:val="15"/>
          <w:color w:val="auto"/>
        </w:rPr>
        <w:t>Consists of (a) 3,924,881 shares of our Common Stock held in the 10122B Trust, of which Mr. Kotick is the trustee and the sole beneficiary, (b) one share held by ASAC II LLC, a limited liability company of which Messrs. Kelly and Kotick are the managers, as to which Mr. Kotick disclaims beneficial ownership except to the extent of his pecuniary interest therein, (c) 371,666 shares held in the 1011 Foundation, Inc., a charitable foundation of which Mr. Kotick is the president, as to which Mr. Kotick disclaims beneficial ownership, and (d) two shares held indirectly by Delmonte Investments, LLC, of which Mr. Kotick is a member and manager.</w:t>
      </w:r>
    </w:p>
    <w:p>
      <w:pPr>
        <w:spacing w:after="0" w:line="199" w:lineRule="exact"/>
        <w:rPr>
          <w:rFonts w:ascii="Arial" w:cs="Arial" w:eastAsia="Arial" w:hAnsi="Arial"/>
          <w:sz w:val="15"/>
          <w:szCs w:val="15"/>
          <w:color w:val="auto"/>
        </w:rPr>
      </w:pPr>
    </w:p>
    <w:p>
      <w:pPr>
        <w:jc w:val="both"/>
        <w:ind w:left="340" w:right="100" w:hanging="285"/>
        <w:spacing w:after="0" w:line="257" w:lineRule="auto"/>
        <w:tabs>
          <w:tab w:leader="none" w:pos="353" w:val="left"/>
        </w:tabs>
        <w:numPr>
          <w:ilvl w:val="0"/>
          <w:numId w:val="147"/>
        </w:numPr>
        <w:rPr>
          <w:rFonts w:ascii="Arial" w:cs="Arial" w:eastAsia="Arial" w:hAnsi="Arial"/>
          <w:sz w:val="15"/>
          <w:szCs w:val="15"/>
          <w:color w:val="auto"/>
        </w:rPr>
      </w:pPr>
      <w:r>
        <w:rPr>
          <w:rFonts w:ascii="Arial" w:cs="Arial" w:eastAsia="Arial" w:hAnsi="Arial"/>
          <w:sz w:val="15"/>
          <w:szCs w:val="15"/>
          <w:color w:val="auto"/>
        </w:rPr>
        <w:t>Consists of (a) 25,860 shares held by The Barry Meyer Separate Property Trust, a trust for the benefit of Mr. Meyer’s wife and children of which Mr. Meyer is the trustee, and (b) 25,863 shares held by The Barry and Wendy Meyer Trust, of which Mr. Meyer and his wife, Wendy Meyer, are co-trustees and share voting and investment power with respect thereto.</w:t>
      </w:r>
    </w:p>
    <w:p>
      <w:pPr>
        <w:spacing w:after="0" w:line="16" w:lineRule="exact"/>
        <w:rPr>
          <w:rFonts w:ascii="Arial" w:cs="Arial" w:eastAsia="Arial" w:hAnsi="Arial"/>
          <w:sz w:val="15"/>
          <w:szCs w:val="15"/>
          <w:color w:val="auto"/>
        </w:rPr>
      </w:pPr>
    </w:p>
    <w:p>
      <w:pPr>
        <w:ind w:left="340" w:right="100" w:hanging="285"/>
        <w:spacing w:after="0" w:line="266" w:lineRule="auto"/>
        <w:tabs>
          <w:tab w:leader="none" w:pos="353" w:val="left"/>
        </w:tabs>
        <w:numPr>
          <w:ilvl w:val="0"/>
          <w:numId w:val="147"/>
        </w:numPr>
        <w:rPr>
          <w:rFonts w:ascii="Arial" w:cs="Arial" w:eastAsia="Arial" w:hAnsi="Arial"/>
          <w:sz w:val="15"/>
          <w:szCs w:val="15"/>
          <w:color w:val="auto"/>
        </w:rPr>
      </w:pPr>
      <w:r>
        <w:rPr>
          <w:rFonts w:ascii="Arial" w:cs="Arial" w:eastAsia="Arial" w:hAnsi="Arial"/>
          <w:sz w:val="15"/>
          <w:szCs w:val="15"/>
          <w:color w:val="auto"/>
        </w:rPr>
        <w:t>Consists of (a) 80,599.32 shares of our Common Stock held by Mr. Morgado, and (b) 39,490.68 shares held by the Robert J. and Mary Lou Morgado Charitable Trust, a charitable foundation of which Mr. Morgado is a trustee, as to which Mr. Morgado disclaims beneficial ownership.</w:t>
      </w:r>
    </w:p>
    <w:p>
      <w:pPr>
        <w:spacing w:after="0" w:line="9" w:lineRule="exact"/>
        <w:rPr>
          <w:rFonts w:ascii="Arial" w:cs="Arial" w:eastAsia="Arial" w:hAnsi="Arial"/>
          <w:sz w:val="15"/>
          <w:szCs w:val="15"/>
          <w:color w:val="auto"/>
        </w:rPr>
      </w:pPr>
    </w:p>
    <w:p>
      <w:pPr>
        <w:ind w:left="360" w:hanging="305"/>
        <w:spacing w:after="0"/>
        <w:tabs>
          <w:tab w:leader="none" w:pos="3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Consists of (a) options to purchase 44,000 shares of our Common Stock and (b) 670 RSUs.</w:t>
      </w:r>
    </w:p>
    <w:p>
      <w:pPr>
        <w:spacing w:after="0" w:line="41" w:lineRule="exact"/>
        <w:rPr>
          <w:rFonts w:ascii="Arial" w:cs="Arial" w:eastAsia="Arial" w:hAnsi="Arial"/>
          <w:sz w:val="15"/>
          <w:szCs w:val="15"/>
          <w:color w:val="auto"/>
        </w:rPr>
      </w:pPr>
    </w:p>
    <w:p>
      <w:pPr>
        <w:jc w:val="both"/>
        <w:ind w:left="340" w:right="100" w:hanging="285"/>
        <w:spacing w:after="0" w:line="257" w:lineRule="auto"/>
        <w:tabs>
          <w:tab w:leader="none" w:pos="353" w:val="left"/>
        </w:tabs>
        <w:numPr>
          <w:ilvl w:val="0"/>
          <w:numId w:val="147"/>
        </w:numPr>
        <w:rPr>
          <w:rFonts w:ascii="Arial" w:cs="Arial" w:eastAsia="Arial" w:hAnsi="Arial"/>
          <w:sz w:val="15"/>
          <w:szCs w:val="15"/>
          <w:color w:val="auto"/>
        </w:rPr>
      </w:pPr>
      <w:r>
        <w:rPr>
          <w:rFonts w:ascii="Arial" w:cs="Arial" w:eastAsia="Arial" w:hAnsi="Arial"/>
          <w:sz w:val="15"/>
          <w:szCs w:val="15"/>
          <w:color w:val="auto"/>
        </w:rPr>
        <w:t>Consists of (a) 86,392 shares of our Common Stock held by Mr. Nolan, (b) 101,507 shares held by the Nolan Family Trust and (c) 33,550 shares held by MIROEL Investments, LLC, of which Mr. Nolan owns one percent and the remainder is split among three trusts for the benefit of Mr. Nolan’s children and the Nolan Family Trust.</w:t>
      </w:r>
    </w:p>
    <w:p>
      <w:pPr>
        <w:spacing w:after="0" w:line="16" w:lineRule="exact"/>
        <w:rPr>
          <w:rFonts w:ascii="Arial" w:cs="Arial" w:eastAsia="Arial" w:hAnsi="Arial"/>
          <w:sz w:val="15"/>
          <w:szCs w:val="15"/>
          <w:color w:val="auto"/>
        </w:rPr>
      </w:pPr>
    </w:p>
    <w:p>
      <w:pPr>
        <w:ind w:left="360" w:hanging="305"/>
        <w:spacing w:after="0"/>
        <w:tabs>
          <w:tab w:leader="none" w:pos="3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Consists of (a) 23,725 shares of our Common Stock held by the Casey Wasserman Living Trust, and (b) 5.46 shares held by Mr. Wasserman’s wife.</w:t>
      </w:r>
    </w:p>
    <w:p>
      <w:pPr>
        <w:spacing w:after="0" w:line="41" w:lineRule="exact"/>
        <w:rPr>
          <w:rFonts w:ascii="Arial" w:cs="Arial" w:eastAsia="Arial" w:hAnsi="Arial"/>
          <w:sz w:val="15"/>
          <w:szCs w:val="15"/>
          <w:color w:val="auto"/>
        </w:rPr>
      </w:pPr>
    </w:p>
    <w:p>
      <w:pPr>
        <w:ind w:left="340" w:right="100" w:hanging="285"/>
        <w:spacing w:after="0" w:line="266" w:lineRule="auto"/>
        <w:tabs>
          <w:tab w:leader="none" w:pos="353" w:val="left"/>
        </w:tabs>
        <w:numPr>
          <w:ilvl w:val="0"/>
          <w:numId w:val="147"/>
        </w:numPr>
        <w:rPr>
          <w:rFonts w:ascii="Arial" w:cs="Arial" w:eastAsia="Arial" w:hAnsi="Arial"/>
          <w:sz w:val="15"/>
          <w:szCs w:val="15"/>
          <w:color w:val="auto"/>
        </w:rPr>
      </w:pPr>
      <w:r>
        <w:rPr>
          <w:rFonts w:ascii="Arial" w:cs="Arial" w:eastAsia="Arial" w:hAnsi="Arial"/>
          <w:sz w:val="15"/>
          <w:szCs w:val="15"/>
          <w:color w:val="auto"/>
        </w:rPr>
        <w:t>Includes shares of our Common Stock held indirectly by the individuals named in the table as described above, except for Mr. Durkin, who served as an executive officer during 2021, but is no longer employed by the Company.</w:t>
      </w:r>
    </w:p>
    <w:p>
      <w:pPr>
        <w:spacing w:after="0" w:line="9" w:lineRule="exact"/>
        <w:rPr>
          <w:rFonts w:ascii="Arial" w:cs="Arial" w:eastAsia="Arial" w:hAnsi="Arial"/>
          <w:sz w:val="15"/>
          <w:szCs w:val="15"/>
          <w:color w:val="auto"/>
        </w:rPr>
      </w:pPr>
    </w:p>
    <w:p>
      <w:pPr>
        <w:ind w:left="360" w:hanging="305"/>
        <w:spacing w:after="0"/>
        <w:tabs>
          <w:tab w:leader="none" w:pos="3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Consists of (a) option to purchase 2,533,535 shares of our Common Stock and (b) 6,030 RSUs.</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SECURITY OWNERSHIP OF HOLDERS OF MORE THAN 5% OF OUR COMMON STOCK</w:t>
      </w:r>
    </w:p>
    <w:p>
      <w:pPr>
        <w:spacing w:after="0" w:line="30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following table sets forth information as to any person (including any “group” as that term is used in Section 13(d)(3) of the Exchange Act known by us to be the beneficial owner of more than 5% of our Common Stock. The information in the table is based on a review of filings made with the SEC on Schedules 13D and 13G and the assumption that each of the persons named in the table continued to own the number of shares reflected in the table on April 22, 2022. As of April 22, 2022, there were 781,848,813 shares of our Common Stock outstanding.</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20" w:type="dxa"/>
            <w:vAlign w:val="bottom"/>
          </w:tcPr>
          <w:p>
            <w:pPr>
              <w:spacing w:after="0"/>
              <w:rPr>
                <w:sz w:val="15"/>
                <w:szCs w:val="15"/>
                <w:color w:val="auto"/>
              </w:rPr>
            </w:pPr>
          </w:p>
        </w:tc>
        <w:tc>
          <w:tcPr>
            <w:tcW w:w="5320" w:type="dxa"/>
            <w:vAlign w:val="bottom"/>
          </w:tcPr>
          <w:p>
            <w:pPr>
              <w:jc w:val="right"/>
              <w:ind w:right="1482"/>
              <w:spacing w:after="0"/>
              <w:rPr>
                <w:sz w:val="20"/>
                <w:szCs w:val="20"/>
                <w:color w:val="auto"/>
              </w:rPr>
            </w:pPr>
            <w:r>
              <w:rPr>
                <w:rFonts w:ascii="Arial" w:cs="Arial" w:eastAsia="Arial" w:hAnsi="Arial"/>
                <w:sz w:val="15"/>
                <w:szCs w:val="15"/>
                <w:b w:val="1"/>
                <w:bCs w:val="1"/>
                <w:color w:val="125288"/>
              </w:rPr>
              <w:t>Shares of Activision Blizzard</w:t>
            </w:r>
          </w:p>
        </w:tc>
        <w:tc>
          <w:tcPr>
            <w:tcW w:w="1920" w:type="dxa"/>
            <w:vAlign w:val="bottom"/>
          </w:tcPr>
          <w:p>
            <w:pPr>
              <w:jc w:val="right"/>
              <w:spacing w:after="0"/>
              <w:rPr>
                <w:sz w:val="20"/>
                <w:szCs w:val="20"/>
                <w:color w:val="auto"/>
              </w:rPr>
            </w:pPr>
            <w:r>
              <w:rPr>
                <w:rFonts w:ascii="Arial" w:cs="Arial" w:eastAsia="Arial" w:hAnsi="Arial"/>
                <w:sz w:val="15"/>
                <w:szCs w:val="15"/>
                <w:b w:val="1"/>
                <w:bCs w:val="1"/>
                <w:color w:val="125288"/>
              </w:rPr>
              <w:t>Percent of</w:t>
            </w:r>
          </w:p>
        </w:tc>
      </w:tr>
      <w:tr>
        <w:trPr>
          <w:trHeight w:val="205"/>
        </w:trPr>
        <w:tc>
          <w:tcPr>
            <w:tcW w:w="4020" w:type="dxa"/>
            <w:vAlign w:val="bottom"/>
            <w:tcBorders>
              <w:bottom w:val="single" w:sz="8" w:color="125288"/>
            </w:tcBorders>
          </w:tcPr>
          <w:p>
            <w:pPr>
              <w:spacing w:after="0"/>
              <w:rPr>
                <w:sz w:val="17"/>
                <w:szCs w:val="17"/>
                <w:color w:val="auto"/>
              </w:rPr>
            </w:pPr>
          </w:p>
        </w:tc>
        <w:tc>
          <w:tcPr>
            <w:tcW w:w="5320" w:type="dxa"/>
            <w:vAlign w:val="bottom"/>
            <w:tcBorders>
              <w:bottom w:val="single" w:sz="8" w:color="125288"/>
            </w:tcBorders>
          </w:tcPr>
          <w:p>
            <w:pPr>
              <w:jc w:val="right"/>
              <w:ind w:right="1482"/>
              <w:spacing w:after="0"/>
              <w:rPr>
                <w:sz w:val="20"/>
                <w:szCs w:val="20"/>
                <w:color w:val="auto"/>
              </w:rPr>
            </w:pPr>
            <w:r>
              <w:rPr>
                <w:rFonts w:ascii="Arial" w:cs="Arial" w:eastAsia="Arial" w:hAnsi="Arial"/>
                <w:sz w:val="15"/>
                <w:szCs w:val="15"/>
                <w:b w:val="1"/>
                <w:bCs w:val="1"/>
                <w:color w:val="125288"/>
              </w:rPr>
              <w:t>Beneficially Owned</w:t>
            </w:r>
          </w:p>
        </w:tc>
        <w:tc>
          <w:tcPr>
            <w:tcW w:w="1920" w:type="dxa"/>
            <w:vAlign w:val="bottom"/>
            <w:tcBorders>
              <w:bottom w:val="single" w:sz="8" w:color="125288"/>
            </w:tcBorders>
          </w:tcPr>
          <w:p>
            <w:pPr>
              <w:jc w:val="right"/>
              <w:spacing w:after="0"/>
              <w:rPr>
                <w:sz w:val="20"/>
                <w:szCs w:val="20"/>
                <w:color w:val="auto"/>
              </w:rPr>
            </w:pPr>
            <w:r>
              <w:rPr>
                <w:rFonts w:ascii="Arial" w:cs="Arial" w:eastAsia="Arial" w:hAnsi="Arial"/>
                <w:sz w:val="15"/>
                <w:szCs w:val="15"/>
                <w:b w:val="1"/>
                <w:bCs w:val="1"/>
                <w:color w:val="125288"/>
              </w:rPr>
              <w:t>Outstanding Shares</w:t>
            </w:r>
          </w:p>
        </w:tc>
      </w:tr>
      <w:tr>
        <w:trPr>
          <w:trHeight w:val="228"/>
        </w:trPr>
        <w:tc>
          <w:tcPr>
            <w:tcW w:w="4020" w:type="dxa"/>
            <w:vAlign w:val="bottom"/>
          </w:tcPr>
          <w:p>
            <w:pPr>
              <w:ind w:left="40"/>
              <w:spacing w:after="0"/>
              <w:rPr>
                <w:sz w:val="20"/>
                <w:szCs w:val="20"/>
                <w:color w:val="auto"/>
              </w:rPr>
            </w:pPr>
            <w:r>
              <w:rPr>
                <w:rFonts w:ascii="Arial" w:cs="Arial" w:eastAsia="Arial" w:hAnsi="Arial"/>
                <w:sz w:val="17"/>
                <w:szCs w:val="17"/>
                <w:color w:val="auto"/>
              </w:rPr>
              <w:t>The Vanguard Group</w:t>
            </w:r>
          </w:p>
        </w:tc>
        <w:tc>
          <w:tcPr>
            <w:tcW w:w="5320" w:type="dxa"/>
            <w:vAlign w:val="bottom"/>
          </w:tcPr>
          <w:p>
            <w:pPr>
              <w:jc w:val="right"/>
              <w:ind w:right="1302"/>
              <w:spacing w:after="0" w:line="228" w:lineRule="exact"/>
              <w:rPr>
                <w:sz w:val="20"/>
                <w:szCs w:val="20"/>
                <w:color w:val="auto"/>
              </w:rPr>
            </w:pPr>
            <w:r>
              <w:rPr>
                <w:rFonts w:ascii="Arial" w:cs="Arial" w:eastAsia="Arial" w:hAnsi="Arial"/>
                <w:sz w:val="16"/>
                <w:szCs w:val="16"/>
                <w:color w:val="auto"/>
              </w:rPr>
              <w:t>64,883,729</w:t>
            </w:r>
            <w:r>
              <w:rPr>
                <w:rFonts w:ascii="Arial" w:cs="Arial" w:eastAsia="Arial" w:hAnsi="Arial"/>
                <w:sz w:val="26"/>
                <w:szCs w:val="26"/>
                <w:color w:val="auto"/>
                <w:vertAlign w:val="superscript"/>
              </w:rPr>
              <w:t>(1)</w:t>
            </w:r>
          </w:p>
        </w:tc>
        <w:tc>
          <w:tcPr>
            <w:tcW w:w="1920" w:type="dxa"/>
            <w:vAlign w:val="bottom"/>
          </w:tcPr>
          <w:p>
            <w:pPr>
              <w:jc w:val="right"/>
              <w:spacing w:after="0"/>
              <w:rPr>
                <w:sz w:val="20"/>
                <w:szCs w:val="20"/>
                <w:color w:val="auto"/>
              </w:rPr>
            </w:pPr>
            <w:r>
              <w:rPr>
                <w:rFonts w:ascii="Arial" w:cs="Arial" w:eastAsia="Arial" w:hAnsi="Arial"/>
                <w:sz w:val="17"/>
                <w:szCs w:val="17"/>
                <w:color w:val="auto"/>
              </w:rPr>
              <w:t>8.30%</w:t>
            </w:r>
          </w:p>
        </w:tc>
      </w:tr>
      <w:tr>
        <w:trPr>
          <w:trHeight w:val="190"/>
        </w:trPr>
        <w:tc>
          <w:tcPr>
            <w:tcW w:w="4020" w:type="dxa"/>
            <w:vAlign w:val="bottom"/>
          </w:tcPr>
          <w:p>
            <w:pPr>
              <w:ind w:left="40"/>
              <w:spacing w:after="0" w:line="190" w:lineRule="exact"/>
              <w:rPr>
                <w:sz w:val="20"/>
                <w:szCs w:val="20"/>
                <w:color w:val="auto"/>
              </w:rPr>
            </w:pPr>
            <w:r>
              <w:rPr>
                <w:rFonts w:ascii="Arial" w:cs="Arial" w:eastAsia="Arial" w:hAnsi="Arial"/>
                <w:sz w:val="17"/>
                <w:szCs w:val="17"/>
                <w:i w:val="1"/>
                <w:iCs w:val="1"/>
                <w:color w:val="auto"/>
              </w:rPr>
              <w:t>100 Vanguard Blvd.</w:t>
            </w:r>
          </w:p>
        </w:tc>
        <w:tc>
          <w:tcPr>
            <w:tcW w:w="532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219"/>
        </w:trPr>
        <w:tc>
          <w:tcPr>
            <w:tcW w:w="4020" w:type="dxa"/>
            <w:vAlign w:val="bottom"/>
          </w:tcPr>
          <w:p>
            <w:pPr>
              <w:ind w:left="40"/>
              <w:spacing w:after="0"/>
              <w:rPr>
                <w:sz w:val="20"/>
                <w:szCs w:val="20"/>
                <w:color w:val="auto"/>
              </w:rPr>
            </w:pPr>
            <w:r>
              <w:rPr>
                <w:rFonts w:ascii="Arial" w:cs="Arial" w:eastAsia="Arial" w:hAnsi="Arial"/>
                <w:sz w:val="17"/>
                <w:szCs w:val="17"/>
                <w:i w:val="1"/>
                <w:iCs w:val="1"/>
                <w:color w:val="auto"/>
              </w:rPr>
              <w:t>Malvern, PA 19355</w:t>
            </w:r>
          </w:p>
        </w:tc>
        <w:tc>
          <w:tcPr>
            <w:tcW w:w="532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3"/>
        </w:trPr>
        <w:tc>
          <w:tcPr>
            <w:tcW w:w="4020" w:type="dxa"/>
            <w:vAlign w:val="bottom"/>
            <w:tcBorders>
              <w:bottom w:val="single" w:sz="8" w:color="125288"/>
            </w:tcBorders>
          </w:tcPr>
          <w:p>
            <w:pPr>
              <w:spacing w:after="0"/>
              <w:rPr>
                <w:sz w:val="2"/>
                <w:szCs w:val="2"/>
                <w:color w:val="auto"/>
              </w:rPr>
            </w:pPr>
          </w:p>
        </w:tc>
        <w:tc>
          <w:tcPr>
            <w:tcW w:w="5320" w:type="dxa"/>
            <w:vAlign w:val="bottom"/>
            <w:tcBorders>
              <w:bottom w:val="single" w:sz="8" w:color="125288"/>
            </w:tcBorders>
          </w:tcPr>
          <w:p>
            <w:pPr>
              <w:spacing w:after="0"/>
              <w:rPr>
                <w:sz w:val="2"/>
                <w:szCs w:val="2"/>
                <w:color w:val="auto"/>
              </w:rPr>
            </w:pPr>
          </w:p>
        </w:tc>
        <w:tc>
          <w:tcPr>
            <w:tcW w:w="1920" w:type="dxa"/>
            <w:vAlign w:val="bottom"/>
            <w:tcBorders>
              <w:bottom w:val="single" w:sz="8" w:color="125288"/>
            </w:tcBorders>
          </w:tcPr>
          <w:p>
            <w:pPr>
              <w:spacing w:after="0"/>
              <w:rPr>
                <w:sz w:val="2"/>
                <w:szCs w:val="2"/>
                <w:color w:val="auto"/>
              </w:rPr>
            </w:pPr>
          </w:p>
        </w:tc>
      </w:tr>
      <w:tr>
        <w:trPr>
          <w:trHeight w:val="227"/>
        </w:trPr>
        <w:tc>
          <w:tcPr>
            <w:tcW w:w="4020" w:type="dxa"/>
            <w:vAlign w:val="bottom"/>
          </w:tcPr>
          <w:p>
            <w:pPr>
              <w:ind w:left="40"/>
              <w:spacing w:after="0"/>
              <w:rPr>
                <w:sz w:val="20"/>
                <w:szCs w:val="20"/>
                <w:color w:val="auto"/>
              </w:rPr>
            </w:pPr>
            <w:r>
              <w:rPr>
                <w:rFonts w:ascii="Arial" w:cs="Arial" w:eastAsia="Arial" w:hAnsi="Arial"/>
                <w:sz w:val="17"/>
                <w:szCs w:val="17"/>
                <w:color w:val="auto"/>
              </w:rPr>
              <w:t>BlackRock, Inc.</w:t>
            </w:r>
          </w:p>
        </w:tc>
        <w:tc>
          <w:tcPr>
            <w:tcW w:w="5320" w:type="dxa"/>
            <w:vAlign w:val="bottom"/>
          </w:tcPr>
          <w:p>
            <w:pPr>
              <w:jc w:val="right"/>
              <w:ind w:right="1302"/>
              <w:spacing w:after="0" w:line="227" w:lineRule="exact"/>
              <w:rPr>
                <w:sz w:val="20"/>
                <w:szCs w:val="20"/>
                <w:color w:val="auto"/>
              </w:rPr>
            </w:pPr>
            <w:r>
              <w:rPr>
                <w:rFonts w:ascii="Arial" w:cs="Arial" w:eastAsia="Arial" w:hAnsi="Arial"/>
                <w:sz w:val="16"/>
                <w:szCs w:val="16"/>
                <w:color w:val="auto"/>
              </w:rPr>
              <w:t>61,381,263</w:t>
            </w:r>
            <w:r>
              <w:rPr>
                <w:rFonts w:ascii="Arial" w:cs="Arial" w:eastAsia="Arial" w:hAnsi="Arial"/>
                <w:sz w:val="26"/>
                <w:szCs w:val="26"/>
                <w:color w:val="auto"/>
                <w:vertAlign w:val="superscript"/>
              </w:rPr>
              <w:t>(2)</w:t>
            </w:r>
          </w:p>
        </w:tc>
        <w:tc>
          <w:tcPr>
            <w:tcW w:w="1920" w:type="dxa"/>
            <w:vAlign w:val="bottom"/>
          </w:tcPr>
          <w:p>
            <w:pPr>
              <w:jc w:val="right"/>
              <w:spacing w:after="0"/>
              <w:rPr>
                <w:sz w:val="20"/>
                <w:szCs w:val="20"/>
                <w:color w:val="auto"/>
              </w:rPr>
            </w:pPr>
            <w:r>
              <w:rPr>
                <w:rFonts w:ascii="Arial" w:cs="Arial" w:eastAsia="Arial" w:hAnsi="Arial"/>
                <w:sz w:val="17"/>
                <w:szCs w:val="17"/>
                <w:color w:val="auto"/>
              </w:rPr>
              <w:t>7.85%</w:t>
            </w:r>
          </w:p>
        </w:tc>
      </w:tr>
      <w:tr>
        <w:trPr>
          <w:trHeight w:val="190"/>
        </w:trPr>
        <w:tc>
          <w:tcPr>
            <w:tcW w:w="4020" w:type="dxa"/>
            <w:vAlign w:val="bottom"/>
          </w:tcPr>
          <w:p>
            <w:pPr>
              <w:ind w:left="40"/>
              <w:spacing w:after="0" w:line="190" w:lineRule="exact"/>
              <w:rPr>
                <w:sz w:val="20"/>
                <w:szCs w:val="20"/>
                <w:color w:val="auto"/>
              </w:rPr>
            </w:pPr>
            <w:r>
              <w:rPr>
                <w:rFonts w:ascii="Arial" w:cs="Arial" w:eastAsia="Arial" w:hAnsi="Arial"/>
                <w:sz w:val="17"/>
                <w:szCs w:val="17"/>
                <w:i w:val="1"/>
                <w:iCs w:val="1"/>
                <w:color w:val="auto"/>
              </w:rPr>
              <w:t>55 East 52nd Street</w:t>
            </w:r>
          </w:p>
        </w:tc>
        <w:tc>
          <w:tcPr>
            <w:tcW w:w="532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219"/>
        </w:trPr>
        <w:tc>
          <w:tcPr>
            <w:tcW w:w="4020" w:type="dxa"/>
            <w:vAlign w:val="bottom"/>
          </w:tcPr>
          <w:p>
            <w:pPr>
              <w:ind w:left="40"/>
              <w:spacing w:after="0"/>
              <w:rPr>
                <w:sz w:val="20"/>
                <w:szCs w:val="20"/>
                <w:color w:val="auto"/>
              </w:rPr>
            </w:pPr>
            <w:r>
              <w:rPr>
                <w:rFonts w:ascii="Arial" w:cs="Arial" w:eastAsia="Arial" w:hAnsi="Arial"/>
                <w:sz w:val="17"/>
                <w:szCs w:val="17"/>
                <w:i w:val="1"/>
                <w:iCs w:val="1"/>
                <w:color w:val="auto"/>
              </w:rPr>
              <w:t>New York, NY 10055</w:t>
            </w:r>
          </w:p>
        </w:tc>
        <w:tc>
          <w:tcPr>
            <w:tcW w:w="532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3"/>
        </w:trPr>
        <w:tc>
          <w:tcPr>
            <w:tcW w:w="4020" w:type="dxa"/>
            <w:vAlign w:val="bottom"/>
            <w:tcBorders>
              <w:bottom w:val="single" w:sz="8" w:color="125288"/>
            </w:tcBorders>
          </w:tcPr>
          <w:p>
            <w:pPr>
              <w:spacing w:after="0"/>
              <w:rPr>
                <w:sz w:val="2"/>
                <w:szCs w:val="2"/>
                <w:color w:val="auto"/>
              </w:rPr>
            </w:pPr>
          </w:p>
        </w:tc>
        <w:tc>
          <w:tcPr>
            <w:tcW w:w="5320" w:type="dxa"/>
            <w:vAlign w:val="bottom"/>
            <w:tcBorders>
              <w:bottom w:val="single" w:sz="8" w:color="125288"/>
            </w:tcBorders>
          </w:tcPr>
          <w:p>
            <w:pPr>
              <w:spacing w:after="0"/>
              <w:rPr>
                <w:sz w:val="2"/>
                <w:szCs w:val="2"/>
                <w:color w:val="auto"/>
              </w:rPr>
            </w:pPr>
          </w:p>
        </w:tc>
        <w:tc>
          <w:tcPr>
            <w:tcW w:w="1920" w:type="dxa"/>
            <w:vAlign w:val="bottom"/>
            <w:tcBorders>
              <w:bottom w:val="single" w:sz="8" w:color="125288"/>
            </w:tcBorders>
          </w:tcPr>
          <w:p>
            <w:pPr>
              <w:spacing w:after="0"/>
              <w:rPr>
                <w:sz w:val="2"/>
                <w:szCs w:val="2"/>
                <w:color w:val="auto"/>
              </w:rPr>
            </w:pPr>
          </w:p>
        </w:tc>
      </w:tr>
      <w:tr>
        <w:trPr>
          <w:trHeight w:val="227"/>
        </w:trPr>
        <w:tc>
          <w:tcPr>
            <w:tcW w:w="4020" w:type="dxa"/>
            <w:vAlign w:val="bottom"/>
          </w:tcPr>
          <w:p>
            <w:pPr>
              <w:ind w:left="40"/>
              <w:spacing w:after="0"/>
              <w:rPr>
                <w:sz w:val="20"/>
                <w:szCs w:val="20"/>
                <w:color w:val="auto"/>
              </w:rPr>
            </w:pPr>
            <w:r>
              <w:rPr>
                <w:rFonts w:ascii="Arial" w:cs="Arial" w:eastAsia="Arial" w:hAnsi="Arial"/>
                <w:sz w:val="17"/>
                <w:szCs w:val="17"/>
                <w:color w:val="auto"/>
              </w:rPr>
              <w:t>Capital International Investors</w:t>
            </w:r>
          </w:p>
        </w:tc>
        <w:tc>
          <w:tcPr>
            <w:tcW w:w="5320" w:type="dxa"/>
            <w:vAlign w:val="bottom"/>
          </w:tcPr>
          <w:p>
            <w:pPr>
              <w:jc w:val="right"/>
              <w:ind w:right="1302"/>
              <w:spacing w:after="0" w:line="227" w:lineRule="exact"/>
              <w:rPr>
                <w:sz w:val="20"/>
                <w:szCs w:val="20"/>
                <w:color w:val="auto"/>
              </w:rPr>
            </w:pPr>
            <w:r>
              <w:rPr>
                <w:rFonts w:ascii="Arial" w:cs="Arial" w:eastAsia="Arial" w:hAnsi="Arial"/>
                <w:sz w:val="16"/>
                <w:szCs w:val="16"/>
                <w:color w:val="auto"/>
              </w:rPr>
              <w:t>41,106,446</w:t>
            </w:r>
            <w:r>
              <w:rPr>
                <w:rFonts w:ascii="Arial" w:cs="Arial" w:eastAsia="Arial" w:hAnsi="Arial"/>
                <w:sz w:val="26"/>
                <w:szCs w:val="26"/>
                <w:color w:val="auto"/>
                <w:vertAlign w:val="superscript"/>
              </w:rPr>
              <w:t>(3)</w:t>
            </w:r>
          </w:p>
        </w:tc>
        <w:tc>
          <w:tcPr>
            <w:tcW w:w="1920" w:type="dxa"/>
            <w:vAlign w:val="bottom"/>
          </w:tcPr>
          <w:p>
            <w:pPr>
              <w:jc w:val="right"/>
              <w:spacing w:after="0"/>
              <w:rPr>
                <w:sz w:val="20"/>
                <w:szCs w:val="20"/>
                <w:color w:val="auto"/>
              </w:rPr>
            </w:pPr>
            <w:r>
              <w:rPr>
                <w:rFonts w:ascii="Arial" w:cs="Arial" w:eastAsia="Arial" w:hAnsi="Arial"/>
                <w:sz w:val="17"/>
                <w:szCs w:val="17"/>
                <w:color w:val="auto"/>
              </w:rPr>
              <w:t>5.26%</w:t>
            </w:r>
          </w:p>
        </w:tc>
      </w:tr>
      <w:tr>
        <w:trPr>
          <w:trHeight w:val="190"/>
        </w:trPr>
        <w:tc>
          <w:tcPr>
            <w:tcW w:w="4020" w:type="dxa"/>
            <w:vAlign w:val="bottom"/>
          </w:tcPr>
          <w:p>
            <w:pPr>
              <w:ind w:left="40"/>
              <w:spacing w:after="0" w:line="190" w:lineRule="exact"/>
              <w:rPr>
                <w:sz w:val="20"/>
                <w:szCs w:val="20"/>
                <w:color w:val="auto"/>
              </w:rPr>
            </w:pPr>
            <w:r>
              <w:rPr>
                <w:rFonts w:ascii="Arial" w:cs="Arial" w:eastAsia="Arial" w:hAnsi="Arial"/>
                <w:sz w:val="17"/>
                <w:szCs w:val="17"/>
                <w:i w:val="1"/>
                <w:iCs w:val="1"/>
                <w:color w:val="auto"/>
              </w:rPr>
              <w:t>333 South Hope Street, 55th Fl.</w:t>
            </w:r>
          </w:p>
        </w:tc>
        <w:tc>
          <w:tcPr>
            <w:tcW w:w="532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219"/>
        </w:trPr>
        <w:tc>
          <w:tcPr>
            <w:tcW w:w="4020" w:type="dxa"/>
            <w:vAlign w:val="bottom"/>
          </w:tcPr>
          <w:p>
            <w:pPr>
              <w:ind w:left="40"/>
              <w:spacing w:after="0"/>
              <w:rPr>
                <w:sz w:val="20"/>
                <w:szCs w:val="20"/>
                <w:color w:val="auto"/>
              </w:rPr>
            </w:pPr>
            <w:r>
              <w:rPr>
                <w:rFonts w:ascii="Arial" w:cs="Arial" w:eastAsia="Arial" w:hAnsi="Arial"/>
                <w:sz w:val="17"/>
                <w:szCs w:val="17"/>
                <w:i w:val="1"/>
                <w:iCs w:val="1"/>
                <w:color w:val="auto"/>
              </w:rPr>
              <w:t>Los Angeles, CA 90071</w:t>
            </w:r>
          </w:p>
        </w:tc>
        <w:tc>
          <w:tcPr>
            <w:tcW w:w="532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7"/>
        </w:trPr>
        <w:tc>
          <w:tcPr>
            <w:tcW w:w="4020" w:type="dxa"/>
            <w:vAlign w:val="bottom"/>
            <w:tcBorders>
              <w:bottom w:val="single" w:sz="8" w:color="125288"/>
            </w:tcBorders>
          </w:tcPr>
          <w:p>
            <w:pPr>
              <w:spacing w:after="0"/>
              <w:rPr>
                <w:sz w:val="3"/>
                <w:szCs w:val="3"/>
                <w:color w:val="auto"/>
              </w:rPr>
            </w:pPr>
          </w:p>
        </w:tc>
        <w:tc>
          <w:tcPr>
            <w:tcW w:w="5320" w:type="dxa"/>
            <w:vAlign w:val="bottom"/>
            <w:tcBorders>
              <w:bottom w:val="single" w:sz="8" w:color="125288"/>
            </w:tcBorders>
          </w:tcPr>
          <w:p>
            <w:pPr>
              <w:spacing w:after="0"/>
              <w:rPr>
                <w:sz w:val="3"/>
                <w:szCs w:val="3"/>
                <w:color w:val="auto"/>
              </w:rPr>
            </w:pPr>
          </w:p>
        </w:tc>
        <w:tc>
          <w:tcPr>
            <w:tcW w:w="1920" w:type="dxa"/>
            <w:vAlign w:val="bottom"/>
            <w:tcBorders>
              <w:bottom w:val="single" w:sz="8" w:color="125288"/>
            </w:tcBorders>
          </w:tcPr>
          <w:p>
            <w:pPr>
              <w:spacing w:after="0"/>
              <w:rPr>
                <w:sz w:val="3"/>
                <w:szCs w:val="3"/>
                <w:color w:val="auto"/>
              </w:rPr>
            </w:pPr>
          </w:p>
        </w:tc>
      </w:tr>
      <w:tr>
        <w:trPr>
          <w:trHeight w:val="446"/>
        </w:trPr>
        <w:tc>
          <w:tcPr>
            <w:tcW w:w="4020" w:type="dxa"/>
            <w:vAlign w:val="bottom"/>
          </w:tcPr>
          <w:p>
            <w:pPr>
              <w:spacing w:after="0"/>
              <w:rPr>
                <w:sz w:val="20"/>
                <w:szCs w:val="20"/>
                <w:color w:val="auto"/>
              </w:rPr>
            </w:pPr>
            <w:r>
              <w:rPr>
                <w:rFonts w:ascii="Arial" w:cs="Arial" w:eastAsia="Arial" w:hAnsi="Arial"/>
                <w:sz w:val="14"/>
                <w:szCs w:val="14"/>
                <w:color w:val="706F6F"/>
              </w:rPr>
              <w:t>www.activisionblizzard.com</w:t>
            </w:r>
          </w:p>
        </w:tc>
        <w:tc>
          <w:tcPr>
            <w:tcW w:w="5320" w:type="dxa"/>
            <w:vAlign w:val="bottom"/>
          </w:tcPr>
          <w:p>
            <w:pPr>
              <w:jc w:val="right"/>
              <w:spacing w:after="0"/>
              <w:rPr>
                <w:sz w:val="20"/>
                <w:szCs w:val="20"/>
                <w:color w:val="auto"/>
              </w:rPr>
            </w:pPr>
            <w:r>
              <w:rPr>
                <w:rFonts w:ascii="Arial" w:cs="Arial" w:eastAsia="Arial" w:hAnsi="Arial"/>
                <w:sz w:val="14"/>
                <w:szCs w:val="14"/>
                <w:color w:val="706F6F"/>
              </w:rPr>
              <w:t>ACTIVISION BLIZZARD, INC.</w:t>
            </w:r>
          </w:p>
        </w:tc>
        <w:tc>
          <w:tcPr>
            <w:tcW w:w="1920" w:type="dxa"/>
            <w:vAlign w:val="bottom"/>
          </w:tcPr>
          <w:p>
            <w:pPr>
              <w:jc w:val="right"/>
              <w:spacing w:after="0"/>
              <w:rPr>
                <w:sz w:val="20"/>
                <w:szCs w:val="20"/>
                <w:color w:val="auto"/>
              </w:rPr>
            </w:pPr>
            <w:r>
              <w:rPr>
                <w:rFonts w:ascii="Arial" w:cs="Arial" w:eastAsia="Arial" w:hAnsi="Arial"/>
                <w:sz w:val="14"/>
                <w:szCs w:val="14"/>
                <w:color w:val="706F6F"/>
              </w:rPr>
              <w:t xml:space="preserve">2022 Proxy Statement   </w:t>
            </w:r>
            <w:r>
              <w:rPr>
                <w:rFonts w:ascii="Arial" w:cs="Arial" w:eastAsia="Arial" w:hAnsi="Arial"/>
                <w:sz w:val="14"/>
                <w:szCs w:val="14"/>
                <w:b w:val="1"/>
                <w:bCs w:val="1"/>
                <w:color w:val="706F6F"/>
              </w:rPr>
              <w:t>142</w:t>
            </w:r>
          </w:p>
        </w:tc>
      </w:tr>
      <w:tr>
        <w:trPr>
          <w:trHeight w:val="93"/>
        </w:trPr>
        <w:tc>
          <w:tcPr>
            <w:tcW w:w="4020" w:type="dxa"/>
            <w:vAlign w:val="bottom"/>
            <w:tcBorders>
              <w:bottom w:val="single" w:sz="8" w:color="808080"/>
            </w:tcBorders>
          </w:tcPr>
          <w:p>
            <w:pPr>
              <w:spacing w:after="0"/>
              <w:rPr>
                <w:sz w:val="8"/>
                <w:szCs w:val="8"/>
                <w:color w:val="auto"/>
              </w:rPr>
            </w:pPr>
          </w:p>
        </w:tc>
        <w:tc>
          <w:tcPr>
            <w:tcW w:w="5320" w:type="dxa"/>
            <w:vAlign w:val="bottom"/>
            <w:tcBorders>
              <w:bottom w:val="single" w:sz="8" w:color="808080"/>
            </w:tcBorders>
          </w:tcPr>
          <w:p>
            <w:pPr>
              <w:spacing w:after="0"/>
              <w:rPr>
                <w:sz w:val="8"/>
                <w:szCs w:val="8"/>
                <w:color w:val="auto"/>
              </w:rPr>
            </w:pPr>
          </w:p>
        </w:tc>
        <w:tc>
          <w:tcPr>
            <w:tcW w:w="1920" w:type="dxa"/>
            <w:vAlign w:val="bottom"/>
            <w:tcBorders>
              <w:bottom w:val="single" w:sz="8" w:color="808080"/>
            </w:tcBorders>
          </w:tcPr>
          <w:p>
            <w:pPr>
              <w:spacing w:after="0"/>
              <w:rPr>
                <w:sz w:val="8"/>
                <w:szCs w:val="8"/>
                <w:color w:val="auto"/>
              </w:rPr>
            </w:pPr>
          </w:p>
        </w:tc>
      </w:tr>
    </w:tbl>
    <w:p>
      <w:pPr>
        <w:sectPr>
          <w:pgSz w:w="11900" w:h="16838" w:orient="portrait"/>
          <w:cols w:equalWidth="0" w:num="1">
            <w:col w:w="11260"/>
          </w:cols>
          <w:pgMar w:left="320" w:top="144" w:right="319" w:bottom="1440" w:gutter="0" w:footer="0" w:header="0"/>
        </w:sectPr>
      </w:pPr>
    </w:p>
    <w:bookmarkStart w:id="145" w:name="page146"/>
    <w:bookmarkEnd w:id="145"/>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55" w:lineRule="exact"/>
        <w:rPr>
          <w:sz w:val="20"/>
          <w:szCs w:val="20"/>
          <w:color w:val="auto"/>
        </w:rPr>
      </w:pPr>
    </w:p>
    <w:p>
      <w:pPr>
        <w:jc w:val="both"/>
        <w:ind w:left="340" w:right="100" w:hanging="285"/>
        <w:spacing w:after="0" w:line="254" w:lineRule="auto"/>
        <w:tabs>
          <w:tab w:leader="none" w:pos="34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This information is based solely on a Schedule 13G/A filed with the SEC by The Vanguard Group, together with various of its direct and indirect subsidiaries, in their various fiduciary and other capacities, on February 9, 2022. The Vanguard Group reported that as of December 31, 2021, it had shared voting power over 1,242,933 shares of our Common Stock, sole dispositive power over 61,739,820 shares of our Common Stock, and shared dispositive power over 3,143,909 shares of our Common Stock.</w:t>
      </w:r>
    </w:p>
    <w:p>
      <w:pPr>
        <w:spacing w:after="0" w:line="18" w:lineRule="exact"/>
        <w:rPr>
          <w:rFonts w:ascii="Arial" w:cs="Arial" w:eastAsia="Arial" w:hAnsi="Arial"/>
          <w:sz w:val="15"/>
          <w:szCs w:val="15"/>
          <w:color w:val="auto"/>
        </w:rPr>
      </w:pPr>
    </w:p>
    <w:p>
      <w:pPr>
        <w:jc w:val="both"/>
        <w:ind w:left="340" w:right="100" w:hanging="285"/>
        <w:spacing w:after="0" w:line="257" w:lineRule="auto"/>
        <w:tabs>
          <w:tab w:leader="none" w:pos="34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This information is based solely on a Schedule 13G/A filed with the SEC by BlackRock, Inc., together with various of its direct and indirect subsidiaries, in their various fiduciary and other capacities, on February 1, 2022. BlackRock, Inc. reported that as of December 31, 2021, it had sole voting power over 53,762,695 shares of our Common Stock and sole dispositive power over 61,381,263 shares our Common Stock.</w:t>
      </w:r>
    </w:p>
    <w:p>
      <w:pPr>
        <w:spacing w:after="0" w:line="16" w:lineRule="exact"/>
        <w:rPr>
          <w:rFonts w:ascii="Arial" w:cs="Arial" w:eastAsia="Arial" w:hAnsi="Arial"/>
          <w:sz w:val="15"/>
          <w:szCs w:val="15"/>
          <w:color w:val="auto"/>
        </w:rPr>
      </w:pPr>
    </w:p>
    <w:p>
      <w:pPr>
        <w:jc w:val="both"/>
        <w:ind w:left="340" w:right="100" w:hanging="285"/>
        <w:spacing w:after="0" w:line="257" w:lineRule="auto"/>
        <w:tabs>
          <w:tab w:leader="none" w:pos="34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This information is based solely on a Schedule 13G/A filed with the SEC by Capital International Investors, together with various of its direct and indirect subsidiaries, in their various fiduciary and other capacities, on February 11, 2022. Capital International Investors reported that as of December 31, 2021, it had sole voting power over 40,617,875 shares of our Common Stock and sole dispositive power over 41,106,446 shares of our Common Stock.</w:t>
      </w:r>
    </w:p>
    <w:p>
      <w:pPr>
        <w:spacing w:after="0" w:line="28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DELINQUENT SECTION 16(A) REPORTS</w:t>
      </w:r>
    </w:p>
    <w:p>
      <w:pPr>
        <w:spacing w:after="0" w:line="309"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Section 16(a) of the Exchange Act requires our executive officers and directors, and persons who beneficially own more than 10% of our Common Stock, to file with the SEC initial reports of ownership and reports of changes in beneficial ownership of our Common Stock and other equity securities. Those persons are required by SEC rules to furnish us with copies of all Section 16(a) forms they file.</w:t>
      </w:r>
    </w:p>
    <w:p>
      <w:pPr>
        <w:spacing w:after="0" w:line="263"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Based solely upon a review of the copies of Section 16(a) forms furnished to us and written representations from each person who was an executive officer or director during the year who did not file a Form 5 for 2021 that no such Form 5 was required, we believe that during 2021, all of our executive officers, directors, and persons who beneficially owned more than 10% of our Common Stock complied with all filing requirements of Section 16(a) of the Exchange Act on a timely basis, except for Mr. Hartong, who delinquently reported, on March 23, 2022, 14 purchases and five sales of our Common Stock that occurred during the period from August 27, 2021, to January 18, 2022, which were effected at the direction of the investment manager of a managed account in the name of a trust for the benefit of Mr. Hartong’s spouse. Mr. Hartong was not aware of any of the transactions at the time they were made.</w:t>
      </w:r>
    </w:p>
    <w:p>
      <w:pPr>
        <w:spacing w:after="0" w:line="155" w:lineRule="exact"/>
        <w:rPr>
          <w:sz w:val="20"/>
          <w:szCs w:val="20"/>
          <w:color w:val="auto"/>
        </w:rPr>
      </w:pPr>
    </w:p>
    <w:p>
      <w:pPr>
        <w:spacing w:after="0"/>
        <w:tabs>
          <w:tab w:leader="none" w:pos="7360" w:val="left"/>
          <w:tab w:leader="none" w:pos="9380" w:val="left"/>
          <w:tab w:leader="none" w:pos="1100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46" w:name="page147"/>
    <w:bookmarkEnd w:id="146"/>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sz w:val="1"/>
          <w:szCs w:val="1"/>
          <w:color w:val="auto"/>
        </w:rPr>
        <w:drawing>
          <wp:inline distT="0" distB="0" distL="0" distR="0">
            <wp:extent cx="445135" cy="151130"/>
            <wp:effectExtent l="0" t="0" r="0" b="0"/>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445135" cy="151130"/>
                    </a:xfrm>
                    <a:prstGeom prst="rect">
                      <a:avLst/>
                    </a:prstGeom>
                    <a:noFill/>
                    <a:ln>
                      <a:noFill/>
                    </a:ln>
                  </pic:spPr>
                </pic:pic>
              </a:graphicData>
            </a:graphic>
          </wp:inline>
        </w:drawing>
      </w:r>
      <w:r>
        <w:rPr>
          <w:rFonts w:ascii="Arial" w:cs="Arial" w:eastAsia="Arial" w:hAnsi="Arial"/>
          <w:sz w:val="31"/>
          <w:szCs w:val="31"/>
          <w:b w:val="1"/>
          <w:bCs w:val="1"/>
          <w:color w:val="125288"/>
        </w:rPr>
        <w:t xml:space="preserve"> EQUITY COMPENSATION PLAN INFORMATION</w:t>
      </w:r>
    </w:p>
    <w:p>
      <w:pPr>
        <w:spacing w:after="0" w:line="336" w:lineRule="exact"/>
        <w:rPr>
          <w:sz w:val="20"/>
          <w:szCs w:val="20"/>
          <w:color w:val="auto"/>
        </w:rPr>
      </w:pPr>
    </w:p>
    <w:p>
      <w:pPr>
        <w:ind w:right="20"/>
        <w:spacing w:after="0" w:line="245" w:lineRule="auto"/>
        <w:rPr>
          <w:sz w:val="20"/>
          <w:szCs w:val="20"/>
          <w:color w:val="auto"/>
        </w:rPr>
      </w:pPr>
      <w:r>
        <w:rPr>
          <w:rFonts w:ascii="Arial" w:cs="Arial" w:eastAsia="Arial" w:hAnsi="Arial"/>
          <w:sz w:val="19"/>
          <w:szCs w:val="19"/>
          <w:color w:val="auto"/>
        </w:rPr>
        <w:t>The following table sets forth information, as of December 31, 2021, with respect to shares of our Common Stock that may be issued under our existing equity compensation plans.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15"/>
                <w:szCs w:val="15"/>
                <w:color w:val="auto"/>
              </w:rPr>
            </w:pPr>
          </w:p>
        </w:tc>
        <w:tc>
          <w:tcPr>
            <w:tcW w:w="2520" w:type="dxa"/>
            <w:vAlign w:val="bottom"/>
          </w:tcPr>
          <w:p>
            <w:pPr>
              <w:jc w:val="right"/>
              <w:ind w:right="481"/>
              <w:spacing w:after="0"/>
              <w:rPr>
                <w:sz w:val="20"/>
                <w:szCs w:val="20"/>
                <w:color w:val="auto"/>
              </w:rPr>
            </w:pPr>
            <w:r>
              <w:rPr>
                <w:rFonts w:ascii="Arial" w:cs="Arial" w:eastAsia="Arial" w:hAnsi="Arial"/>
                <w:sz w:val="15"/>
                <w:szCs w:val="15"/>
                <w:b w:val="1"/>
                <w:bCs w:val="1"/>
                <w:color w:val="125288"/>
              </w:rPr>
              <w:t>Number of shares of</w:t>
            </w:r>
          </w:p>
        </w:tc>
        <w:tc>
          <w:tcPr>
            <w:tcW w:w="2280" w:type="dxa"/>
            <w:vAlign w:val="bottom"/>
          </w:tcPr>
          <w:p>
            <w:pPr>
              <w:spacing w:after="0"/>
              <w:rPr>
                <w:sz w:val="15"/>
                <w:szCs w:val="15"/>
                <w:color w:val="auto"/>
              </w:rPr>
            </w:pPr>
          </w:p>
        </w:tc>
        <w:tc>
          <w:tcPr>
            <w:tcW w:w="2340" w:type="dxa"/>
            <w:vAlign w:val="bottom"/>
          </w:tcPr>
          <w:p>
            <w:pPr>
              <w:jc w:val="right"/>
              <w:ind w:right="161"/>
              <w:spacing w:after="0"/>
              <w:rPr>
                <w:sz w:val="20"/>
                <w:szCs w:val="20"/>
                <w:color w:val="auto"/>
              </w:rPr>
            </w:pPr>
            <w:r>
              <w:rPr>
                <w:rFonts w:ascii="Arial" w:cs="Arial" w:eastAsia="Arial" w:hAnsi="Arial"/>
                <w:sz w:val="15"/>
                <w:szCs w:val="15"/>
                <w:b w:val="1"/>
                <w:bCs w:val="1"/>
                <w:color w:val="125288"/>
              </w:rPr>
              <w:t>Number of shares of</w:t>
            </w:r>
          </w:p>
        </w:tc>
      </w:tr>
      <w:tr>
        <w:trPr>
          <w:trHeight w:val="178"/>
        </w:trPr>
        <w:tc>
          <w:tcPr>
            <w:tcW w:w="4120" w:type="dxa"/>
            <w:vAlign w:val="bottom"/>
          </w:tcPr>
          <w:p>
            <w:pPr>
              <w:spacing w:after="0"/>
              <w:rPr>
                <w:sz w:val="15"/>
                <w:szCs w:val="15"/>
                <w:color w:val="auto"/>
              </w:rPr>
            </w:pPr>
          </w:p>
        </w:tc>
        <w:tc>
          <w:tcPr>
            <w:tcW w:w="2520" w:type="dxa"/>
            <w:vAlign w:val="bottom"/>
          </w:tcPr>
          <w:p>
            <w:pPr>
              <w:jc w:val="right"/>
              <w:ind w:right="481"/>
              <w:spacing w:after="0"/>
              <w:rPr>
                <w:sz w:val="20"/>
                <w:szCs w:val="20"/>
                <w:color w:val="auto"/>
              </w:rPr>
            </w:pPr>
            <w:r>
              <w:rPr>
                <w:rFonts w:ascii="Arial" w:cs="Arial" w:eastAsia="Arial" w:hAnsi="Arial"/>
                <w:sz w:val="15"/>
                <w:szCs w:val="15"/>
                <w:b w:val="1"/>
                <w:bCs w:val="1"/>
                <w:color w:val="125288"/>
              </w:rPr>
              <w:t>Common Stock to be</w:t>
            </w:r>
          </w:p>
        </w:tc>
        <w:tc>
          <w:tcPr>
            <w:tcW w:w="2280" w:type="dxa"/>
            <w:vAlign w:val="bottom"/>
          </w:tcPr>
          <w:p>
            <w:pPr>
              <w:jc w:val="right"/>
              <w:ind w:right="281"/>
              <w:spacing w:after="0"/>
              <w:rPr>
                <w:sz w:val="20"/>
                <w:szCs w:val="20"/>
                <w:color w:val="auto"/>
              </w:rPr>
            </w:pPr>
            <w:r>
              <w:rPr>
                <w:rFonts w:ascii="Arial" w:cs="Arial" w:eastAsia="Arial" w:hAnsi="Arial"/>
                <w:sz w:val="15"/>
                <w:szCs w:val="15"/>
                <w:b w:val="1"/>
                <w:bCs w:val="1"/>
                <w:color w:val="125288"/>
              </w:rPr>
              <w:t>Weighted average</w:t>
            </w:r>
          </w:p>
        </w:tc>
        <w:tc>
          <w:tcPr>
            <w:tcW w:w="2340" w:type="dxa"/>
            <w:vAlign w:val="bottom"/>
          </w:tcPr>
          <w:p>
            <w:pPr>
              <w:jc w:val="right"/>
              <w:ind w:right="161"/>
              <w:spacing w:after="0"/>
              <w:rPr>
                <w:sz w:val="20"/>
                <w:szCs w:val="20"/>
                <w:color w:val="auto"/>
              </w:rPr>
            </w:pPr>
            <w:r>
              <w:rPr>
                <w:rFonts w:ascii="Arial" w:cs="Arial" w:eastAsia="Arial" w:hAnsi="Arial"/>
                <w:sz w:val="15"/>
                <w:szCs w:val="15"/>
                <w:b w:val="1"/>
                <w:bCs w:val="1"/>
                <w:color w:val="125288"/>
              </w:rPr>
              <w:t>Common Stock remaining</w:t>
            </w:r>
          </w:p>
        </w:tc>
      </w:tr>
      <w:tr>
        <w:trPr>
          <w:trHeight w:val="178"/>
        </w:trPr>
        <w:tc>
          <w:tcPr>
            <w:tcW w:w="4120" w:type="dxa"/>
            <w:vAlign w:val="bottom"/>
          </w:tcPr>
          <w:p>
            <w:pPr>
              <w:spacing w:after="0"/>
              <w:rPr>
                <w:sz w:val="15"/>
                <w:szCs w:val="15"/>
                <w:color w:val="auto"/>
              </w:rPr>
            </w:pPr>
          </w:p>
        </w:tc>
        <w:tc>
          <w:tcPr>
            <w:tcW w:w="2520" w:type="dxa"/>
            <w:vAlign w:val="bottom"/>
          </w:tcPr>
          <w:p>
            <w:pPr>
              <w:jc w:val="right"/>
              <w:ind w:right="481"/>
              <w:spacing w:after="0"/>
              <w:rPr>
                <w:sz w:val="20"/>
                <w:szCs w:val="20"/>
                <w:color w:val="auto"/>
              </w:rPr>
            </w:pPr>
            <w:r>
              <w:rPr>
                <w:rFonts w:ascii="Arial" w:cs="Arial" w:eastAsia="Arial" w:hAnsi="Arial"/>
                <w:sz w:val="15"/>
                <w:szCs w:val="15"/>
                <w:b w:val="1"/>
                <w:bCs w:val="1"/>
                <w:color w:val="125288"/>
              </w:rPr>
              <w:t>issued upon exercise of</w:t>
            </w:r>
          </w:p>
        </w:tc>
        <w:tc>
          <w:tcPr>
            <w:tcW w:w="2280" w:type="dxa"/>
            <w:vAlign w:val="bottom"/>
          </w:tcPr>
          <w:p>
            <w:pPr>
              <w:jc w:val="right"/>
              <w:ind w:right="281"/>
              <w:spacing w:after="0"/>
              <w:rPr>
                <w:sz w:val="20"/>
                <w:szCs w:val="20"/>
                <w:color w:val="auto"/>
              </w:rPr>
            </w:pPr>
            <w:r>
              <w:rPr>
                <w:rFonts w:ascii="Arial" w:cs="Arial" w:eastAsia="Arial" w:hAnsi="Arial"/>
                <w:sz w:val="15"/>
                <w:szCs w:val="15"/>
                <w:b w:val="1"/>
                <w:bCs w:val="1"/>
                <w:color w:val="125288"/>
              </w:rPr>
              <w:t>exercise price of</w:t>
            </w:r>
          </w:p>
        </w:tc>
        <w:tc>
          <w:tcPr>
            <w:tcW w:w="2340" w:type="dxa"/>
            <w:vAlign w:val="bottom"/>
          </w:tcPr>
          <w:p>
            <w:pPr>
              <w:jc w:val="right"/>
              <w:ind w:right="161"/>
              <w:spacing w:after="0"/>
              <w:rPr>
                <w:sz w:val="20"/>
                <w:szCs w:val="20"/>
                <w:color w:val="auto"/>
              </w:rPr>
            </w:pPr>
            <w:r>
              <w:rPr>
                <w:rFonts w:ascii="Arial" w:cs="Arial" w:eastAsia="Arial" w:hAnsi="Arial"/>
                <w:sz w:val="15"/>
                <w:szCs w:val="15"/>
                <w:b w:val="1"/>
                <w:bCs w:val="1"/>
                <w:color w:val="125288"/>
              </w:rPr>
              <w:t>available for future</w:t>
            </w:r>
          </w:p>
        </w:tc>
      </w:tr>
      <w:tr>
        <w:trPr>
          <w:trHeight w:val="178"/>
        </w:trPr>
        <w:tc>
          <w:tcPr>
            <w:tcW w:w="4120" w:type="dxa"/>
            <w:vAlign w:val="bottom"/>
          </w:tcPr>
          <w:p>
            <w:pPr>
              <w:spacing w:after="0"/>
              <w:rPr>
                <w:sz w:val="15"/>
                <w:szCs w:val="15"/>
                <w:color w:val="auto"/>
              </w:rPr>
            </w:pPr>
          </w:p>
        </w:tc>
        <w:tc>
          <w:tcPr>
            <w:tcW w:w="2520" w:type="dxa"/>
            <w:vAlign w:val="bottom"/>
          </w:tcPr>
          <w:p>
            <w:pPr>
              <w:jc w:val="right"/>
              <w:ind w:right="481"/>
              <w:spacing w:after="0"/>
              <w:rPr>
                <w:sz w:val="20"/>
                <w:szCs w:val="20"/>
                <w:color w:val="auto"/>
              </w:rPr>
            </w:pPr>
            <w:r>
              <w:rPr>
                <w:rFonts w:ascii="Arial" w:cs="Arial" w:eastAsia="Arial" w:hAnsi="Arial"/>
                <w:sz w:val="15"/>
                <w:szCs w:val="15"/>
                <w:b w:val="1"/>
                <w:bCs w:val="1"/>
                <w:color w:val="125288"/>
              </w:rPr>
              <w:t>outstanding options,</w:t>
            </w:r>
          </w:p>
        </w:tc>
        <w:tc>
          <w:tcPr>
            <w:tcW w:w="2280" w:type="dxa"/>
            <w:vAlign w:val="bottom"/>
          </w:tcPr>
          <w:p>
            <w:pPr>
              <w:jc w:val="right"/>
              <w:ind w:right="281"/>
              <w:spacing w:after="0"/>
              <w:rPr>
                <w:sz w:val="20"/>
                <w:szCs w:val="20"/>
                <w:color w:val="auto"/>
              </w:rPr>
            </w:pPr>
            <w:r>
              <w:rPr>
                <w:rFonts w:ascii="Arial" w:cs="Arial" w:eastAsia="Arial" w:hAnsi="Arial"/>
                <w:sz w:val="15"/>
                <w:szCs w:val="15"/>
                <w:b w:val="1"/>
                <w:bCs w:val="1"/>
                <w:color w:val="125288"/>
              </w:rPr>
              <w:t>outstanding options,</w:t>
            </w:r>
          </w:p>
        </w:tc>
        <w:tc>
          <w:tcPr>
            <w:tcW w:w="2340" w:type="dxa"/>
            <w:vAlign w:val="bottom"/>
          </w:tcPr>
          <w:p>
            <w:pPr>
              <w:jc w:val="right"/>
              <w:ind w:right="161"/>
              <w:spacing w:after="0"/>
              <w:rPr>
                <w:sz w:val="20"/>
                <w:szCs w:val="20"/>
                <w:color w:val="auto"/>
              </w:rPr>
            </w:pPr>
            <w:r>
              <w:rPr>
                <w:rFonts w:ascii="Arial" w:cs="Arial" w:eastAsia="Arial" w:hAnsi="Arial"/>
                <w:sz w:val="15"/>
                <w:szCs w:val="15"/>
                <w:b w:val="1"/>
                <w:bCs w:val="1"/>
                <w:color w:val="125288"/>
              </w:rPr>
              <w:t>issuance under equity</w:t>
            </w:r>
          </w:p>
        </w:tc>
      </w:tr>
      <w:tr>
        <w:trPr>
          <w:trHeight w:val="158"/>
        </w:trPr>
        <w:tc>
          <w:tcPr>
            <w:tcW w:w="4120" w:type="dxa"/>
            <w:vAlign w:val="bottom"/>
          </w:tcPr>
          <w:p>
            <w:pPr>
              <w:spacing w:after="0"/>
              <w:rPr>
                <w:sz w:val="13"/>
                <w:szCs w:val="13"/>
                <w:color w:val="auto"/>
              </w:rPr>
            </w:pPr>
          </w:p>
        </w:tc>
        <w:tc>
          <w:tcPr>
            <w:tcW w:w="2520" w:type="dxa"/>
            <w:vAlign w:val="bottom"/>
          </w:tcPr>
          <w:p>
            <w:pPr>
              <w:jc w:val="right"/>
              <w:ind w:right="481"/>
              <w:spacing w:after="0" w:line="158" w:lineRule="exact"/>
              <w:rPr>
                <w:sz w:val="20"/>
                <w:szCs w:val="20"/>
                <w:color w:val="auto"/>
              </w:rPr>
            </w:pPr>
            <w:r>
              <w:rPr>
                <w:rFonts w:ascii="Arial" w:cs="Arial" w:eastAsia="Arial" w:hAnsi="Arial"/>
                <w:sz w:val="15"/>
                <w:szCs w:val="15"/>
                <w:b w:val="1"/>
                <w:bCs w:val="1"/>
                <w:color w:val="125288"/>
              </w:rPr>
              <w:t>warrants, and rights</w:t>
            </w:r>
          </w:p>
        </w:tc>
        <w:tc>
          <w:tcPr>
            <w:tcW w:w="2280" w:type="dxa"/>
            <w:vAlign w:val="bottom"/>
          </w:tcPr>
          <w:p>
            <w:pPr>
              <w:jc w:val="right"/>
              <w:ind w:right="281"/>
              <w:spacing w:after="0" w:line="158" w:lineRule="exact"/>
              <w:rPr>
                <w:sz w:val="20"/>
                <w:szCs w:val="20"/>
                <w:color w:val="auto"/>
              </w:rPr>
            </w:pPr>
            <w:r>
              <w:rPr>
                <w:rFonts w:ascii="Arial" w:cs="Arial" w:eastAsia="Arial" w:hAnsi="Arial"/>
                <w:sz w:val="15"/>
                <w:szCs w:val="15"/>
                <w:b w:val="1"/>
                <w:bCs w:val="1"/>
                <w:color w:val="125288"/>
              </w:rPr>
              <w:t>warrants, and rights</w:t>
            </w:r>
          </w:p>
        </w:tc>
        <w:tc>
          <w:tcPr>
            <w:tcW w:w="2340" w:type="dxa"/>
            <w:vAlign w:val="bottom"/>
          </w:tcPr>
          <w:p>
            <w:pPr>
              <w:jc w:val="right"/>
              <w:ind w:right="161"/>
              <w:spacing w:after="0" w:line="158" w:lineRule="exact"/>
              <w:rPr>
                <w:sz w:val="20"/>
                <w:szCs w:val="20"/>
                <w:color w:val="auto"/>
              </w:rPr>
            </w:pPr>
            <w:r>
              <w:rPr>
                <w:rFonts w:ascii="Arial" w:cs="Arial" w:eastAsia="Arial" w:hAnsi="Arial"/>
                <w:sz w:val="15"/>
                <w:szCs w:val="15"/>
                <w:b w:val="1"/>
                <w:bCs w:val="1"/>
                <w:color w:val="125288"/>
              </w:rPr>
              <w:t>compensation plans</w:t>
            </w:r>
          </w:p>
        </w:tc>
      </w:tr>
      <w:tr>
        <w:trPr>
          <w:trHeight w:val="226"/>
        </w:trPr>
        <w:tc>
          <w:tcPr>
            <w:tcW w:w="4120" w:type="dxa"/>
            <w:vAlign w:val="bottom"/>
            <w:tcBorders>
              <w:bottom w:val="single" w:sz="8" w:color="125288"/>
            </w:tcBorders>
          </w:tcPr>
          <w:p>
            <w:pPr>
              <w:ind w:left="40"/>
              <w:spacing w:after="0"/>
              <w:rPr>
                <w:sz w:val="20"/>
                <w:szCs w:val="20"/>
                <w:color w:val="auto"/>
              </w:rPr>
            </w:pPr>
            <w:r>
              <w:rPr>
                <w:rFonts w:ascii="Arial" w:cs="Arial" w:eastAsia="Arial" w:hAnsi="Arial"/>
                <w:sz w:val="15"/>
                <w:szCs w:val="15"/>
                <w:b w:val="1"/>
                <w:bCs w:val="1"/>
                <w:color w:val="125288"/>
              </w:rPr>
              <w:t>Plan Category</w:t>
            </w:r>
          </w:p>
        </w:tc>
        <w:tc>
          <w:tcPr>
            <w:tcW w:w="2520" w:type="dxa"/>
            <w:vAlign w:val="bottom"/>
            <w:tcBorders>
              <w:bottom w:val="single" w:sz="8" w:color="125288"/>
            </w:tcBorders>
          </w:tcPr>
          <w:p>
            <w:pPr>
              <w:jc w:val="right"/>
              <w:ind w:right="321"/>
              <w:spacing w:after="0" w:line="226" w:lineRule="exact"/>
              <w:rPr>
                <w:sz w:val="20"/>
                <w:szCs w:val="20"/>
                <w:color w:val="auto"/>
              </w:rPr>
            </w:pPr>
            <w:r>
              <w:rPr>
                <w:rFonts w:ascii="Arial" w:cs="Arial" w:eastAsia="Arial" w:hAnsi="Arial"/>
                <w:sz w:val="26"/>
                <w:szCs w:val="26"/>
                <w:b w:val="1"/>
                <w:bCs w:val="1"/>
                <w:color w:val="125288"/>
                <w:vertAlign w:val="subscript"/>
              </w:rPr>
              <w:t>(#)</w:t>
            </w:r>
            <w:r>
              <w:rPr>
                <w:rFonts w:ascii="Arial" w:cs="Arial" w:eastAsia="Arial" w:hAnsi="Arial"/>
                <w:sz w:val="12"/>
                <w:szCs w:val="12"/>
                <w:b w:val="1"/>
                <w:bCs w:val="1"/>
                <w:color w:val="125288"/>
              </w:rPr>
              <w:t>(1)</w:t>
            </w:r>
          </w:p>
        </w:tc>
        <w:tc>
          <w:tcPr>
            <w:tcW w:w="2280" w:type="dxa"/>
            <w:vAlign w:val="bottom"/>
            <w:tcBorders>
              <w:bottom w:val="single" w:sz="8" w:color="125288"/>
            </w:tcBorders>
          </w:tcPr>
          <w:p>
            <w:pPr>
              <w:jc w:val="right"/>
              <w:ind w:right="121"/>
              <w:spacing w:after="0" w:line="226" w:lineRule="exact"/>
              <w:rPr>
                <w:sz w:val="20"/>
                <w:szCs w:val="20"/>
                <w:color w:val="auto"/>
              </w:rPr>
            </w:pPr>
            <w:r>
              <w:rPr>
                <w:rFonts w:ascii="Arial" w:cs="Arial" w:eastAsia="Arial" w:hAnsi="Arial"/>
                <w:sz w:val="26"/>
                <w:szCs w:val="26"/>
                <w:b w:val="1"/>
                <w:bCs w:val="1"/>
                <w:color w:val="125288"/>
                <w:vertAlign w:val="subscript"/>
              </w:rPr>
              <w:t>($)</w:t>
            </w:r>
            <w:r>
              <w:rPr>
                <w:rFonts w:ascii="Arial" w:cs="Arial" w:eastAsia="Arial" w:hAnsi="Arial"/>
                <w:sz w:val="12"/>
                <w:szCs w:val="12"/>
                <w:b w:val="1"/>
                <w:bCs w:val="1"/>
                <w:color w:val="125288"/>
              </w:rPr>
              <w:t>(2)</w:t>
            </w:r>
          </w:p>
        </w:tc>
        <w:tc>
          <w:tcPr>
            <w:tcW w:w="2340" w:type="dxa"/>
            <w:vAlign w:val="bottom"/>
            <w:tcBorders>
              <w:bottom w:val="single" w:sz="8" w:color="125288"/>
            </w:tcBorders>
          </w:tcPr>
          <w:p>
            <w:pPr>
              <w:jc w:val="right"/>
              <w:ind w:right="161"/>
              <w:spacing w:after="0"/>
              <w:rPr>
                <w:sz w:val="20"/>
                <w:szCs w:val="20"/>
                <w:color w:val="auto"/>
              </w:rPr>
            </w:pPr>
            <w:r>
              <w:rPr>
                <w:rFonts w:ascii="Arial" w:cs="Arial" w:eastAsia="Arial" w:hAnsi="Arial"/>
                <w:sz w:val="15"/>
                <w:szCs w:val="15"/>
                <w:b w:val="1"/>
                <w:bCs w:val="1"/>
                <w:color w:val="125288"/>
              </w:rPr>
              <w:t>(#)</w:t>
            </w:r>
          </w:p>
        </w:tc>
      </w:tr>
      <w:tr>
        <w:trPr>
          <w:trHeight w:val="237"/>
        </w:trPr>
        <w:tc>
          <w:tcPr>
            <w:tcW w:w="4120" w:type="dxa"/>
            <w:vAlign w:val="bottom"/>
          </w:tcPr>
          <w:p>
            <w:pPr>
              <w:ind w:left="40"/>
              <w:spacing w:after="0"/>
              <w:rPr>
                <w:sz w:val="20"/>
                <w:szCs w:val="20"/>
                <w:color w:val="auto"/>
              </w:rPr>
            </w:pPr>
            <w:r>
              <w:rPr>
                <w:rFonts w:ascii="Arial" w:cs="Arial" w:eastAsia="Arial" w:hAnsi="Arial"/>
                <w:sz w:val="17"/>
                <w:szCs w:val="17"/>
                <w:b w:val="1"/>
                <w:bCs w:val="1"/>
                <w:color w:val="auto"/>
              </w:rPr>
              <w:t>Equity compensation plans approved by</w:t>
            </w:r>
          </w:p>
        </w:tc>
        <w:tc>
          <w:tcPr>
            <w:tcW w:w="25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221"/>
        </w:trPr>
        <w:tc>
          <w:tcPr>
            <w:tcW w:w="4120" w:type="dxa"/>
            <w:vAlign w:val="bottom"/>
          </w:tcPr>
          <w:p>
            <w:pPr>
              <w:ind w:left="40"/>
              <w:spacing w:after="0"/>
              <w:rPr>
                <w:sz w:val="20"/>
                <w:szCs w:val="20"/>
                <w:color w:val="auto"/>
              </w:rPr>
            </w:pPr>
            <w:r>
              <w:rPr>
                <w:rFonts w:ascii="Arial" w:cs="Arial" w:eastAsia="Arial" w:hAnsi="Arial"/>
                <w:sz w:val="17"/>
                <w:szCs w:val="17"/>
                <w:b w:val="1"/>
                <w:bCs w:val="1"/>
                <w:color w:val="auto"/>
              </w:rPr>
              <w:t>shareholders:</w:t>
            </w:r>
          </w:p>
        </w:tc>
        <w:tc>
          <w:tcPr>
            <w:tcW w:w="25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81"/>
        </w:trPr>
        <w:tc>
          <w:tcPr>
            <w:tcW w:w="4120" w:type="dxa"/>
            <w:vAlign w:val="bottom"/>
            <w:tcBorders>
              <w:bottom w:val="single" w:sz="8" w:color="125288"/>
            </w:tcBorders>
          </w:tcPr>
          <w:p>
            <w:pPr>
              <w:spacing w:after="0"/>
              <w:rPr>
                <w:sz w:val="7"/>
                <w:szCs w:val="7"/>
                <w:color w:val="auto"/>
              </w:rPr>
            </w:pPr>
          </w:p>
        </w:tc>
        <w:tc>
          <w:tcPr>
            <w:tcW w:w="2520" w:type="dxa"/>
            <w:vAlign w:val="bottom"/>
            <w:tcBorders>
              <w:bottom w:val="single" w:sz="8" w:color="125288"/>
            </w:tcBorders>
          </w:tcPr>
          <w:p>
            <w:pPr>
              <w:spacing w:after="0"/>
              <w:rPr>
                <w:sz w:val="7"/>
                <w:szCs w:val="7"/>
                <w:color w:val="auto"/>
              </w:rPr>
            </w:pPr>
          </w:p>
        </w:tc>
        <w:tc>
          <w:tcPr>
            <w:tcW w:w="2280" w:type="dxa"/>
            <w:vAlign w:val="bottom"/>
            <w:tcBorders>
              <w:bottom w:val="single" w:sz="8" w:color="125288"/>
            </w:tcBorders>
          </w:tcPr>
          <w:p>
            <w:pPr>
              <w:spacing w:after="0"/>
              <w:rPr>
                <w:sz w:val="7"/>
                <w:szCs w:val="7"/>
                <w:color w:val="auto"/>
              </w:rPr>
            </w:pPr>
          </w:p>
        </w:tc>
        <w:tc>
          <w:tcPr>
            <w:tcW w:w="2340" w:type="dxa"/>
            <w:vAlign w:val="bottom"/>
            <w:tcBorders>
              <w:bottom w:val="single" w:sz="8" w:color="125288"/>
            </w:tcBorders>
          </w:tcPr>
          <w:p>
            <w:pPr>
              <w:spacing w:after="0"/>
              <w:rPr>
                <w:sz w:val="7"/>
                <w:szCs w:val="7"/>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7"/>
                <w:szCs w:val="17"/>
                <w:color w:val="auto"/>
              </w:rPr>
              <w:t>Activision Blizzard, Inc. 2008 Incentive Plan, as</w:t>
            </w:r>
          </w:p>
        </w:tc>
        <w:tc>
          <w:tcPr>
            <w:tcW w:w="2520" w:type="dxa"/>
            <w:vAlign w:val="bottom"/>
          </w:tcPr>
          <w:p>
            <w:pPr>
              <w:jc w:val="right"/>
              <w:ind w:right="481"/>
              <w:spacing w:after="0"/>
              <w:rPr>
                <w:sz w:val="20"/>
                <w:szCs w:val="20"/>
                <w:color w:val="auto"/>
              </w:rPr>
            </w:pPr>
            <w:r>
              <w:rPr>
                <w:rFonts w:ascii="Arial" w:cs="Arial" w:eastAsia="Arial" w:hAnsi="Arial"/>
                <w:sz w:val="17"/>
                <w:szCs w:val="17"/>
                <w:color w:val="auto"/>
              </w:rPr>
              <w:t>218,104</w:t>
            </w:r>
          </w:p>
        </w:tc>
        <w:tc>
          <w:tcPr>
            <w:tcW w:w="2280" w:type="dxa"/>
            <w:vAlign w:val="bottom"/>
          </w:tcPr>
          <w:p>
            <w:pPr>
              <w:jc w:val="right"/>
              <w:ind w:right="281"/>
              <w:spacing w:after="0"/>
              <w:rPr>
                <w:sz w:val="20"/>
                <w:szCs w:val="20"/>
                <w:color w:val="auto"/>
              </w:rPr>
            </w:pPr>
            <w:r>
              <w:rPr>
                <w:rFonts w:ascii="Arial" w:cs="Arial" w:eastAsia="Arial" w:hAnsi="Arial"/>
                <w:sz w:val="17"/>
                <w:szCs w:val="17"/>
                <w:color w:val="auto"/>
              </w:rPr>
              <w:t>14.91</w:t>
            </w:r>
          </w:p>
        </w:tc>
        <w:tc>
          <w:tcPr>
            <w:tcW w:w="2340" w:type="dxa"/>
            <w:vAlign w:val="bottom"/>
          </w:tcPr>
          <w:p>
            <w:pPr>
              <w:jc w:val="right"/>
              <w:spacing w:after="0" w:line="258"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3"/>
                <w:szCs w:val="13"/>
                <w:color w:val="auto"/>
              </w:rPr>
              <w:t>(3)</w:t>
            </w:r>
          </w:p>
        </w:tc>
      </w:tr>
      <w:tr>
        <w:trPr>
          <w:trHeight w:val="201"/>
        </w:trPr>
        <w:tc>
          <w:tcPr>
            <w:tcW w:w="4120" w:type="dxa"/>
            <w:vAlign w:val="bottom"/>
          </w:tcPr>
          <w:p>
            <w:pPr>
              <w:ind w:left="40"/>
              <w:spacing w:after="0"/>
              <w:rPr>
                <w:sz w:val="20"/>
                <w:szCs w:val="20"/>
                <w:color w:val="auto"/>
              </w:rPr>
            </w:pPr>
            <w:r>
              <w:rPr>
                <w:rFonts w:ascii="Arial" w:cs="Arial" w:eastAsia="Arial" w:hAnsi="Arial"/>
                <w:sz w:val="17"/>
                <w:szCs w:val="17"/>
                <w:color w:val="auto"/>
              </w:rPr>
              <w:t>amended and restated (the “2008 Plan”)</w:t>
            </w:r>
          </w:p>
        </w:tc>
        <w:tc>
          <w:tcPr>
            <w:tcW w:w="2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81"/>
        </w:trPr>
        <w:tc>
          <w:tcPr>
            <w:tcW w:w="4120" w:type="dxa"/>
            <w:vAlign w:val="bottom"/>
            <w:tcBorders>
              <w:bottom w:val="single" w:sz="8" w:color="125288"/>
            </w:tcBorders>
          </w:tcPr>
          <w:p>
            <w:pPr>
              <w:spacing w:after="0"/>
              <w:rPr>
                <w:sz w:val="7"/>
                <w:szCs w:val="7"/>
                <w:color w:val="auto"/>
              </w:rPr>
            </w:pPr>
          </w:p>
        </w:tc>
        <w:tc>
          <w:tcPr>
            <w:tcW w:w="2520" w:type="dxa"/>
            <w:vAlign w:val="bottom"/>
            <w:tcBorders>
              <w:bottom w:val="single" w:sz="8" w:color="125288"/>
            </w:tcBorders>
          </w:tcPr>
          <w:p>
            <w:pPr>
              <w:spacing w:after="0"/>
              <w:rPr>
                <w:sz w:val="7"/>
                <w:szCs w:val="7"/>
                <w:color w:val="auto"/>
              </w:rPr>
            </w:pPr>
          </w:p>
        </w:tc>
        <w:tc>
          <w:tcPr>
            <w:tcW w:w="2280" w:type="dxa"/>
            <w:vAlign w:val="bottom"/>
            <w:tcBorders>
              <w:bottom w:val="single" w:sz="8" w:color="125288"/>
            </w:tcBorders>
          </w:tcPr>
          <w:p>
            <w:pPr>
              <w:spacing w:after="0"/>
              <w:rPr>
                <w:sz w:val="7"/>
                <w:szCs w:val="7"/>
                <w:color w:val="auto"/>
              </w:rPr>
            </w:pPr>
          </w:p>
        </w:tc>
        <w:tc>
          <w:tcPr>
            <w:tcW w:w="2340" w:type="dxa"/>
            <w:vAlign w:val="bottom"/>
            <w:tcBorders>
              <w:bottom w:val="single" w:sz="8" w:color="125288"/>
            </w:tcBorders>
          </w:tcPr>
          <w:p>
            <w:pPr>
              <w:spacing w:after="0"/>
              <w:rPr>
                <w:sz w:val="7"/>
                <w:szCs w:val="7"/>
                <w:color w:val="auto"/>
              </w:rPr>
            </w:pPr>
          </w:p>
        </w:tc>
      </w:tr>
      <w:tr>
        <w:trPr>
          <w:trHeight w:val="259"/>
        </w:trPr>
        <w:tc>
          <w:tcPr>
            <w:tcW w:w="4120" w:type="dxa"/>
            <w:vAlign w:val="bottom"/>
          </w:tcPr>
          <w:p>
            <w:pPr>
              <w:ind w:left="40"/>
              <w:spacing w:after="0"/>
              <w:rPr>
                <w:sz w:val="20"/>
                <w:szCs w:val="20"/>
                <w:color w:val="auto"/>
              </w:rPr>
            </w:pPr>
            <w:r>
              <w:rPr>
                <w:rFonts w:ascii="Arial" w:cs="Arial" w:eastAsia="Arial" w:hAnsi="Arial"/>
                <w:sz w:val="17"/>
                <w:szCs w:val="17"/>
                <w:color w:val="auto"/>
              </w:rPr>
              <w:t>Activision Blizzard, Inc. 2014 Incentive Plan (i.e., the</w:t>
            </w:r>
          </w:p>
        </w:tc>
        <w:tc>
          <w:tcPr>
            <w:tcW w:w="2520" w:type="dxa"/>
            <w:vAlign w:val="bottom"/>
          </w:tcPr>
          <w:p>
            <w:pPr>
              <w:jc w:val="right"/>
              <w:ind w:right="301"/>
              <w:spacing w:after="0" w:line="259" w:lineRule="exact"/>
              <w:rPr>
                <w:sz w:val="20"/>
                <w:szCs w:val="20"/>
                <w:color w:val="auto"/>
              </w:rPr>
            </w:pPr>
            <w:r>
              <w:rPr>
                <w:rFonts w:ascii="Arial" w:cs="Arial" w:eastAsia="Arial" w:hAnsi="Arial"/>
                <w:sz w:val="17"/>
                <w:szCs w:val="17"/>
                <w:color w:val="auto"/>
              </w:rPr>
              <w:t>22,152,938</w:t>
            </w:r>
            <w:r>
              <w:rPr>
                <w:rFonts w:ascii="Arial" w:cs="Arial" w:eastAsia="Arial" w:hAnsi="Arial"/>
                <w:sz w:val="27"/>
                <w:szCs w:val="27"/>
                <w:color w:val="auto"/>
                <w:vertAlign w:val="superscript"/>
              </w:rPr>
              <w:t>(5)</w:t>
            </w:r>
          </w:p>
        </w:tc>
        <w:tc>
          <w:tcPr>
            <w:tcW w:w="2280" w:type="dxa"/>
            <w:vAlign w:val="bottom"/>
          </w:tcPr>
          <w:p>
            <w:pPr>
              <w:jc w:val="right"/>
              <w:ind w:right="281"/>
              <w:spacing w:after="0"/>
              <w:rPr>
                <w:sz w:val="20"/>
                <w:szCs w:val="20"/>
                <w:color w:val="auto"/>
              </w:rPr>
            </w:pPr>
            <w:r>
              <w:rPr>
                <w:rFonts w:ascii="Arial" w:cs="Arial" w:eastAsia="Arial" w:hAnsi="Arial"/>
                <w:sz w:val="17"/>
                <w:szCs w:val="17"/>
                <w:color w:val="auto"/>
              </w:rPr>
              <w:t>58.91</w:t>
            </w:r>
          </w:p>
        </w:tc>
        <w:tc>
          <w:tcPr>
            <w:tcW w:w="2340" w:type="dxa"/>
            <w:vAlign w:val="bottom"/>
          </w:tcPr>
          <w:p>
            <w:pPr>
              <w:jc w:val="right"/>
              <w:spacing w:after="0" w:line="259" w:lineRule="exact"/>
              <w:rPr>
                <w:sz w:val="20"/>
                <w:szCs w:val="20"/>
                <w:color w:val="auto"/>
              </w:rPr>
            </w:pPr>
            <w:r>
              <w:rPr>
                <w:rFonts w:ascii="Arial" w:cs="Arial" w:eastAsia="Arial" w:hAnsi="Arial"/>
                <w:sz w:val="17"/>
                <w:szCs w:val="17"/>
                <w:color w:val="auto"/>
              </w:rPr>
              <w:t>14,477,218</w:t>
            </w:r>
            <w:r>
              <w:rPr>
                <w:rFonts w:ascii="Arial" w:cs="Arial" w:eastAsia="Arial" w:hAnsi="Arial"/>
                <w:sz w:val="27"/>
                <w:szCs w:val="27"/>
                <w:color w:val="auto"/>
                <w:vertAlign w:val="superscript"/>
              </w:rPr>
              <w:t>(6)</w:t>
            </w:r>
          </w:p>
        </w:tc>
      </w:tr>
      <w:tr>
        <w:trPr>
          <w:trHeight w:val="316"/>
        </w:trPr>
        <w:tc>
          <w:tcPr>
            <w:tcW w:w="4120" w:type="dxa"/>
            <w:vAlign w:val="bottom"/>
            <w:tcBorders>
              <w:bottom w:val="single" w:sz="8" w:color="125288"/>
            </w:tcBorders>
          </w:tcPr>
          <w:p>
            <w:pPr>
              <w:ind w:left="40"/>
              <w:spacing w:after="0"/>
              <w:rPr>
                <w:sz w:val="20"/>
                <w:szCs w:val="20"/>
                <w:color w:val="auto"/>
              </w:rPr>
            </w:pPr>
            <w:r>
              <w:rPr>
                <w:rFonts w:ascii="Arial" w:cs="Arial" w:eastAsia="Arial" w:hAnsi="Arial"/>
                <w:sz w:val="17"/>
                <w:szCs w:val="17"/>
                <w:color w:val="auto"/>
              </w:rPr>
              <w:t>2014 Plan)</w:t>
            </w:r>
            <w:r>
              <w:rPr>
                <w:rFonts w:ascii="Arial" w:cs="Arial" w:eastAsia="Arial" w:hAnsi="Arial"/>
                <w:sz w:val="27"/>
                <w:szCs w:val="27"/>
                <w:color w:val="auto"/>
                <w:vertAlign w:val="superscript"/>
              </w:rPr>
              <w:t>(4)</w:t>
            </w:r>
          </w:p>
        </w:tc>
        <w:tc>
          <w:tcPr>
            <w:tcW w:w="2520" w:type="dxa"/>
            <w:vAlign w:val="bottom"/>
            <w:tcBorders>
              <w:bottom w:val="single" w:sz="8" w:color="125288"/>
            </w:tcBorders>
          </w:tcPr>
          <w:p>
            <w:pPr>
              <w:spacing w:after="0"/>
              <w:rPr>
                <w:sz w:val="24"/>
                <w:szCs w:val="24"/>
                <w:color w:val="auto"/>
              </w:rPr>
            </w:pPr>
          </w:p>
        </w:tc>
        <w:tc>
          <w:tcPr>
            <w:tcW w:w="2280" w:type="dxa"/>
            <w:vAlign w:val="bottom"/>
            <w:tcBorders>
              <w:bottom w:val="single" w:sz="8" w:color="125288"/>
            </w:tcBorders>
          </w:tcPr>
          <w:p>
            <w:pPr>
              <w:spacing w:after="0"/>
              <w:rPr>
                <w:sz w:val="24"/>
                <w:szCs w:val="24"/>
                <w:color w:val="auto"/>
              </w:rPr>
            </w:pPr>
          </w:p>
        </w:tc>
        <w:tc>
          <w:tcPr>
            <w:tcW w:w="2340" w:type="dxa"/>
            <w:vAlign w:val="bottom"/>
            <w:tcBorders>
              <w:bottom w:val="single" w:sz="8" w:color="125288"/>
            </w:tcBorders>
          </w:tcPr>
          <w:p>
            <w:pPr>
              <w:spacing w:after="0"/>
              <w:rPr>
                <w:sz w:val="24"/>
                <w:szCs w:val="24"/>
                <w:color w:val="auto"/>
              </w:rPr>
            </w:pPr>
          </w:p>
        </w:tc>
      </w:tr>
      <w:tr>
        <w:trPr>
          <w:trHeight w:val="349"/>
        </w:trPr>
        <w:tc>
          <w:tcPr>
            <w:tcW w:w="4120" w:type="dxa"/>
            <w:vAlign w:val="bottom"/>
            <w:tcBorders>
              <w:bottom w:val="single" w:sz="8" w:color="125288"/>
            </w:tcBorders>
          </w:tcPr>
          <w:p>
            <w:pPr>
              <w:ind w:left="40"/>
              <w:spacing w:after="0"/>
              <w:rPr>
                <w:sz w:val="20"/>
                <w:szCs w:val="20"/>
                <w:color w:val="auto"/>
              </w:rPr>
            </w:pPr>
            <w:r>
              <w:rPr>
                <w:rFonts w:ascii="Arial" w:cs="Arial" w:eastAsia="Arial" w:hAnsi="Arial"/>
                <w:sz w:val="17"/>
                <w:szCs w:val="17"/>
                <w:b w:val="1"/>
                <w:bCs w:val="1"/>
                <w:color w:val="auto"/>
              </w:rPr>
              <w:t>All shareholder approved plans</w:t>
            </w:r>
          </w:p>
        </w:tc>
        <w:tc>
          <w:tcPr>
            <w:tcW w:w="2520" w:type="dxa"/>
            <w:vAlign w:val="bottom"/>
            <w:tcBorders>
              <w:bottom w:val="single" w:sz="8" w:color="125288"/>
            </w:tcBorders>
          </w:tcPr>
          <w:p>
            <w:pPr>
              <w:jc w:val="right"/>
              <w:ind w:right="301"/>
              <w:spacing w:after="0"/>
              <w:rPr>
                <w:sz w:val="20"/>
                <w:szCs w:val="20"/>
                <w:color w:val="auto"/>
              </w:rPr>
            </w:pPr>
            <w:r>
              <w:rPr>
                <w:rFonts w:ascii="Arial" w:cs="Arial" w:eastAsia="Arial" w:hAnsi="Arial"/>
                <w:sz w:val="17"/>
                <w:szCs w:val="17"/>
                <w:color w:val="auto"/>
              </w:rPr>
              <w:t>22,371,042</w:t>
            </w:r>
            <w:r>
              <w:rPr>
                <w:rFonts w:ascii="Arial" w:cs="Arial" w:eastAsia="Arial" w:hAnsi="Arial"/>
                <w:sz w:val="27"/>
                <w:szCs w:val="27"/>
                <w:color w:val="auto"/>
                <w:vertAlign w:val="superscript"/>
              </w:rPr>
              <w:t>(5)</w:t>
            </w:r>
          </w:p>
        </w:tc>
        <w:tc>
          <w:tcPr>
            <w:tcW w:w="2280" w:type="dxa"/>
            <w:vAlign w:val="bottom"/>
            <w:tcBorders>
              <w:bottom w:val="single" w:sz="8" w:color="125288"/>
            </w:tcBorders>
          </w:tcPr>
          <w:p>
            <w:pPr>
              <w:jc w:val="right"/>
              <w:ind w:right="281"/>
              <w:spacing w:after="0"/>
              <w:rPr>
                <w:sz w:val="20"/>
                <w:szCs w:val="20"/>
                <w:color w:val="auto"/>
              </w:rPr>
            </w:pPr>
            <w:r>
              <w:rPr>
                <w:rFonts w:ascii="Arial" w:cs="Arial" w:eastAsia="Arial" w:hAnsi="Arial"/>
                <w:sz w:val="17"/>
                <w:szCs w:val="17"/>
                <w:color w:val="auto"/>
              </w:rPr>
              <w:t>57.86</w:t>
            </w:r>
          </w:p>
        </w:tc>
        <w:tc>
          <w:tcPr>
            <w:tcW w:w="2340" w:type="dxa"/>
            <w:vAlign w:val="bottom"/>
            <w:tcBorders>
              <w:bottom w:val="single" w:sz="8" w:color="125288"/>
            </w:tcBorders>
          </w:tcPr>
          <w:p>
            <w:pPr>
              <w:jc w:val="right"/>
              <w:ind w:right="161"/>
              <w:spacing w:after="0"/>
              <w:rPr>
                <w:sz w:val="20"/>
                <w:szCs w:val="20"/>
                <w:color w:val="auto"/>
              </w:rPr>
            </w:pPr>
            <w:r>
              <w:rPr>
                <w:rFonts w:ascii="Arial" w:cs="Arial" w:eastAsia="Arial" w:hAnsi="Arial"/>
                <w:sz w:val="17"/>
                <w:szCs w:val="17"/>
                <w:color w:val="auto"/>
              </w:rPr>
              <w:t>14,477,218</w:t>
            </w:r>
          </w:p>
        </w:tc>
      </w:tr>
      <w:tr>
        <w:trPr>
          <w:trHeight w:val="237"/>
        </w:trPr>
        <w:tc>
          <w:tcPr>
            <w:tcW w:w="4120" w:type="dxa"/>
            <w:vAlign w:val="bottom"/>
          </w:tcPr>
          <w:p>
            <w:pPr>
              <w:ind w:left="40"/>
              <w:spacing w:after="0"/>
              <w:rPr>
                <w:sz w:val="20"/>
                <w:szCs w:val="20"/>
                <w:color w:val="auto"/>
              </w:rPr>
            </w:pPr>
            <w:r>
              <w:rPr>
                <w:rFonts w:ascii="Arial" w:cs="Arial" w:eastAsia="Arial" w:hAnsi="Arial"/>
                <w:sz w:val="17"/>
                <w:szCs w:val="17"/>
                <w:b w:val="1"/>
                <w:bCs w:val="1"/>
                <w:color w:val="auto"/>
              </w:rPr>
              <w:t>Equity compensation plans not approved by</w:t>
            </w:r>
          </w:p>
        </w:tc>
        <w:tc>
          <w:tcPr>
            <w:tcW w:w="25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221"/>
        </w:trPr>
        <w:tc>
          <w:tcPr>
            <w:tcW w:w="4120" w:type="dxa"/>
            <w:vAlign w:val="bottom"/>
          </w:tcPr>
          <w:p>
            <w:pPr>
              <w:ind w:left="40"/>
              <w:spacing w:after="0"/>
              <w:rPr>
                <w:sz w:val="20"/>
                <w:szCs w:val="20"/>
                <w:color w:val="auto"/>
              </w:rPr>
            </w:pPr>
            <w:r>
              <w:rPr>
                <w:rFonts w:ascii="Arial" w:cs="Arial" w:eastAsia="Arial" w:hAnsi="Arial"/>
                <w:sz w:val="17"/>
                <w:szCs w:val="17"/>
                <w:b w:val="1"/>
                <w:bCs w:val="1"/>
                <w:color w:val="auto"/>
              </w:rPr>
              <w:t>shareholders:</w:t>
            </w:r>
          </w:p>
        </w:tc>
        <w:tc>
          <w:tcPr>
            <w:tcW w:w="25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81"/>
        </w:trPr>
        <w:tc>
          <w:tcPr>
            <w:tcW w:w="4120" w:type="dxa"/>
            <w:vAlign w:val="bottom"/>
            <w:tcBorders>
              <w:bottom w:val="single" w:sz="8" w:color="125288"/>
            </w:tcBorders>
          </w:tcPr>
          <w:p>
            <w:pPr>
              <w:spacing w:after="0"/>
              <w:rPr>
                <w:sz w:val="7"/>
                <w:szCs w:val="7"/>
                <w:color w:val="auto"/>
              </w:rPr>
            </w:pPr>
          </w:p>
        </w:tc>
        <w:tc>
          <w:tcPr>
            <w:tcW w:w="2520" w:type="dxa"/>
            <w:vAlign w:val="bottom"/>
            <w:tcBorders>
              <w:bottom w:val="single" w:sz="8" w:color="125288"/>
            </w:tcBorders>
          </w:tcPr>
          <w:p>
            <w:pPr>
              <w:spacing w:after="0"/>
              <w:rPr>
                <w:sz w:val="7"/>
                <w:szCs w:val="7"/>
                <w:color w:val="auto"/>
              </w:rPr>
            </w:pPr>
          </w:p>
        </w:tc>
        <w:tc>
          <w:tcPr>
            <w:tcW w:w="2280" w:type="dxa"/>
            <w:vAlign w:val="bottom"/>
            <w:tcBorders>
              <w:bottom w:val="single" w:sz="8" w:color="125288"/>
            </w:tcBorders>
          </w:tcPr>
          <w:p>
            <w:pPr>
              <w:spacing w:after="0"/>
              <w:rPr>
                <w:sz w:val="7"/>
                <w:szCs w:val="7"/>
                <w:color w:val="auto"/>
              </w:rPr>
            </w:pPr>
          </w:p>
        </w:tc>
        <w:tc>
          <w:tcPr>
            <w:tcW w:w="2340" w:type="dxa"/>
            <w:vAlign w:val="bottom"/>
            <w:tcBorders>
              <w:bottom w:val="single" w:sz="8" w:color="125288"/>
            </w:tcBorders>
          </w:tcPr>
          <w:p>
            <w:pPr>
              <w:spacing w:after="0"/>
              <w:rPr>
                <w:sz w:val="7"/>
                <w:szCs w:val="7"/>
                <w:color w:val="auto"/>
              </w:rPr>
            </w:pPr>
          </w:p>
        </w:tc>
      </w:tr>
      <w:tr>
        <w:trPr>
          <w:trHeight w:val="268"/>
        </w:trPr>
        <w:tc>
          <w:tcPr>
            <w:tcW w:w="4120" w:type="dxa"/>
            <w:vAlign w:val="bottom"/>
          </w:tcPr>
          <w:p>
            <w:pPr>
              <w:ind w:left="40"/>
              <w:spacing w:after="0"/>
              <w:rPr>
                <w:sz w:val="20"/>
                <w:szCs w:val="20"/>
                <w:color w:val="auto"/>
              </w:rPr>
            </w:pPr>
            <w:r>
              <w:rPr>
                <w:rFonts w:ascii="Arial" w:cs="Arial" w:eastAsia="Arial" w:hAnsi="Arial"/>
                <w:sz w:val="17"/>
                <w:szCs w:val="17"/>
                <w:color w:val="auto"/>
              </w:rPr>
              <w:t>None</w:t>
            </w:r>
          </w:p>
        </w:tc>
        <w:tc>
          <w:tcPr>
            <w:tcW w:w="2520" w:type="dxa"/>
            <w:vAlign w:val="bottom"/>
          </w:tcPr>
          <w:p>
            <w:pPr>
              <w:jc w:val="right"/>
              <w:ind w:right="481"/>
              <w:spacing w:after="0"/>
              <w:rPr>
                <w:sz w:val="20"/>
                <w:szCs w:val="20"/>
                <w:color w:val="auto"/>
              </w:rPr>
            </w:pPr>
            <w:r>
              <w:rPr>
                <w:rFonts w:ascii="Arial" w:cs="Arial" w:eastAsia="Arial" w:hAnsi="Arial"/>
                <w:sz w:val="17"/>
                <w:szCs w:val="17"/>
                <w:color w:val="auto"/>
              </w:rPr>
              <w:t>—</w:t>
            </w:r>
          </w:p>
        </w:tc>
        <w:tc>
          <w:tcPr>
            <w:tcW w:w="2280" w:type="dxa"/>
            <w:vAlign w:val="bottom"/>
          </w:tcPr>
          <w:p>
            <w:pPr>
              <w:jc w:val="right"/>
              <w:ind w:right="281"/>
              <w:spacing w:after="0"/>
              <w:rPr>
                <w:sz w:val="20"/>
                <w:szCs w:val="20"/>
                <w:color w:val="auto"/>
              </w:rPr>
            </w:pPr>
            <w:r>
              <w:rPr>
                <w:rFonts w:ascii="Arial" w:cs="Arial" w:eastAsia="Arial" w:hAnsi="Arial"/>
                <w:sz w:val="17"/>
                <w:szCs w:val="17"/>
                <w:color w:val="auto"/>
              </w:rPr>
              <w:t>N/A</w:t>
            </w:r>
          </w:p>
        </w:tc>
        <w:tc>
          <w:tcPr>
            <w:tcW w:w="2340" w:type="dxa"/>
            <w:vAlign w:val="bottom"/>
          </w:tcPr>
          <w:p>
            <w:pPr>
              <w:jc w:val="right"/>
              <w:ind w:right="161"/>
              <w:spacing w:after="0"/>
              <w:rPr>
                <w:sz w:val="20"/>
                <w:szCs w:val="20"/>
                <w:color w:val="auto"/>
              </w:rPr>
            </w:pPr>
            <w:r>
              <w:rPr>
                <w:rFonts w:ascii="Arial" w:cs="Arial" w:eastAsia="Arial" w:hAnsi="Arial"/>
                <w:sz w:val="17"/>
                <w:szCs w:val="17"/>
                <w:color w:val="auto"/>
              </w:rPr>
              <w:t>—</w:t>
            </w:r>
          </w:p>
        </w:tc>
      </w:tr>
      <w:tr>
        <w:trPr>
          <w:trHeight w:val="81"/>
        </w:trPr>
        <w:tc>
          <w:tcPr>
            <w:tcW w:w="4120" w:type="dxa"/>
            <w:vAlign w:val="bottom"/>
            <w:tcBorders>
              <w:bottom w:val="single" w:sz="8" w:color="125288"/>
            </w:tcBorders>
          </w:tcPr>
          <w:p>
            <w:pPr>
              <w:spacing w:after="0"/>
              <w:rPr>
                <w:sz w:val="7"/>
                <w:szCs w:val="7"/>
                <w:color w:val="auto"/>
              </w:rPr>
            </w:pPr>
          </w:p>
        </w:tc>
        <w:tc>
          <w:tcPr>
            <w:tcW w:w="2520" w:type="dxa"/>
            <w:vAlign w:val="bottom"/>
            <w:tcBorders>
              <w:bottom w:val="single" w:sz="8" w:color="125288"/>
            </w:tcBorders>
          </w:tcPr>
          <w:p>
            <w:pPr>
              <w:spacing w:after="0"/>
              <w:rPr>
                <w:sz w:val="7"/>
                <w:szCs w:val="7"/>
                <w:color w:val="auto"/>
              </w:rPr>
            </w:pPr>
          </w:p>
        </w:tc>
        <w:tc>
          <w:tcPr>
            <w:tcW w:w="2280" w:type="dxa"/>
            <w:vAlign w:val="bottom"/>
            <w:tcBorders>
              <w:bottom w:val="single" w:sz="8" w:color="125288"/>
            </w:tcBorders>
          </w:tcPr>
          <w:p>
            <w:pPr>
              <w:spacing w:after="0"/>
              <w:rPr>
                <w:sz w:val="7"/>
                <w:szCs w:val="7"/>
                <w:color w:val="auto"/>
              </w:rPr>
            </w:pPr>
          </w:p>
        </w:tc>
        <w:tc>
          <w:tcPr>
            <w:tcW w:w="2340" w:type="dxa"/>
            <w:vAlign w:val="bottom"/>
            <w:tcBorders>
              <w:bottom w:val="single" w:sz="8" w:color="125288"/>
            </w:tcBorders>
          </w:tcPr>
          <w:p>
            <w:pPr>
              <w:spacing w:after="0"/>
              <w:rPr>
                <w:sz w:val="7"/>
                <w:szCs w:val="7"/>
                <w:color w:val="auto"/>
              </w:rPr>
            </w:pPr>
          </w:p>
        </w:tc>
      </w:tr>
      <w:tr>
        <w:trPr>
          <w:trHeight w:val="268"/>
        </w:trPr>
        <w:tc>
          <w:tcPr>
            <w:tcW w:w="4120" w:type="dxa"/>
            <w:vAlign w:val="bottom"/>
          </w:tcPr>
          <w:p>
            <w:pPr>
              <w:ind w:left="40"/>
              <w:spacing w:after="0"/>
              <w:rPr>
                <w:sz w:val="20"/>
                <w:szCs w:val="20"/>
                <w:color w:val="auto"/>
              </w:rPr>
            </w:pPr>
            <w:r>
              <w:rPr>
                <w:rFonts w:ascii="Arial" w:cs="Arial" w:eastAsia="Arial" w:hAnsi="Arial"/>
                <w:sz w:val="17"/>
                <w:szCs w:val="17"/>
                <w:b w:val="1"/>
                <w:bCs w:val="1"/>
                <w:color w:val="auto"/>
              </w:rPr>
              <w:t>All non-shareholder approved plans</w:t>
            </w:r>
          </w:p>
        </w:tc>
        <w:tc>
          <w:tcPr>
            <w:tcW w:w="2520" w:type="dxa"/>
            <w:vAlign w:val="bottom"/>
          </w:tcPr>
          <w:p>
            <w:pPr>
              <w:jc w:val="right"/>
              <w:ind w:right="481"/>
              <w:spacing w:after="0"/>
              <w:rPr>
                <w:sz w:val="20"/>
                <w:szCs w:val="20"/>
                <w:color w:val="auto"/>
              </w:rPr>
            </w:pPr>
            <w:r>
              <w:rPr>
                <w:rFonts w:ascii="Arial" w:cs="Arial" w:eastAsia="Arial" w:hAnsi="Arial"/>
                <w:sz w:val="17"/>
                <w:szCs w:val="17"/>
                <w:color w:val="auto"/>
              </w:rPr>
              <w:t>—</w:t>
            </w:r>
          </w:p>
        </w:tc>
        <w:tc>
          <w:tcPr>
            <w:tcW w:w="2280" w:type="dxa"/>
            <w:vAlign w:val="bottom"/>
          </w:tcPr>
          <w:p>
            <w:pPr>
              <w:jc w:val="right"/>
              <w:ind w:right="281"/>
              <w:spacing w:after="0"/>
              <w:rPr>
                <w:sz w:val="20"/>
                <w:szCs w:val="20"/>
                <w:color w:val="auto"/>
              </w:rPr>
            </w:pPr>
            <w:r>
              <w:rPr>
                <w:rFonts w:ascii="Arial" w:cs="Arial" w:eastAsia="Arial" w:hAnsi="Arial"/>
                <w:sz w:val="17"/>
                <w:szCs w:val="17"/>
                <w:color w:val="auto"/>
              </w:rPr>
              <w:t>N/A</w:t>
            </w:r>
          </w:p>
        </w:tc>
        <w:tc>
          <w:tcPr>
            <w:tcW w:w="2340" w:type="dxa"/>
            <w:vAlign w:val="bottom"/>
          </w:tcPr>
          <w:p>
            <w:pPr>
              <w:jc w:val="right"/>
              <w:ind w:right="161"/>
              <w:spacing w:after="0"/>
              <w:rPr>
                <w:sz w:val="20"/>
                <w:szCs w:val="20"/>
                <w:color w:val="auto"/>
              </w:rPr>
            </w:pPr>
            <w:r>
              <w:rPr>
                <w:rFonts w:ascii="Arial" w:cs="Arial" w:eastAsia="Arial" w:hAnsi="Arial"/>
                <w:sz w:val="17"/>
                <w:szCs w:val="17"/>
                <w:color w:val="auto"/>
              </w:rPr>
              <w:t>—</w:t>
            </w:r>
          </w:p>
        </w:tc>
      </w:tr>
      <w:tr>
        <w:trPr>
          <w:trHeight w:val="85"/>
        </w:trPr>
        <w:tc>
          <w:tcPr>
            <w:tcW w:w="4120" w:type="dxa"/>
            <w:vAlign w:val="bottom"/>
            <w:tcBorders>
              <w:bottom w:val="single" w:sz="8" w:color="125288"/>
            </w:tcBorders>
          </w:tcPr>
          <w:p>
            <w:pPr>
              <w:spacing w:after="0"/>
              <w:rPr>
                <w:sz w:val="7"/>
                <w:szCs w:val="7"/>
                <w:color w:val="auto"/>
              </w:rPr>
            </w:pPr>
          </w:p>
        </w:tc>
        <w:tc>
          <w:tcPr>
            <w:tcW w:w="2520" w:type="dxa"/>
            <w:vAlign w:val="bottom"/>
            <w:tcBorders>
              <w:bottom w:val="single" w:sz="8" w:color="125288"/>
            </w:tcBorders>
          </w:tcPr>
          <w:p>
            <w:pPr>
              <w:spacing w:after="0"/>
              <w:rPr>
                <w:sz w:val="7"/>
                <w:szCs w:val="7"/>
                <w:color w:val="auto"/>
              </w:rPr>
            </w:pPr>
          </w:p>
        </w:tc>
        <w:tc>
          <w:tcPr>
            <w:tcW w:w="2280" w:type="dxa"/>
            <w:vAlign w:val="bottom"/>
            <w:tcBorders>
              <w:bottom w:val="single" w:sz="8" w:color="125288"/>
            </w:tcBorders>
          </w:tcPr>
          <w:p>
            <w:pPr>
              <w:spacing w:after="0"/>
              <w:rPr>
                <w:sz w:val="7"/>
                <w:szCs w:val="7"/>
                <w:color w:val="auto"/>
              </w:rPr>
            </w:pPr>
          </w:p>
        </w:tc>
        <w:tc>
          <w:tcPr>
            <w:tcW w:w="2340" w:type="dxa"/>
            <w:vAlign w:val="bottom"/>
            <w:tcBorders>
              <w:bottom w:val="single" w:sz="8" w:color="125288"/>
            </w:tcBorders>
          </w:tcPr>
          <w:p>
            <w:pPr>
              <w:spacing w:after="0"/>
              <w:rPr>
                <w:sz w:val="7"/>
                <w:szCs w:val="7"/>
                <w:color w:val="auto"/>
              </w:rPr>
            </w:pPr>
          </w:p>
        </w:tc>
      </w:tr>
      <w:tr>
        <w:trPr>
          <w:trHeight w:val="406"/>
        </w:trPr>
        <w:tc>
          <w:tcPr>
            <w:tcW w:w="4120" w:type="dxa"/>
            <w:vAlign w:val="bottom"/>
          </w:tcPr>
          <w:p>
            <w:pPr>
              <w:ind w:left="40"/>
              <w:spacing w:after="0"/>
              <w:rPr>
                <w:sz w:val="20"/>
                <w:szCs w:val="20"/>
                <w:color w:val="auto"/>
              </w:rPr>
            </w:pPr>
            <w:r>
              <w:rPr>
                <w:rFonts w:ascii="Arial" w:cs="Arial" w:eastAsia="Arial" w:hAnsi="Arial"/>
                <w:sz w:val="17"/>
                <w:szCs w:val="17"/>
                <w:b w:val="1"/>
                <w:bCs w:val="1"/>
                <w:color w:val="125288"/>
              </w:rPr>
              <w:t>TOTAL</w:t>
            </w:r>
          </w:p>
        </w:tc>
        <w:tc>
          <w:tcPr>
            <w:tcW w:w="2520" w:type="dxa"/>
            <w:vAlign w:val="bottom"/>
          </w:tcPr>
          <w:p>
            <w:pPr>
              <w:jc w:val="right"/>
              <w:ind w:right="301"/>
              <w:spacing w:after="0"/>
              <w:rPr>
                <w:sz w:val="20"/>
                <w:szCs w:val="20"/>
                <w:color w:val="auto"/>
              </w:rPr>
            </w:pPr>
            <w:r>
              <w:rPr>
                <w:rFonts w:ascii="Arial" w:cs="Arial" w:eastAsia="Arial" w:hAnsi="Arial"/>
                <w:sz w:val="17"/>
                <w:szCs w:val="17"/>
                <w:b w:val="1"/>
                <w:bCs w:val="1"/>
                <w:color w:val="125288"/>
              </w:rPr>
              <w:t>22,371,042</w:t>
            </w:r>
            <w:r>
              <w:rPr>
                <w:rFonts w:ascii="Arial" w:cs="Arial" w:eastAsia="Arial" w:hAnsi="Arial"/>
                <w:sz w:val="27"/>
                <w:szCs w:val="27"/>
                <w:b w:val="1"/>
                <w:bCs w:val="1"/>
                <w:color w:val="125288"/>
                <w:vertAlign w:val="superscript"/>
              </w:rPr>
              <w:t>(5)</w:t>
            </w:r>
          </w:p>
        </w:tc>
        <w:tc>
          <w:tcPr>
            <w:tcW w:w="2280" w:type="dxa"/>
            <w:vAlign w:val="bottom"/>
          </w:tcPr>
          <w:p>
            <w:pPr>
              <w:jc w:val="right"/>
              <w:ind w:right="281"/>
              <w:spacing w:after="0"/>
              <w:rPr>
                <w:sz w:val="20"/>
                <w:szCs w:val="20"/>
                <w:color w:val="auto"/>
              </w:rPr>
            </w:pPr>
            <w:r>
              <w:rPr>
                <w:rFonts w:ascii="Arial" w:cs="Arial" w:eastAsia="Arial" w:hAnsi="Arial"/>
                <w:sz w:val="17"/>
                <w:szCs w:val="17"/>
                <w:b w:val="1"/>
                <w:bCs w:val="1"/>
                <w:color w:val="125288"/>
              </w:rPr>
              <w:t>57.85</w:t>
            </w:r>
          </w:p>
        </w:tc>
        <w:tc>
          <w:tcPr>
            <w:tcW w:w="2340" w:type="dxa"/>
            <w:vAlign w:val="bottom"/>
          </w:tcPr>
          <w:p>
            <w:pPr>
              <w:jc w:val="right"/>
              <w:ind w:right="161"/>
              <w:spacing w:after="0"/>
              <w:rPr>
                <w:sz w:val="20"/>
                <w:szCs w:val="20"/>
                <w:color w:val="auto"/>
              </w:rPr>
            </w:pPr>
            <w:r>
              <w:rPr>
                <w:rFonts w:ascii="Arial" w:cs="Arial" w:eastAsia="Arial" w:hAnsi="Arial"/>
                <w:sz w:val="17"/>
                <w:szCs w:val="17"/>
                <w:b w:val="1"/>
                <w:bCs w:val="1"/>
                <w:color w:val="125288"/>
              </w:rPr>
              <w:t>14,477,218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-31115</wp:posOffset>
            </wp:positionV>
            <wp:extent cx="7148830" cy="1524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4" w:lineRule="exact"/>
        <w:rPr>
          <w:sz w:val="20"/>
          <w:szCs w:val="20"/>
          <w:color w:val="auto"/>
        </w:rPr>
      </w:pPr>
    </w:p>
    <w:p>
      <w:pPr>
        <w:jc w:val="both"/>
        <w:ind w:left="320" w:right="80" w:hanging="277"/>
        <w:spacing w:after="0" w:line="254" w:lineRule="auto"/>
        <w:tabs>
          <w:tab w:leader="none" w:pos="32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Reflects options to purchase shares of our Common Stock and, in the case of the 2014 Plan, 13,257,560 restricted share units, 4,476,758 of which have vesting tied to performance, each reflecting the right to receive a share of our Common Stock. This table excludes an aggregate of 19,192 shares issuable upon exercise of outstanding options and vesting of outstanding restricted share units assumed by the Company in connection with the 2016 acquisition of King. The weighted average exercise price of the excluded options is $12.39.</w:t>
      </w:r>
    </w:p>
    <w:p>
      <w:pPr>
        <w:spacing w:after="0" w:line="18" w:lineRule="exact"/>
        <w:rPr>
          <w:rFonts w:ascii="Arial" w:cs="Arial" w:eastAsia="Arial" w:hAnsi="Arial"/>
          <w:sz w:val="15"/>
          <w:szCs w:val="15"/>
          <w:color w:val="auto"/>
        </w:rPr>
      </w:pPr>
    </w:p>
    <w:p>
      <w:pPr>
        <w:ind w:left="320" w:right="80" w:hanging="277"/>
        <w:spacing w:after="0" w:line="266" w:lineRule="auto"/>
        <w:tabs>
          <w:tab w:leader="none" w:pos="32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As there is no exercise price for restricted share units, the values in this column represent the weighted average exercise price of any outstanding stock options under the relevant plan.</w:t>
      </w:r>
    </w:p>
    <w:p>
      <w:pPr>
        <w:spacing w:after="0" w:line="9" w:lineRule="exact"/>
        <w:rPr>
          <w:rFonts w:ascii="Arial" w:cs="Arial" w:eastAsia="Arial" w:hAnsi="Arial"/>
          <w:sz w:val="15"/>
          <w:szCs w:val="15"/>
          <w:color w:val="auto"/>
        </w:rPr>
      </w:pPr>
    </w:p>
    <w:p>
      <w:pPr>
        <w:ind w:left="320" w:hanging="277"/>
        <w:spacing w:after="0"/>
        <w:tabs>
          <w:tab w:leader="none" w:pos="32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Upon adoption of the 2014 Plan, we ceased making awards under the 2008 Plan.</w:t>
      </w:r>
    </w:p>
    <w:p>
      <w:pPr>
        <w:spacing w:after="0" w:line="41" w:lineRule="exact"/>
        <w:rPr>
          <w:rFonts w:ascii="Arial" w:cs="Arial" w:eastAsia="Arial" w:hAnsi="Arial"/>
          <w:sz w:val="15"/>
          <w:szCs w:val="15"/>
          <w:color w:val="auto"/>
        </w:rPr>
      </w:pPr>
    </w:p>
    <w:p>
      <w:pPr>
        <w:jc w:val="both"/>
        <w:ind w:left="320" w:right="80" w:hanging="277"/>
        <w:spacing w:after="0" w:line="257" w:lineRule="auto"/>
        <w:tabs>
          <w:tab w:leader="none" w:pos="32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The 2014 Plan permits the granting of non-qualified stock options, incentive stock options, stock appreciation rights (“SARs”), restricted shares, restricted share units, performance shares, performance units, and any other equity-based awards to our and any of our subsidiaries’ directors, officers, and other employees and consultants.</w:t>
      </w:r>
    </w:p>
    <w:p>
      <w:pPr>
        <w:spacing w:after="0" w:line="16" w:lineRule="exact"/>
        <w:rPr>
          <w:rFonts w:ascii="Arial" w:cs="Arial" w:eastAsia="Arial" w:hAnsi="Arial"/>
          <w:sz w:val="15"/>
          <w:szCs w:val="15"/>
          <w:color w:val="auto"/>
        </w:rPr>
      </w:pPr>
    </w:p>
    <w:p>
      <w:pPr>
        <w:jc w:val="both"/>
        <w:ind w:left="320" w:right="80" w:hanging="277"/>
        <w:spacing w:after="0" w:line="257" w:lineRule="auto"/>
        <w:tabs>
          <w:tab w:leader="none" w:pos="32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The number of shares assumes target performance for all outstanding unvested performance-vesting restricted share units (i.e., PSUs). If achievement of maximum performance is assumed, the number of shares of Common Stock to be issued upon exercise of outstanding options, warrants, and rights as of December 31, 2021, would be 23,561,000 shares under the 2014 Plan and 23,779,104 shares under all shareholder approved plans.</w:t>
      </w:r>
    </w:p>
    <w:p>
      <w:pPr>
        <w:spacing w:after="0" w:line="16" w:lineRule="exact"/>
        <w:rPr>
          <w:rFonts w:ascii="Arial" w:cs="Arial" w:eastAsia="Arial" w:hAnsi="Arial"/>
          <w:sz w:val="15"/>
          <w:szCs w:val="15"/>
          <w:color w:val="auto"/>
        </w:rPr>
      </w:pPr>
    </w:p>
    <w:p>
      <w:pPr>
        <w:ind w:left="320" w:hanging="277"/>
        <w:spacing w:after="0"/>
        <w:tabs>
          <w:tab w:leader="none" w:pos="32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The number of shares reserved for issuance under the 2014 Plan may be increased from time to time by: (X) the number of shares relating to awards</w:t>
      </w:r>
    </w:p>
    <w:p>
      <w:pPr>
        <w:spacing w:after="0" w:line="5" w:lineRule="exact"/>
        <w:rPr>
          <w:rFonts w:ascii="Arial" w:cs="Arial" w:eastAsia="Arial" w:hAnsi="Arial"/>
          <w:sz w:val="15"/>
          <w:szCs w:val="15"/>
          <w:color w:val="auto"/>
        </w:rPr>
      </w:pPr>
    </w:p>
    <w:p>
      <w:pPr>
        <w:jc w:val="both"/>
        <w:ind w:left="320" w:right="80"/>
        <w:spacing w:after="0" w:line="250" w:lineRule="auto"/>
        <w:rPr>
          <w:rFonts w:ascii="Arial" w:cs="Arial" w:eastAsia="Arial" w:hAnsi="Arial"/>
          <w:sz w:val="15"/>
          <w:szCs w:val="15"/>
          <w:color w:val="auto"/>
        </w:rPr>
      </w:pPr>
      <w:r>
        <w:rPr>
          <w:rFonts w:ascii="Arial" w:cs="Arial" w:eastAsia="Arial" w:hAnsi="Arial"/>
          <w:sz w:val="15"/>
          <w:szCs w:val="15"/>
          <w:color w:val="auto"/>
        </w:rPr>
        <w:t>outstanding under the 2008 Plan that: (a) expire, or are forfeited, terminated, or canceled, without the issuance of shares; (b) are settled in cash in lieu of shares; or (c) are exchanged, prior to the issuance of shares of our Common Stock, for awards not involving our Common Stock; (Y) if the exercise price of any stock option outstanding under the 2008 Plan is, or the tax withholding requirements with respect to any award outstanding under the 2008 Plan are, satisfied by withholding shares otherwise then deliverable in respect of the award or the actual or constructive transfer to the Company of shares already owned, the number of shares equal to the withheld or transferred shares; and (Z) if a SAR is exercised and settled in shares, the number of shares equal to the difference between the total number of shares with respect to which the award is exercised and the number of shares actually issued or transferred. The number of shares available for issuance under the 2014 Plan, as reflected in this table, assumes target performance of outstanding PSUs. If achievement of maximum performance is assumed, the number available for issuance under the 2014 Plan as of December 31, 2021, would be 13,306,452 shares.</w:t>
      </w:r>
    </w:p>
    <w:p>
      <w:pPr>
        <w:spacing w:after="0" w:line="279" w:lineRule="exact"/>
        <w:rPr>
          <w:sz w:val="20"/>
          <w:szCs w:val="20"/>
          <w:color w:val="auto"/>
        </w:rPr>
      </w:pPr>
    </w:p>
    <w:p>
      <w:pPr>
        <w:spacing w:after="0"/>
        <w:tabs>
          <w:tab w:leader="none" w:pos="7360" w:val="left"/>
          <w:tab w:leader="none" w:pos="9380" w:val="left"/>
          <w:tab w:leader="none" w:pos="1100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47" w:name="page148"/>
    <w:bookmarkEnd w:id="147"/>
    <w:p>
      <w:pPr>
        <w:ind w:left="5"/>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20" w:lineRule="exact"/>
        <w:rPr>
          <w:sz w:val="20"/>
          <w:szCs w:val="20"/>
          <w:color w:val="auto"/>
        </w:rPr>
      </w:pPr>
    </w:p>
    <w:p>
      <w:pPr>
        <w:ind w:left="5"/>
        <w:spacing w:after="0"/>
        <w:rPr>
          <w:sz w:val="20"/>
          <w:szCs w:val="20"/>
          <w:color w:val="auto"/>
        </w:rPr>
      </w:pPr>
      <w:r>
        <w:rPr>
          <w:sz w:val="1"/>
          <w:szCs w:val="1"/>
          <w:color w:val="auto"/>
        </w:rPr>
        <w:drawing>
          <wp:inline distT="0" distB="0" distL="0" distR="0">
            <wp:extent cx="445135" cy="151130"/>
            <wp:effectExtent l="0" t="0" r="0" b="0"/>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445135" cy="151130"/>
                    </a:xfrm>
                    <a:prstGeom prst="rect">
                      <a:avLst/>
                    </a:prstGeom>
                    <a:noFill/>
                    <a:ln>
                      <a:noFill/>
                    </a:ln>
                  </pic:spPr>
                </pic:pic>
              </a:graphicData>
            </a:graphic>
          </wp:inline>
        </w:drawing>
      </w:r>
      <w:r>
        <w:rPr>
          <w:rFonts w:ascii="Arial" w:cs="Arial" w:eastAsia="Arial" w:hAnsi="Arial"/>
          <w:sz w:val="31"/>
          <w:szCs w:val="31"/>
          <w:b w:val="1"/>
          <w:bCs w:val="1"/>
          <w:color w:val="125288"/>
        </w:rPr>
        <w:t xml:space="preserve"> INFORMATION ABOUT THE 2022 ANNUAL MEETING</w:t>
      </w:r>
    </w:p>
    <w:p>
      <w:pPr>
        <w:spacing w:after="0" w:line="312" w:lineRule="exact"/>
        <w:rPr>
          <w:sz w:val="20"/>
          <w:szCs w:val="20"/>
          <w:color w:val="auto"/>
        </w:rPr>
      </w:pPr>
    </w:p>
    <w:p>
      <w:pPr>
        <w:ind w:left="305" w:hanging="305"/>
        <w:spacing w:after="0"/>
        <w:tabs>
          <w:tab w:leader="none" w:pos="305" w:val="left"/>
        </w:tabs>
        <w:numPr>
          <w:ilvl w:val="0"/>
          <w:numId w:val="150"/>
        </w:numPr>
        <w:rPr>
          <w:rFonts w:ascii="Arial" w:cs="Arial" w:eastAsia="Arial" w:hAnsi="Arial"/>
          <w:sz w:val="21"/>
          <w:szCs w:val="21"/>
          <w:b w:val="1"/>
          <w:bCs w:val="1"/>
          <w:color w:val="125288"/>
        </w:rPr>
      </w:pPr>
      <w:r>
        <w:rPr>
          <w:rFonts w:ascii="Arial" w:cs="Arial" w:eastAsia="Arial" w:hAnsi="Arial"/>
          <w:sz w:val="21"/>
          <w:szCs w:val="21"/>
          <w:b w:val="1"/>
          <w:bCs w:val="1"/>
          <w:color w:val="auto"/>
        </w:rPr>
        <w:t>How can I reach the Company about meeting-related matters?</w:t>
      </w:r>
    </w:p>
    <w:p>
      <w:pPr>
        <w:spacing w:after="0" w:line="175" w:lineRule="exact"/>
        <w:rPr>
          <w:sz w:val="20"/>
          <w:szCs w:val="20"/>
          <w:color w:val="auto"/>
        </w:rPr>
      </w:pPr>
    </w:p>
    <w:p>
      <w:pPr>
        <w:jc w:val="both"/>
        <w:ind w:left="305" w:right="40" w:hanging="305"/>
        <w:spacing w:after="0"/>
        <w:tabs>
          <w:tab w:leader="none" w:pos="305" w:val="left"/>
        </w:tabs>
        <w:numPr>
          <w:ilvl w:val="0"/>
          <w:numId w:val="151"/>
        </w:numPr>
        <w:rPr>
          <w:rFonts w:ascii="Arial" w:cs="Arial" w:eastAsia="Arial" w:hAnsi="Arial"/>
          <w:sz w:val="19"/>
          <w:szCs w:val="19"/>
          <w:b w:val="1"/>
          <w:bCs w:val="1"/>
          <w:color w:val="125288"/>
        </w:rPr>
      </w:pPr>
      <w:r>
        <w:rPr>
          <w:rFonts w:ascii="Arial" w:cs="Arial" w:eastAsia="Arial" w:hAnsi="Arial"/>
          <w:sz w:val="19"/>
          <w:szCs w:val="19"/>
          <w:color w:val="auto"/>
        </w:rPr>
        <w:t>If you need to provide any notice to the Company—such as to revoke your proxy, to request or decline householding, or to submit a proposal or director nomination, in each case as described below—you should send that notice and any accompanying materials to the Corporate Secretary or Investor Relations department, as indicated, at:</w:t>
      </w:r>
    </w:p>
    <w:p>
      <w:pPr>
        <w:spacing w:after="0" w:line="129"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auto"/>
        </w:rPr>
        <w:t>Activision Blizzard, Inc.</w:t>
      </w:r>
    </w:p>
    <w:p>
      <w:pPr>
        <w:spacing w:after="0" w:line="7"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auto"/>
        </w:rPr>
        <w:t>2701 Olympic Boulevard, Building B</w:t>
      </w:r>
    </w:p>
    <w:p>
      <w:pPr>
        <w:spacing w:after="0" w:line="7"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auto"/>
        </w:rPr>
        <w:t>Santa Monica, California 90404</w:t>
      </w:r>
    </w:p>
    <w:p>
      <w:pPr>
        <w:spacing w:after="0" w:line="245" w:lineRule="exact"/>
        <w:rPr>
          <w:sz w:val="20"/>
          <w:szCs w:val="20"/>
          <w:color w:val="auto"/>
        </w:rPr>
      </w:pPr>
    </w:p>
    <w:p>
      <w:pPr>
        <w:ind w:left="305" w:hanging="305"/>
        <w:spacing w:after="0"/>
        <w:tabs>
          <w:tab w:leader="none" w:pos="305" w:val="left"/>
        </w:tabs>
        <w:numPr>
          <w:ilvl w:val="0"/>
          <w:numId w:val="152"/>
        </w:numPr>
        <w:rPr>
          <w:rFonts w:ascii="Arial" w:cs="Arial" w:eastAsia="Arial" w:hAnsi="Arial"/>
          <w:sz w:val="21"/>
          <w:szCs w:val="21"/>
          <w:b w:val="1"/>
          <w:bCs w:val="1"/>
          <w:color w:val="125288"/>
        </w:rPr>
      </w:pPr>
      <w:r>
        <w:rPr>
          <w:rFonts w:ascii="Arial" w:cs="Arial" w:eastAsia="Arial" w:hAnsi="Arial"/>
          <w:sz w:val="21"/>
          <w:szCs w:val="21"/>
          <w:b w:val="1"/>
          <w:bCs w:val="1"/>
          <w:color w:val="auto"/>
        </w:rPr>
        <w:t>Who may vote at the Annual Meeting?</w:t>
      </w:r>
    </w:p>
    <w:p>
      <w:pPr>
        <w:spacing w:after="0" w:line="175" w:lineRule="exact"/>
        <w:rPr>
          <w:sz w:val="20"/>
          <w:szCs w:val="20"/>
          <w:color w:val="auto"/>
        </w:rPr>
      </w:pPr>
    </w:p>
    <w:p>
      <w:pPr>
        <w:ind w:left="305" w:right="40" w:hanging="305"/>
        <w:spacing w:after="0" w:line="245" w:lineRule="auto"/>
        <w:tabs>
          <w:tab w:leader="none" w:pos="305" w:val="left"/>
        </w:tabs>
        <w:numPr>
          <w:ilvl w:val="0"/>
          <w:numId w:val="153"/>
        </w:numPr>
        <w:rPr>
          <w:rFonts w:ascii="Arial" w:cs="Arial" w:eastAsia="Arial" w:hAnsi="Arial"/>
          <w:sz w:val="19"/>
          <w:szCs w:val="19"/>
          <w:b w:val="1"/>
          <w:bCs w:val="1"/>
          <w:color w:val="125288"/>
        </w:rPr>
      </w:pPr>
      <w:r>
        <w:rPr>
          <w:rFonts w:ascii="Arial" w:cs="Arial" w:eastAsia="Arial" w:hAnsi="Arial"/>
          <w:sz w:val="19"/>
          <w:szCs w:val="19"/>
          <w:color w:val="auto"/>
        </w:rPr>
        <w:t>Only shareholders of record at the close of business on April 22, 2022 (the “record date”), are entitled to notice of, or to vote at, the Annual Meeting. There were 781,848,813 shares of our Common Stock outstanding and entitled to vote on the record date.</w:t>
      </w:r>
    </w:p>
    <w:p>
      <w:pPr>
        <w:spacing w:after="0" w:line="124" w:lineRule="exact"/>
        <w:rPr>
          <w:rFonts w:ascii="Arial" w:cs="Arial" w:eastAsia="Arial" w:hAnsi="Arial"/>
          <w:sz w:val="19"/>
          <w:szCs w:val="19"/>
          <w:b w:val="1"/>
          <w:bCs w:val="1"/>
          <w:color w:val="125288"/>
        </w:rPr>
      </w:pPr>
    </w:p>
    <w:p>
      <w:pPr>
        <w:jc w:val="both"/>
        <w:ind w:left="305" w:right="40"/>
        <w:spacing w:after="0"/>
        <w:rPr>
          <w:rFonts w:ascii="Arial" w:cs="Arial" w:eastAsia="Arial" w:hAnsi="Arial"/>
          <w:sz w:val="19"/>
          <w:szCs w:val="19"/>
          <w:b w:val="1"/>
          <w:bCs w:val="1"/>
          <w:color w:val="125288"/>
        </w:rPr>
      </w:pPr>
      <w:r>
        <w:rPr>
          <w:rFonts w:ascii="Arial" w:cs="Arial" w:eastAsia="Arial" w:hAnsi="Arial"/>
          <w:sz w:val="19"/>
          <w:szCs w:val="19"/>
          <w:color w:val="auto"/>
        </w:rPr>
        <w:t>A list of the shareholders entitled to vote at the Annual Meeting will be available for examination by any shareholder of record, for any purpose germane to the Annual Meeting, at, and for the ten days before, the Annual Meeting at www.viewproxy.com/ATVI/2022.</w:t>
      </w:r>
    </w:p>
    <w:p>
      <w:pPr>
        <w:spacing w:after="0" w:line="105" w:lineRule="exact"/>
        <w:rPr>
          <w:sz w:val="20"/>
          <w:szCs w:val="20"/>
          <w:color w:val="auto"/>
        </w:rPr>
      </w:pPr>
    </w:p>
    <w:p>
      <w:pPr>
        <w:ind w:left="305" w:hanging="305"/>
        <w:spacing w:after="0"/>
        <w:tabs>
          <w:tab w:leader="none" w:pos="305" w:val="left"/>
        </w:tabs>
        <w:numPr>
          <w:ilvl w:val="0"/>
          <w:numId w:val="154"/>
        </w:numPr>
        <w:rPr>
          <w:rFonts w:ascii="Arial" w:cs="Arial" w:eastAsia="Arial" w:hAnsi="Arial"/>
          <w:sz w:val="21"/>
          <w:szCs w:val="21"/>
          <w:b w:val="1"/>
          <w:bCs w:val="1"/>
          <w:color w:val="125288"/>
        </w:rPr>
      </w:pPr>
      <w:r>
        <w:rPr>
          <w:rFonts w:ascii="Arial" w:cs="Arial" w:eastAsia="Arial" w:hAnsi="Arial"/>
          <w:sz w:val="21"/>
          <w:szCs w:val="21"/>
          <w:b w:val="1"/>
          <w:bCs w:val="1"/>
          <w:color w:val="auto"/>
        </w:rPr>
        <w:t>How many votes may I cast?</w:t>
      </w:r>
    </w:p>
    <w:p>
      <w:pPr>
        <w:spacing w:after="0" w:line="175" w:lineRule="exact"/>
        <w:rPr>
          <w:sz w:val="20"/>
          <w:szCs w:val="20"/>
          <w:color w:val="auto"/>
        </w:rPr>
      </w:pPr>
    </w:p>
    <w:p>
      <w:pPr>
        <w:ind w:left="305" w:right="40" w:hanging="305"/>
        <w:spacing w:after="0" w:line="245" w:lineRule="auto"/>
        <w:tabs>
          <w:tab w:leader="none" w:pos="305" w:val="left"/>
        </w:tabs>
        <w:numPr>
          <w:ilvl w:val="0"/>
          <w:numId w:val="155"/>
        </w:numPr>
        <w:rPr>
          <w:rFonts w:ascii="Arial" w:cs="Arial" w:eastAsia="Arial" w:hAnsi="Arial"/>
          <w:sz w:val="19"/>
          <w:szCs w:val="19"/>
          <w:b w:val="1"/>
          <w:bCs w:val="1"/>
          <w:color w:val="125288"/>
        </w:rPr>
      </w:pPr>
      <w:r>
        <w:rPr>
          <w:rFonts w:ascii="Arial" w:cs="Arial" w:eastAsia="Arial" w:hAnsi="Arial"/>
          <w:sz w:val="19"/>
          <w:szCs w:val="19"/>
          <w:color w:val="auto"/>
        </w:rPr>
        <w:t>Each share of our Common Stock outstanding on the record date is entitled to one vote for each director nominee and one vote on each other matter presented for action at the Annual Meeting.</w:t>
      </w:r>
    </w:p>
    <w:p>
      <w:pPr>
        <w:spacing w:after="0" w:line="101" w:lineRule="exact"/>
        <w:rPr>
          <w:sz w:val="20"/>
          <w:szCs w:val="20"/>
          <w:color w:val="auto"/>
        </w:rPr>
      </w:pPr>
    </w:p>
    <w:p>
      <w:pPr>
        <w:ind w:left="305" w:right="40" w:hanging="305"/>
        <w:spacing w:after="0" w:line="290" w:lineRule="auto"/>
        <w:tabs>
          <w:tab w:leader="none" w:pos="305" w:val="left"/>
        </w:tabs>
        <w:numPr>
          <w:ilvl w:val="0"/>
          <w:numId w:val="156"/>
        </w:numPr>
        <w:rPr>
          <w:rFonts w:ascii="Arial" w:cs="Arial" w:eastAsia="Arial" w:hAnsi="Arial"/>
          <w:sz w:val="21"/>
          <w:szCs w:val="21"/>
          <w:b w:val="1"/>
          <w:bCs w:val="1"/>
          <w:color w:val="125288"/>
        </w:rPr>
      </w:pPr>
      <w:r>
        <w:rPr>
          <w:rFonts w:ascii="Arial" w:cs="Arial" w:eastAsia="Arial" w:hAnsi="Arial"/>
          <w:sz w:val="21"/>
          <w:szCs w:val="21"/>
          <w:b w:val="1"/>
          <w:bCs w:val="1"/>
          <w:color w:val="auto"/>
        </w:rPr>
        <w:t>What if I hold my shares through a broker? What is the difference between holding shares as a “shareholder of record” and holding shares as a “beneficial owner”?</w:t>
      </w:r>
    </w:p>
    <w:p>
      <w:pPr>
        <w:spacing w:after="0" w:line="82" w:lineRule="exact"/>
        <w:rPr>
          <w:sz w:val="20"/>
          <w:szCs w:val="20"/>
          <w:color w:val="auto"/>
        </w:rPr>
      </w:pPr>
    </w:p>
    <w:p>
      <w:pPr>
        <w:jc w:val="both"/>
        <w:ind w:left="305" w:right="40" w:hanging="305"/>
        <w:spacing w:after="0" w:line="238" w:lineRule="auto"/>
        <w:tabs>
          <w:tab w:leader="none" w:pos="305" w:val="left"/>
        </w:tabs>
        <w:numPr>
          <w:ilvl w:val="0"/>
          <w:numId w:val="157"/>
        </w:numPr>
        <w:rPr>
          <w:rFonts w:ascii="Arial" w:cs="Arial" w:eastAsia="Arial" w:hAnsi="Arial"/>
          <w:sz w:val="19"/>
          <w:szCs w:val="19"/>
          <w:b w:val="1"/>
          <w:bCs w:val="1"/>
          <w:color w:val="125288"/>
        </w:rPr>
      </w:pPr>
      <w:r>
        <w:rPr>
          <w:rFonts w:ascii="Arial" w:cs="Arial" w:eastAsia="Arial" w:hAnsi="Arial"/>
          <w:sz w:val="19"/>
          <w:szCs w:val="19"/>
          <w:color w:val="auto"/>
        </w:rPr>
        <w:t>If your shares are held through a broker, bank, or any other nominee, you hold your shares in “street name,” and you are considered the “beneficial owner” of those shares. As a beneficial owner, you are entitled to direct the firm that holds your shares how to vote your shares, or you can obtain a “legal proxy” from such broker, bank, or other nominee giving you the right to vote the shares at the meeting yourself.</w:t>
      </w:r>
    </w:p>
    <w:p>
      <w:pPr>
        <w:spacing w:after="0" w:line="131" w:lineRule="exact"/>
        <w:rPr>
          <w:rFonts w:ascii="Arial" w:cs="Arial" w:eastAsia="Arial" w:hAnsi="Arial"/>
          <w:sz w:val="19"/>
          <w:szCs w:val="19"/>
          <w:b w:val="1"/>
          <w:bCs w:val="1"/>
          <w:color w:val="125288"/>
        </w:rPr>
      </w:pPr>
    </w:p>
    <w:p>
      <w:pPr>
        <w:jc w:val="both"/>
        <w:ind w:left="305" w:right="40"/>
        <w:spacing w:after="0"/>
        <w:rPr>
          <w:rFonts w:ascii="Arial" w:cs="Arial" w:eastAsia="Arial" w:hAnsi="Arial"/>
          <w:sz w:val="19"/>
          <w:szCs w:val="19"/>
          <w:b w:val="1"/>
          <w:bCs w:val="1"/>
          <w:color w:val="125288"/>
        </w:rPr>
      </w:pPr>
      <w:r>
        <w:rPr>
          <w:rFonts w:ascii="Arial" w:cs="Arial" w:eastAsia="Arial" w:hAnsi="Arial"/>
          <w:sz w:val="19"/>
          <w:szCs w:val="19"/>
          <w:color w:val="auto"/>
        </w:rPr>
        <w:t>If your shares are registered in your name with our stock transfer agent, Broadridge Financial Solutions, you are the “shareholder of record” and may vote your shares in person at the meeting or by proxy The voting methods available to shareholders of record are described below under “How do I vote by proxy?” and “How can I attend and vote at the Annual Meeting?”</w:t>
      </w:r>
    </w:p>
    <w:p>
      <w:pPr>
        <w:spacing w:after="0" w:line="105" w:lineRule="exact"/>
        <w:rPr>
          <w:sz w:val="20"/>
          <w:szCs w:val="20"/>
          <w:color w:val="auto"/>
        </w:rPr>
      </w:pPr>
    </w:p>
    <w:p>
      <w:pPr>
        <w:ind w:left="305" w:hanging="305"/>
        <w:spacing w:after="0"/>
        <w:tabs>
          <w:tab w:leader="none" w:pos="305" w:val="left"/>
        </w:tabs>
        <w:numPr>
          <w:ilvl w:val="0"/>
          <w:numId w:val="158"/>
        </w:numPr>
        <w:rPr>
          <w:rFonts w:ascii="Arial" w:cs="Arial" w:eastAsia="Arial" w:hAnsi="Arial"/>
          <w:sz w:val="21"/>
          <w:szCs w:val="21"/>
          <w:b w:val="1"/>
          <w:bCs w:val="1"/>
          <w:color w:val="125288"/>
        </w:rPr>
      </w:pPr>
      <w:r>
        <w:rPr>
          <w:rFonts w:ascii="Arial" w:cs="Arial" w:eastAsia="Arial" w:hAnsi="Arial"/>
          <w:sz w:val="21"/>
          <w:szCs w:val="21"/>
          <w:b w:val="1"/>
          <w:bCs w:val="1"/>
          <w:color w:val="auto"/>
        </w:rPr>
        <w:t>Can my broker vote my shares without my instruction? What are “broker non-votes”?</w:t>
      </w:r>
    </w:p>
    <w:p>
      <w:pPr>
        <w:spacing w:after="0" w:line="175" w:lineRule="exact"/>
        <w:rPr>
          <w:sz w:val="20"/>
          <w:szCs w:val="20"/>
          <w:color w:val="auto"/>
        </w:rPr>
      </w:pPr>
    </w:p>
    <w:p>
      <w:pPr>
        <w:jc w:val="both"/>
        <w:ind w:left="305" w:right="40" w:hanging="305"/>
        <w:spacing w:after="0" w:line="237" w:lineRule="auto"/>
        <w:tabs>
          <w:tab w:leader="none" w:pos="305" w:val="left"/>
        </w:tabs>
        <w:numPr>
          <w:ilvl w:val="0"/>
          <w:numId w:val="159"/>
        </w:numPr>
        <w:rPr>
          <w:rFonts w:ascii="Arial" w:cs="Arial" w:eastAsia="Arial" w:hAnsi="Arial"/>
          <w:sz w:val="19"/>
          <w:szCs w:val="19"/>
          <w:b w:val="1"/>
          <w:bCs w:val="1"/>
          <w:color w:val="125288"/>
        </w:rPr>
      </w:pPr>
      <w:r>
        <w:rPr>
          <w:rFonts w:ascii="Arial" w:cs="Arial" w:eastAsia="Arial" w:hAnsi="Arial"/>
          <w:sz w:val="19"/>
          <w:szCs w:val="19"/>
          <w:color w:val="auto"/>
        </w:rPr>
        <w:t>If you hold shares in street name through a broker, bank, or other nominee, you will receive separate instructions from that firm explaining how to provide instruction as to the voting of your shares. If you are a beneficial owner and you do not provide voting instructions to the broker, bank, or other nominee that holds your shares, that firm will only be allowed to exercise its discretion to vote your shares on proposal 3—the ratification of PwC as the Company’s independent registered public accounting firm. If you do not provide voting instructions with respect to proposals 1, 2, 4, or 5, your broker, bank, or other nominee will not be permitted to vote on those matters and your shares will not be counted. This is called a “broker non-vote.”</w:t>
      </w:r>
    </w:p>
    <w:p>
      <w:pPr>
        <w:spacing w:after="0" w:line="108" w:lineRule="exact"/>
        <w:rPr>
          <w:sz w:val="20"/>
          <w:szCs w:val="20"/>
          <w:color w:val="auto"/>
        </w:rPr>
      </w:pPr>
    </w:p>
    <w:p>
      <w:pPr>
        <w:ind w:left="305" w:hanging="305"/>
        <w:spacing w:after="0"/>
        <w:tabs>
          <w:tab w:leader="none" w:pos="305" w:val="left"/>
        </w:tabs>
        <w:numPr>
          <w:ilvl w:val="0"/>
          <w:numId w:val="160"/>
        </w:numPr>
        <w:rPr>
          <w:rFonts w:ascii="Arial" w:cs="Arial" w:eastAsia="Arial" w:hAnsi="Arial"/>
          <w:sz w:val="21"/>
          <w:szCs w:val="21"/>
          <w:b w:val="1"/>
          <w:bCs w:val="1"/>
          <w:color w:val="125288"/>
        </w:rPr>
      </w:pPr>
      <w:r>
        <w:rPr>
          <w:rFonts w:ascii="Arial" w:cs="Arial" w:eastAsia="Arial" w:hAnsi="Arial"/>
          <w:sz w:val="21"/>
          <w:szCs w:val="21"/>
          <w:b w:val="1"/>
          <w:bCs w:val="1"/>
          <w:color w:val="auto"/>
        </w:rPr>
        <w:t>How many votes must be present in order for business to be conducted?</w:t>
      </w:r>
    </w:p>
    <w:p>
      <w:pPr>
        <w:spacing w:after="0" w:line="175" w:lineRule="exact"/>
        <w:rPr>
          <w:sz w:val="20"/>
          <w:szCs w:val="20"/>
          <w:color w:val="auto"/>
        </w:rPr>
      </w:pPr>
    </w:p>
    <w:p>
      <w:pPr>
        <w:jc w:val="both"/>
        <w:ind w:left="305" w:right="40" w:hanging="305"/>
        <w:spacing w:after="0"/>
        <w:tabs>
          <w:tab w:leader="none" w:pos="305" w:val="left"/>
        </w:tabs>
        <w:numPr>
          <w:ilvl w:val="0"/>
          <w:numId w:val="161"/>
        </w:numPr>
        <w:rPr>
          <w:rFonts w:ascii="Arial" w:cs="Arial" w:eastAsia="Arial" w:hAnsi="Arial"/>
          <w:sz w:val="19"/>
          <w:szCs w:val="19"/>
          <w:b w:val="1"/>
          <w:bCs w:val="1"/>
          <w:color w:val="125288"/>
        </w:rPr>
      </w:pPr>
      <w:r>
        <w:rPr>
          <w:rFonts w:ascii="Arial" w:cs="Arial" w:eastAsia="Arial" w:hAnsi="Arial"/>
          <w:sz w:val="19"/>
          <w:szCs w:val="19"/>
          <w:color w:val="auto"/>
        </w:rPr>
        <w:t>There must be a quorum present for business to be conducted at the Annual Meeting. A quorum consists of the presence, in person or by proxy, of a majority of the shares of our Common Stock entitled to vote at the Annual Meeting. Both abstentions and broker non-votes will be included for purposes of determining whether a quorum is present.</w:t>
      </w:r>
    </w:p>
    <w:p>
      <w:pPr>
        <w:spacing w:after="0" w:line="297" w:lineRule="exact"/>
        <w:rPr>
          <w:sz w:val="20"/>
          <w:szCs w:val="20"/>
          <w:color w:val="auto"/>
        </w:rPr>
      </w:pPr>
    </w:p>
    <w:p>
      <w:pPr>
        <w:ind w:left="5"/>
        <w:spacing w:after="0"/>
        <w:tabs>
          <w:tab w:leader="none" w:pos="7364" w:val="left"/>
          <w:tab w:leader="none" w:pos="9384" w:val="left"/>
          <w:tab w:leader="none" w:pos="1100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bookmarkStart w:id="148" w:name="page149"/>
    <w:bookmarkEnd w:id="148"/>
    <w:p>
      <w:pPr>
        <w:ind w:left="5"/>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11" w:lineRule="exact"/>
        <w:rPr>
          <w:sz w:val="20"/>
          <w:szCs w:val="20"/>
          <w:color w:val="auto"/>
        </w:rPr>
      </w:pPr>
    </w:p>
    <w:p>
      <w:pPr>
        <w:ind w:left="305" w:right="40" w:hanging="305"/>
        <w:spacing w:after="0" w:line="290" w:lineRule="auto"/>
        <w:tabs>
          <w:tab w:leader="none" w:pos="305" w:val="left"/>
        </w:tabs>
        <w:numPr>
          <w:ilvl w:val="0"/>
          <w:numId w:val="162"/>
        </w:numPr>
        <w:rPr>
          <w:rFonts w:ascii="Arial" w:cs="Arial" w:eastAsia="Arial" w:hAnsi="Arial"/>
          <w:sz w:val="21"/>
          <w:szCs w:val="21"/>
          <w:b w:val="1"/>
          <w:bCs w:val="1"/>
          <w:color w:val="125288"/>
        </w:rPr>
      </w:pPr>
      <w:r>
        <w:rPr>
          <w:rFonts w:ascii="Arial" w:cs="Arial" w:eastAsia="Arial" w:hAnsi="Arial"/>
          <w:sz w:val="21"/>
          <w:szCs w:val="21"/>
          <w:b w:val="1"/>
          <w:bCs w:val="1"/>
          <w:color w:val="auto"/>
        </w:rPr>
        <w:t>What are my voting options with respect to each proposal and how many votes are required to approve each proposal?</w:t>
      </w:r>
    </w:p>
    <w:p>
      <w:pPr>
        <w:spacing w:after="0" w:line="58"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125288"/>
        </w:rPr>
        <w:t>A:</w:t>
      </w:r>
    </w:p>
    <w:p>
      <w:pPr>
        <w:spacing w:after="0" w:line="176" w:lineRule="exact"/>
        <w:rPr>
          <w:sz w:val="20"/>
          <w:szCs w:val="20"/>
          <w:color w:val="auto"/>
        </w:rPr>
      </w:pPr>
    </w:p>
    <w:tbl>
      <w:tblPr>
        <w:tblLayout w:type="fixed"/>
        <w:tblInd w:w="5" w:type="dxa"/>
        <w:tblCellMar>
          <w:top w:w="0" w:type="dxa"/>
          <w:left w:w="0" w:type="dxa"/>
          <w:bottom w:w="0" w:type="dxa"/>
          <w:right w:w="0" w:type="dxa"/>
        </w:tblCellMar>
      </w:tblPr>
      <w:tr>
        <w:trPr>
          <w:trHeight w:val="178"/>
        </w:trPr>
        <w:tc>
          <w:tcPr>
            <w:tcW w:w="1600" w:type="dxa"/>
            <w:vAlign w:val="bottom"/>
          </w:tcPr>
          <w:p>
            <w:pPr>
              <w:spacing w:after="0"/>
              <w:rPr>
                <w:sz w:val="15"/>
                <w:szCs w:val="15"/>
                <w:color w:val="auto"/>
              </w:rPr>
            </w:pPr>
          </w:p>
        </w:tc>
        <w:tc>
          <w:tcPr>
            <w:tcW w:w="2060" w:type="dxa"/>
            <w:vAlign w:val="bottom"/>
          </w:tcPr>
          <w:p>
            <w:pPr>
              <w:ind w:left="920"/>
              <w:spacing w:after="0"/>
              <w:rPr>
                <w:sz w:val="20"/>
                <w:szCs w:val="20"/>
                <w:color w:val="auto"/>
              </w:rPr>
            </w:pPr>
            <w:r>
              <w:rPr>
                <w:rFonts w:ascii="Arial" w:cs="Arial" w:eastAsia="Arial" w:hAnsi="Arial"/>
                <w:sz w:val="15"/>
                <w:szCs w:val="15"/>
                <w:b w:val="1"/>
                <w:bCs w:val="1"/>
                <w:color w:val="125288"/>
              </w:rPr>
              <w:t>Voting</w:t>
            </w:r>
          </w:p>
        </w:tc>
        <w:tc>
          <w:tcPr>
            <w:tcW w:w="2680" w:type="dxa"/>
            <w:vAlign w:val="bottom"/>
          </w:tcPr>
          <w:p>
            <w:pPr>
              <w:ind w:left="540"/>
              <w:spacing w:after="0"/>
              <w:rPr>
                <w:sz w:val="20"/>
                <w:szCs w:val="20"/>
                <w:color w:val="auto"/>
              </w:rPr>
            </w:pPr>
            <w:r>
              <w:rPr>
                <w:rFonts w:ascii="Arial" w:cs="Arial" w:eastAsia="Arial" w:hAnsi="Arial"/>
                <w:sz w:val="15"/>
                <w:szCs w:val="15"/>
                <w:b w:val="1"/>
                <w:bCs w:val="1"/>
                <w:color w:val="125288"/>
              </w:rPr>
              <w:t>Vote Required to</w:t>
            </w:r>
          </w:p>
        </w:tc>
        <w:tc>
          <w:tcPr>
            <w:tcW w:w="2520" w:type="dxa"/>
            <w:vAlign w:val="bottom"/>
          </w:tcPr>
          <w:p>
            <w:pPr>
              <w:ind w:left="900"/>
              <w:spacing w:after="0"/>
              <w:rPr>
                <w:sz w:val="20"/>
                <w:szCs w:val="20"/>
                <w:color w:val="auto"/>
              </w:rPr>
            </w:pPr>
            <w:r>
              <w:rPr>
                <w:rFonts w:ascii="Arial" w:cs="Arial" w:eastAsia="Arial" w:hAnsi="Arial"/>
                <w:sz w:val="15"/>
                <w:szCs w:val="15"/>
                <w:b w:val="1"/>
                <w:bCs w:val="1"/>
                <w:color w:val="125288"/>
              </w:rPr>
              <w:t>Broker Discretionary</w:t>
            </w:r>
          </w:p>
        </w:tc>
        <w:tc>
          <w:tcPr>
            <w:tcW w:w="1340" w:type="dxa"/>
            <w:vAlign w:val="bottom"/>
          </w:tcPr>
          <w:p>
            <w:pPr>
              <w:ind w:left="80"/>
              <w:spacing w:after="0"/>
              <w:rPr>
                <w:sz w:val="20"/>
                <w:szCs w:val="20"/>
                <w:color w:val="auto"/>
              </w:rPr>
            </w:pPr>
            <w:r>
              <w:rPr>
                <w:rFonts w:ascii="Arial" w:cs="Arial" w:eastAsia="Arial" w:hAnsi="Arial"/>
                <w:sz w:val="15"/>
                <w:szCs w:val="15"/>
                <w:b w:val="1"/>
                <w:bCs w:val="1"/>
                <w:color w:val="125288"/>
              </w:rPr>
              <w:t>Effect of Broker</w:t>
            </w:r>
          </w:p>
        </w:tc>
        <w:tc>
          <w:tcPr>
            <w:tcW w:w="1060" w:type="dxa"/>
            <w:vAlign w:val="bottom"/>
          </w:tcPr>
          <w:p>
            <w:pPr>
              <w:ind w:left="100"/>
              <w:spacing w:after="0"/>
              <w:rPr>
                <w:sz w:val="20"/>
                <w:szCs w:val="20"/>
                <w:color w:val="auto"/>
              </w:rPr>
            </w:pPr>
            <w:r>
              <w:rPr>
                <w:rFonts w:ascii="Arial" w:cs="Arial" w:eastAsia="Arial" w:hAnsi="Arial"/>
                <w:sz w:val="15"/>
                <w:szCs w:val="15"/>
                <w:b w:val="1"/>
                <w:bCs w:val="1"/>
                <w:color w:val="125288"/>
              </w:rPr>
              <w:t>Effect of</w:t>
            </w:r>
          </w:p>
        </w:tc>
      </w:tr>
      <w:tr>
        <w:trPr>
          <w:trHeight w:val="205"/>
        </w:trPr>
        <w:tc>
          <w:tcPr>
            <w:tcW w:w="1600" w:type="dxa"/>
            <w:vAlign w:val="bottom"/>
            <w:tcBorders>
              <w:bottom w:val="single" w:sz="8" w:color="125288"/>
            </w:tcBorders>
          </w:tcPr>
          <w:p>
            <w:pPr>
              <w:ind w:left="40"/>
              <w:spacing w:after="0"/>
              <w:rPr>
                <w:sz w:val="20"/>
                <w:szCs w:val="20"/>
                <w:color w:val="auto"/>
              </w:rPr>
            </w:pPr>
            <w:r>
              <w:rPr>
                <w:rFonts w:ascii="Arial" w:cs="Arial" w:eastAsia="Arial" w:hAnsi="Arial"/>
                <w:sz w:val="15"/>
                <w:szCs w:val="15"/>
                <w:b w:val="1"/>
                <w:bCs w:val="1"/>
                <w:color w:val="125288"/>
              </w:rPr>
              <w:t>Proposal</w:t>
            </w:r>
          </w:p>
        </w:tc>
        <w:tc>
          <w:tcPr>
            <w:tcW w:w="2060" w:type="dxa"/>
            <w:vAlign w:val="bottom"/>
            <w:tcBorders>
              <w:bottom w:val="single" w:sz="8" w:color="125288"/>
            </w:tcBorders>
          </w:tcPr>
          <w:p>
            <w:pPr>
              <w:ind w:left="920"/>
              <w:spacing w:after="0"/>
              <w:rPr>
                <w:sz w:val="20"/>
                <w:szCs w:val="20"/>
                <w:color w:val="auto"/>
              </w:rPr>
            </w:pPr>
            <w:r>
              <w:rPr>
                <w:rFonts w:ascii="Arial" w:cs="Arial" w:eastAsia="Arial" w:hAnsi="Arial"/>
                <w:sz w:val="15"/>
                <w:szCs w:val="15"/>
                <w:b w:val="1"/>
                <w:bCs w:val="1"/>
                <w:color w:val="125288"/>
              </w:rPr>
              <w:t>Options</w:t>
            </w:r>
          </w:p>
        </w:tc>
        <w:tc>
          <w:tcPr>
            <w:tcW w:w="2680" w:type="dxa"/>
            <w:vAlign w:val="bottom"/>
            <w:tcBorders>
              <w:bottom w:val="single" w:sz="8" w:color="125288"/>
            </w:tcBorders>
          </w:tcPr>
          <w:p>
            <w:pPr>
              <w:ind w:left="540"/>
              <w:spacing w:after="0"/>
              <w:rPr>
                <w:sz w:val="20"/>
                <w:szCs w:val="20"/>
                <w:color w:val="auto"/>
              </w:rPr>
            </w:pPr>
            <w:r>
              <w:rPr>
                <w:rFonts w:ascii="Arial" w:cs="Arial" w:eastAsia="Arial" w:hAnsi="Arial"/>
                <w:sz w:val="15"/>
                <w:szCs w:val="15"/>
                <w:b w:val="1"/>
                <w:bCs w:val="1"/>
                <w:color w:val="125288"/>
              </w:rPr>
              <w:t>Adopt Proposal</w:t>
            </w:r>
          </w:p>
        </w:tc>
        <w:tc>
          <w:tcPr>
            <w:tcW w:w="2520" w:type="dxa"/>
            <w:vAlign w:val="bottom"/>
            <w:tcBorders>
              <w:bottom w:val="single" w:sz="8" w:color="125288"/>
            </w:tcBorders>
          </w:tcPr>
          <w:p>
            <w:pPr>
              <w:ind w:left="900"/>
              <w:spacing w:after="0"/>
              <w:rPr>
                <w:sz w:val="20"/>
                <w:szCs w:val="20"/>
                <w:color w:val="auto"/>
              </w:rPr>
            </w:pPr>
            <w:r>
              <w:rPr>
                <w:rFonts w:ascii="Arial" w:cs="Arial" w:eastAsia="Arial" w:hAnsi="Arial"/>
                <w:sz w:val="15"/>
                <w:szCs w:val="15"/>
                <w:b w:val="1"/>
                <w:bCs w:val="1"/>
                <w:color w:val="125288"/>
              </w:rPr>
              <w:t>Voting Allowed</w:t>
            </w:r>
          </w:p>
        </w:tc>
        <w:tc>
          <w:tcPr>
            <w:tcW w:w="1340" w:type="dxa"/>
            <w:vAlign w:val="bottom"/>
            <w:tcBorders>
              <w:bottom w:val="single" w:sz="8" w:color="125288"/>
            </w:tcBorders>
          </w:tcPr>
          <w:p>
            <w:pPr>
              <w:ind w:left="80"/>
              <w:spacing w:after="0"/>
              <w:rPr>
                <w:sz w:val="20"/>
                <w:szCs w:val="20"/>
                <w:color w:val="auto"/>
              </w:rPr>
            </w:pPr>
            <w:r>
              <w:rPr>
                <w:rFonts w:ascii="Arial" w:cs="Arial" w:eastAsia="Arial" w:hAnsi="Arial"/>
                <w:sz w:val="15"/>
                <w:szCs w:val="15"/>
                <w:b w:val="1"/>
                <w:bCs w:val="1"/>
                <w:color w:val="125288"/>
              </w:rPr>
              <w:t>Non-Votes</w:t>
            </w:r>
          </w:p>
        </w:tc>
        <w:tc>
          <w:tcPr>
            <w:tcW w:w="1060" w:type="dxa"/>
            <w:vAlign w:val="bottom"/>
            <w:tcBorders>
              <w:bottom w:val="single" w:sz="8" w:color="125288"/>
            </w:tcBorders>
          </w:tcPr>
          <w:p>
            <w:pPr>
              <w:ind w:left="100"/>
              <w:spacing w:after="0"/>
              <w:rPr>
                <w:sz w:val="20"/>
                <w:szCs w:val="20"/>
                <w:color w:val="auto"/>
              </w:rPr>
            </w:pPr>
            <w:r>
              <w:rPr>
                <w:rFonts w:ascii="Arial" w:cs="Arial" w:eastAsia="Arial" w:hAnsi="Arial"/>
                <w:sz w:val="15"/>
                <w:szCs w:val="15"/>
                <w:b w:val="1"/>
                <w:bCs w:val="1"/>
                <w:color w:val="125288"/>
              </w:rPr>
              <w:t>Abstentions</w:t>
            </w:r>
          </w:p>
        </w:tc>
      </w:tr>
    </w:tbl>
    <w:p>
      <w:pPr>
        <w:spacing w:after="0" w:line="70" w:lineRule="exact"/>
        <w:rPr>
          <w:sz w:val="20"/>
          <w:szCs w:val="20"/>
          <w:color w:val="auto"/>
        </w:rPr>
      </w:pPr>
    </w:p>
    <w:p>
      <w:pPr>
        <w:sectPr>
          <w:pgSz w:w="11900" w:h="16838" w:orient="portrait"/>
          <w:cols w:equalWidth="0" w:num="1">
            <w:col w:w="11265"/>
          </w:cols>
          <w:pgMar w:left="315" w:top="144" w:right="319" w:bottom="1440" w:gutter="0" w:footer="0" w:header="0"/>
        </w:sectPr>
      </w:pPr>
    </w:p>
    <w:p>
      <w:pPr>
        <w:ind w:left="45"/>
        <w:spacing w:after="0"/>
        <w:tabs>
          <w:tab w:leader="none" w:pos="2504" w:val="left"/>
        </w:tabs>
        <w:rPr>
          <w:sz w:val="20"/>
          <w:szCs w:val="20"/>
          <w:color w:val="auto"/>
        </w:rPr>
      </w:pPr>
      <w:r>
        <w:rPr>
          <w:rFonts w:ascii="Arial" w:cs="Arial" w:eastAsia="Arial" w:hAnsi="Arial"/>
          <w:sz w:val="17"/>
          <w:szCs w:val="17"/>
          <w:color w:val="auto"/>
        </w:rPr>
        <w:t>Proposal 1 — Election of</w:t>
      </w:r>
      <w:r>
        <w:rPr>
          <w:sz w:val="20"/>
          <w:szCs w:val="20"/>
          <w:color w:val="auto"/>
        </w:rPr>
        <w:tab/>
      </w:r>
      <w:r>
        <w:rPr>
          <w:rFonts w:ascii="Arial" w:cs="Arial" w:eastAsia="Arial" w:hAnsi="Arial"/>
          <w:sz w:val="16"/>
          <w:szCs w:val="16"/>
          <w:color w:val="auto"/>
        </w:rPr>
        <w:t>For, against, or</w:t>
      </w:r>
    </w:p>
    <w:p>
      <w:pPr>
        <w:ind w:left="45"/>
        <w:spacing w:after="0"/>
        <w:tabs>
          <w:tab w:leader="none" w:pos="2504" w:val="left"/>
        </w:tabs>
        <w:rPr>
          <w:sz w:val="20"/>
          <w:szCs w:val="20"/>
          <w:color w:val="auto"/>
        </w:rPr>
      </w:pPr>
      <w:r>
        <w:rPr>
          <w:rFonts w:ascii="Arial" w:cs="Arial" w:eastAsia="Arial" w:hAnsi="Arial"/>
          <w:sz w:val="16"/>
          <w:szCs w:val="16"/>
          <w:color w:val="auto"/>
        </w:rPr>
        <w:t>Directors</w:t>
      </w:r>
      <w:r>
        <w:rPr>
          <w:sz w:val="20"/>
          <w:szCs w:val="20"/>
          <w:color w:val="auto"/>
        </w:rPr>
        <w:tab/>
      </w:r>
      <w:r>
        <w:rPr>
          <w:rFonts w:ascii="Arial" w:cs="Arial" w:eastAsia="Arial" w:hAnsi="Arial"/>
          <w:sz w:val="16"/>
          <w:szCs w:val="16"/>
          <w:color w:val="auto"/>
        </w:rPr>
        <w:t>abstain with respect</w:t>
      </w:r>
    </w:p>
    <w:p>
      <w:pPr>
        <w:spacing w:after="0" w:line="6" w:lineRule="exact"/>
        <w:rPr>
          <w:sz w:val="20"/>
          <w:szCs w:val="20"/>
          <w:color w:val="auto"/>
        </w:rPr>
      </w:pPr>
    </w:p>
    <w:p>
      <w:pPr>
        <w:ind w:left="2525"/>
        <w:spacing w:after="0"/>
        <w:rPr>
          <w:sz w:val="20"/>
          <w:szCs w:val="20"/>
          <w:color w:val="auto"/>
        </w:rPr>
      </w:pPr>
      <w:r>
        <w:rPr>
          <w:rFonts w:ascii="Arial" w:cs="Arial" w:eastAsia="Arial" w:hAnsi="Arial"/>
          <w:sz w:val="17"/>
          <w:szCs w:val="17"/>
          <w:color w:val="auto"/>
        </w:rPr>
        <w:t>to each nominee</w:t>
      </w:r>
    </w:p>
    <w:p>
      <w:pPr>
        <w:spacing w:after="0" w:line="20" w:lineRule="exact"/>
        <w:rPr>
          <w:sz w:val="20"/>
          <w:szCs w:val="20"/>
          <w:color w:val="auto"/>
        </w:rPr>
      </w:pPr>
      <w:r>
        <w:rPr>
          <w:sz w:val="20"/>
          <w:szCs w:val="20"/>
          <w:color w:val="auto"/>
        </w:rPr>
        <w:br w:type="column"/>
      </w:r>
    </w:p>
    <w:p>
      <w:pPr>
        <w:spacing w:after="0"/>
        <w:tabs>
          <w:tab w:leader="none" w:pos="3020" w:val="left"/>
          <w:tab w:leader="none" w:pos="4720" w:val="left"/>
          <w:tab w:leader="none" w:pos="6080" w:val="left"/>
        </w:tabs>
        <w:rPr>
          <w:sz w:val="20"/>
          <w:szCs w:val="20"/>
          <w:color w:val="auto"/>
        </w:rPr>
      </w:pPr>
      <w:r>
        <w:rPr>
          <w:rFonts w:ascii="Arial" w:cs="Arial" w:eastAsia="Arial" w:hAnsi="Arial"/>
          <w:sz w:val="17"/>
          <w:szCs w:val="17"/>
          <w:color w:val="auto"/>
        </w:rPr>
        <w:t>The number of votes cast “for” the</w:t>
      </w:r>
      <w:r>
        <w:rPr>
          <w:sz w:val="20"/>
          <w:szCs w:val="20"/>
          <w:color w:val="auto"/>
        </w:rPr>
        <w:tab/>
      </w:r>
      <w:r>
        <w:rPr>
          <w:rFonts w:ascii="Arial" w:cs="Arial" w:eastAsia="Arial" w:hAnsi="Arial"/>
          <w:sz w:val="17"/>
          <w:szCs w:val="17"/>
          <w:color w:val="auto"/>
        </w:rPr>
        <w:t>No</w:t>
      </w:r>
      <w:r>
        <w:rPr>
          <w:sz w:val="20"/>
          <w:szCs w:val="20"/>
          <w:color w:val="auto"/>
        </w:rPr>
        <w:tab/>
      </w:r>
      <w:r>
        <w:rPr>
          <w:rFonts w:ascii="Arial" w:cs="Arial" w:eastAsia="Arial" w:hAnsi="Arial"/>
          <w:sz w:val="17"/>
          <w:szCs w:val="17"/>
          <w:color w:val="auto"/>
        </w:rPr>
        <w:t>No Effect</w:t>
      </w:r>
      <w:r>
        <w:rPr>
          <w:sz w:val="20"/>
          <w:szCs w:val="20"/>
          <w:color w:val="auto"/>
        </w:rPr>
        <w:tab/>
      </w:r>
      <w:r>
        <w:rPr>
          <w:rFonts w:ascii="Arial" w:cs="Arial" w:eastAsia="Arial" w:hAnsi="Arial"/>
          <w:sz w:val="16"/>
          <w:szCs w:val="16"/>
          <w:color w:val="auto"/>
        </w:rPr>
        <w:t>No Effect</w:t>
      </w:r>
    </w:p>
    <w:p>
      <w:pPr>
        <w:spacing w:after="0" w:line="233" w:lineRule="auto"/>
        <w:rPr>
          <w:sz w:val="20"/>
          <w:szCs w:val="20"/>
          <w:color w:val="auto"/>
        </w:rPr>
      </w:pPr>
      <w:r>
        <w:rPr>
          <w:rFonts w:ascii="Arial" w:cs="Arial" w:eastAsia="Arial" w:hAnsi="Arial"/>
          <w:sz w:val="17"/>
          <w:szCs w:val="17"/>
          <w:color w:val="auto"/>
        </w:rPr>
        <w:t>nominee exceeds the number of votes</w:t>
      </w:r>
    </w:p>
    <w:p>
      <w:pPr>
        <w:spacing w:after="0" w:line="234" w:lineRule="auto"/>
        <w:rPr>
          <w:sz w:val="20"/>
          <w:szCs w:val="20"/>
          <w:color w:val="auto"/>
        </w:rPr>
      </w:pPr>
      <w:r>
        <w:rPr>
          <w:rFonts w:ascii="Arial" w:cs="Arial" w:eastAsia="Arial" w:hAnsi="Arial"/>
          <w:sz w:val="17"/>
          <w:szCs w:val="17"/>
          <w:color w:val="auto"/>
        </w:rPr>
        <w:t>cast “against” the nominee by the</w:t>
      </w:r>
    </w:p>
    <w:p>
      <w:pPr>
        <w:spacing w:after="0" w:line="233" w:lineRule="auto"/>
        <w:rPr>
          <w:sz w:val="20"/>
          <w:szCs w:val="20"/>
          <w:color w:val="auto"/>
        </w:rPr>
      </w:pPr>
      <w:r>
        <w:rPr>
          <w:rFonts w:ascii="Arial" w:cs="Arial" w:eastAsia="Arial" w:hAnsi="Arial"/>
          <w:sz w:val="17"/>
          <w:szCs w:val="17"/>
          <w:color w:val="auto"/>
        </w:rPr>
        <w:t>holders of shares present in person or</w:t>
      </w:r>
    </w:p>
    <w:p>
      <w:pPr>
        <w:spacing w:after="0" w:line="234" w:lineRule="auto"/>
        <w:rPr>
          <w:sz w:val="20"/>
          <w:szCs w:val="20"/>
          <w:color w:val="auto"/>
        </w:rPr>
      </w:pPr>
      <w:r>
        <w:rPr>
          <w:rFonts w:ascii="Arial" w:cs="Arial" w:eastAsia="Arial" w:hAnsi="Arial"/>
          <w:sz w:val="17"/>
          <w:szCs w:val="17"/>
          <w:color w:val="auto"/>
        </w:rPr>
        <w:t>by proxy at the Annual Meeting and</w:t>
      </w:r>
    </w:p>
    <w:p>
      <w:pPr>
        <w:spacing w:after="0" w:line="233" w:lineRule="auto"/>
        <w:rPr>
          <w:sz w:val="20"/>
          <w:szCs w:val="20"/>
          <w:color w:val="auto"/>
        </w:rPr>
      </w:pPr>
      <w:r>
        <w:rPr>
          <w:rFonts w:ascii="Arial" w:cs="Arial" w:eastAsia="Arial" w:hAnsi="Arial"/>
          <w:sz w:val="17"/>
          <w:szCs w:val="17"/>
          <w:color w:val="auto"/>
        </w:rPr>
        <w:t>entitled to vote on the election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-2669540</wp:posOffset>
            </wp:positionH>
            <wp:positionV relativeFrom="paragraph">
              <wp:posOffset>54610</wp:posOffset>
            </wp:positionV>
            <wp:extent cx="7148830" cy="76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168" w:lineRule="exact"/>
        <w:rPr>
          <w:sz w:val="20"/>
          <w:szCs w:val="20"/>
          <w:color w:val="auto"/>
        </w:rPr>
      </w:pPr>
    </w:p>
    <w:p>
      <w:pPr>
        <w:sectPr>
          <w:pgSz w:w="11900" w:h="16838" w:orient="portrait"/>
          <w:cols w:equalWidth="0" w:num="2">
            <w:col w:w="3985" w:space="220"/>
            <w:col w:w="7060"/>
          </w:cols>
          <w:pgMar w:left="315" w:top="144" w:right="319" w:bottom="1440" w:gutter="0" w:footer="0" w:header="0"/>
          <w:type w:val="continuous"/>
        </w:sectPr>
      </w:pPr>
    </w:p>
    <w:tbl>
      <w:tblPr>
        <w:tblLayout w:type="fixed"/>
        <w:tblInd w:w="5" w:type="dxa"/>
        <w:tblCellMar>
          <w:top w:w="0" w:type="dxa"/>
          <w:left w:w="0" w:type="dxa"/>
          <w:bottom w:w="0" w:type="dxa"/>
          <w:right w:w="0" w:type="dxa"/>
        </w:tblCellMar>
      </w:tblPr>
      <w:tr>
        <w:trPr>
          <w:trHeight w:val="195"/>
        </w:trPr>
        <w:tc>
          <w:tcPr>
            <w:tcW w:w="2480" w:type="dxa"/>
            <w:vAlign w:val="bottom"/>
          </w:tcPr>
          <w:p>
            <w:pPr>
              <w:ind w:left="40"/>
              <w:spacing w:after="0"/>
              <w:rPr>
                <w:sz w:val="20"/>
                <w:szCs w:val="20"/>
                <w:color w:val="auto"/>
              </w:rPr>
            </w:pPr>
            <w:r>
              <w:rPr>
                <w:rFonts w:ascii="Arial" w:cs="Arial" w:eastAsia="Arial" w:hAnsi="Arial"/>
                <w:sz w:val="17"/>
                <w:szCs w:val="17"/>
                <w:color w:val="auto"/>
              </w:rPr>
              <w:t>Proposal 2 — Advisory vote to</w:t>
            </w:r>
          </w:p>
        </w:tc>
        <w:tc>
          <w:tcPr>
            <w:tcW w:w="1440" w:type="dxa"/>
            <w:vAlign w:val="bottom"/>
          </w:tcPr>
          <w:p>
            <w:pPr>
              <w:ind w:left="40"/>
              <w:spacing w:after="0"/>
              <w:rPr>
                <w:sz w:val="20"/>
                <w:szCs w:val="20"/>
                <w:color w:val="auto"/>
              </w:rPr>
            </w:pPr>
            <w:r>
              <w:rPr>
                <w:rFonts w:ascii="Arial" w:cs="Arial" w:eastAsia="Arial" w:hAnsi="Arial"/>
                <w:sz w:val="17"/>
                <w:szCs w:val="17"/>
                <w:color w:val="auto"/>
              </w:rPr>
              <w:t>For, against, or</w:t>
            </w:r>
          </w:p>
        </w:tc>
        <w:tc>
          <w:tcPr>
            <w:tcW w:w="3240" w:type="dxa"/>
            <w:vAlign w:val="bottom"/>
          </w:tcPr>
          <w:p>
            <w:pPr>
              <w:ind w:left="280"/>
              <w:spacing w:after="0"/>
              <w:rPr>
                <w:sz w:val="20"/>
                <w:szCs w:val="20"/>
                <w:color w:val="auto"/>
              </w:rPr>
            </w:pPr>
            <w:r>
              <w:rPr>
                <w:rFonts w:ascii="Arial" w:cs="Arial" w:eastAsia="Arial" w:hAnsi="Arial"/>
                <w:sz w:val="17"/>
                <w:szCs w:val="17"/>
                <w:color w:val="auto"/>
              </w:rPr>
              <w:t>Affirmative vote of the holders of a</w:t>
            </w:r>
          </w:p>
        </w:tc>
        <w:tc>
          <w:tcPr>
            <w:tcW w:w="1060" w:type="dxa"/>
            <w:vAlign w:val="bottom"/>
          </w:tcPr>
          <w:p>
            <w:pPr>
              <w:ind w:left="80"/>
              <w:spacing w:after="0"/>
              <w:rPr>
                <w:sz w:val="20"/>
                <w:szCs w:val="20"/>
                <w:color w:val="auto"/>
              </w:rPr>
            </w:pPr>
            <w:r>
              <w:rPr>
                <w:rFonts w:ascii="Arial" w:cs="Arial" w:eastAsia="Arial" w:hAnsi="Arial"/>
                <w:sz w:val="17"/>
                <w:szCs w:val="17"/>
                <w:color w:val="auto"/>
              </w:rPr>
              <w:t>No</w:t>
            </w:r>
          </w:p>
        </w:tc>
        <w:tc>
          <w:tcPr>
            <w:tcW w:w="1740" w:type="dxa"/>
            <w:vAlign w:val="bottom"/>
          </w:tcPr>
          <w:p>
            <w:pPr>
              <w:ind w:left="720"/>
              <w:spacing w:after="0"/>
              <w:rPr>
                <w:sz w:val="20"/>
                <w:szCs w:val="20"/>
                <w:color w:val="auto"/>
              </w:rPr>
            </w:pPr>
            <w:r>
              <w:rPr>
                <w:rFonts w:ascii="Arial" w:cs="Arial" w:eastAsia="Arial" w:hAnsi="Arial"/>
                <w:sz w:val="17"/>
                <w:szCs w:val="17"/>
                <w:color w:val="auto"/>
              </w:rPr>
              <w:t>No Effect</w:t>
            </w:r>
          </w:p>
        </w:tc>
        <w:tc>
          <w:tcPr>
            <w:tcW w:w="1300" w:type="dxa"/>
            <w:vAlign w:val="bottom"/>
          </w:tcPr>
          <w:p>
            <w:pPr>
              <w:ind w:left="340"/>
              <w:spacing w:after="0"/>
              <w:rPr>
                <w:sz w:val="20"/>
                <w:szCs w:val="20"/>
                <w:color w:val="auto"/>
              </w:rPr>
            </w:pPr>
            <w:r>
              <w:rPr>
                <w:rFonts w:ascii="Arial" w:cs="Arial" w:eastAsia="Arial" w:hAnsi="Arial"/>
                <w:sz w:val="17"/>
                <w:szCs w:val="17"/>
                <w:color w:val="auto"/>
              </w:rPr>
              <w:t>Against</w:t>
            </w:r>
          </w:p>
        </w:tc>
      </w:tr>
      <w:tr>
        <w:trPr>
          <w:trHeight w:val="190"/>
        </w:trPr>
        <w:tc>
          <w:tcPr>
            <w:tcW w:w="2480" w:type="dxa"/>
            <w:vAlign w:val="bottom"/>
          </w:tcPr>
          <w:p>
            <w:pPr>
              <w:ind w:left="40"/>
              <w:spacing w:after="0" w:line="190" w:lineRule="exact"/>
              <w:rPr>
                <w:sz w:val="20"/>
                <w:szCs w:val="20"/>
                <w:color w:val="auto"/>
              </w:rPr>
            </w:pPr>
            <w:r>
              <w:rPr>
                <w:rFonts w:ascii="Arial" w:cs="Arial" w:eastAsia="Arial" w:hAnsi="Arial"/>
                <w:sz w:val="17"/>
                <w:szCs w:val="17"/>
                <w:color w:val="auto"/>
              </w:rPr>
              <w:t>approve our executive</w:t>
            </w:r>
          </w:p>
        </w:tc>
        <w:tc>
          <w:tcPr>
            <w:tcW w:w="1440" w:type="dxa"/>
            <w:vAlign w:val="bottom"/>
          </w:tcPr>
          <w:p>
            <w:pPr>
              <w:ind w:left="40"/>
              <w:spacing w:after="0" w:line="190" w:lineRule="exact"/>
              <w:rPr>
                <w:sz w:val="20"/>
                <w:szCs w:val="20"/>
                <w:color w:val="auto"/>
              </w:rPr>
            </w:pPr>
            <w:r>
              <w:rPr>
                <w:rFonts w:ascii="Arial" w:cs="Arial" w:eastAsia="Arial" w:hAnsi="Arial"/>
                <w:sz w:val="17"/>
                <w:szCs w:val="17"/>
                <w:color w:val="auto"/>
              </w:rPr>
              <w:t>abstain</w:t>
            </w:r>
          </w:p>
        </w:tc>
        <w:tc>
          <w:tcPr>
            <w:tcW w:w="3240" w:type="dxa"/>
            <w:vAlign w:val="bottom"/>
          </w:tcPr>
          <w:p>
            <w:pPr>
              <w:ind w:left="280"/>
              <w:spacing w:after="0" w:line="190" w:lineRule="exact"/>
              <w:rPr>
                <w:sz w:val="20"/>
                <w:szCs w:val="20"/>
                <w:color w:val="auto"/>
              </w:rPr>
            </w:pPr>
            <w:r>
              <w:rPr>
                <w:rFonts w:ascii="Arial" w:cs="Arial" w:eastAsia="Arial" w:hAnsi="Arial"/>
                <w:sz w:val="17"/>
                <w:szCs w:val="17"/>
                <w:color w:val="auto"/>
              </w:rPr>
              <w:t>majority of the voting power of the</w:t>
            </w:r>
          </w:p>
        </w:tc>
        <w:tc>
          <w:tcPr>
            <w:tcW w:w="10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0"/>
        </w:trPr>
        <w:tc>
          <w:tcPr>
            <w:tcW w:w="2480" w:type="dxa"/>
            <w:vAlign w:val="bottom"/>
          </w:tcPr>
          <w:p>
            <w:pPr>
              <w:ind w:left="40"/>
              <w:spacing w:after="0" w:line="190" w:lineRule="exact"/>
              <w:rPr>
                <w:sz w:val="20"/>
                <w:szCs w:val="20"/>
                <w:color w:val="auto"/>
              </w:rPr>
            </w:pPr>
            <w:r>
              <w:rPr>
                <w:rFonts w:ascii="Arial" w:cs="Arial" w:eastAsia="Arial" w:hAnsi="Arial"/>
                <w:sz w:val="17"/>
                <w:szCs w:val="17"/>
                <w:color w:val="auto"/>
              </w:rPr>
              <w:t>compensation</w:t>
            </w:r>
          </w:p>
        </w:tc>
        <w:tc>
          <w:tcPr>
            <w:tcW w:w="1440" w:type="dxa"/>
            <w:vAlign w:val="bottom"/>
          </w:tcPr>
          <w:p>
            <w:pPr>
              <w:spacing w:after="0"/>
              <w:rPr>
                <w:sz w:val="16"/>
                <w:szCs w:val="16"/>
                <w:color w:val="auto"/>
              </w:rPr>
            </w:pPr>
          </w:p>
        </w:tc>
        <w:tc>
          <w:tcPr>
            <w:tcW w:w="3240" w:type="dxa"/>
            <w:vAlign w:val="bottom"/>
          </w:tcPr>
          <w:p>
            <w:pPr>
              <w:ind w:left="280"/>
              <w:spacing w:after="0" w:line="190" w:lineRule="exact"/>
              <w:rPr>
                <w:sz w:val="20"/>
                <w:szCs w:val="20"/>
                <w:color w:val="auto"/>
              </w:rPr>
            </w:pPr>
            <w:r>
              <w:rPr>
                <w:rFonts w:ascii="Arial" w:cs="Arial" w:eastAsia="Arial" w:hAnsi="Arial"/>
                <w:sz w:val="17"/>
                <w:szCs w:val="17"/>
                <w:color w:val="auto"/>
                <w:w w:val="99"/>
              </w:rPr>
              <w:t>shares present in person or by proxy at</w:t>
            </w:r>
          </w:p>
        </w:tc>
        <w:tc>
          <w:tcPr>
            <w:tcW w:w="10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0"/>
        </w:trPr>
        <w:tc>
          <w:tcPr>
            <w:tcW w:w="2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40" w:type="dxa"/>
            <w:vAlign w:val="bottom"/>
          </w:tcPr>
          <w:p>
            <w:pPr>
              <w:ind w:left="280"/>
              <w:spacing w:after="0" w:line="190" w:lineRule="exact"/>
              <w:rPr>
                <w:sz w:val="20"/>
                <w:szCs w:val="20"/>
                <w:color w:val="auto"/>
              </w:rPr>
            </w:pPr>
            <w:r>
              <w:rPr>
                <w:rFonts w:ascii="Arial" w:cs="Arial" w:eastAsia="Arial" w:hAnsi="Arial"/>
                <w:sz w:val="17"/>
                <w:szCs w:val="17"/>
                <w:color w:val="auto"/>
                <w:w w:val="99"/>
              </w:rPr>
              <w:t>the Annual Meeting and entitled to vote</w:t>
            </w:r>
          </w:p>
        </w:tc>
        <w:tc>
          <w:tcPr>
            <w:tcW w:w="10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1"/>
        </w:trPr>
        <w:tc>
          <w:tcPr>
            <w:tcW w:w="24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40" w:type="dxa"/>
            <w:vAlign w:val="bottom"/>
          </w:tcPr>
          <w:p>
            <w:pPr>
              <w:ind w:left="280"/>
              <w:spacing w:after="0"/>
              <w:rPr>
                <w:sz w:val="20"/>
                <w:szCs w:val="20"/>
                <w:color w:val="auto"/>
              </w:rPr>
            </w:pPr>
            <w:r>
              <w:rPr>
                <w:rFonts w:ascii="Arial" w:cs="Arial" w:eastAsia="Arial" w:hAnsi="Arial"/>
                <w:sz w:val="17"/>
                <w:szCs w:val="17"/>
                <w:color w:val="auto"/>
              </w:rPr>
              <w:t>on the matter</w:t>
            </w:r>
          </w:p>
        </w:tc>
        <w:tc>
          <w:tcPr>
            <w:tcW w:w="10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81"/>
        </w:trPr>
        <w:tc>
          <w:tcPr>
            <w:tcW w:w="2480" w:type="dxa"/>
            <w:vAlign w:val="bottom"/>
            <w:tcBorders>
              <w:bottom w:val="single" w:sz="8" w:color="125288"/>
            </w:tcBorders>
          </w:tcPr>
          <w:p>
            <w:pPr>
              <w:spacing w:after="0"/>
              <w:rPr>
                <w:sz w:val="7"/>
                <w:szCs w:val="7"/>
                <w:color w:val="auto"/>
              </w:rPr>
            </w:pPr>
          </w:p>
        </w:tc>
        <w:tc>
          <w:tcPr>
            <w:tcW w:w="1440" w:type="dxa"/>
            <w:vAlign w:val="bottom"/>
            <w:tcBorders>
              <w:bottom w:val="single" w:sz="8" w:color="125288"/>
            </w:tcBorders>
          </w:tcPr>
          <w:p>
            <w:pPr>
              <w:spacing w:after="0"/>
              <w:rPr>
                <w:sz w:val="7"/>
                <w:szCs w:val="7"/>
                <w:color w:val="auto"/>
              </w:rPr>
            </w:pPr>
          </w:p>
        </w:tc>
        <w:tc>
          <w:tcPr>
            <w:tcW w:w="3240" w:type="dxa"/>
            <w:vAlign w:val="bottom"/>
            <w:tcBorders>
              <w:bottom w:val="single" w:sz="8" w:color="125288"/>
            </w:tcBorders>
          </w:tcPr>
          <w:p>
            <w:pPr>
              <w:spacing w:after="0"/>
              <w:rPr>
                <w:sz w:val="7"/>
                <w:szCs w:val="7"/>
                <w:color w:val="auto"/>
              </w:rPr>
            </w:pPr>
          </w:p>
        </w:tc>
        <w:tc>
          <w:tcPr>
            <w:tcW w:w="1060" w:type="dxa"/>
            <w:vAlign w:val="bottom"/>
            <w:tcBorders>
              <w:bottom w:val="single" w:sz="8" w:color="125288"/>
            </w:tcBorders>
          </w:tcPr>
          <w:p>
            <w:pPr>
              <w:spacing w:after="0"/>
              <w:rPr>
                <w:sz w:val="7"/>
                <w:szCs w:val="7"/>
                <w:color w:val="auto"/>
              </w:rPr>
            </w:pPr>
          </w:p>
        </w:tc>
        <w:tc>
          <w:tcPr>
            <w:tcW w:w="1740" w:type="dxa"/>
            <w:vAlign w:val="bottom"/>
            <w:tcBorders>
              <w:bottom w:val="single" w:sz="8" w:color="125288"/>
            </w:tcBorders>
          </w:tcPr>
          <w:p>
            <w:pPr>
              <w:spacing w:after="0"/>
              <w:rPr>
                <w:sz w:val="7"/>
                <w:szCs w:val="7"/>
                <w:color w:val="auto"/>
              </w:rPr>
            </w:pPr>
          </w:p>
        </w:tc>
        <w:tc>
          <w:tcPr>
            <w:tcW w:w="1300" w:type="dxa"/>
            <w:vAlign w:val="bottom"/>
            <w:tcBorders>
              <w:bottom w:val="single" w:sz="8" w:color="125288"/>
            </w:tcBorders>
          </w:tcPr>
          <w:p>
            <w:pPr>
              <w:spacing w:after="0"/>
              <w:rPr>
                <w:sz w:val="7"/>
                <w:szCs w:val="7"/>
                <w:color w:val="auto"/>
              </w:rPr>
            </w:pPr>
          </w:p>
        </w:tc>
      </w:tr>
      <w:tr>
        <w:trPr>
          <w:trHeight w:val="257"/>
        </w:trPr>
        <w:tc>
          <w:tcPr>
            <w:tcW w:w="2480" w:type="dxa"/>
            <w:vAlign w:val="bottom"/>
          </w:tcPr>
          <w:p>
            <w:pPr>
              <w:ind w:left="40"/>
              <w:spacing w:after="0"/>
              <w:rPr>
                <w:sz w:val="20"/>
                <w:szCs w:val="20"/>
                <w:color w:val="auto"/>
              </w:rPr>
            </w:pPr>
            <w:r>
              <w:rPr>
                <w:rFonts w:ascii="Arial" w:cs="Arial" w:eastAsia="Arial" w:hAnsi="Arial"/>
                <w:sz w:val="17"/>
                <w:szCs w:val="17"/>
                <w:color w:val="auto"/>
              </w:rPr>
              <w:t>Proposal 3 — Ratification of the</w:t>
            </w:r>
          </w:p>
        </w:tc>
        <w:tc>
          <w:tcPr>
            <w:tcW w:w="1440" w:type="dxa"/>
            <w:vAlign w:val="bottom"/>
          </w:tcPr>
          <w:p>
            <w:pPr>
              <w:ind w:left="40"/>
              <w:spacing w:after="0"/>
              <w:rPr>
                <w:sz w:val="20"/>
                <w:szCs w:val="20"/>
                <w:color w:val="auto"/>
              </w:rPr>
            </w:pPr>
            <w:r>
              <w:rPr>
                <w:rFonts w:ascii="Arial" w:cs="Arial" w:eastAsia="Arial" w:hAnsi="Arial"/>
                <w:sz w:val="17"/>
                <w:szCs w:val="17"/>
                <w:color w:val="auto"/>
              </w:rPr>
              <w:t>For, against, or</w:t>
            </w:r>
          </w:p>
        </w:tc>
        <w:tc>
          <w:tcPr>
            <w:tcW w:w="3240" w:type="dxa"/>
            <w:vAlign w:val="bottom"/>
          </w:tcPr>
          <w:p>
            <w:pPr>
              <w:ind w:left="280"/>
              <w:spacing w:after="0"/>
              <w:rPr>
                <w:sz w:val="20"/>
                <w:szCs w:val="20"/>
                <w:color w:val="auto"/>
              </w:rPr>
            </w:pPr>
            <w:r>
              <w:rPr>
                <w:rFonts w:ascii="Arial" w:cs="Arial" w:eastAsia="Arial" w:hAnsi="Arial"/>
                <w:sz w:val="17"/>
                <w:szCs w:val="17"/>
                <w:color w:val="auto"/>
              </w:rPr>
              <w:t>Affirmative vote of the holders of a</w:t>
            </w:r>
          </w:p>
        </w:tc>
        <w:tc>
          <w:tcPr>
            <w:tcW w:w="1060" w:type="dxa"/>
            <w:vAlign w:val="bottom"/>
          </w:tcPr>
          <w:p>
            <w:pPr>
              <w:ind w:left="80"/>
              <w:spacing w:after="0"/>
              <w:rPr>
                <w:sz w:val="20"/>
                <w:szCs w:val="20"/>
                <w:color w:val="auto"/>
              </w:rPr>
            </w:pPr>
            <w:r>
              <w:rPr>
                <w:rFonts w:ascii="Arial" w:cs="Arial" w:eastAsia="Arial" w:hAnsi="Arial"/>
                <w:sz w:val="17"/>
                <w:szCs w:val="17"/>
                <w:color w:val="auto"/>
              </w:rPr>
              <w:t>Yes</w:t>
            </w:r>
          </w:p>
        </w:tc>
        <w:tc>
          <w:tcPr>
            <w:tcW w:w="1740" w:type="dxa"/>
            <w:vAlign w:val="bottom"/>
          </w:tcPr>
          <w:p>
            <w:pPr>
              <w:ind w:left="720"/>
              <w:spacing w:after="0"/>
              <w:rPr>
                <w:sz w:val="20"/>
                <w:szCs w:val="20"/>
                <w:color w:val="auto"/>
              </w:rPr>
            </w:pPr>
            <w:r>
              <w:rPr>
                <w:rFonts w:ascii="Arial" w:cs="Arial" w:eastAsia="Arial" w:hAnsi="Arial"/>
                <w:sz w:val="17"/>
                <w:szCs w:val="17"/>
                <w:color w:val="auto"/>
              </w:rPr>
              <w:t>N/A</w:t>
            </w:r>
          </w:p>
        </w:tc>
        <w:tc>
          <w:tcPr>
            <w:tcW w:w="1300" w:type="dxa"/>
            <w:vAlign w:val="bottom"/>
          </w:tcPr>
          <w:p>
            <w:pPr>
              <w:ind w:left="340"/>
              <w:spacing w:after="0"/>
              <w:rPr>
                <w:sz w:val="20"/>
                <w:szCs w:val="20"/>
                <w:color w:val="auto"/>
              </w:rPr>
            </w:pPr>
            <w:r>
              <w:rPr>
                <w:rFonts w:ascii="Arial" w:cs="Arial" w:eastAsia="Arial" w:hAnsi="Arial"/>
                <w:sz w:val="17"/>
                <w:szCs w:val="17"/>
                <w:color w:val="auto"/>
              </w:rPr>
              <w:t>Against</w:t>
            </w:r>
          </w:p>
        </w:tc>
      </w:tr>
      <w:tr>
        <w:trPr>
          <w:trHeight w:val="190"/>
        </w:trPr>
        <w:tc>
          <w:tcPr>
            <w:tcW w:w="2480" w:type="dxa"/>
            <w:vAlign w:val="bottom"/>
          </w:tcPr>
          <w:p>
            <w:pPr>
              <w:ind w:left="40"/>
              <w:spacing w:after="0" w:line="190" w:lineRule="exact"/>
              <w:rPr>
                <w:sz w:val="20"/>
                <w:szCs w:val="20"/>
                <w:color w:val="auto"/>
              </w:rPr>
            </w:pPr>
            <w:r>
              <w:rPr>
                <w:rFonts w:ascii="Arial" w:cs="Arial" w:eastAsia="Arial" w:hAnsi="Arial"/>
                <w:sz w:val="17"/>
                <w:szCs w:val="17"/>
                <w:color w:val="auto"/>
              </w:rPr>
              <w:t>appointment of</w:t>
            </w:r>
          </w:p>
        </w:tc>
        <w:tc>
          <w:tcPr>
            <w:tcW w:w="1440" w:type="dxa"/>
            <w:vAlign w:val="bottom"/>
          </w:tcPr>
          <w:p>
            <w:pPr>
              <w:ind w:left="40"/>
              <w:spacing w:after="0" w:line="190" w:lineRule="exact"/>
              <w:rPr>
                <w:sz w:val="20"/>
                <w:szCs w:val="20"/>
                <w:color w:val="auto"/>
              </w:rPr>
            </w:pPr>
            <w:r>
              <w:rPr>
                <w:rFonts w:ascii="Arial" w:cs="Arial" w:eastAsia="Arial" w:hAnsi="Arial"/>
                <w:sz w:val="17"/>
                <w:szCs w:val="17"/>
                <w:color w:val="auto"/>
              </w:rPr>
              <w:t>abstain</w:t>
            </w:r>
          </w:p>
        </w:tc>
        <w:tc>
          <w:tcPr>
            <w:tcW w:w="3240" w:type="dxa"/>
            <w:vAlign w:val="bottom"/>
          </w:tcPr>
          <w:p>
            <w:pPr>
              <w:ind w:left="280"/>
              <w:spacing w:after="0" w:line="190" w:lineRule="exact"/>
              <w:rPr>
                <w:sz w:val="20"/>
                <w:szCs w:val="20"/>
                <w:color w:val="auto"/>
              </w:rPr>
            </w:pPr>
            <w:r>
              <w:rPr>
                <w:rFonts w:ascii="Arial" w:cs="Arial" w:eastAsia="Arial" w:hAnsi="Arial"/>
                <w:sz w:val="17"/>
                <w:szCs w:val="17"/>
                <w:color w:val="auto"/>
              </w:rPr>
              <w:t>majority of the voting power of the</w:t>
            </w:r>
          </w:p>
        </w:tc>
        <w:tc>
          <w:tcPr>
            <w:tcW w:w="10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0"/>
        </w:trPr>
        <w:tc>
          <w:tcPr>
            <w:tcW w:w="2480" w:type="dxa"/>
            <w:vAlign w:val="bottom"/>
          </w:tcPr>
          <w:p>
            <w:pPr>
              <w:ind w:left="40"/>
              <w:spacing w:after="0" w:line="190" w:lineRule="exact"/>
              <w:rPr>
                <w:sz w:val="20"/>
                <w:szCs w:val="20"/>
                <w:color w:val="auto"/>
              </w:rPr>
            </w:pPr>
            <w:r>
              <w:rPr>
                <w:rFonts w:ascii="Arial" w:cs="Arial" w:eastAsia="Arial" w:hAnsi="Arial"/>
                <w:sz w:val="17"/>
                <w:szCs w:val="17"/>
                <w:color w:val="auto"/>
              </w:rPr>
              <w:t>PricewaterhouseCoopers LLP</w:t>
            </w:r>
          </w:p>
        </w:tc>
        <w:tc>
          <w:tcPr>
            <w:tcW w:w="1440" w:type="dxa"/>
            <w:vAlign w:val="bottom"/>
          </w:tcPr>
          <w:p>
            <w:pPr>
              <w:spacing w:after="0"/>
              <w:rPr>
                <w:sz w:val="16"/>
                <w:szCs w:val="16"/>
                <w:color w:val="auto"/>
              </w:rPr>
            </w:pPr>
          </w:p>
        </w:tc>
        <w:tc>
          <w:tcPr>
            <w:tcW w:w="3240" w:type="dxa"/>
            <w:vAlign w:val="bottom"/>
          </w:tcPr>
          <w:p>
            <w:pPr>
              <w:ind w:left="280"/>
              <w:spacing w:after="0" w:line="190" w:lineRule="exact"/>
              <w:rPr>
                <w:sz w:val="20"/>
                <w:szCs w:val="20"/>
                <w:color w:val="auto"/>
              </w:rPr>
            </w:pPr>
            <w:r>
              <w:rPr>
                <w:rFonts w:ascii="Arial" w:cs="Arial" w:eastAsia="Arial" w:hAnsi="Arial"/>
                <w:sz w:val="17"/>
                <w:szCs w:val="17"/>
                <w:color w:val="auto"/>
                <w:w w:val="99"/>
              </w:rPr>
              <w:t>shares present in person or by proxy at</w:t>
            </w:r>
          </w:p>
        </w:tc>
        <w:tc>
          <w:tcPr>
            <w:tcW w:w="10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0"/>
        </w:trPr>
        <w:tc>
          <w:tcPr>
            <w:tcW w:w="2480" w:type="dxa"/>
            <w:vAlign w:val="bottom"/>
          </w:tcPr>
          <w:p>
            <w:pPr>
              <w:ind w:left="40"/>
              <w:spacing w:after="0" w:line="190" w:lineRule="exact"/>
              <w:rPr>
                <w:sz w:val="20"/>
                <w:szCs w:val="20"/>
                <w:color w:val="auto"/>
              </w:rPr>
            </w:pPr>
            <w:r>
              <w:rPr>
                <w:rFonts w:ascii="Arial" w:cs="Arial" w:eastAsia="Arial" w:hAnsi="Arial"/>
                <w:sz w:val="17"/>
                <w:szCs w:val="17"/>
                <w:color w:val="auto"/>
              </w:rPr>
              <w:t>as the Company’s independent</w:t>
            </w:r>
          </w:p>
        </w:tc>
        <w:tc>
          <w:tcPr>
            <w:tcW w:w="1440" w:type="dxa"/>
            <w:vAlign w:val="bottom"/>
          </w:tcPr>
          <w:p>
            <w:pPr>
              <w:spacing w:after="0"/>
              <w:rPr>
                <w:sz w:val="16"/>
                <w:szCs w:val="16"/>
                <w:color w:val="auto"/>
              </w:rPr>
            </w:pPr>
          </w:p>
        </w:tc>
        <w:tc>
          <w:tcPr>
            <w:tcW w:w="3240" w:type="dxa"/>
            <w:vAlign w:val="bottom"/>
          </w:tcPr>
          <w:p>
            <w:pPr>
              <w:ind w:left="280"/>
              <w:spacing w:after="0" w:line="190" w:lineRule="exact"/>
              <w:rPr>
                <w:sz w:val="20"/>
                <w:szCs w:val="20"/>
                <w:color w:val="auto"/>
              </w:rPr>
            </w:pPr>
            <w:r>
              <w:rPr>
                <w:rFonts w:ascii="Arial" w:cs="Arial" w:eastAsia="Arial" w:hAnsi="Arial"/>
                <w:sz w:val="17"/>
                <w:szCs w:val="17"/>
                <w:color w:val="auto"/>
                <w:w w:val="99"/>
              </w:rPr>
              <w:t>the Annual Meeting and entitled to vote</w:t>
            </w:r>
          </w:p>
        </w:tc>
        <w:tc>
          <w:tcPr>
            <w:tcW w:w="10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1"/>
        </w:trPr>
        <w:tc>
          <w:tcPr>
            <w:tcW w:w="2480" w:type="dxa"/>
            <w:vAlign w:val="bottom"/>
          </w:tcPr>
          <w:p>
            <w:pPr>
              <w:ind w:left="40"/>
              <w:spacing w:after="0"/>
              <w:rPr>
                <w:sz w:val="20"/>
                <w:szCs w:val="20"/>
                <w:color w:val="auto"/>
              </w:rPr>
            </w:pPr>
            <w:r>
              <w:rPr>
                <w:rFonts w:ascii="Arial" w:cs="Arial" w:eastAsia="Arial" w:hAnsi="Arial"/>
                <w:sz w:val="17"/>
                <w:szCs w:val="17"/>
                <w:color w:val="auto"/>
                <w:w w:val="98"/>
              </w:rPr>
              <w:t>registered public accounting firm</w:t>
            </w:r>
          </w:p>
        </w:tc>
        <w:tc>
          <w:tcPr>
            <w:tcW w:w="1440" w:type="dxa"/>
            <w:vAlign w:val="bottom"/>
          </w:tcPr>
          <w:p>
            <w:pPr>
              <w:spacing w:after="0"/>
              <w:rPr>
                <w:sz w:val="17"/>
                <w:szCs w:val="17"/>
                <w:color w:val="auto"/>
              </w:rPr>
            </w:pPr>
          </w:p>
        </w:tc>
        <w:tc>
          <w:tcPr>
            <w:tcW w:w="3240" w:type="dxa"/>
            <w:vAlign w:val="bottom"/>
          </w:tcPr>
          <w:p>
            <w:pPr>
              <w:ind w:left="280"/>
              <w:spacing w:after="0"/>
              <w:rPr>
                <w:sz w:val="20"/>
                <w:szCs w:val="20"/>
                <w:color w:val="auto"/>
              </w:rPr>
            </w:pPr>
            <w:r>
              <w:rPr>
                <w:rFonts w:ascii="Arial" w:cs="Arial" w:eastAsia="Arial" w:hAnsi="Arial"/>
                <w:sz w:val="17"/>
                <w:szCs w:val="17"/>
                <w:color w:val="auto"/>
              </w:rPr>
              <w:t>on the matter</w:t>
            </w:r>
          </w:p>
        </w:tc>
        <w:tc>
          <w:tcPr>
            <w:tcW w:w="10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81"/>
        </w:trPr>
        <w:tc>
          <w:tcPr>
            <w:tcW w:w="2480" w:type="dxa"/>
            <w:vAlign w:val="bottom"/>
            <w:tcBorders>
              <w:bottom w:val="single" w:sz="8" w:color="125288"/>
            </w:tcBorders>
          </w:tcPr>
          <w:p>
            <w:pPr>
              <w:spacing w:after="0"/>
              <w:rPr>
                <w:sz w:val="7"/>
                <w:szCs w:val="7"/>
                <w:color w:val="auto"/>
              </w:rPr>
            </w:pPr>
          </w:p>
        </w:tc>
        <w:tc>
          <w:tcPr>
            <w:tcW w:w="1440" w:type="dxa"/>
            <w:vAlign w:val="bottom"/>
            <w:tcBorders>
              <w:bottom w:val="single" w:sz="8" w:color="125288"/>
            </w:tcBorders>
          </w:tcPr>
          <w:p>
            <w:pPr>
              <w:spacing w:after="0"/>
              <w:rPr>
                <w:sz w:val="7"/>
                <w:szCs w:val="7"/>
                <w:color w:val="auto"/>
              </w:rPr>
            </w:pPr>
          </w:p>
        </w:tc>
        <w:tc>
          <w:tcPr>
            <w:tcW w:w="3240" w:type="dxa"/>
            <w:vAlign w:val="bottom"/>
            <w:tcBorders>
              <w:bottom w:val="single" w:sz="8" w:color="125288"/>
            </w:tcBorders>
          </w:tcPr>
          <w:p>
            <w:pPr>
              <w:spacing w:after="0"/>
              <w:rPr>
                <w:sz w:val="7"/>
                <w:szCs w:val="7"/>
                <w:color w:val="auto"/>
              </w:rPr>
            </w:pPr>
          </w:p>
        </w:tc>
        <w:tc>
          <w:tcPr>
            <w:tcW w:w="1060" w:type="dxa"/>
            <w:vAlign w:val="bottom"/>
            <w:tcBorders>
              <w:bottom w:val="single" w:sz="8" w:color="125288"/>
            </w:tcBorders>
          </w:tcPr>
          <w:p>
            <w:pPr>
              <w:spacing w:after="0"/>
              <w:rPr>
                <w:sz w:val="7"/>
                <w:szCs w:val="7"/>
                <w:color w:val="auto"/>
              </w:rPr>
            </w:pPr>
          </w:p>
        </w:tc>
        <w:tc>
          <w:tcPr>
            <w:tcW w:w="1740" w:type="dxa"/>
            <w:vAlign w:val="bottom"/>
            <w:tcBorders>
              <w:bottom w:val="single" w:sz="8" w:color="125288"/>
            </w:tcBorders>
          </w:tcPr>
          <w:p>
            <w:pPr>
              <w:spacing w:after="0"/>
              <w:rPr>
                <w:sz w:val="7"/>
                <w:szCs w:val="7"/>
                <w:color w:val="auto"/>
              </w:rPr>
            </w:pPr>
          </w:p>
        </w:tc>
        <w:tc>
          <w:tcPr>
            <w:tcW w:w="1300" w:type="dxa"/>
            <w:vAlign w:val="bottom"/>
            <w:tcBorders>
              <w:bottom w:val="single" w:sz="8" w:color="125288"/>
            </w:tcBorders>
          </w:tcPr>
          <w:p>
            <w:pPr>
              <w:spacing w:after="0"/>
              <w:rPr>
                <w:sz w:val="7"/>
                <w:szCs w:val="7"/>
                <w:color w:val="auto"/>
              </w:rPr>
            </w:pPr>
          </w:p>
        </w:tc>
      </w:tr>
      <w:tr>
        <w:trPr>
          <w:trHeight w:val="257"/>
        </w:trPr>
        <w:tc>
          <w:tcPr>
            <w:tcW w:w="2480" w:type="dxa"/>
            <w:vAlign w:val="bottom"/>
          </w:tcPr>
          <w:p>
            <w:pPr>
              <w:ind w:left="40"/>
              <w:spacing w:after="0"/>
              <w:rPr>
                <w:sz w:val="20"/>
                <w:szCs w:val="20"/>
                <w:color w:val="auto"/>
              </w:rPr>
            </w:pPr>
            <w:r>
              <w:rPr>
                <w:rFonts w:ascii="Arial" w:cs="Arial" w:eastAsia="Arial" w:hAnsi="Arial"/>
                <w:sz w:val="17"/>
                <w:szCs w:val="17"/>
                <w:color w:val="auto"/>
              </w:rPr>
              <w:t>Proposal 4 — Shareholder</w:t>
            </w:r>
          </w:p>
        </w:tc>
        <w:tc>
          <w:tcPr>
            <w:tcW w:w="1440" w:type="dxa"/>
            <w:vAlign w:val="bottom"/>
          </w:tcPr>
          <w:p>
            <w:pPr>
              <w:ind w:left="40"/>
              <w:spacing w:after="0"/>
              <w:rPr>
                <w:sz w:val="20"/>
                <w:szCs w:val="20"/>
                <w:color w:val="auto"/>
              </w:rPr>
            </w:pPr>
            <w:r>
              <w:rPr>
                <w:rFonts w:ascii="Arial" w:cs="Arial" w:eastAsia="Arial" w:hAnsi="Arial"/>
                <w:sz w:val="17"/>
                <w:szCs w:val="17"/>
                <w:color w:val="auto"/>
              </w:rPr>
              <w:t>For, against, or</w:t>
            </w:r>
          </w:p>
        </w:tc>
        <w:tc>
          <w:tcPr>
            <w:tcW w:w="3240" w:type="dxa"/>
            <w:vAlign w:val="bottom"/>
          </w:tcPr>
          <w:p>
            <w:pPr>
              <w:ind w:left="280"/>
              <w:spacing w:after="0"/>
              <w:rPr>
                <w:sz w:val="20"/>
                <w:szCs w:val="20"/>
                <w:color w:val="auto"/>
              </w:rPr>
            </w:pPr>
            <w:r>
              <w:rPr>
                <w:rFonts w:ascii="Arial" w:cs="Arial" w:eastAsia="Arial" w:hAnsi="Arial"/>
                <w:sz w:val="17"/>
                <w:szCs w:val="17"/>
                <w:color w:val="auto"/>
              </w:rPr>
              <w:t>Affirmative vote of the holders of a</w:t>
            </w:r>
          </w:p>
        </w:tc>
        <w:tc>
          <w:tcPr>
            <w:tcW w:w="1060" w:type="dxa"/>
            <w:vAlign w:val="bottom"/>
          </w:tcPr>
          <w:p>
            <w:pPr>
              <w:ind w:left="80"/>
              <w:spacing w:after="0"/>
              <w:rPr>
                <w:sz w:val="20"/>
                <w:szCs w:val="20"/>
                <w:color w:val="auto"/>
              </w:rPr>
            </w:pPr>
            <w:r>
              <w:rPr>
                <w:rFonts w:ascii="Arial" w:cs="Arial" w:eastAsia="Arial" w:hAnsi="Arial"/>
                <w:sz w:val="17"/>
                <w:szCs w:val="17"/>
                <w:color w:val="auto"/>
              </w:rPr>
              <w:t>No</w:t>
            </w:r>
          </w:p>
        </w:tc>
        <w:tc>
          <w:tcPr>
            <w:tcW w:w="1740" w:type="dxa"/>
            <w:vAlign w:val="bottom"/>
          </w:tcPr>
          <w:p>
            <w:pPr>
              <w:ind w:left="720"/>
              <w:spacing w:after="0"/>
              <w:rPr>
                <w:sz w:val="20"/>
                <w:szCs w:val="20"/>
                <w:color w:val="auto"/>
              </w:rPr>
            </w:pPr>
            <w:r>
              <w:rPr>
                <w:rFonts w:ascii="Arial" w:cs="Arial" w:eastAsia="Arial" w:hAnsi="Arial"/>
                <w:sz w:val="17"/>
                <w:szCs w:val="17"/>
                <w:color w:val="auto"/>
              </w:rPr>
              <w:t>No Effect</w:t>
            </w:r>
          </w:p>
        </w:tc>
        <w:tc>
          <w:tcPr>
            <w:tcW w:w="1300" w:type="dxa"/>
            <w:vAlign w:val="bottom"/>
          </w:tcPr>
          <w:p>
            <w:pPr>
              <w:ind w:left="340"/>
              <w:spacing w:after="0"/>
              <w:rPr>
                <w:sz w:val="20"/>
                <w:szCs w:val="20"/>
                <w:color w:val="auto"/>
              </w:rPr>
            </w:pPr>
            <w:r>
              <w:rPr>
                <w:rFonts w:ascii="Arial" w:cs="Arial" w:eastAsia="Arial" w:hAnsi="Arial"/>
                <w:sz w:val="17"/>
                <w:szCs w:val="17"/>
                <w:color w:val="auto"/>
              </w:rPr>
              <w:t>Against</w:t>
            </w:r>
          </w:p>
        </w:tc>
      </w:tr>
      <w:tr>
        <w:trPr>
          <w:trHeight w:val="190"/>
        </w:trPr>
        <w:tc>
          <w:tcPr>
            <w:tcW w:w="2480" w:type="dxa"/>
            <w:vAlign w:val="bottom"/>
          </w:tcPr>
          <w:p>
            <w:pPr>
              <w:ind w:left="40"/>
              <w:spacing w:after="0" w:line="190" w:lineRule="exact"/>
              <w:rPr>
                <w:sz w:val="20"/>
                <w:szCs w:val="20"/>
                <w:color w:val="auto"/>
              </w:rPr>
            </w:pPr>
            <w:r>
              <w:rPr>
                <w:rFonts w:ascii="Arial" w:cs="Arial" w:eastAsia="Arial" w:hAnsi="Arial"/>
                <w:sz w:val="17"/>
                <w:szCs w:val="17"/>
                <w:color w:val="auto"/>
              </w:rPr>
              <w:t>proposal regarding the</w:t>
            </w:r>
          </w:p>
        </w:tc>
        <w:tc>
          <w:tcPr>
            <w:tcW w:w="1440" w:type="dxa"/>
            <w:vAlign w:val="bottom"/>
          </w:tcPr>
          <w:p>
            <w:pPr>
              <w:ind w:left="40"/>
              <w:spacing w:after="0" w:line="190" w:lineRule="exact"/>
              <w:rPr>
                <w:sz w:val="20"/>
                <w:szCs w:val="20"/>
                <w:color w:val="auto"/>
              </w:rPr>
            </w:pPr>
            <w:r>
              <w:rPr>
                <w:rFonts w:ascii="Arial" w:cs="Arial" w:eastAsia="Arial" w:hAnsi="Arial"/>
                <w:sz w:val="17"/>
                <w:szCs w:val="17"/>
                <w:color w:val="auto"/>
              </w:rPr>
              <w:t>abstain</w:t>
            </w:r>
          </w:p>
        </w:tc>
        <w:tc>
          <w:tcPr>
            <w:tcW w:w="3240" w:type="dxa"/>
            <w:vAlign w:val="bottom"/>
          </w:tcPr>
          <w:p>
            <w:pPr>
              <w:ind w:left="280"/>
              <w:spacing w:after="0" w:line="190" w:lineRule="exact"/>
              <w:rPr>
                <w:sz w:val="20"/>
                <w:szCs w:val="20"/>
                <w:color w:val="auto"/>
              </w:rPr>
            </w:pPr>
            <w:r>
              <w:rPr>
                <w:rFonts w:ascii="Arial" w:cs="Arial" w:eastAsia="Arial" w:hAnsi="Arial"/>
                <w:sz w:val="17"/>
                <w:szCs w:val="17"/>
                <w:color w:val="auto"/>
              </w:rPr>
              <w:t>majority of the voting power of the</w:t>
            </w:r>
          </w:p>
        </w:tc>
        <w:tc>
          <w:tcPr>
            <w:tcW w:w="10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0"/>
        </w:trPr>
        <w:tc>
          <w:tcPr>
            <w:tcW w:w="2480" w:type="dxa"/>
            <w:vAlign w:val="bottom"/>
          </w:tcPr>
          <w:p>
            <w:pPr>
              <w:ind w:left="40"/>
              <w:spacing w:after="0" w:line="190" w:lineRule="exact"/>
              <w:rPr>
                <w:sz w:val="20"/>
                <w:szCs w:val="20"/>
                <w:color w:val="auto"/>
              </w:rPr>
            </w:pPr>
            <w:r>
              <w:rPr>
                <w:rFonts w:ascii="Arial" w:cs="Arial" w:eastAsia="Arial" w:hAnsi="Arial"/>
                <w:sz w:val="17"/>
                <w:szCs w:val="17"/>
                <w:color w:val="auto"/>
              </w:rPr>
              <w:t>nomination of an employee</w:t>
            </w:r>
          </w:p>
        </w:tc>
        <w:tc>
          <w:tcPr>
            <w:tcW w:w="1440" w:type="dxa"/>
            <w:vAlign w:val="bottom"/>
          </w:tcPr>
          <w:p>
            <w:pPr>
              <w:spacing w:after="0"/>
              <w:rPr>
                <w:sz w:val="16"/>
                <w:szCs w:val="16"/>
                <w:color w:val="auto"/>
              </w:rPr>
            </w:pPr>
          </w:p>
        </w:tc>
        <w:tc>
          <w:tcPr>
            <w:tcW w:w="3240" w:type="dxa"/>
            <w:vAlign w:val="bottom"/>
          </w:tcPr>
          <w:p>
            <w:pPr>
              <w:ind w:left="280"/>
              <w:spacing w:after="0" w:line="190" w:lineRule="exact"/>
              <w:rPr>
                <w:sz w:val="20"/>
                <w:szCs w:val="20"/>
                <w:color w:val="auto"/>
              </w:rPr>
            </w:pPr>
            <w:r>
              <w:rPr>
                <w:rFonts w:ascii="Arial" w:cs="Arial" w:eastAsia="Arial" w:hAnsi="Arial"/>
                <w:sz w:val="17"/>
                <w:szCs w:val="17"/>
                <w:color w:val="auto"/>
                <w:w w:val="99"/>
              </w:rPr>
              <w:t>shares present in person or by proxy at</w:t>
            </w:r>
          </w:p>
        </w:tc>
        <w:tc>
          <w:tcPr>
            <w:tcW w:w="10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0"/>
        </w:trPr>
        <w:tc>
          <w:tcPr>
            <w:tcW w:w="2480" w:type="dxa"/>
            <w:vAlign w:val="bottom"/>
          </w:tcPr>
          <w:p>
            <w:pPr>
              <w:ind w:left="40"/>
              <w:spacing w:after="0" w:line="190" w:lineRule="exact"/>
              <w:rPr>
                <w:sz w:val="20"/>
                <w:szCs w:val="20"/>
                <w:color w:val="auto"/>
              </w:rPr>
            </w:pPr>
            <w:r>
              <w:rPr>
                <w:rFonts w:ascii="Arial" w:cs="Arial" w:eastAsia="Arial" w:hAnsi="Arial"/>
                <w:sz w:val="17"/>
                <w:szCs w:val="17"/>
                <w:color w:val="auto"/>
              </w:rPr>
              <w:t>representative director</w:t>
            </w:r>
          </w:p>
        </w:tc>
        <w:tc>
          <w:tcPr>
            <w:tcW w:w="1440" w:type="dxa"/>
            <w:vAlign w:val="bottom"/>
          </w:tcPr>
          <w:p>
            <w:pPr>
              <w:spacing w:after="0"/>
              <w:rPr>
                <w:sz w:val="16"/>
                <w:szCs w:val="16"/>
                <w:color w:val="auto"/>
              </w:rPr>
            </w:pPr>
          </w:p>
        </w:tc>
        <w:tc>
          <w:tcPr>
            <w:tcW w:w="3240" w:type="dxa"/>
            <w:vAlign w:val="bottom"/>
          </w:tcPr>
          <w:p>
            <w:pPr>
              <w:ind w:left="280"/>
              <w:spacing w:after="0" w:line="190" w:lineRule="exact"/>
              <w:rPr>
                <w:sz w:val="20"/>
                <w:szCs w:val="20"/>
                <w:color w:val="auto"/>
              </w:rPr>
            </w:pPr>
            <w:r>
              <w:rPr>
                <w:rFonts w:ascii="Arial" w:cs="Arial" w:eastAsia="Arial" w:hAnsi="Arial"/>
                <w:sz w:val="17"/>
                <w:szCs w:val="17"/>
                <w:color w:val="auto"/>
                <w:w w:val="99"/>
              </w:rPr>
              <w:t>the Annual Meeting and entitled to vote</w:t>
            </w:r>
          </w:p>
        </w:tc>
        <w:tc>
          <w:tcPr>
            <w:tcW w:w="10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1"/>
        </w:trPr>
        <w:tc>
          <w:tcPr>
            <w:tcW w:w="24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40" w:type="dxa"/>
            <w:vAlign w:val="bottom"/>
          </w:tcPr>
          <w:p>
            <w:pPr>
              <w:ind w:left="280"/>
              <w:spacing w:after="0"/>
              <w:rPr>
                <w:sz w:val="20"/>
                <w:szCs w:val="20"/>
                <w:color w:val="auto"/>
              </w:rPr>
            </w:pPr>
            <w:r>
              <w:rPr>
                <w:rFonts w:ascii="Arial" w:cs="Arial" w:eastAsia="Arial" w:hAnsi="Arial"/>
                <w:sz w:val="17"/>
                <w:szCs w:val="17"/>
                <w:color w:val="auto"/>
              </w:rPr>
              <w:t>on the matter</w:t>
            </w:r>
          </w:p>
        </w:tc>
        <w:tc>
          <w:tcPr>
            <w:tcW w:w="10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81"/>
        </w:trPr>
        <w:tc>
          <w:tcPr>
            <w:tcW w:w="2480" w:type="dxa"/>
            <w:vAlign w:val="bottom"/>
            <w:tcBorders>
              <w:bottom w:val="single" w:sz="8" w:color="125288"/>
            </w:tcBorders>
          </w:tcPr>
          <w:p>
            <w:pPr>
              <w:spacing w:after="0"/>
              <w:rPr>
                <w:sz w:val="7"/>
                <w:szCs w:val="7"/>
                <w:color w:val="auto"/>
              </w:rPr>
            </w:pPr>
          </w:p>
        </w:tc>
        <w:tc>
          <w:tcPr>
            <w:tcW w:w="1440" w:type="dxa"/>
            <w:vAlign w:val="bottom"/>
            <w:tcBorders>
              <w:bottom w:val="single" w:sz="8" w:color="125288"/>
            </w:tcBorders>
          </w:tcPr>
          <w:p>
            <w:pPr>
              <w:spacing w:after="0"/>
              <w:rPr>
                <w:sz w:val="7"/>
                <w:szCs w:val="7"/>
                <w:color w:val="auto"/>
              </w:rPr>
            </w:pPr>
          </w:p>
        </w:tc>
        <w:tc>
          <w:tcPr>
            <w:tcW w:w="3240" w:type="dxa"/>
            <w:vAlign w:val="bottom"/>
            <w:tcBorders>
              <w:bottom w:val="single" w:sz="8" w:color="125288"/>
            </w:tcBorders>
          </w:tcPr>
          <w:p>
            <w:pPr>
              <w:spacing w:after="0"/>
              <w:rPr>
                <w:sz w:val="7"/>
                <w:szCs w:val="7"/>
                <w:color w:val="auto"/>
              </w:rPr>
            </w:pPr>
          </w:p>
        </w:tc>
        <w:tc>
          <w:tcPr>
            <w:tcW w:w="1060" w:type="dxa"/>
            <w:vAlign w:val="bottom"/>
            <w:tcBorders>
              <w:bottom w:val="single" w:sz="8" w:color="125288"/>
            </w:tcBorders>
          </w:tcPr>
          <w:p>
            <w:pPr>
              <w:spacing w:after="0"/>
              <w:rPr>
                <w:sz w:val="7"/>
                <w:szCs w:val="7"/>
                <w:color w:val="auto"/>
              </w:rPr>
            </w:pPr>
          </w:p>
        </w:tc>
        <w:tc>
          <w:tcPr>
            <w:tcW w:w="1740" w:type="dxa"/>
            <w:vAlign w:val="bottom"/>
            <w:tcBorders>
              <w:bottom w:val="single" w:sz="8" w:color="125288"/>
            </w:tcBorders>
          </w:tcPr>
          <w:p>
            <w:pPr>
              <w:spacing w:after="0"/>
              <w:rPr>
                <w:sz w:val="7"/>
                <w:szCs w:val="7"/>
                <w:color w:val="auto"/>
              </w:rPr>
            </w:pPr>
          </w:p>
        </w:tc>
        <w:tc>
          <w:tcPr>
            <w:tcW w:w="1300" w:type="dxa"/>
            <w:vAlign w:val="bottom"/>
            <w:tcBorders>
              <w:bottom w:val="single" w:sz="8" w:color="125288"/>
            </w:tcBorders>
          </w:tcPr>
          <w:p>
            <w:pPr>
              <w:spacing w:after="0"/>
              <w:rPr>
                <w:sz w:val="7"/>
                <w:szCs w:val="7"/>
                <w:color w:val="auto"/>
              </w:rPr>
            </w:pPr>
          </w:p>
        </w:tc>
      </w:tr>
      <w:tr>
        <w:trPr>
          <w:trHeight w:val="257"/>
        </w:trPr>
        <w:tc>
          <w:tcPr>
            <w:tcW w:w="2480" w:type="dxa"/>
            <w:vAlign w:val="bottom"/>
          </w:tcPr>
          <w:p>
            <w:pPr>
              <w:ind w:left="40"/>
              <w:spacing w:after="0"/>
              <w:rPr>
                <w:sz w:val="20"/>
                <w:szCs w:val="20"/>
                <w:color w:val="auto"/>
              </w:rPr>
            </w:pPr>
            <w:r>
              <w:rPr>
                <w:rFonts w:ascii="Arial" w:cs="Arial" w:eastAsia="Arial" w:hAnsi="Arial"/>
                <w:sz w:val="17"/>
                <w:szCs w:val="17"/>
                <w:color w:val="auto"/>
              </w:rPr>
              <w:t>Proposal 5 — Shareholder</w:t>
            </w:r>
          </w:p>
        </w:tc>
        <w:tc>
          <w:tcPr>
            <w:tcW w:w="1440" w:type="dxa"/>
            <w:vAlign w:val="bottom"/>
          </w:tcPr>
          <w:p>
            <w:pPr>
              <w:ind w:left="40"/>
              <w:spacing w:after="0"/>
              <w:rPr>
                <w:sz w:val="20"/>
                <w:szCs w:val="20"/>
                <w:color w:val="auto"/>
              </w:rPr>
            </w:pPr>
            <w:r>
              <w:rPr>
                <w:rFonts w:ascii="Arial" w:cs="Arial" w:eastAsia="Arial" w:hAnsi="Arial"/>
                <w:sz w:val="17"/>
                <w:szCs w:val="17"/>
                <w:color w:val="auto"/>
              </w:rPr>
              <w:t>For, against, or</w:t>
            </w:r>
          </w:p>
        </w:tc>
        <w:tc>
          <w:tcPr>
            <w:tcW w:w="3240" w:type="dxa"/>
            <w:vAlign w:val="bottom"/>
          </w:tcPr>
          <w:p>
            <w:pPr>
              <w:ind w:left="280"/>
              <w:spacing w:after="0"/>
              <w:rPr>
                <w:sz w:val="20"/>
                <w:szCs w:val="20"/>
                <w:color w:val="auto"/>
              </w:rPr>
            </w:pPr>
            <w:r>
              <w:rPr>
                <w:rFonts w:ascii="Arial" w:cs="Arial" w:eastAsia="Arial" w:hAnsi="Arial"/>
                <w:sz w:val="17"/>
                <w:szCs w:val="17"/>
                <w:color w:val="auto"/>
              </w:rPr>
              <w:t>Affirmative vote of the holders of a</w:t>
            </w:r>
          </w:p>
        </w:tc>
        <w:tc>
          <w:tcPr>
            <w:tcW w:w="1060" w:type="dxa"/>
            <w:vAlign w:val="bottom"/>
          </w:tcPr>
          <w:p>
            <w:pPr>
              <w:ind w:left="80"/>
              <w:spacing w:after="0"/>
              <w:rPr>
                <w:sz w:val="20"/>
                <w:szCs w:val="20"/>
                <w:color w:val="auto"/>
              </w:rPr>
            </w:pPr>
            <w:r>
              <w:rPr>
                <w:rFonts w:ascii="Arial" w:cs="Arial" w:eastAsia="Arial" w:hAnsi="Arial"/>
                <w:sz w:val="17"/>
                <w:szCs w:val="17"/>
                <w:color w:val="auto"/>
              </w:rPr>
              <w:t>No</w:t>
            </w:r>
          </w:p>
        </w:tc>
        <w:tc>
          <w:tcPr>
            <w:tcW w:w="1740" w:type="dxa"/>
            <w:vAlign w:val="bottom"/>
          </w:tcPr>
          <w:p>
            <w:pPr>
              <w:ind w:left="720"/>
              <w:spacing w:after="0"/>
              <w:rPr>
                <w:sz w:val="20"/>
                <w:szCs w:val="20"/>
                <w:color w:val="auto"/>
              </w:rPr>
            </w:pPr>
            <w:r>
              <w:rPr>
                <w:rFonts w:ascii="Arial" w:cs="Arial" w:eastAsia="Arial" w:hAnsi="Arial"/>
                <w:sz w:val="17"/>
                <w:szCs w:val="17"/>
                <w:color w:val="auto"/>
              </w:rPr>
              <w:t>No Effect</w:t>
            </w:r>
          </w:p>
        </w:tc>
        <w:tc>
          <w:tcPr>
            <w:tcW w:w="1300" w:type="dxa"/>
            <w:vAlign w:val="bottom"/>
          </w:tcPr>
          <w:p>
            <w:pPr>
              <w:ind w:left="340"/>
              <w:spacing w:after="0"/>
              <w:rPr>
                <w:sz w:val="20"/>
                <w:szCs w:val="20"/>
                <w:color w:val="auto"/>
              </w:rPr>
            </w:pPr>
            <w:r>
              <w:rPr>
                <w:rFonts w:ascii="Arial" w:cs="Arial" w:eastAsia="Arial" w:hAnsi="Arial"/>
                <w:sz w:val="17"/>
                <w:szCs w:val="17"/>
                <w:color w:val="auto"/>
              </w:rPr>
              <w:t>Against</w:t>
            </w:r>
          </w:p>
        </w:tc>
      </w:tr>
      <w:tr>
        <w:trPr>
          <w:trHeight w:val="190"/>
        </w:trPr>
        <w:tc>
          <w:tcPr>
            <w:tcW w:w="2480" w:type="dxa"/>
            <w:vAlign w:val="bottom"/>
          </w:tcPr>
          <w:p>
            <w:pPr>
              <w:ind w:left="40"/>
              <w:spacing w:after="0" w:line="190" w:lineRule="exact"/>
              <w:rPr>
                <w:sz w:val="20"/>
                <w:szCs w:val="20"/>
                <w:color w:val="auto"/>
              </w:rPr>
            </w:pPr>
            <w:r>
              <w:rPr>
                <w:rFonts w:ascii="Arial" w:cs="Arial" w:eastAsia="Arial" w:hAnsi="Arial"/>
                <w:sz w:val="17"/>
                <w:szCs w:val="17"/>
                <w:color w:val="auto"/>
              </w:rPr>
              <w:t>proposal regarding the</w:t>
            </w:r>
          </w:p>
        </w:tc>
        <w:tc>
          <w:tcPr>
            <w:tcW w:w="1440" w:type="dxa"/>
            <w:vAlign w:val="bottom"/>
          </w:tcPr>
          <w:p>
            <w:pPr>
              <w:ind w:left="40"/>
              <w:spacing w:after="0" w:line="190" w:lineRule="exact"/>
              <w:rPr>
                <w:sz w:val="20"/>
                <w:szCs w:val="20"/>
                <w:color w:val="auto"/>
              </w:rPr>
            </w:pPr>
            <w:r>
              <w:rPr>
                <w:rFonts w:ascii="Arial" w:cs="Arial" w:eastAsia="Arial" w:hAnsi="Arial"/>
                <w:sz w:val="17"/>
                <w:szCs w:val="17"/>
                <w:color w:val="auto"/>
              </w:rPr>
              <w:t>abstain</w:t>
            </w:r>
          </w:p>
        </w:tc>
        <w:tc>
          <w:tcPr>
            <w:tcW w:w="3240" w:type="dxa"/>
            <w:vAlign w:val="bottom"/>
          </w:tcPr>
          <w:p>
            <w:pPr>
              <w:ind w:left="280"/>
              <w:spacing w:after="0" w:line="190" w:lineRule="exact"/>
              <w:rPr>
                <w:sz w:val="20"/>
                <w:szCs w:val="20"/>
                <w:color w:val="auto"/>
              </w:rPr>
            </w:pPr>
            <w:r>
              <w:rPr>
                <w:rFonts w:ascii="Arial" w:cs="Arial" w:eastAsia="Arial" w:hAnsi="Arial"/>
                <w:sz w:val="17"/>
                <w:szCs w:val="17"/>
                <w:color w:val="auto"/>
              </w:rPr>
              <w:t>majority of the voting power of the</w:t>
            </w:r>
          </w:p>
        </w:tc>
        <w:tc>
          <w:tcPr>
            <w:tcW w:w="10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0"/>
        </w:trPr>
        <w:tc>
          <w:tcPr>
            <w:tcW w:w="2480" w:type="dxa"/>
            <w:vAlign w:val="bottom"/>
          </w:tcPr>
          <w:p>
            <w:pPr>
              <w:ind w:left="40"/>
              <w:spacing w:after="0" w:line="190" w:lineRule="exact"/>
              <w:rPr>
                <w:sz w:val="20"/>
                <w:szCs w:val="20"/>
                <w:color w:val="auto"/>
              </w:rPr>
            </w:pPr>
            <w:r>
              <w:rPr>
                <w:rFonts w:ascii="Arial" w:cs="Arial" w:eastAsia="Arial" w:hAnsi="Arial"/>
                <w:sz w:val="17"/>
                <w:szCs w:val="17"/>
                <w:color w:val="auto"/>
                <w:w w:val="99"/>
              </w:rPr>
              <w:t>preparation of a report about the</w:t>
            </w:r>
          </w:p>
        </w:tc>
        <w:tc>
          <w:tcPr>
            <w:tcW w:w="1440" w:type="dxa"/>
            <w:vAlign w:val="bottom"/>
          </w:tcPr>
          <w:p>
            <w:pPr>
              <w:spacing w:after="0"/>
              <w:rPr>
                <w:sz w:val="16"/>
                <w:szCs w:val="16"/>
                <w:color w:val="auto"/>
              </w:rPr>
            </w:pPr>
          </w:p>
        </w:tc>
        <w:tc>
          <w:tcPr>
            <w:tcW w:w="3240" w:type="dxa"/>
            <w:vAlign w:val="bottom"/>
          </w:tcPr>
          <w:p>
            <w:pPr>
              <w:ind w:left="280"/>
              <w:spacing w:after="0" w:line="190" w:lineRule="exact"/>
              <w:rPr>
                <w:sz w:val="20"/>
                <w:szCs w:val="20"/>
                <w:color w:val="auto"/>
              </w:rPr>
            </w:pPr>
            <w:r>
              <w:rPr>
                <w:rFonts w:ascii="Arial" w:cs="Arial" w:eastAsia="Arial" w:hAnsi="Arial"/>
                <w:sz w:val="17"/>
                <w:szCs w:val="17"/>
                <w:color w:val="auto"/>
                <w:w w:val="99"/>
              </w:rPr>
              <w:t>shares present in person or by proxy at</w:t>
            </w:r>
          </w:p>
        </w:tc>
        <w:tc>
          <w:tcPr>
            <w:tcW w:w="10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0"/>
        </w:trPr>
        <w:tc>
          <w:tcPr>
            <w:tcW w:w="2480" w:type="dxa"/>
            <w:vAlign w:val="bottom"/>
          </w:tcPr>
          <w:p>
            <w:pPr>
              <w:ind w:left="40"/>
              <w:spacing w:after="0" w:line="190" w:lineRule="exact"/>
              <w:rPr>
                <w:sz w:val="20"/>
                <w:szCs w:val="20"/>
                <w:color w:val="auto"/>
              </w:rPr>
            </w:pPr>
            <w:r>
              <w:rPr>
                <w:rFonts w:ascii="Arial" w:cs="Arial" w:eastAsia="Arial" w:hAnsi="Arial"/>
                <w:sz w:val="17"/>
                <w:szCs w:val="17"/>
                <w:color w:val="auto"/>
              </w:rPr>
              <w:t>Company’s efforts to prevent</w:t>
            </w:r>
          </w:p>
        </w:tc>
        <w:tc>
          <w:tcPr>
            <w:tcW w:w="1440" w:type="dxa"/>
            <w:vAlign w:val="bottom"/>
          </w:tcPr>
          <w:p>
            <w:pPr>
              <w:spacing w:after="0"/>
              <w:rPr>
                <w:sz w:val="16"/>
                <w:szCs w:val="16"/>
                <w:color w:val="auto"/>
              </w:rPr>
            </w:pPr>
          </w:p>
        </w:tc>
        <w:tc>
          <w:tcPr>
            <w:tcW w:w="3240" w:type="dxa"/>
            <w:vAlign w:val="bottom"/>
          </w:tcPr>
          <w:p>
            <w:pPr>
              <w:ind w:left="280"/>
              <w:spacing w:after="0" w:line="190" w:lineRule="exact"/>
              <w:rPr>
                <w:sz w:val="20"/>
                <w:szCs w:val="20"/>
                <w:color w:val="auto"/>
              </w:rPr>
            </w:pPr>
            <w:r>
              <w:rPr>
                <w:rFonts w:ascii="Arial" w:cs="Arial" w:eastAsia="Arial" w:hAnsi="Arial"/>
                <w:sz w:val="17"/>
                <w:szCs w:val="17"/>
                <w:color w:val="auto"/>
                <w:w w:val="99"/>
              </w:rPr>
              <w:t>the Annual Meeting and entitled to vote</w:t>
            </w:r>
          </w:p>
        </w:tc>
        <w:tc>
          <w:tcPr>
            <w:tcW w:w="10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0"/>
        </w:trPr>
        <w:tc>
          <w:tcPr>
            <w:tcW w:w="2480" w:type="dxa"/>
            <w:vAlign w:val="bottom"/>
          </w:tcPr>
          <w:p>
            <w:pPr>
              <w:ind w:left="40"/>
              <w:spacing w:after="0" w:line="190" w:lineRule="exact"/>
              <w:rPr>
                <w:sz w:val="20"/>
                <w:szCs w:val="20"/>
                <w:color w:val="auto"/>
              </w:rPr>
            </w:pPr>
            <w:r>
              <w:rPr>
                <w:rFonts w:ascii="Arial" w:cs="Arial" w:eastAsia="Arial" w:hAnsi="Arial"/>
                <w:sz w:val="17"/>
                <w:szCs w:val="17"/>
                <w:color w:val="auto"/>
              </w:rPr>
              <w:t>abuse, harassment and</w:t>
            </w:r>
          </w:p>
        </w:tc>
        <w:tc>
          <w:tcPr>
            <w:tcW w:w="1440" w:type="dxa"/>
            <w:vAlign w:val="bottom"/>
          </w:tcPr>
          <w:p>
            <w:pPr>
              <w:spacing w:after="0"/>
              <w:rPr>
                <w:sz w:val="16"/>
                <w:szCs w:val="16"/>
                <w:color w:val="auto"/>
              </w:rPr>
            </w:pPr>
          </w:p>
        </w:tc>
        <w:tc>
          <w:tcPr>
            <w:tcW w:w="3240" w:type="dxa"/>
            <w:vAlign w:val="bottom"/>
          </w:tcPr>
          <w:p>
            <w:pPr>
              <w:ind w:left="280"/>
              <w:spacing w:after="0" w:line="190" w:lineRule="exact"/>
              <w:rPr>
                <w:sz w:val="20"/>
                <w:szCs w:val="20"/>
                <w:color w:val="auto"/>
              </w:rPr>
            </w:pPr>
            <w:r>
              <w:rPr>
                <w:rFonts w:ascii="Arial" w:cs="Arial" w:eastAsia="Arial" w:hAnsi="Arial"/>
                <w:sz w:val="17"/>
                <w:szCs w:val="17"/>
                <w:color w:val="auto"/>
              </w:rPr>
              <w:t>on the matter</w:t>
            </w:r>
          </w:p>
        </w:tc>
        <w:tc>
          <w:tcPr>
            <w:tcW w:w="10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1"/>
        </w:trPr>
        <w:tc>
          <w:tcPr>
            <w:tcW w:w="2480" w:type="dxa"/>
            <w:vAlign w:val="bottom"/>
          </w:tcPr>
          <w:p>
            <w:pPr>
              <w:ind w:left="40"/>
              <w:spacing w:after="0"/>
              <w:rPr>
                <w:sz w:val="20"/>
                <w:szCs w:val="20"/>
                <w:color w:val="auto"/>
              </w:rPr>
            </w:pPr>
            <w:r>
              <w:rPr>
                <w:rFonts w:ascii="Arial" w:cs="Arial" w:eastAsia="Arial" w:hAnsi="Arial"/>
                <w:sz w:val="17"/>
                <w:szCs w:val="17"/>
                <w:color w:val="auto"/>
              </w:rPr>
              <w:t>discrimination</w:t>
            </w:r>
          </w:p>
        </w:tc>
        <w:tc>
          <w:tcPr>
            <w:tcW w:w="14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85"/>
        </w:trPr>
        <w:tc>
          <w:tcPr>
            <w:tcW w:w="2480" w:type="dxa"/>
            <w:vAlign w:val="bottom"/>
            <w:tcBorders>
              <w:bottom w:val="single" w:sz="8" w:color="125288"/>
            </w:tcBorders>
          </w:tcPr>
          <w:p>
            <w:pPr>
              <w:spacing w:after="0"/>
              <w:rPr>
                <w:sz w:val="7"/>
                <w:szCs w:val="7"/>
                <w:color w:val="auto"/>
              </w:rPr>
            </w:pPr>
          </w:p>
        </w:tc>
        <w:tc>
          <w:tcPr>
            <w:tcW w:w="1440" w:type="dxa"/>
            <w:vAlign w:val="bottom"/>
            <w:tcBorders>
              <w:bottom w:val="single" w:sz="8" w:color="125288"/>
            </w:tcBorders>
          </w:tcPr>
          <w:p>
            <w:pPr>
              <w:spacing w:after="0"/>
              <w:rPr>
                <w:sz w:val="7"/>
                <w:szCs w:val="7"/>
                <w:color w:val="auto"/>
              </w:rPr>
            </w:pPr>
          </w:p>
        </w:tc>
        <w:tc>
          <w:tcPr>
            <w:tcW w:w="3240" w:type="dxa"/>
            <w:vAlign w:val="bottom"/>
            <w:tcBorders>
              <w:bottom w:val="single" w:sz="8" w:color="125288"/>
            </w:tcBorders>
          </w:tcPr>
          <w:p>
            <w:pPr>
              <w:spacing w:after="0"/>
              <w:rPr>
                <w:sz w:val="7"/>
                <w:szCs w:val="7"/>
                <w:color w:val="auto"/>
              </w:rPr>
            </w:pPr>
          </w:p>
        </w:tc>
        <w:tc>
          <w:tcPr>
            <w:tcW w:w="1060" w:type="dxa"/>
            <w:vAlign w:val="bottom"/>
            <w:tcBorders>
              <w:bottom w:val="single" w:sz="8" w:color="125288"/>
            </w:tcBorders>
          </w:tcPr>
          <w:p>
            <w:pPr>
              <w:spacing w:after="0"/>
              <w:rPr>
                <w:sz w:val="7"/>
                <w:szCs w:val="7"/>
                <w:color w:val="auto"/>
              </w:rPr>
            </w:pPr>
          </w:p>
        </w:tc>
        <w:tc>
          <w:tcPr>
            <w:tcW w:w="1740" w:type="dxa"/>
            <w:vAlign w:val="bottom"/>
            <w:tcBorders>
              <w:bottom w:val="single" w:sz="8" w:color="125288"/>
            </w:tcBorders>
          </w:tcPr>
          <w:p>
            <w:pPr>
              <w:spacing w:after="0"/>
              <w:rPr>
                <w:sz w:val="7"/>
                <w:szCs w:val="7"/>
                <w:color w:val="auto"/>
              </w:rPr>
            </w:pPr>
          </w:p>
        </w:tc>
        <w:tc>
          <w:tcPr>
            <w:tcW w:w="1300" w:type="dxa"/>
            <w:vAlign w:val="bottom"/>
            <w:tcBorders>
              <w:bottom w:val="single" w:sz="8" w:color="125288"/>
            </w:tcBorders>
          </w:tcPr>
          <w:p>
            <w:pPr>
              <w:spacing w:after="0"/>
              <w:rPr>
                <w:sz w:val="7"/>
                <w:szCs w:val="7"/>
                <w:color w:val="auto"/>
              </w:rPr>
            </w:pPr>
          </w:p>
        </w:tc>
      </w:tr>
    </w:tbl>
    <w:p>
      <w:pPr>
        <w:spacing w:after="0" w:line="256" w:lineRule="exact"/>
        <w:rPr>
          <w:sz w:val="20"/>
          <w:szCs w:val="20"/>
          <w:color w:val="auto"/>
        </w:rPr>
      </w:pPr>
    </w:p>
    <w:p>
      <w:pPr>
        <w:ind w:left="305" w:hanging="305"/>
        <w:spacing w:after="0"/>
        <w:tabs>
          <w:tab w:leader="none" w:pos="305" w:val="left"/>
        </w:tabs>
        <w:numPr>
          <w:ilvl w:val="0"/>
          <w:numId w:val="163"/>
        </w:numPr>
        <w:rPr>
          <w:rFonts w:ascii="Arial" w:cs="Arial" w:eastAsia="Arial" w:hAnsi="Arial"/>
          <w:sz w:val="21"/>
          <w:szCs w:val="21"/>
          <w:b w:val="1"/>
          <w:bCs w:val="1"/>
          <w:color w:val="125288"/>
        </w:rPr>
      </w:pPr>
      <w:r>
        <w:rPr>
          <w:rFonts w:ascii="Arial" w:cs="Arial" w:eastAsia="Arial" w:hAnsi="Arial"/>
          <w:sz w:val="21"/>
          <w:szCs w:val="21"/>
          <w:b w:val="1"/>
          <w:bCs w:val="1"/>
          <w:color w:val="auto"/>
        </w:rPr>
        <w:t>What does it mean to vote by proxy?</w:t>
      </w:r>
    </w:p>
    <w:p>
      <w:pPr>
        <w:spacing w:after="0" w:line="175" w:lineRule="exact"/>
        <w:rPr>
          <w:sz w:val="20"/>
          <w:szCs w:val="20"/>
          <w:color w:val="auto"/>
        </w:rPr>
      </w:pPr>
    </w:p>
    <w:p>
      <w:pPr>
        <w:jc w:val="both"/>
        <w:ind w:left="305" w:right="40" w:hanging="305"/>
        <w:spacing w:after="0" w:line="238" w:lineRule="auto"/>
        <w:tabs>
          <w:tab w:leader="none" w:pos="305" w:val="left"/>
        </w:tabs>
        <w:numPr>
          <w:ilvl w:val="0"/>
          <w:numId w:val="164"/>
        </w:numPr>
        <w:rPr>
          <w:rFonts w:ascii="Arial" w:cs="Arial" w:eastAsia="Arial" w:hAnsi="Arial"/>
          <w:sz w:val="19"/>
          <w:szCs w:val="19"/>
          <w:b w:val="1"/>
          <w:bCs w:val="1"/>
          <w:color w:val="125288"/>
        </w:rPr>
      </w:pPr>
      <w:r>
        <w:rPr>
          <w:rFonts w:ascii="Arial" w:cs="Arial" w:eastAsia="Arial" w:hAnsi="Arial"/>
          <w:sz w:val="19"/>
          <w:szCs w:val="19"/>
          <w:color w:val="auto"/>
        </w:rPr>
        <w:t>A vote via proxy authorizes Robert Kotick (our Chief Executive Officer), Grant Dixton (our Chief Legal Officer), and Frances Townsend (our Corporate Secretary), and each of them individually, with full power of substitution, to vote and otherwise represent all of the shares you are entitled to vote at the Annual Meeting, in accordance with your instructions, with the same effect as if you attended the meeting and voted such shares yourself.</w:t>
      </w:r>
    </w:p>
    <w:p>
      <w:pPr>
        <w:spacing w:after="0" w:line="300" w:lineRule="exact"/>
        <w:rPr>
          <w:sz w:val="20"/>
          <w:szCs w:val="20"/>
          <w:color w:val="auto"/>
        </w:rPr>
      </w:pPr>
    </w:p>
    <w:p>
      <w:pPr>
        <w:ind w:left="5"/>
        <w:spacing w:after="0"/>
        <w:tabs>
          <w:tab w:leader="none" w:pos="7364" w:val="left"/>
          <w:tab w:leader="none" w:pos="9384" w:val="left"/>
          <w:tab w:leader="none" w:pos="1100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type w:val="continuous"/>
        </w:sectPr>
      </w:pPr>
    </w:p>
    <w:bookmarkStart w:id="149" w:name="page150"/>
    <w:bookmarkEnd w:id="149"/>
    <w:p>
      <w:pPr>
        <w:ind w:left="5"/>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11" w:lineRule="exact"/>
        <w:rPr>
          <w:sz w:val="20"/>
          <w:szCs w:val="20"/>
          <w:color w:val="auto"/>
        </w:rPr>
      </w:pPr>
    </w:p>
    <w:p>
      <w:pPr>
        <w:ind w:left="305" w:hanging="305"/>
        <w:spacing w:after="0"/>
        <w:tabs>
          <w:tab w:leader="none" w:pos="305" w:val="left"/>
        </w:tabs>
        <w:numPr>
          <w:ilvl w:val="0"/>
          <w:numId w:val="165"/>
        </w:numPr>
        <w:rPr>
          <w:rFonts w:ascii="Arial" w:cs="Arial" w:eastAsia="Arial" w:hAnsi="Arial"/>
          <w:sz w:val="21"/>
          <w:szCs w:val="21"/>
          <w:b w:val="1"/>
          <w:bCs w:val="1"/>
          <w:color w:val="125288"/>
        </w:rPr>
      </w:pPr>
      <w:r>
        <w:rPr>
          <w:rFonts w:ascii="Arial" w:cs="Arial" w:eastAsia="Arial" w:hAnsi="Arial"/>
          <w:sz w:val="21"/>
          <w:szCs w:val="21"/>
          <w:b w:val="1"/>
          <w:bCs w:val="1"/>
          <w:color w:val="auto"/>
        </w:rPr>
        <w:t>How do I vote by proxy?</w:t>
      </w:r>
    </w:p>
    <w:p>
      <w:pPr>
        <w:spacing w:after="0" w:line="175" w:lineRule="exact"/>
        <w:rPr>
          <w:sz w:val="20"/>
          <w:szCs w:val="20"/>
          <w:color w:val="auto"/>
        </w:rPr>
      </w:pPr>
    </w:p>
    <w:p>
      <w:pPr>
        <w:ind w:left="305" w:hanging="305"/>
        <w:spacing w:after="0"/>
        <w:tabs>
          <w:tab w:leader="none" w:pos="305" w:val="left"/>
        </w:tabs>
        <w:numPr>
          <w:ilvl w:val="0"/>
          <w:numId w:val="166"/>
        </w:numPr>
        <w:rPr>
          <w:rFonts w:ascii="Arial" w:cs="Arial" w:eastAsia="Arial" w:hAnsi="Arial"/>
          <w:sz w:val="19"/>
          <w:szCs w:val="19"/>
          <w:b w:val="1"/>
          <w:bCs w:val="1"/>
          <w:color w:val="125288"/>
        </w:rPr>
      </w:pPr>
      <w:r>
        <w:rPr>
          <w:rFonts w:ascii="Arial" w:cs="Arial" w:eastAsia="Arial" w:hAnsi="Arial"/>
          <w:sz w:val="19"/>
          <w:szCs w:val="19"/>
          <w:color w:val="auto"/>
        </w:rPr>
        <w:t>Shareholders of record may vote by proxy in three ways:</w:t>
      </w:r>
    </w:p>
    <w:p>
      <w:pPr>
        <w:spacing w:after="0" w:line="138" w:lineRule="exact"/>
        <w:rPr>
          <w:rFonts w:ascii="Arial" w:cs="Arial" w:eastAsia="Arial" w:hAnsi="Arial"/>
          <w:sz w:val="19"/>
          <w:szCs w:val="19"/>
          <w:b w:val="1"/>
          <w:bCs w:val="1"/>
          <w:color w:val="125288"/>
        </w:rPr>
      </w:pPr>
    </w:p>
    <w:p>
      <w:pPr>
        <w:jc w:val="both"/>
        <w:ind w:left="425" w:hanging="151"/>
        <w:spacing w:after="0" w:line="272" w:lineRule="auto"/>
        <w:tabs>
          <w:tab w:leader="none" w:pos="425" w:val="left"/>
        </w:tabs>
        <w:numPr>
          <w:ilvl w:val="1"/>
          <w:numId w:val="166"/>
        </w:numPr>
        <w:rPr>
          <w:rFonts w:ascii="Arial" w:cs="Arial" w:eastAsia="Arial" w:hAnsi="Arial"/>
          <w:sz w:val="18"/>
          <w:szCs w:val="18"/>
          <w:color w:val="125288"/>
        </w:rPr>
      </w:pPr>
      <w:r>
        <w:rPr>
          <w:rFonts w:ascii="Arial" w:cs="Arial" w:eastAsia="Arial" w:hAnsi="Arial"/>
          <w:sz w:val="18"/>
          <w:szCs w:val="18"/>
          <w:color w:val="auto"/>
        </w:rPr>
        <w:t>Record holders can vote online before 11:59 p.m., Eastern Time, on June 20, 2022. Go to www.proxyvote.com, which is available until the deadline. You will need your 16-digit control number from the notice of Internet availability of proxy materials or proxy card</w:t>
      </w:r>
    </w:p>
    <w:p>
      <w:pPr>
        <w:spacing w:after="0" w:line="101" w:lineRule="exact"/>
        <w:rPr>
          <w:rFonts w:ascii="Arial" w:cs="Arial" w:eastAsia="Arial" w:hAnsi="Arial"/>
          <w:sz w:val="18"/>
          <w:szCs w:val="18"/>
          <w:color w:val="125288"/>
        </w:rPr>
      </w:pPr>
    </w:p>
    <w:p>
      <w:pPr>
        <w:jc w:val="both"/>
        <w:ind w:left="425" w:hanging="151"/>
        <w:spacing w:after="0" w:line="272" w:lineRule="auto"/>
        <w:tabs>
          <w:tab w:leader="none" w:pos="425" w:val="left"/>
        </w:tabs>
        <w:numPr>
          <w:ilvl w:val="1"/>
          <w:numId w:val="166"/>
        </w:numPr>
        <w:rPr>
          <w:rFonts w:ascii="Arial" w:cs="Arial" w:eastAsia="Arial" w:hAnsi="Arial"/>
          <w:sz w:val="18"/>
          <w:szCs w:val="18"/>
          <w:color w:val="125288"/>
        </w:rPr>
      </w:pPr>
      <w:r>
        <w:rPr>
          <w:rFonts w:ascii="Arial" w:cs="Arial" w:eastAsia="Arial" w:hAnsi="Arial"/>
          <w:sz w:val="18"/>
          <w:szCs w:val="18"/>
          <w:color w:val="auto"/>
        </w:rPr>
        <w:t>Record holders can vote by phone before 11:59 p.m., Eastern Time, on June 20, 2022. Call (800) 690-6903, which is available until the deadline. You will need your 16-digit control number from the notice of Internet availability of proxy materials or proxy card</w:t>
      </w:r>
    </w:p>
    <w:p>
      <w:pPr>
        <w:spacing w:after="0" w:line="101" w:lineRule="exact"/>
        <w:rPr>
          <w:rFonts w:ascii="Arial" w:cs="Arial" w:eastAsia="Arial" w:hAnsi="Arial"/>
          <w:sz w:val="18"/>
          <w:szCs w:val="18"/>
          <w:color w:val="125288"/>
        </w:rPr>
      </w:pPr>
    </w:p>
    <w:p>
      <w:pPr>
        <w:ind w:left="425" w:hanging="151"/>
        <w:spacing w:after="0"/>
        <w:tabs>
          <w:tab w:leader="none" w:pos="425" w:val="left"/>
        </w:tabs>
        <w:numPr>
          <w:ilvl w:val="1"/>
          <w:numId w:val="166"/>
        </w:numPr>
        <w:rPr>
          <w:rFonts w:ascii="Arial" w:cs="Arial" w:eastAsia="Arial" w:hAnsi="Arial"/>
          <w:sz w:val="19"/>
          <w:szCs w:val="19"/>
          <w:color w:val="125288"/>
        </w:rPr>
      </w:pPr>
      <w:r>
        <w:rPr>
          <w:rFonts w:ascii="Arial" w:cs="Arial" w:eastAsia="Arial" w:hAnsi="Arial"/>
          <w:sz w:val="19"/>
          <w:szCs w:val="19"/>
          <w:color w:val="auto"/>
        </w:rPr>
        <w:t>Record holders who received a printed copy of the proxy card can vote by mail. Complete and return that proxy card in the postag provided. If you are a shareholder of record and you choose to vote by mail, your vote will be counted so long as your proxy before the polls close at the meeting, but we urge you to complete, sign, date, and return the proxy card as soon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100965</wp:posOffset>
            </wp:positionV>
            <wp:extent cx="362585" cy="39243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62585" cy="392430"/>
                    </a:xfrm>
                    <a:prstGeom prst="rect">
                      <a:avLst/>
                    </a:prstGeom>
                    <a:noFill/>
                  </pic:spPr>
                </pic:pic>
              </a:graphicData>
            </a:graphic>
          </wp:anchor>
        </w:drawing>
      </w:r>
    </w:p>
    <w:p>
      <w:pPr>
        <w:spacing w:after="0" w:line="206" w:lineRule="exact"/>
        <w:rPr>
          <w:sz w:val="20"/>
          <w:szCs w:val="20"/>
          <w:color w:val="auto"/>
        </w:rPr>
      </w:pPr>
    </w:p>
    <w:p>
      <w:pPr>
        <w:ind w:left="1065"/>
        <w:spacing w:after="0"/>
        <w:rPr>
          <w:sz w:val="20"/>
          <w:szCs w:val="20"/>
          <w:color w:val="auto"/>
        </w:rPr>
      </w:pPr>
      <w:r>
        <w:rPr>
          <w:rFonts w:ascii="Arial" w:cs="Arial" w:eastAsia="Arial" w:hAnsi="Arial"/>
          <w:sz w:val="17"/>
          <w:szCs w:val="17"/>
          <w:b w:val="1"/>
          <w:bCs w:val="1"/>
          <w:color w:val="125288"/>
        </w:rPr>
        <w:t>By Internet</w:t>
      </w:r>
    </w:p>
    <w:p>
      <w:pPr>
        <w:spacing w:after="0" w:line="30" w:lineRule="exact"/>
        <w:rPr>
          <w:sz w:val="20"/>
          <w:szCs w:val="20"/>
          <w:color w:val="auto"/>
        </w:rPr>
      </w:pPr>
    </w:p>
    <w:p>
      <w:pPr>
        <w:ind w:left="1065"/>
        <w:spacing w:after="0"/>
        <w:rPr>
          <w:sz w:val="20"/>
          <w:szCs w:val="20"/>
          <w:color w:val="auto"/>
        </w:rPr>
      </w:pPr>
      <w:r>
        <w:rPr>
          <w:rFonts w:ascii="Arial" w:cs="Arial" w:eastAsia="Arial" w:hAnsi="Arial"/>
          <w:sz w:val="17"/>
          <w:szCs w:val="17"/>
          <w:b w:val="1"/>
          <w:bCs w:val="1"/>
          <w:color w:val="auto"/>
        </w:rPr>
        <w:t>www.proxyvote.com</w:t>
      </w:r>
    </w:p>
    <w:p>
      <w:pPr>
        <w:spacing w:after="0" w:line="149" w:lineRule="exact"/>
        <w:rPr>
          <w:sz w:val="20"/>
          <w:szCs w:val="20"/>
          <w:color w:val="auto"/>
        </w:rPr>
      </w:pPr>
    </w:p>
    <w:p>
      <w:pPr>
        <w:ind w:left="1065"/>
        <w:spacing w:after="0"/>
        <w:rPr>
          <w:sz w:val="20"/>
          <w:szCs w:val="20"/>
          <w:color w:val="auto"/>
        </w:rPr>
      </w:pPr>
      <w:r>
        <w:rPr>
          <w:rFonts w:ascii="Arial" w:cs="Arial" w:eastAsia="Arial" w:hAnsi="Arial"/>
          <w:sz w:val="17"/>
          <w:szCs w:val="17"/>
          <w:b w:val="1"/>
          <w:bCs w:val="1"/>
          <w:color w:val="125288"/>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-113030</wp:posOffset>
            </wp:positionV>
            <wp:extent cx="362585" cy="39243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62585" cy="392430"/>
                    </a:xfrm>
                    <a:prstGeom prst="rect">
                      <a:avLst/>
                    </a:prstGeom>
                    <a:noFill/>
                  </pic:spPr>
                </pic:pic>
              </a:graphicData>
            </a:graphic>
          </wp:anchor>
        </w:drawing>
      </w:r>
    </w:p>
    <w:p>
      <w:pPr>
        <w:spacing w:after="0" w:line="10" w:lineRule="exact"/>
        <w:rPr>
          <w:sz w:val="20"/>
          <w:szCs w:val="20"/>
          <w:color w:val="auto"/>
        </w:rPr>
      </w:pPr>
    </w:p>
    <w:p>
      <w:pPr>
        <w:ind w:left="1065"/>
        <w:spacing w:after="0"/>
        <w:rPr>
          <w:sz w:val="20"/>
          <w:szCs w:val="20"/>
          <w:color w:val="auto"/>
        </w:rPr>
      </w:pPr>
      <w:r>
        <w:rPr>
          <w:rFonts w:ascii="Arial" w:cs="Arial" w:eastAsia="Arial" w:hAnsi="Arial"/>
          <w:sz w:val="17"/>
          <w:szCs w:val="17"/>
          <w:color w:val="auto"/>
        </w:rPr>
        <w:t xml:space="preserve">Call </w:t>
      </w:r>
      <w:r>
        <w:rPr>
          <w:rFonts w:ascii="Arial" w:cs="Arial" w:eastAsia="Arial" w:hAnsi="Arial"/>
          <w:sz w:val="17"/>
          <w:szCs w:val="17"/>
          <w:b w:val="1"/>
          <w:bCs w:val="1"/>
          <w:color w:val="auto"/>
        </w:rPr>
        <w:t>(800) 690-6903</w:t>
      </w:r>
      <w:r>
        <w:rPr>
          <w:rFonts w:ascii="Arial" w:cs="Arial" w:eastAsia="Arial" w:hAnsi="Arial"/>
          <w:sz w:val="17"/>
          <w:szCs w:val="17"/>
          <w:color w:val="auto"/>
        </w:rPr>
        <w:t xml:space="preserve"> or</w:t>
      </w:r>
    </w:p>
    <w:p>
      <w:pPr>
        <w:spacing w:after="0" w:line="50" w:lineRule="exact"/>
        <w:rPr>
          <w:sz w:val="20"/>
          <w:szCs w:val="20"/>
          <w:color w:val="auto"/>
        </w:rPr>
      </w:pPr>
    </w:p>
    <w:p>
      <w:pPr>
        <w:ind w:left="1065"/>
        <w:spacing w:after="0"/>
        <w:rPr>
          <w:sz w:val="20"/>
          <w:szCs w:val="20"/>
          <w:color w:val="auto"/>
        </w:rPr>
      </w:pPr>
      <w:r>
        <w:rPr>
          <w:rFonts w:ascii="Arial" w:cs="Arial" w:eastAsia="Arial" w:hAnsi="Arial"/>
          <w:sz w:val="17"/>
          <w:szCs w:val="17"/>
          <w:color w:val="auto"/>
        </w:rPr>
        <w:t>the number on your</w:t>
      </w:r>
    </w:p>
    <w:p>
      <w:pPr>
        <w:spacing w:after="0" w:line="30" w:lineRule="exact"/>
        <w:rPr>
          <w:sz w:val="20"/>
          <w:szCs w:val="20"/>
          <w:color w:val="auto"/>
        </w:rPr>
      </w:pPr>
    </w:p>
    <w:p>
      <w:pPr>
        <w:ind w:left="1065"/>
        <w:spacing w:after="0"/>
        <w:rPr>
          <w:sz w:val="20"/>
          <w:szCs w:val="20"/>
          <w:color w:val="auto"/>
        </w:rPr>
      </w:pPr>
      <w:r>
        <w:rPr>
          <w:rFonts w:ascii="Arial" w:cs="Arial" w:eastAsia="Arial" w:hAnsi="Arial"/>
          <w:sz w:val="17"/>
          <w:szCs w:val="17"/>
          <w:color w:val="auto"/>
        </w:rPr>
        <w:t>proxy card</w:t>
      </w:r>
    </w:p>
    <w:p>
      <w:pPr>
        <w:spacing w:after="0" w:line="46" w:lineRule="exact"/>
        <w:rPr>
          <w:sz w:val="20"/>
          <w:szCs w:val="20"/>
          <w:color w:val="auto"/>
        </w:rPr>
      </w:pPr>
    </w:p>
    <w:p>
      <w:pPr>
        <w:ind w:left="1065"/>
        <w:spacing w:after="0"/>
        <w:rPr>
          <w:sz w:val="20"/>
          <w:szCs w:val="20"/>
          <w:color w:val="auto"/>
        </w:rPr>
      </w:pPr>
      <w:r>
        <w:rPr>
          <w:rFonts w:ascii="Arial" w:cs="Arial" w:eastAsia="Arial" w:hAnsi="Arial"/>
          <w:sz w:val="17"/>
          <w:szCs w:val="17"/>
          <w:b w:val="1"/>
          <w:bCs w:val="1"/>
          <w:color w:val="125288"/>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-113030</wp:posOffset>
            </wp:positionV>
            <wp:extent cx="362585" cy="2946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62585" cy="294640"/>
                    </a:xfrm>
                    <a:prstGeom prst="rect">
                      <a:avLst/>
                    </a:prstGeom>
                    <a:noFill/>
                  </pic:spPr>
                </pic:pic>
              </a:graphicData>
            </a:graphic>
          </wp:anchor>
        </w:drawing>
      </w:r>
    </w:p>
    <w:p>
      <w:pPr>
        <w:spacing w:after="0" w:line="30" w:lineRule="exact"/>
        <w:rPr>
          <w:sz w:val="20"/>
          <w:szCs w:val="20"/>
          <w:color w:val="auto"/>
        </w:rPr>
      </w:pPr>
    </w:p>
    <w:p>
      <w:pPr>
        <w:ind w:left="1065"/>
        <w:spacing w:after="0"/>
        <w:rPr>
          <w:sz w:val="20"/>
          <w:szCs w:val="20"/>
          <w:color w:val="auto"/>
        </w:rPr>
      </w:pPr>
      <w:r>
        <w:rPr>
          <w:rFonts w:ascii="Arial" w:cs="Arial" w:eastAsia="Arial" w:hAnsi="Arial"/>
          <w:sz w:val="17"/>
          <w:szCs w:val="17"/>
          <w:color w:val="auto"/>
        </w:rPr>
        <w:t>Sign, date and return</w:t>
      </w:r>
    </w:p>
    <w:p>
      <w:pPr>
        <w:spacing w:after="0" w:line="30" w:lineRule="exact"/>
        <w:rPr>
          <w:sz w:val="20"/>
          <w:szCs w:val="20"/>
          <w:color w:val="auto"/>
        </w:rPr>
      </w:pPr>
    </w:p>
    <w:p>
      <w:pPr>
        <w:ind w:left="1065"/>
        <w:spacing w:after="0"/>
        <w:rPr>
          <w:sz w:val="20"/>
          <w:szCs w:val="20"/>
          <w:color w:val="auto"/>
        </w:rPr>
      </w:pPr>
      <w:r>
        <w:rPr>
          <w:rFonts w:ascii="Arial" w:cs="Arial" w:eastAsia="Arial" w:hAnsi="Arial"/>
          <w:sz w:val="17"/>
          <w:szCs w:val="17"/>
          <w:color w:val="auto"/>
        </w:rPr>
        <w:t>your proxy card</w:t>
      </w:r>
    </w:p>
    <w:p>
      <w:pPr>
        <w:spacing w:after="0" w:line="366" w:lineRule="exact"/>
        <w:rPr>
          <w:sz w:val="20"/>
          <w:szCs w:val="20"/>
          <w:color w:val="auto"/>
        </w:rPr>
      </w:pPr>
    </w:p>
    <w:p>
      <w:pPr>
        <w:ind w:left="305" w:hanging="305"/>
        <w:spacing w:after="0"/>
        <w:tabs>
          <w:tab w:leader="none" w:pos="305" w:val="left"/>
        </w:tabs>
        <w:numPr>
          <w:ilvl w:val="0"/>
          <w:numId w:val="167"/>
        </w:numPr>
        <w:rPr>
          <w:rFonts w:ascii="Arial" w:cs="Arial" w:eastAsia="Arial" w:hAnsi="Arial"/>
          <w:sz w:val="21"/>
          <w:szCs w:val="21"/>
          <w:b w:val="1"/>
          <w:bCs w:val="1"/>
          <w:color w:val="125288"/>
        </w:rPr>
      </w:pPr>
      <w:r>
        <w:rPr>
          <w:rFonts w:ascii="Arial" w:cs="Arial" w:eastAsia="Arial" w:hAnsi="Arial"/>
          <w:sz w:val="21"/>
          <w:szCs w:val="21"/>
          <w:b w:val="1"/>
          <w:bCs w:val="1"/>
          <w:color w:val="auto"/>
        </w:rPr>
        <w:t>What if I vote by proxy but do not provide specific instructions for every item?</w:t>
      </w:r>
    </w:p>
    <w:p>
      <w:pPr>
        <w:spacing w:after="0" w:line="175" w:lineRule="exact"/>
        <w:rPr>
          <w:sz w:val="20"/>
          <w:szCs w:val="20"/>
          <w:color w:val="auto"/>
        </w:rPr>
      </w:pPr>
    </w:p>
    <w:p>
      <w:pPr>
        <w:jc w:val="both"/>
        <w:ind w:left="305" w:right="120" w:hanging="305"/>
        <w:spacing w:after="0" w:line="237" w:lineRule="auto"/>
        <w:tabs>
          <w:tab w:leader="none" w:pos="305" w:val="left"/>
        </w:tabs>
        <w:numPr>
          <w:ilvl w:val="0"/>
          <w:numId w:val="168"/>
        </w:numPr>
        <w:rPr>
          <w:rFonts w:ascii="Arial" w:cs="Arial" w:eastAsia="Arial" w:hAnsi="Arial"/>
          <w:sz w:val="19"/>
          <w:szCs w:val="19"/>
          <w:b w:val="1"/>
          <w:bCs w:val="1"/>
          <w:color w:val="125288"/>
        </w:rPr>
      </w:pPr>
      <w:r>
        <w:rPr>
          <w:rFonts w:ascii="Arial" w:cs="Arial" w:eastAsia="Arial" w:hAnsi="Arial"/>
          <w:sz w:val="19"/>
          <w:szCs w:val="19"/>
          <w:color w:val="auto"/>
        </w:rPr>
        <w:t>All shares of our Common Stock represented by valid proxies received before the Annual Meeting (so long as such proxies are not properly revoked) will be voted as directed. Any proxies given without direction will be voted FOR each of the ten director nominees named in this proxy statement (proposal 1), FOR the advisory approval of the Company’s executive compensation (proposal 2), FOR the ratification of PwC as the Company’s independent registered public accounting firm for 2022 (proposal 3), AGAINST the shareholder proposal regarding the nomination of an employee representative director (proposal 4), and AGAINST the shareholder proposal regarding the preparation of a report about the Company’s efforts to prevent abuse, harassment, and discrimination (proposal 5).</w:t>
      </w:r>
    </w:p>
    <w:p>
      <w:pPr>
        <w:spacing w:after="0" w:line="106" w:lineRule="exact"/>
        <w:rPr>
          <w:sz w:val="20"/>
          <w:szCs w:val="20"/>
          <w:color w:val="auto"/>
        </w:rPr>
      </w:pPr>
    </w:p>
    <w:p>
      <w:pPr>
        <w:ind w:left="305" w:hanging="305"/>
        <w:spacing w:after="0"/>
        <w:tabs>
          <w:tab w:leader="none" w:pos="305" w:val="left"/>
        </w:tabs>
        <w:numPr>
          <w:ilvl w:val="0"/>
          <w:numId w:val="169"/>
        </w:numPr>
        <w:rPr>
          <w:rFonts w:ascii="Arial" w:cs="Arial" w:eastAsia="Arial" w:hAnsi="Arial"/>
          <w:sz w:val="21"/>
          <w:szCs w:val="21"/>
          <w:b w:val="1"/>
          <w:bCs w:val="1"/>
          <w:color w:val="125288"/>
        </w:rPr>
      </w:pPr>
      <w:r>
        <w:rPr>
          <w:rFonts w:ascii="Arial" w:cs="Arial" w:eastAsia="Arial" w:hAnsi="Arial"/>
          <w:sz w:val="21"/>
          <w:szCs w:val="21"/>
          <w:b w:val="1"/>
          <w:bCs w:val="1"/>
          <w:color w:val="auto"/>
        </w:rPr>
        <w:t>If I vote by proxy, can I change my vote?</w:t>
      </w:r>
    </w:p>
    <w:p>
      <w:pPr>
        <w:spacing w:after="0" w:line="175" w:lineRule="exact"/>
        <w:rPr>
          <w:sz w:val="20"/>
          <w:szCs w:val="20"/>
          <w:color w:val="auto"/>
        </w:rPr>
      </w:pPr>
    </w:p>
    <w:p>
      <w:pPr>
        <w:jc w:val="both"/>
        <w:ind w:left="305" w:right="120" w:hanging="305"/>
        <w:spacing w:after="0"/>
        <w:tabs>
          <w:tab w:leader="none" w:pos="305" w:val="left"/>
        </w:tabs>
        <w:numPr>
          <w:ilvl w:val="0"/>
          <w:numId w:val="170"/>
        </w:numPr>
        <w:rPr>
          <w:rFonts w:ascii="Arial" w:cs="Arial" w:eastAsia="Arial" w:hAnsi="Arial"/>
          <w:sz w:val="19"/>
          <w:szCs w:val="19"/>
          <w:b w:val="1"/>
          <w:bCs w:val="1"/>
          <w:color w:val="125288"/>
        </w:rPr>
      </w:pPr>
      <w:r>
        <w:rPr>
          <w:rFonts w:ascii="Arial" w:cs="Arial" w:eastAsia="Arial" w:hAnsi="Arial"/>
          <w:sz w:val="19"/>
          <w:szCs w:val="19"/>
          <w:color w:val="auto"/>
        </w:rPr>
        <w:t>If you are a shareholder of record, you may revoke or change your proxy at any time before the proxy is voted at the Annual Meeting by: (1) sending a written notice of revocation of the proxy that is received by our Corporate Secretary before the Annual Meeting; (2) properly delivering a subsequently dated proxy; or (3) voting in person during the virtual Annual Meeting.</w:t>
      </w:r>
    </w:p>
    <w:p>
      <w:pPr>
        <w:spacing w:after="0" w:line="105" w:lineRule="exact"/>
        <w:rPr>
          <w:sz w:val="20"/>
          <w:szCs w:val="20"/>
          <w:color w:val="auto"/>
        </w:rPr>
      </w:pPr>
    </w:p>
    <w:p>
      <w:pPr>
        <w:ind w:left="305" w:hanging="305"/>
        <w:spacing w:after="0"/>
        <w:tabs>
          <w:tab w:leader="none" w:pos="305" w:val="left"/>
        </w:tabs>
        <w:numPr>
          <w:ilvl w:val="0"/>
          <w:numId w:val="171"/>
        </w:numPr>
        <w:rPr>
          <w:rFonts w:ascii="Arial" w:cs="Arial" w:eastAsia="Arial" w:hAnsi="Arial"/>
          <w:sz w:val="21"/>
          <w:szCs w:val="21"/>
          <w:b w:val="1"/>
          <w:bCs w:val="1"/>
          <w:color w:val="125288"/>
        </w:rPr>
      </w:pPr>
      <w:r>
        <w:rPr>
          <w:rFonts w:ascii="Arial" w:cs="Arial" w:eastAsia="Arial" w:hAnsi="Arial"/>
          <w:sz w:val="21"/>
          <w:szCs w:val="21"/>
          <w:b w:val="1"/>
          <w:bCs w:val="1"/>
          <w:color w:val="auto"/>
        </w:rPr>
        <w:t>How can I attend and vote at the virtual Annual Meeting?</w:t>
      </w:r>
    </w:p>
    <w:p>
      <w:pPr>
        <w:spacing w:after="0" w:line="175" w:lineRule="exact"/>
        <w:rPr>
          <w:sz w:val="20"/>
          <w:szCs w:val="20"/>
          <w:color w:val="auto"/>
        </w:rPr>
      </w:pPr>
    </w:p>
    <w:p>
      <w:pPr>
        <w:jc w:val="both"/>
        <w:ind w:left="305" w:right="120" w:hanging="305"/>
        <w:spacing w:after="0"/>
        <w:tabs>
          <w:tab w:leader="none" w:pos="305" w:val="left"/>
        </w:tabs>
        <w:numPr>
          <w:ilvl w:val="0"/>
          <w:numId w:val="172"/>
        </w:numPr>
        <w:rPr>
          <w:rFonts w:ascii="Arial" w:cs="Arial" w:eastAsia="Arial" w:hAnsi="Arial"/>
          <w:sz w:val="19"/>
          <w:szCs w:val="19"/>
          <w:b w:val="1"/>
          <w:bCs w:val="1"/>
          <w:color w:val="125288"/>
        </w:rPr>
      </w:pPr>
      <w:r>
        <w:rPr>
          <w:rFonts w:ascii="Arial" w:cs="Arial" w:eastAsia="Arial" w:hAnsi="Arial"/>
          <w:sz w:val="19"/>
          <w:szCs w:val="19"/>
          <w:color w:val="auto"/>
        </w:rPr>
        <w:t>To attend and participate in the meeting, visit https://viewproxy.com/ATVI/2022. You will need to enter your name, phone number, and email address. After you submit your information, you will receive an email confirming your registration, as well as the password to attend the Annual Meeting.</w:t>
      </w:r>
    </w:p>
    <w:p>
      <w:pPr>
        <w:spacing w:after="0" w:line="129" w:lineRule="exact"/>
        <w:rPr>
          <w:rFonts w:ascii="Arial" w:cs="Arial" w:eastAsia="Arial" w:hAnsi="Arial"/>
          <w:sz w:val="19"/>
          <w:szCs w:val="19"/>
          <w:b w:val="1"/>
          <w:bCs w:val="1"/>
          <w:color w:val="125288"/>
        </w:rPr>
      </w:pPr>
    </w:p>
    <w:p>
      <w:pPr>
        <w:jc w:val="both"/>
        <w:ind w:left="305" w:right="120"/>
        <w:spacing w:after="0" w:line="237" w:lineRule="auto"/>
        <w:rPr>
          <w:rFonts w:ascii="Arial" w:cs="Arial" w:eastAsia="Arial" w:hAnsi="Arial"/>
          <w:sz w:val="19"/>
          <w:szCs w:val="19"/>
          <w:b w:val="1"/>
          <w:bCs w:val="1"/>
          <w:color w:val="125288"/>
        </w:rPr>
      </w:pPr>
      <w:r>
        <w:rPr>
          <w:rFonts w:ascii="Arial" w:cs="Arial" w:eastAsia="Arial" w:hAnsi="Arial"/>
          <w:sz w:val="19"/>
          <w:szCs w:val="19"/>
          <w:color w:val="auto"/>
        </w:rPr>
        <w:t>If you were a beneficial owner (i.e., you hold your shares through a broker, bank or other nominee) at the close of business on April 22, 2022, and you wish to vote at the Annual Meeting, you must also provide a legal proxy from your bank before the meeting. You can upload your legal proxy to the registration website or email it to virtualmeeting@viewproxy.com in advance of the meeting. If you do request and receive a legal proxy from your broker, bank or other nominee, you will not be able to give that nominee any further voting instructions to vote shares on your behalf. You must join the virtual Annual Meeting and vote or your shares will not be counted.</w:t>
      </w:r>
    </w:p>
    <w:p>
      <w:pPr>
        <w:spacing w:after="0" w:line="132" w:lineRule="exact"/>
        <w:rPr>
          <w:rFonts w:ascii="Arial" w:cs="Arial" w:eastAsia="Arial" w:hAnsi="Arial"/>
          <w:sz w:val="19"/>
          <w:szCs w:val="19"/>
          <w:b w:val="1"/>
          <w:bCs w:val="1"/>
          <w:color w:val="125288"/>
        </w:rPr>
      </w:pPr>
    </w:p>
    <w:p>
      <w:pPr>
        <w:ind w:left="305" w:right="120"/>
        <w:spacing w:after="0" w:line="245" w:lineRule="auto"/>
        <w:rPr>
          <w:rFonts w:ascii="Arial" w:cs="Arial" w:eastAsia="Arial" w:hAnsi="Arial"/>
          <w:sz w:val="19"/>
          <w:szCs w:val="19"/>
          <w:b w:val="1"/>
          <w:bCs w:val="1"/>
          <w:color w:val="125288"/>
        </w:rPr>
      </w:pPr>
      <w:r>
        <w:rPr>
          <w:rFonts w:ascii="Arial" w:cs="Arial" w:eastAsia="Arial" w:hAnsi="Arial"/>
          <w:sz w:val="19"/>
          <w:szCs w:val="19"/>
          <w:color w:val="auto"/>
        </w:rPr>
        <w:t>Instructions on how to connect to and participate in the Annual Meeting, including how to demonstrate proof of stock ownership, are posted at https://viewproxy.com/ATVI/2022.</w:t>
      </w:r>
    </w:p>
    <w:p>
      <w:pPr>
        <w:spacing w:after="0" w:line="124" w:lineRule="exact"/>
        <w:rPr>
          <w:rFonts w:ascii="Arial" w:cs="Arial" w:eastAsia="Arial" w:hAnsi="Arial"/>
          <w:sz w:val="19"/>
          <w:szCs w:val="19"/>
          <w:b w:val="1"/>
          <w:bCs w:val="1"/>
          <w:color w:val="125288"/>
        </w:rPr>
      </w:pPr>
    </w:p>
    <w:p>
      <w:pPr>
        <w:ind w:left="305" w:right="120"/>
        <w:spacing w:after="0" w:line="245" w:lineRule="auto"/>
        <w:rPr>
          <w:rFonts w:ascii="Arial" w:cs="Arial" w:eastAsia="Arial" w:hAnsi="Arial"/>
          <w:sz w:val="19"/>
          <w:szCs w:val="19"/>
          <w:b w:val="1"/>
          <w:bCs w:val="1"/>
          <w:color w:val="125288"/>
        </w:rPr>
      </w:pPr>
      <w:r>
        <w:rPr>
          <w:rFonts w:ascii="Arial" w:cs="Arial" w:eastAsia="Arial" w:hAnsi="Arial"/>
          <w:sz w:val="19"/>
          <w:szCs w:val="19"/>
          <w:color w:val="auto"/>
        </w:rPr>
        <w:t>You may log into the Annual Meeting platform beginning at 8:45 a.m., Pacific Time, on June 21, 2022. The Annual Meeting will begin promptly at 9:00 a.m., Pacific Time. We encourage you to access the Annual Meeting well before to the start time.</w:t>
      </w:r>
    </w:p>
    <w:p>
      <w:pPr>
        <w:spacing w:after="0" w:line="292" w:lineRule="exact"/>
        <w:rPr>
          <w:sz w:val="20"/>
          <w:szCs w:val="20"/>
          <w:color w:val="auto"/>
        </w:rPr>
      </w:pPr>
    </w:p>
    <w:p>
      <w:pPr>
        <w:ind w:left="5"/>
        <w:spacing w:after="0"/>
        <w:tabs>
          <w:tab w:leader="none" w:pos="7364" w:val="left"/>
          <w:tab w:leader="none" w:pos="9384" w:val="left"/>
          <w:tab w:leader="none" w:pos="1100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345"/>
          </w:cols>
          <w:pgMar w:left="315" w:top="144" w:right="239" w:bottom="1440" w:gutter="0" w:footer="0" w:header="0"/>
        </w:sectPr>
      </w:pPr>
    </w:p>
    <w:bookmarkStart w:id="150" w:name="page151"/>
    <w:bookmarkEnd w:id="150"/>
    <w:p>
      <w:pPr>
        <w:ind w:left="5"/>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11" w:lineRule="exact"/>
        <w:rPr>
          <w:sz w:val="20"/>
          <w:szCs w:val="20"/>
          <w:color w:val="auto"/>
        </w:rPr>
      </w:pPr>
    </w:p>
    <w:p>
      <w:pPr>
        <w:ind w:left="305" w:hanging="305"/>
        <w:spacing w:after="0"/>
        <w:tabs>
          <w:tab w:leader="none" w:pos="305" w:val="left"/>
        </w:tabs>
        <w:numPr>
          <w:ilvl w:val="0"/>
          <w:numId w:val="173"/>
        </w:numPr>
        <w:rPr>
          <w:rFonts w:ascii="Arial" w:cs="Arial" w:eastAsia="Arial" w:hAnsi="Arial"/>
          <w:sz w:val="21"/>
          <w:szCs w:val="21"/>
          <w:b w:val="1"/>
          <w:bCs w:val="1"/>
          <w:color w:val="125288"/>
        </w:rPr>
      </w:pPr>
      <w:r>
        <w:rPr>
          <w:rFonts w:ascii="Arial" w:cs="Arial" w:eastAsia="Arial" w:hAnsi="Arial"/>
          <w:sz w:val="21"/>
          <w:szCs w:val="21"/>
          <w:b w:val="1"/>
          <w:bCs w:val="1"/>
          <w:color w:val="auto"/>
        </w:rPr>
        <w:t>What if I do not have Internet access?</w:t>
      </w:r>
    </w:p>
    <w:p>
      <w:pPr>
        <w:spacing w:after="0" w:line="175" w:lineRule="exact"/>
        <w:rPr>
          <w:sz w:val="20"/>
          <w:szCs w:val="20"/>
          <w:color w:val="auto"/>
        </w:rPr>
      </w:pPr>
    </w:p>
    <w:p>
      <w:pPr>
        <w:ind w:left="305" w:right="40" w:hanging="305"/>
        <w:spacing w:after="0" w:line="245" w:lineRule="auto"/>
        <w:tabs>
          <w:tab w:leader="none" w:pos="305" w:val="left"/>
        </w:tabs>
        <w:numPr>
          <w:ilvl w:val="0"/>
          <w:numId w:val="174"/>
        </w:numPr>
        <w:rPr>
          <w:rFonts w:ascii="Arial" w:cs="Arial" w:eastAsia="Arial" w:hAnsi="Arial"/>
          <w:sz w:val="19"/>
          <w:szCs w:val="19"/>
          <w:b w:val="1"/>
          <w:bCs w:val="1"/>
          <w:color w:val="125288"/>
        </w:rPr>
      </w:pPr>
      <w:r>
        <w:rPr>
          <w:rFonts w:ascii="Arial" w:cs="Arial" w:eastAsia="Arial" w:hAnsi="Arial"/>
          <w:sz w:val="19"/>
          <w:szCs w:val="19"/>
          <w:color w:val="auto"/>
        </w:rPr>
        <w:t>Please call (213) 929-4212 and use the Conference ID 661-903-165 to listen to the Annual Meeting over the phone. If you participate by telephone, you will not be able to vote your shares or ask questions during the Annual Meeting.</w:t>
      </w:r>
    </w:p>
    <w:p>
      <w:pPr>
        <w:spacing w:after="0" w:line="101" w:lineRule="exact"/>
        <w:rPr>
          <w:sz w:val="20"/>
          <w:szCs w:val="20"/>
          <w:color w:val="auto"/>
        </w:rPr>
      </w:pPr>
    </w:p>
    <w:p>
      <w:pPr>
        <w:ind w:left="305" w:hanging="305"/>
        <w:spacing w:after="0"/>
        <w:tabs>
          <w:tab w:leader="none" w:pos="305" w:val="left"/>
        </w:tabs>
        <w:numPr>
          <w:ilvl w:val="0"/>
          <w:numId w:val="175"/>
        </w:numPr>
        <w:rPr>
          <w:rFonts w:ascii="Arial" w:cs="Arial" w:eastAsia="Arial" w:hAnsi="Arial"/>
          <w:sz w:val="21"/>
          <w:szCs w:val="21"/>
          <w:b w:val="1"/>
          <w:bCs w:val="1"/>
          <w:color w:val="125288"/>
        </w:rPr>
      </w:pPr>
      <w:r>
        <w:rPr>
          <w:rFonts w:ascii="Arial" w:cs="Arial" w:eastAsia="Arial" w:hAnsi="Arial"/>
          <w:sz w:val="21"/>
          <w:szCs w:val="21"/>
          <w:b w:val="1"/>
          <w:bCs w:val="1"/>
          <w:color w:val="auto"/>
        </w:rPr>
        <w:t>How can I ask questions?</w:t>
      </w:r>
    </w:p>
    <w:p>
      <w:pPr>
        <w:spacing w:after="0" w:line="175" w:lineRule="exact"/>
        <w:rPr>
          <w:sz w:val="20"/>
          <w:szCs w:val="20"/>
          <w:color w:val="auto"/>
        </w:rPr>
      </w:pPr>
    </w:p>
    <w:p>
      <w:pPr>
        <w:jc w:val="both"/>
        <w:ind w:left="305" w:right="40" w:hanging="305"/>
        <w:spacing w:after="0" w:line="237" w:lineRule="auto"/>
        <w:tabs>
          <w:tab w:leader="none" w:pos="305" w:val="left"/>
        </w:tabs>
        <w:numPr>
          <w:ilvl w:val="0"/>
          <w:numId w:val="176"/>
        </w:numPr>
        <w:rPr>
          <w:rFonts w:ascii="Arial" w:cs="Arial" w:eastAsia="Arial" w:hAnsi="Arial"/>
          <w:sz w:val="19"/>
          <w:szCs w:val="19"/>
          <w:b w:val="1"/>
          <w:bCs w:val="1"/>
          <w:color w:val="125288"/>
        </w:rPr>
      </w:pPr>
      <w:r>
        <w:rPr>
          <w:rFonts w:ascii="Arial" w:cs="Arial" w:eastAsia="Arial" w:hAnsi="Arial"/>
          <w:sz w:val="19"/>
          <w:szCs w:val="19"/>
          <w:color w:val="auto"/>
        </w:rPr>
        <w:t>We invite shareholders to submit questions for consideration at the virtual Annual Meeting at https://viewproxy.com/ATVI/2022. Shareholders will be able to submit questions in advance when registering for the meeting and any time during the week before the Annual Meeting (beginning at 9:00 a.m., Pacific Time, on June 14, 2022, and continuing through June 20, 2022, at 5:00 p.m., Pacific Time). Shareholders can submit questions during the meeting by typing in the Questions/Chat pane of the control panel. Questions should relate to the official business of the meeting, and management proposals in particular. Management will seek to answer questions when the related proposal or matter is up for consideration.</w:t>
      </w:r>
    </w:p>
    <w:p>
      <w:pPr>
        <w:spacing w:after="0" w:line="108" w:lineRule="exact"/>
        <w:rPr>
          <w:sz w:val="20"/>
          <w:szCs w:val="20"/>
          <w:color w:val="auto"/>
        </w:rPr>
      </w:pPr>
    </w:p>
    <w:p>
      <w:pPr>
        <w:ind w:left="305" w:hanging="305"/>
        <w:spacing w:after="0"/>
        <w:tabs>
          <w:tab w:leader="none" w:pos="305" w:val="left"/>
        </w:tabs>
        <w:numPr>
          <w:ilvl w:val="0"/>
          <w:numId w:val="177"/>
        </w:numPr>
        <w:rPr>
          <w:rFonts w:ascii="Arial" w:cs="Arial" w:eastAsia="Arial" w:hAnsi="Arial"/>
          <w:sz w:val="21"/>
          <w:szCs w:val="21"/>
          <w:b w:val="1"/>
          <w:bCs w:val="1"/>
          <w:color w:val="125288"/>
        </w:rPr>
      </w:pPr>
      <w:r>
        <w:rPr>
          <w:rFonts w:ascii="Arial" w:cs="Arial" w:eastAsia="Arial" w:hAnsi="Arial"/>
          <w:sz w:val="21"/>
          <w:szCs w:val="21"/>
          <w:b w:val="1"/>
          <w:bCs w:val="1"/>
          <w:color w:val="auto"/>
        </w:rPr>
        <w:t>What if I have technical difficulties accessing or during the virtual Annual Meeting?</w:t>
      </w:r>
    </w:p>
    <w:p>
      <w:pPr>
        <w:spacing w:after="0" w:line="175" w:lineRule="exact"/>
        <w:rPr>
          <w:sz w:val="20"/>
          <w:szCs w:val="20"/>
          <w:color w:val="auto"/>
        </w:rPr>
      </w:pPr>
    </w:p>
    <w:p>
      <w:pPr>
        <w:jc w:val="both"/>
        <w:ind w:left="305" w:right="40" w:hanging="305"/>
        <w:spacing w:after="0"/>
        <w:tabs>
          <w:tab w:leader="none" w:pos="305" w:val="left"/>
        </w:tabs>
        <w:numPr>
          <w:ilvl w:val="0"/>
          <w:numId w:val="178"/>
        </w:numPr>
        <w:rPr>
          <w:rFonts w:ascii="Arial" w:cs="Arial" w:eastAsia="Arial" w:hAnsi="Arial"/>
          <w:sz w:val="19"/>
          <w:szCs w:val="19"/>
          <w:b w:val="1"/>
          <w:bCs w:val="1"/>
          <w:color w:val="125288"/>
        </w:rPr>
      </w:pPr>
      <w:r>
        <w:rPr>
          <w:rFonts w:ascii="Arial" w:cs="Arial" w:eastAsia="Arial" w:hAnsi="Arial"/>
          <w:sz w:val="19"/>
          <w:szCs w:val="19"/>
          <w:color w:val="auto"/>
        </w:rPr>
        <w:t>If you encounter difficulties accessing the meeting or during the meeting, please go to www.viewproxy.com/ATVI/2022/VM, e-mail VirtualMeeting@viewproxy.com, or call (866) 612-8937 for assistance. Technical support will be available starting at 8:30 a.m., Pacific Time, on June 21, 2022, and will remain available until thirty minutes after the virtual Annual Meeting has concluded.</w:t>
      </w:r>
    </w:p>
    <w:p>
      <w:pPr>
        <w:spacing w:after="0" w:line="105" w:lineRule="exact"/>
        <w:rPr>
          <w:sz w:val="20"/>
          <w:szCs w:val="20"/>
          <w:color w:val="auto"/>
        </w:rPr>
      </w:pPr>
    </w:p>
    <w:p>
      <w:pPr>
        <w:ind w:left="305" w:hanging="305"/>
        <w:spacing w:after="0"/>
        <w:tabs>
          <w:tab w:leader="none" w:pos="305" w:val="left"/>
        </w:tabs>
        <w:numPr>
          <w:ilvl w:val="0"/>
          <w:numId w:val="179"/>
        </w:numPr>
        <w:rPr>
          <w:rFonts w:ascii="Arial" w:cs="Arial" w:eastAsia="Arial" w:hAnsi="Arial"/>
          <w:sz w:val="21"/>
          <w:szCs w:val="21"/>
          <w:b w:val="1"/>
          <w:bCs w:val="1"/>
          <w:color w:val="125288"/>
        </w:rPr>
      </w:pPr>
      <w:r>
        <w:rPr>
          <w:rFonts w:ascii="Arial" w:cs="Arial" w:eastAsia="Arial" w:hAnsi="Arial"/>
          <w:sz w:val="21"/>
          <w:szCs w:val="21"/>
          <w:b w:val="1"/>
          <w:bCs w:val="1"/>
          <w:color w:val="auto"/>
        </w:rPr>
        <w:t>What if I have additional questions?</w:t>
      </w:r>
    </w:p>
    <w:p>
      <w:pPr>
        <w:spacing w:after="0" w:line="175" w:lineRule="exact"/>
        <w:rPr>
          <w:sz w:val="20"/>
          <w:szCs w:val="20"/>
          <w:color w:val="auto"/>
        </w:rPr>
      </w:pPr>
    </w:p>
    <w:p>
      <w:pPr>
        <w:ind w:left="305" w:right="40" w:hanging="305"/>
        <w:spacing w:after="0" w:line="245" w:lineRule="auto"/>
        <w:tabs>
          <w:tab w:leader="none" w:pos="305" w:val="left"/>
        </w:tabs>
        <w:numPr>
          <w:ilvl w:val="0"/>
          <w:numId w:val="180"/>
        </w:numPr>
        <w:rPr>
          <w:rFonts w:ascii="Arial" w:cs="Arial" w:eastAsia="Arial" w:hAnsi="Arial"/>
          <w:sz w:val="19"/>
          <w:szCs w:val="19"/>
          <w:b w:val="1"/>
          <w:bCs w:val="1"/>
          <w:color w:val="125288"/>
        </w:rPr>
      </w:pPr>
      <w:r>
        <w:rPr>
          <w:rFonts w:ascii="Arial" w:cs="Arial" w:eastAsia="Arial" w:hAnsi="Arial"/>
          <w:sz w:val="19"/>
          <w:szCs w:val="19"/>
          <w:color w:val="auto"/>
        </w:rPr>
        <w:t xml:space="preserve">If you have any additional questions, you may contact our Investor Relations department at (310) 255-2000 or submit a request in writing by email to </w:t>
      </w:r>
      <w:r>
        <w:rPr>
          <w:rFonts w:ascii="Arial" w:cs="Arial" w:eastAsia="Arial" w:hAnsi="Arial"/>
          <w:sz w:val="19"/>
          <w:szCs w:val="19"/>
          <w:i w:val="1"/>
          <w:iCs w:val="1"/>
          <w:color w:val="auto"/>
        </w:rPr>
        <w:t>ir@activision.com</w:t>
      </w:r>
      <w:r>
        <w:rPr>
          <w:rFonts w:ascii="Arial" w:cs="Arial" w:eastAsia="Arial" w:hAnsi="Arial"/>
          <w:sz w:val="19"/>
          <w:szCs w:val="19"/>
          <w:color w:val="auto"/>
        </w:rPr>
        <w:t>.</w:t>
      </w:r>
    </w:p>
    <w:p>
      <w:pPr>
        <w:spacing w:after="0" w:line="292" w:lineRule="exact"/>
        <w:rPr>
          <w:sz w:val="20"/>
          <w:szCs w:val="20"/>
          <w:color w:val="auto"/>
        </w:rPr>
      </w:pPr>
    </w:p>
    <w:p>
      <w:pPr>
        <w:ind w:left="5"/>
        <w:spacing w:after="0"/>
        <w:tabs>
          <w:tab w:leader="none" w:pos="7364" w:val="left"/>
          <w:tab w:leader="none" w:pos="9384" w:val="left"/>
          <w:tab w:leader="none" w:pos="1100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bookmarkStart w:id="151" w:name="page152"/>
    <w:bookmarkEnd w:id="151"/>
    <w:p>
      <w:pPr>
        <w:ind w:left="5"/>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20" w:lineRule="exact"/>
        <w:rPr>
          <w:sz w:val="20"/>
          <w:szCs w:val="20"/>
          <w:color w:val="auto"/>
        </w:rPr>
      </w:pPr>
    </w:p>
    <w:p>
      <w:pPr>
        <w:ind w:left="825" w:right="160" w:hanging="807"/>
        <w:spacing w:after="0"/>
        <w:rPr>
          <w:sz w:val="20"/>
          <w:szCs w:val="20"/>
          <w:color w:val="auto"/>
        </w:rPr>
      </w:pPr>
      <w:r>
        <w:rPr>
          <w:sz w:val="1"/>
          <w:szCs w:val="1"/>
          <w:color w:val="auto"/>
        </w:rPr>
        <w:drawing>
          <wp:inline distT="0" distB="0" distL="0" distR="0">
            <wp:extent cx="445135" cy="151130"/>
            <wp:effectExtent l="0" t="0" r="0" b="0"/>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445135" cy="151130"/>
                    </a:xfrm>
                    <a:prstGeom prst="rect">
                      <a:avLst/>
                    </a:prstGeom>
                    <a:noFill/>
                    <a:ln>
                      <a:noFill/>
                    </a:ln>
                  </pic:spPr>
                </pic:pic>
              </a:graphicData>
            </a:graphic>
          </wp:inline>
        </w:drawing>
      </w:r>
      <w:r>
        <w:rPr>
          <w:rFonts w:ascii="Arial" w:cs="Arial" w:eastAsia="Arial" w:hAnsi="Arial"/>
          <w:sz w:val="31"/>
          <w:szCs w:val="31"/>
          <w:b w:val="1"/>
          <w:bCs w:val="1"/>
          <w:color w:val="125288"/>
        </w:rPr>
        <w:t xml:space="preserve"> DIRECTOR NOMINATIONS AND OTHER SHAREHOLDER PROPOSALS FOR OUR 2023 ANNUAL MEETING</w:t>
      </w:r>
    </w:p>
    <w:p>
      <w:pPr>
        <w:spacing w:after="0" w:line="259" w:lineRule="exact"/>
        <w:rPr>
          <w:sz w:val="20"/>
          <w:szCs w:val="20"/>
          <w:color w:val="auto"/>
        </w:rPr>
      </w:pPr>
    </w:p>
    <w:p>
      <w:pPr>
        <w:ind w:left="305" w:right="40" w:hanging="305"/>
        <w:spacing w:after="0" w:line="290" w:lineRule="auto"/>
        <w:tabs>
          <w:tab w:leader="none" w:pos="305" w:val="left"/>
        </w:tabs>
        <w:numPr>
          <w:ilvl w:val="0"/>
          <w:numId w:val="181"/>
        </w:numPr>
        <w:rPr>
          <w:rFonts w:ascii="Arial" w:cs="Arial" w:eastAsia="Arial" w:hAnsi="Arial"/>
          <w:sz w:val="21"/>
          <w:szCs w:val="21"/>
          <w:b w:val="1"/>
          <w:bCs w:val="1"/>
          <w:color w:val="125288"/>
        </w:rPr>
      </w:pPr>
      <w:r>
        <w:rPr>
          <w:rFonts w:ascii="Arial" w:cs="Arial" w:eastAsia="Arial" w:hAnsi="Arial"/>
          <w:sz w:val="21"/>
          <w:szCs w:val="21"/>
          <w:b w:val="1"/>
          <w:bCs w:val="1"/>
          <w:color w:val="auto"/>
        </w:rPr>
        <w:t>How can I nominate a director for election at the 2023 annual meeting and what is the deadline for that submission?</w:t>
      </w:r>
    </w:p>
    <w:p>
      <w:pPr>
        <w:spacing w:after="0" w:line="82" w:lineRule="exact"/>
        <w:rPr>
          <w:sz w:val="20"/>
          <w:szCs w:val="20"/>
          <w:color w:val="auto"/>
        </w:rPr>
      </w:pPr>
    </w:p>
    <w:p>
      <w:pPr>
        <w:jc w:val="both"/>
        <w:ind w:left="305" w:right="40" w:hanging="305"/>
        <w:spacing w:after="0" w:line="231" w:lineRule="auto"/>
        <w:tabs>
          <w:tab w:leader="none" w:pos="305" w:val="left"/>
        </w:tabs>
        <w:numPr>
          <w:ilvl w:val="0"/>
          <w:numId w:val="182"/>
        </w:numPr>
        <w:rPr>
          <w:rFonts w:ascii="Arial" w:cs="Arial" w:eastAsia="Arial" w:hAnsi="Arial"/>
          <w:sz w:val="19"/>
          <w:szCs w:val="19"/>
          <w:b w:val="1"/>
          <w:bCs w:val="1"/>
          <w:color w:val="125288"/>
        </w:rPr>
      </w:pPr>
      <w:r>
        <w:rPr>
          <w:rFonts w:ascii="Arial" w:cs="Arial" w:eastAsia="Arial" w:hAnsi="Arial"/>
          <w:sz w:val="19"/>
          <w:szCs w:val="19"/>
          <w:color w:val="auto"/>
        </w:rPr>
        <w:t>Under our Bylaws, shareholders of record as of the time of giving the notice and as of the record date for the 2023 annual meeting may nominate a person for election to our Board at the 2023 annual meeting of our shareholders by providing proper notice to us no earlier than February 13, 2023, and no later than March 15, 2023 (unless the date of our 2023 annual meeting is advanced by more than 30 days or delayed by more than 30 days from the anniversary date of the Annual Meeting, in which case the notice must be submitted no earlier than 120 days prior to the meeting and no later than the later of the 90</w:t>
      </w:r>
      <w:r>
        <w:rPr>
          <w:rFonts w:ascii="Arial" w:cs="Arial" w:eastAsia="Arial" w:hAnsi="Arial"/>
          <w:sz w:val="21"/>
          <w:szCs w:val="21"/>
          <w:color w:val="auto"/>
          <w:vertAlign w:val="superscript"/>
        </w:rPr>
        <w:t>th</w:t>
      </w:r>
      <w:r>
        <w:rPr>
          <w:rFonts w:ascii="Arial" w:cs="Arial" w:eastAsia="Arial" w:hAnsi="Arial"/>
          <w:sz w:val="19"/>
          <w:szCs w:val="19"/>
          <w:color w:val="auto"/>
        </w:rPr>
        <w:t xml:space="preserve"> day before the meeting and the 10</w:t>
      </w:r>
      <w:r>
        <w:rPr>
          <w:rFonts w:ascii="Arial" w:cs="Arial" w:eastAsia="Arial" w:hAnsi="Arial"/>
          <w:sz w:val="21"/>
          <w:szCs w:val="21"/>
          <w:color w:val="auto"/>
          <w:vertAlign w:val="superscript"/>
        </w:rPr>
        <w:t>th</w:t>
      </w:r>
      <w:r>
        <w:rPr>
          <w:rFonts w:ascii="Arial" w:cs="Arial" w:eastAsia="Arial" w:hAnsi="Arial"/>
          <w:sz w:val="19"/>
          <w:szCs w:val="19"/>
          <w:color w:val="auto"/>
        </w:rPr>
        <w:t xml:space="preserve"> day following the day on which notice of the date of the meeting is first mailed to the shareholders or public disclosure of the date of the annual meeting is first made, whichever first occurs). To be proper, the notice must be in writing and contain all the information required by our Bylaws, and must include the candidate’s written consent to being named in the proxy statement as a nominee and to serve as a director if elected.</w:t>
      </w:r>
    </w:p>
    <w:p>
      <w:pPr>
        <w:spacing w:after="0" w:line="131" w:lineRule="exact"/>
        <w:rPr>
          <w:rFonts w:ascii="Arial" w:cs="Arial" w:eastAsia="Arial" w:hAnsi="Arial"/>
          <w:sz w:val="19"/>
          <w:szCs w:val="19"/>
          <w:b w:val="1"/>
          <w:bCs w:val="1"/>
          <w:color w:val="125288"/>
        </w:rPr>
      </w:pPr>
    </w:p>
    <w:p>
      <w:pPr>
        <w:jc w:val="both"/>
        <w:ind w:left="305" w:right="40"/>
        <w:spacing w:after="0" w:line="233" w:lineRule="auto"/>
        <w:rPr>
          <w:rFonts w:ascii="Arial" w:cs="Arial" w:eastAsia="Arial" w:hAnsi="Arial"/>
          <w:sz w:val="19"/>
          <w:szCs w:val="19"/>
          <w:b w:val="1"/>
          <w:bCs w:val="1"/>
          <w:color w:val="125288"/>
        </w:rPr>
      </w:pPr>
      <w:r>
        <w:rPr>
          <w:rFonts w:ascii="Arial" w:cs="Arial" w:eastAsia="Arial" w:hAnsi="Arial"/>
          <w:sz w:val="19"/>
          <w:szCs w:val="19"/>
          <w:color w:val="auto"/>
        </w:rPr>
        <w:t>In addition to satisfying the foregoing requirements under our Bylaws, to comply with the SEC’s universal proxy rules, shareholders who intend to solicit proxies in support of director nominees other than our nominees must also provide notice that sets forth the information required by Rule 14a-19 under the Exchange Act no later than April 22, 2023 (unless the date of our 2023 annual meeting is advanced by more than 30 days or delayed by more than 30 days from the anniversary date of the Annual Meeting, in which case the notice must be provided by the later of the 60</w:t>
      </w:r>
      <w:r>
        <w:rPr>
          <w:rFonts w:ascii="Arial" w:cs="Arial" w:eastAsia="Arial" w:hAnsi="Arial"/>
          <w:sz w:val="21"/>
          <w:szCs w:val="21"/>
          <w:color w:val="auto"/>
          <w:vertAlign w:val="superscript"/>
        </w:rPr>
        <w:t>th</w:t>
      </w:r>
      <w:r>
        <w:rPr>
          <w:rFonts w:ascii="Arial" w:cs="Arial" w:eastAsia="Arial" w:hAnsi="Arial"/>
          <w:sz w:val="19"/>
          <w:szCs w:val="19"/>
          <w:color w:val="auto"/>
        </w:rPr>
        <w:t xml:space="preserve"> day before the meeting and the 10</w:t>
      </w:r>
      <w:r>
        <w:rPr>
          <w:rFonts w:ascii="Arial" w:cs="Arial" w:eastAsia="Arial" w:hAnsi="Arial"/>
          <w:sz w:val="21"/>
          <w:szCs w:val="21"/>
          <w:color w:val="auto"/>
          <w:vertAlign w:val="superscript"/>
        </w:rPr>
        <w:t>th</w:t>
      </w:r>
      <w:r>
        <w:rPr>
          <w:rFonts w:ascii="Arial" w:cs="Arial" w:eastAsia="Arial" w:hAnsi="Arial"/>
          <w:sz w:val="19"/>
          <w:szCs w:val="19"/>
          <w:color w:val="auto"/>
        </w:rPr>
        <w:t xml:space="preserve"> day following the day on which public disclosure of the date of the annual meeting is first made).</w:t>
      </w:r>
    </w:p>
    <w:p>
      <w:pPr>
        <w:spacing w:after="0" w:line="131" w:lineRule="exact"/>
        <w:rPr>
          <w:rFonts w:ascii="Arial" w:cs="Arial" w:eastAsia="Arial" w:hAnsi="Arial"/>
          <w:sz w:val="19"/>
          <w:szCs w:val="19"/>
          <w:b w:val="1"/>
          <w:bCs w:val="1"/>
          <w:color w:val="125288"/>
        </w:rPr>
      </w:pPr>
    </w:p>
    <w:p>
      <w:pPr>
        <w:jc w:val="both"/>
        <w:ind w:left="305" w:right="40"/>
        <w:spacing w:after="0" w:line="234" w:lineRule="auto"/>
        <w:rPr>
          <w:rFonts w:ascii="Arial" w:cs="Arial" w:eastAsia="Arial" w:hAnsi="Arial"/>
          <w:sz w:val="19"/>
          <w:szCs w:val="19"/>
          <w:b w:val="1"/>
          <w:bCs w:val="1"/>
          <w:color w:val="125288"/>
        </w:rPr>
      </w:pPr>
      <w:r>
        <w:rPr>
          <w:rFonts w:ascii="Arial" w:cs="Arial" w:eastAsia="Arial" w:hAnsi="Arial"/>
          <w:sz w:val="19"/>
          <w:szCs w:val="19"/>
          <w:color w:val="auto"/>
        </w:rPr>
        <w:t>Our Bylaws also include a “proxy access” provision that permits a shareholder, or group of no more than 20 shareholders, owning at least 3% of our Common Stock continuously for at least three years, to nominate and include in our proxy materials for an annual meeting director nominees constituting up to two individuals or 20% of the Board, whichever is greater, provided the shareholder(s) and nominee(s) satisfy certain requirements. For a proxy access nomination to be considered timely for the 2023 annual meeting, we must receive it no earlier than November 30, 2022, and no later than December 30, 2022 (unless the date of our 2023 annual meeting is advanced by more than 30 days or delayed by more than 70 days from the anniversary date of the Annual Meeting, in which case the notice must be submitted no earlier than 150 days prior to the meeting and not later than the later of the 120</w:t>
      </w:r>
      <w:r>
        <w:rPr>
          <w:rFonts w:ascii="Arial" w:cs="Arial" w:eastAsia="Arial" w:hAnsi="Arial"/>
          <w:sz w:val="21"/>
          <w:szCs w:val="21"/>
          <w:color w:val="auto"/>
          <w:vertAlign w:val="superscript"/>
        </w:rPr>
        <w:t>th</w:t>
      </w:r>
      <w:r>
        <w:rPr>
          <w:rFonts w:ascii="Arial" w:cs="Arial" w:eastAsia="Arial" w:hAnsi="Arial"/>
          <w:sz w:val="19"/>
          <w:szCs w:val="19"/>
          <w:color w:val="auto"/>
        </w:rPr>
        <w:t xml:space="preserve"> day before the meeting and the 10</w:t>
      </w:r>
      <w:r>
        <w:rPr>
          <w:rFonts w:ascii="Arial" w:cs="Arial" w:eastAsia="Arial" w:hAnsi="Arial"/>
          <w:sz w:val="21"/>
          <w:szCs w:val="21"/>
          <w:color w:val="auto"/>
          <w:vertAlign w:val="superscript"/>
        </w:rPr>
        <w:t>th</w:t>
      </w:r>
      <w:r>
        <w:rPr>
          <w:rFonts w:ascii="Arial" w:cs="Arial" w:eastAsia="Arial" w:hAnsi="Arial"/>
          <w:sz w:val="19"/>
          <w:szCs w:val="19"/>
          <w:color w:val="auto"/>
        </w:rPr>
        <w:t xml:space="preserve"> day following the day on which notice of the date of the meeting is first mailed to the shareholders or public disclosure of the date of the annual meeting is first made, whichever first occurs). To be proper, any such proxy access nomination must be in writing and contain all the information required by our Bylaws, and must include the candidate’s written consent to being named in the proxy statement as a nominee and to serve as a director if elected.</w:t>
      </w:r>
    </w:p>
    <w:p>
      <w:pPr>
        <w:spacing w:after="0" w:line="130" w:lineRule="exact"/>
        <w:rPr>
          <w:rFonts w:ascii="Arial" w:cs="Arial" w:eastAsia="Arial" w:hAnsi="Arial"/>
          <w:sz w:val="19"/>
          <w:szCs w:val="19"/>
          <w:b w:val="1"/>
          <w:bCs w:val="1"/>
          <w:color w:val="125288"/>
        </w:rPr>
      </w:pPr>
    </w:p>
    <w:p>
      <w:pPr>
        <w:ind w:left="305"/>
        <w:spacing w:after="0"/>
        <w:rPr>
          <w:rFonts w:ascii="Arial" w:cs="Arial" w:eastAsia="Arial" w:hAnsi="Arial"/>
          <w:sz w:val="19"/>
          <w:szCs w:val="19"/>
          <w:b w:val="1"/>
          <w:bCs w:val="1"/>
          <w:color w:val="125288"/>
        </w:rPr>
      </w:pPr>
      <w:r>
        <w:rPr>
          <w:rFonts w:ascii="Arial" w:cs="Arial" w:eastAsia="Arial" w:hAnsi="Arial"/>
          <w:sz w:val="19"/>
          <w:szCs w:val="19"/>
          <w:color w:val="auto"/>
        </w:rPr>
        <w:t>Any such nomination should be sent to our Corporate Secretary at the address set forth in the answer to the first question.</w:t>
      </w:r>
    </w:p>
    <w:p>
      <w:pPr>
        <w:spacing w:after="0" w:line="138" w:lineRule="exact"/>
        <w:rPr>
          <w:rFonts w:ascii="Arial" w:cs="Arial" w:eastAsia="Arial" w:hAnsi="Arial"/>
          <w:sz w:val="19"/>
          <w:szCs w:val="19"/>
          <w:b w:val="1"/>
          <w:bCs w:val="1"/>
          <w:color w:val="125288"/>
        </w:rPr>
      </w:pPr>
    </w:p>
    <w:p>
      <w:pPr>
        <w:jc w:val="both"/>
        <w:ind w:left="305" w:right="40"/>
        <w:spacing w:after="0"/>
        <w:rPr>
          <w:rFonts w:ascii="Arial" w:cs="Arial" w:eastAsia="Arial" w:hAnsi="Arial"/>
          <w:sz w:val="19"/>
          <w:szCs w:val="19"/>
          <w:b w:val="1"/>
          <w:bCs w:val="1"/>
          <w:color w:val="125288"/>
        </w:rPr>
      </w:pPr>
      <w:r>
        <w:rPr>
          <w:rFonts w:ascii="Arial" w:cs="Arial" w:eastAsia="Arial" w:hAnsi="Arial"/>
          <w:sz w:val="19"/>
          <w:szCs w:val="19"/>
          <w:color w:val="auto"/>
        </w:rPr>
        <w:t>Shareholders also may submit director candidates directly to our Nominating and Corporate Governance Committee for consideration, as described under “Proposal 1—Election of Directors —How We Identify Candidates for Our Board—How Shareholders Can Recommend Director Candidates.”</w:t>
      </w:r>
    </w:p>
    <w:p>
      <w:pPr>
        <w:spacing w:after="0" w:line="129" w:lineRule="exact"/>
        <w:rPr>
          <w:rFonts w:ascii="Arial" w:cs="Arial" w:eastAsia="Arial" w:hAnsi="Arial"/>
          <w:sz w:val="19"/>
          <w:szCs w:val="19"/>
          <w:b w:val="1"/>
          <w:bCs w:val="1"/>
          <w:color w:val="125288"/>
        </w:rPr>
      </w:pPr>
    </w:p>
    <w:p>
      <w:pPr>
        <w:jc w:val="both"/>
        <w:ind w:left="305" w:right="40"/>
        <w:spacing w:after="0"/>
        <w:rPr>
          <w:rFonts w:ascii="Arial" w:cs="Arial" w:eastAsia="Arial" w:hAnsi="Arial"/>
          <w:sz w:val="19"/>
          <w:szCs w:val="19"/>
          <w:b w:val="1"/>
          <w:bCs w:val="1"/>
          <w:color w:val="125288"/>
        </w:rPr>
      </w:pPr>
      <w:r>
        <w:rPr>
          <w:rFonts w:ascii="Arial" w:cs="Arial" w:eastAsia="Arial" w:hAnsi="Arial"/>
          <w:sz w:val="19"/>
          <w:szCs w:val="19"/>
          <w:color w:val="auto"/>
        </w:rPr>
        <w:t>If the proposed transaction with Microsoft is completed before we would otherwise be holding our 2023 annual meeting, such meeting will not occur and any director candidates submitted, even in accordance with our Bylaws, will not be considered by our shareholders.</w:t>
      </w:r>
    </w:p>
    <w:p>
      <w:pPr>
        <w:spacing w:after="0" w:line="129" w:lineRule="exact"/>
        <w:rPr>
          <w:rFonts w:ascii="Arial" w:cs="Arial" w:eastAsia="Arial" w:hAnsi="Arial"/>
          <w:sz w:val="19"/>
          <w:szCs w:val="19"/>
          <w:b w:val="1"/>
          <w:bCs w:val="1"/>
          <w:color w:val="125288"/>
        </w:rPr>
      </w:pPr>
    </w:p>
    <w:p>
      <w:pPr>
        <w:jc w:val="both"/>
        <w:ind w:left="305" w:right="40"/>
        <w:spacing w:after="0"/>
        <w:rPr>
          <w:rFonts w:ascii="Arial" w:cs="Arial" w:eastAsia="Arial" w:hAnsi="Arial"/>
          <w:sz w:val="19"/>
          <w:szCs w:val="19"/>
          <w:b w:val="1"/>
          <w:bCs w:val="1"/>
          <w:color w:val="125288"/>
        </w:rPr>
      </w:pPr>
      <w:r>
        <w:rPr>
          <w:rFonts w:ascii="Arial" w:cs="Arial" w:eastAsia="Arial" w:hAnsi="Arial"/>
          <w:sz w:val="19"/>
          <w:szCs w:val="19"/>
          <w:color w:val="auto"/>
        </w:rPr>
        <w:t>If the proposed transaction with Microsoft has not already been completed by the time we would otherwise be holding our 2023 annual meeting of shareholders (in which case, such meeting will not occur), we intend to file a proxy statement and WHITE proxy card with the SEC in connection with our solicitation of proxies for that meeting.</w:t>
      </w:r>
    </w:p>
    <w:p>
      <w:pPr>
        <w:spacing w:after="0" w:line="297" w:lineRule="exact"/>
        <w:rPr>
          <w:sz w:val="20"/>
          <w:szCs w:val="20"/>
          <w:color w:val="auto"/>
        </w:rPr>
      </w:pPr>
    </w:p>
    <w:p>
      <w:pPr>
        <w:ind w:left="5"/>
        <w:spacing w:after="0"/>
        <w:tabs>
          <w:tab w:leader="none" w:pos="7364" w:val="left"/>
          <w:tab w:leader="none" w:pos="9384" w:val="left"/>
          <w:tab w:leader="none" w:pos="1100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bookmarkStart w:id="152" w:name="page153"/>
    <w:bookmarkEnd w:id="152"/>
    <w:p>
      <w:pPr>
        <w:ind w:left="5"/>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11" w:lineRule="exact"/>
        <w:rPr>
          <w:sz w:val="20"/>
          <w:szCs w:val="20"/>
          <w:color w:val="auto"/>
        </w:rPr>
      </w:pPr>
    </w:p>
    <w:p>
      <w:pPr>
        <w:ind w:left="305" w:hanging="305"/>
        <w:spacing w:after="0"/>
        <w:tabs>
          <w:tab w:leader="none" w:pos="305" w:val="left"/>
        </w:tabs>
        <w:numPr>
          <w:ilvl w:val="0"/>
          <w:numId w:val="183"/>
        </w:numPr>
        <w:rPr>
          <w:rFonts w:ascii="Arial" w:cs="Arial" w:eastAsia="Arial" w:hAnsi="Arial"/>
          <w:sz w:val="21"/>
          <w:szCs w:val="21"/>
          <w:b w:val="1"/>
          <w:bCs w:val="1"/>
          <w:color w:val="125288"/>
        </w:rPr>
      </w:pPr>
      <w:r>
        <w:rPr>
          <w:rFonts w:ascii="Arial" w:cs="Arial" w:eastAsia="Arial" w:hAnsi="Arial"/>
          <w:sz w:val="21"/>
          <w:szCs w:val="21"/>
          <w:b w:val="1"/>
          <w:bCs w:val="1"/>
          <w:color w:val="auto"/>
        </w:rPr>
        <w:t>How can I submit a proposal for the 2023 annual meeting and what is the deadline for that submission?</w:t>
      </w:r>
    </w:p>
    <w:p>
      <w:pPr>
        <w:spacing w:after="0" w:line="175" w:lineRule="exact"/>
        <w:rPr>
          <w:sz w:val="20"/>
          <w:szCs w:val="20"/>
          <w:color w:val="auto"/>
        </w:rPr>
      </w:pPr>
    </w:p>
    <w:p>
      <w:pPr>
        <w:jc w:val="both"/>
        <w:ind w:left="305" w:right="40" w:hanging="305"/>
        <w:spacing w:after="0" w:line="237" w:lineRule="auto"/>
        <w:tabs>
          <w:tab w:leader="none" w:pos="305" w:val="left"/>
        </w:tabs>
        <w:numPr>
          <w:ilvl w:val="0"/>
          <w:numId w:val="184"/>
        </w:numPr>
        <w:rPr>
          <w:rFonts w:ascii="Arial" w:cs="Arial" w:eastAsia="Arial" w:hAnsi="Arial"/>
          <w:sz w:val="19"/>
          <w:szCs w:val="19"/>
          <w:b w:val="1"/>
          <w:bCs w:val="1"/>
          <w:color w:val="125288"/>
        </w:rPr>
      </w:pPr>
      <w:r>
        <w:rPr>
          <w:rFonts w:ascii="Arial" w:cs="Arial" w:eastAsia="Arial" w:hAnsi="Arial"/>
          <w:sz w:val="19"/>
          <w:szCs w:val="19"/>
          <w:color w:val="auto"/>
        </w:rPr>
        <w:t>Any shareholder may present a proposal to be included in the proxy statement for, and for consideration at, the 2023 annual meeting of our shareholders by submitting their proposal to us in writing, so we receive it on or before December 30, 2022 (unless the date of our 2023 annual meeting is advanced by more than 30 days or delayed by more than 30 days from the anniversary date of the Annual Meeting, in which case the proposal must be received a reasonable time before we begin to print and mail our proxy materials for our 2023 annual meeting). For such proposal to be included in our proxy statement, it must otherwise be in compliance with Rule 14a-8 under the Exchange Act.</w:t>
      </w:r>
    </w:p>
    <w:p>
      <w:pPr>
        <w:spacing w:after="0" w:line="132" w:lineRule="exact"/>
        <w:rPr>
          <w:rFonts w:ascii="Arial" w:cs="Arial" w:eastAsia="Arial" w:hAnsi="Arial"/>
          <w:sz w:val="19"/>
          <w:szCs w:val="19"/>
          <w:b w:val="1"/>
          <w:bCs w:val="1"/>
          <w:color w:val="125288"/>
        </w:rPr>
      </w:pPr>
    </w:p>
    <w:p>
      <w:pPr>
        <w:jc w:val="both"/>
        <w:ind w:left="305" w:right="40"/>
        <w:spacing w:after="0" w:line="234" w:lineRule="auto"/>
        <w:rPr>
          <w:rFonts w:ascii="Arial" w:cs="Arial" w:eastAsia="Arial" w:hAnsi="Arial"/>
          <w:sz w:val="19"/>
          <w:szCs w:val="19"/>
          <w:b w:val="1"/>
          <w:bCs w:val="1"/>
          <w:color w:val="125288"/>
        </w:rPr>
      </w:pPr>
      <w:r>
        <w:rPr>
          <w:rFonts w:ascii="Arial" w:cs="Arial" w:eastAsia="Arial" w:hAnsi="Arial"/>
          <w:sz w:val="19"/>
          <w:szCs w:val="19"/>
          <w:color w:val="auto"/>
        </w:rPr>
        <w:t>Shareholders who wish to present proposals before our 2023 annual meeting, but do not intend for those proposals to be included in the proxy statement for that meeting, may utilize the procedure in our Bylaws. Under our Bylaws, such proposals may be made by shareholders of record by providing proper notice to us in a timely manner containing the information required by our Bylaws. For such notice to be considered timely, we must receive it no earlier than February 13, 2023, and no later than March 15, 2023 (unless the date of our 2023 annual meeting is advanced by more than 30 days or delayed by more than 30 days from the anniversary date of the Annual Meeting, in which case the notice must be submitted no earlier than 120 days prior to the meeting and no later than the later of the 90</w:t>
      </w:r>
      <w:r>
        <w:rPr>
          <w:rFonts w:ascii="Arial" w:cs="Arial" w:eastAsia="Arial" w:hAnsi="Arial"/>
          <w:sz w:val="21"/>
          <w:szCs w:val="21"/>
          <w:color w:val="auto"/>
          <w:vertAlign w:val="superscript"/>
        </w:rPr>
        <w:t>th</w:t>
      </w:r>
      <w:r>
        <w:rPr>
          <w:rFonts w:ascii="Arial" w:cs="Arial" w:eastAsia="Arial" w:hAnsi="Arial"/>
          <w:sz w:val="19"/>
          <w:szCs w:val="19"/>
          <w:color w:val="auto"/>
        </w:rPr>
        <w:t xml:space="preserve"> day before the meeting and the 10</w:t>
      </w:r>
      <w:r>
        <w:rPr>
          <w:rFonts w:ascii="Arial" w:cs="Arial" w:eastAsia="Arial" w:hAnsi="Arial"/>
          <w:sz w:val="21"/>
          <w:szCs w:val="21"/>
          <w:color w:val="auto"/>
          <w:vertAlign w:val="superscript"/>
        </w:rPr>
        <w:t>th</w:t>
      </w:r>
      <w:r>
        <w:rPr>
          <w:rFonts w:ascii="Arial" w:cs="Arial" w:eastAsia="Arial" w:hAnsi="Arial"/>
          <w:sz w:val="19"/>
          <w:szCs w:val="19"/>
          <w:color w:val="auto"/>
        </w:rPr>
        <w:t xml:space="preserve"> day following the day on which notice of the date of the meeting is first mailed to the shareholders or public disclosure of the date of the annual meeting is first made, whichever first occurs). To be proper, the notice must be in writing and contain all the information required by our Bylaws and it must pertain to business that is a proper matter for shareholder action under the Delaware General Corporation Law.</w:t>
      </w:r>
    </w:p>
    <w:p>
      <w:pPr>
        <w:spacing w:after="0" w:line="129" w:lineRule="exact"/>
        <w:rPr>
          <w:rFonts w:ascii="Arial" w:cs="Arial" w:eastAsia="Arial" w:hAnsi="Arial"/>
          <w:sz w:val="19"/>
          <w:szCs w:val="19"/>
          <w:b w:val="1"/>
          <w:bCs w:val="1"/>
          <w:color w:val="125288"/>
        </w:rPr>
      </w:pPr>
    </w:p>
    <w:p>
      <w:pPr>
        <w:ind w:left="305"/>
        <w:spacing w:after="0"/>
        <w:rPr>
          <w:rFonts w:ascii="Arial" w:cs="Arial" w:eastAsia="Arial" w:hAnsi="Arial"/>
          <w:sz w:val="19"/>
          <w:szCs w:val="19"/>
          <w:b w:val="1"/>
          <w:bCs w:val="1"/>
          <w:color w:val="125288"/>
        </w:rPr>
      </w:pPr>
      <w:r>
        <w:rPr>
          <w:rFonts w:ascii="Arial" w:cs="Arial" w:eastAsia="Arial" w:hAnsi="Arial"/>
          <w:sz w:val="19"/>
          <w:szCs w:val="19"/>
          <w:color w:val="auto"/>
        </w:rPr>
        <w:t>Any such proposal should be sent to our Corporate Secretary at the address set forth in the answer to the first question above.</w:t>
      </w:r>
    </w:p>
    <w:p>
      <w:pPr>
        <w:spacing w:after="0" w:line="138" w:lineRule="exact"/>
        <w:rPr>
          <w:rFonts w:ascii="Arial" w:cs="Arial" w:eastAsia="Arial" w:hAnsi="Arial"/>
          <w:sz w:val="19"/>
          <w:szCs w:val="19"/>
          <w:b w:val="1"/>
          <w:bCs w:val="1"/>
          <w:color w:val="125288"/>
        </w:rPr>
      </w:pPr>
    </w:p>
    <w:p>
      <w:pPr>
        <w:jc w:val="both"/>
        <w:ind w:left="305" w:right="40"/>
        <w:spacing w:after="0"/>
        <w:rPr>
          <w:rFonts w:ascii="Arial" w:cs="Arial" w:eastAsia="Arial" w:hAnsi="Arial"/>
          <w:sz w:val="19"/>
          <w:szCs w:val="19"/>
          <w:b w:val="1"/>
          <w:bCs w:val="1"/>
          <w:color w:val="125288"/>
        </w:rPr>
      </w:pPr>
      <w:r>
        <w:rPr>
          <w:rFonts w:ascii="Arial" w:cs="Arial" w:eastAsia="Arial" w:hAnsi="Arial"/>
          <w:sz w:val="19"/>
          <w:szCs w:val="19"/>
          <w:color w:val="auto"/>
        </w:rPr>
        <w:t>If the proposed transaction with Microsoft is completed before we would otherwise be holding our 2023 annual meeting, such meeting will not occur and any proposals submitted, even in accordance with Rule 14a-8 under the Exchange Act or our Bylaws, will not be considered by our shareholders.</w:t>
      </w:r>
    </w:p>
    <w:p>
      <w:pPr>
        <w:spacing w:after="0" w:line="297" w:lineRule="exact"/>
        <w:rPr>
          <w:sz w:val="20"/>
          <w:szCs w:val="20"/>
          <w:color w:val="auto"/>
        </w:rPr>
      </w:pPr>
    </w:p>
    <w:p>
      <w:pPr>
        <w:ind w:left="5"/>
        <w:spacing w:after="0"/>
        <w:tabs>
          <w:tab w:leader="none" w:pos="7364" w:val="left"/>
          <w:tab w:leader="none" w:pos="9384" w:val="left"/>
          <w:tab w:leader="none" w:pos="1100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bookmarkStart w:id="153" w:name="page154"/>
    <w:bookmarkEnd w:id="153"/>
    <w:p>
      <w:pPr>
        <w:ind w:left="5"/>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20" w:lineRule="exact"/>
        <w:rPr>
          <w:sz w:val="20"/>
          <w:szCs w:val="20"/>
          <w:color w:val="auto"/>
        </w:rPr>
      </w:pPr>
    </w:p>
    <w:p>
      <w:pPr>
        <w:ind w:left="825" w:right="240" w:hanging="807"/>
        <w:spacing w:after="0"/>
        <w:rPr>
          <w:sz w:val="20"/>
          <w:szCs w:val="20"/>
          <w:color w:val="auto"/>
        </w:rPr>
      </w:pPr>
      <w:r>
        <w:rPr>
          <w:sz w:val="1"/>
          <w:szCs w:val="1"/>
          <w:color w:val="auto"/>
        </w:rPr>
        <w:drawing>
          <wp:inline distT="0" distB="0" distL="0" distR="0">
            <wp:extent cx="445135" cy="151130"/>
            <wp:effectExtent l="0" t="0" r="0" b="0"/>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445135" cy="151130"/>
                    </a:xfrm>
                    <a:prstGeom prst="rect">
                      <a:avLst/>
                    </a:prstGeom>
                    <a:noFill/>
                    <a:ln>
                      <a:noFill/>
                    </a:ln>
                  </pic:spPr>
                </pic:pic>
              </a:graphicData>
            </a:graphic>
          </wp:inline>
        </w:drawing>
      </w:r>
      <w:r>
        <w:rPr>
          <w:rFonts w:ascii="Arial" w:cs="Arial" w:eastAsia="Arial" w:hAnsi="Arial"/>
          <w:sz w:val="31"/>
          <w:szCs w:val="31"/>
          <w:b w:val="1"/>
          <w:bCs w:val="1"/>
          <w:color w:val="125288"/>
        </w:rPr>
        <w:t xml:space="preserve"> AVAILABILITY OF PROXY MATERIALS ON THE INTERNET; DELIVERY OF DOCUMENTS TO SECURITY HOLDERS SHARING AN ADDRESS; FINANCIAL AND OTHER INFORMATION</w:t>
      </w:r>
    </w:p>
    <w:p>
      <w:pPr>
        <w:spacing w:after="0" w:line="259" w:lineRule="exact"/>
        <w:rPr>
          <w:sz w:val="20"/>
          <w:szCs w:val="20"/>
          <w:color w:val="auto"/>
        </w:rPr>
      </w:pPr>
    </w:p>
    <w:p>
      <w:pPr>
        <w:ind w:left="305" w:right="40" w:hanging="305"/>
        <w:spacing w:after="0" w:line="290" w:lineRule="auto"/>
        <w:tabs>
          <w:tab w:leader="none" w:pos="305" w:val="left"/>
        </w:tabs>
        <w:numPr>
          <w:ilvl w:val="0"/>
          <w:numId w:val="185"/>
        </w:numPr>
        <w:rPr>
          <w:rFonts w:ascii="Arial" w:cs="Arial" w:eastAsia="Arial" w:hAnsi="Arial"/>
          <w:sz w:val="21"/>
          <w:szCs w:val="21"/>
          <w:b w:val="1"/>
          <w:bCs w:val="1"/>
          <w:color w:val="125288"/>
        </w:rPr>
      </w:pPr>
      <w:r>
        <w:rPr>
          <w:rFonts w:ascii="Arial" w:cs="Arial" w:eastAsia="Arial" w:hAnsi="Arial"/>
          <w:sz w:val="21"/>
          <w:szCs w:val="21"/>
          <w:b w:val="1"/>
          <w:bCs w:val="1"/>
          <w:color w:val="auto"/>
        </w:rPr>
        <w:t>What if I only received a printed notice about the availability of the proxy materials on the Internet and want a physical copy in the future?</w:t>
      </w:r>
    </w:p>
    <w:p>
      <w:pPr>
        <w:spacing w:after="0" w:line="82" w:lineRule="exact"/>
        <w:rPr>
          <w:sz w:val="20"/>
          <w:szCs w:val="20"/>
          <w:color w:val="auto"/>
        </w:rPr>
      </w:pPr>
    </w:p>
    <w:p>
      <w:pPr>
        <w:jc w:val="both"/>
        <w:ind w:left="305" w:right="40" w:hanging="305"/>
        <w:spacing w:after="0" w:line="238" w:lineRule="auto"/>
        <w:tabs>
          <w:tab w:leader="none" w:pos="305" w:val="left"/>
        </w:tabs>
        <w:numPr>
          <w:ilvl w:val="0"/>
          <w:numId w:val="186"/>
        </w:numPr>
        <w:rPr>
          <w:rFonts w:ascii="Arial" w:cs="Arial" w:eastAsia="Arial" w:hAnsi="Arial"/>
          <w:sz w:val="19"/>
          <w:szCs w:val="19"/>
          <w:b w:val="1"/>
          <w:bCs w:val="1"/>
          <w:color w:val="125288"/>
        </w:rPr>
      </w:pPr>
      <w:r>
        <w:rPr>
          <w:rFonts w:ascii="Arial" w:cs="Arial" w:eastAsia="Arial" w:hAnsi="Arial"/>
          <w:sz w:val="19"/>
          <w:szCs w:val="19"/>
          <w:color w:val="auto"/>
        </w:rPr>
        <w:t>In lieu of distributing a printed copy of proxy materials for the Annual Meeting to every shareholder, we are making this proxy statement and our annual report for 2021 available to our shareholders on the Internet. Every shareholder who, as of the date on which such notice is mailed, has not requested to receive all proxy materials from us in printed form or via email will receive a printed notice regarding the Internet availability of those materials, which will include instructions on how to access them, as well as how to vote online.</w:t>
      </w:r>
    </w:p>
    <w:p>
      <w:pPr>
        <w:spacing w:after="0" w:line="105" w:lineRule="exact"/>
        <w:rPr>
          <w:rFonts w:ascii="Arial" w:cs="Arial" w:eastAsia="Arial" w:hAnsi="Arial"/>
          <w:sz w:val="19"/>
          <w:szCs w:val="19"/>
          <w:b w:val="1"/>
          <w:bCs w:val="1"/>
          <w:color w:val="125288"/>
        </w:rPr>
      </w:pPr>
    </w:p>
    <w:p>
      <w:pPr>
        <w:jc w:val="both"/>
        <w:ind w:left="305" w:right="40"/>
        <w:spacing w:after="0" w:line="253" w:lineRule="auto"/>
        <w:rPr>
          <w:rFonts w:ascii="Arial" w:cs="Arial" w:eastAsia="Arial" w:hAnsi="Arial"/>
          <w:sz w:val="19"/>
          <w:szCs w:val="19"/>
          <w:b w:val="1"/>
          <w:bCs w:val="1"/>
          <w:color w:val="125288"/>
        </w:rPr>
      </w:pPr>
      <w:r>
        <w:rPr>
          <w:rFonts w:ascii="Arial" w:cs="Arial" w:eastAsia="Arial" w:hAnsi="Arial"/>
          <w:sz w:val="19"/>
          <w:szCs w:val="19"/>
          <w:b w:val="1"/>
          <w:bCs w:val="1"/>
          <w:color w:val="auto"/>
        </w:rPr>
        <w:t>If you received the notice and would prefer to receive a copy of the materials for the Annual Meeting or future annual meetings of our shareholders via email or would prefer to receive a printed copy of those materials by mail, in each case at no charge, please follow the instructions for obtaining the materials on the notice.</w:t>
      </w:r>
    </w:p>
    <w:p>
      <w:pPr>
        <w:spacing w:after="0" w:line="94" w:lineRule="exact"/>
        <w:rPr>
          <w:sz w:val="20"/>
          <w:szCs w:val="20"/>
          <w:color w:val="auto"/>
        </w:rPr>
      </w:pPr>
    </w:p>
    <w:p>
      <w:pPr>
        <w:ind w:left="305" w:hanging="305"/>
        <w:spacing w:after="0"/>
        <w:tabs>
          <w:tab w:leader="none" w:pos="305" w:val="left"/>
        </w:tabs>
        <w:numPr>
          <w:ilvl w:val="0"/>
          <w:numId w:val="187"/>
        </w:numPr>
        <w:rPr>
          <w:rFonts w:ascii="Arial" w:cs="Arial" w:eastAsia="Arial" w:hAnsi="Arial"/>
          <w:sz w:val="21"/>
          <w:szCs w:val="21"/>
          <w:b w:val="1"/>
          <w:bCs w:val="1"/>
          <w:color w:val="125288"/>
        </w:rPr>
      </w:pPr>
      <w:r>
        <w:rPr>
          <w:rFonts w:ascii="Arial" w:cs="Arial" w:eastAsia="Arial" w:hAnsi="Arial"/>
          <w:sz w:val="21"/>
          <w:szCs w:val="21"/>
          <w:b w:val="1"/>
          <w:bCs w:val="1"/>
          <w:color w:val="auto"/>
        </w:rPr>
        <w:t>What if I received a physical copy of the proxy materials and only want an electronic copy in the future?</w:t>
      </w:r>
    </w:p>
    <w:p>
      <w:pPr>
        <w:spacing w:after="0" w:line="175" w:lineRule="exact"/>
        <w:rPr>
          <w:sz w:val="20"/>
          <w:szCs w:val="20"/>
          <w:color w:val="auto"/>
        </w:rPr>
      </w:pPr>
    </w:p>
    <w:p>
      <w:pPr>
        <w:jc w:val="both"/>
        <w:ind w:left="305" w:right="40" w:hanging="305"/>
        <w:spacing w:after="0" w:line="238" w:lineRule="auto"/>
        <w:tabs>
          <w:tab w:leader="none" w:pos="305" w:val="left"/>
        </w:tabs>
        <w:numPr>
          <w:ilvl w:val="0"/>
          <w:numId w:val="188"/>
        </w:numPr>
        <w:rPr>
          <w:rFonts w:ascii="Arial" w:cs="Arial" w:eastAsia="Arial" w:hAnsi="Arial"/>
          <w:sz w:val="19"/>
          <w:szCs w:val="19"/>
          <w:b w:val="1"/>
          <w:bCs w:val="1"/>
          <w:color w:val="125288"/>
        </w:rPr>
      </w:pPr>
      <w:r>
        <w:rPr>
          <w:rFonts w:ascii="Arial" w:cs="Arial" w:eastAsia="Arial" w:hAnsi="Arial"/>
          <w:sz w:val="19"/>
          <w:szCs w:val="19"/>
          <w:color w:val="auto"/>
        </w:rPr>
        <w:t xml:space="preserve">If you received a printed copy of these materials and would prefer, in the future, to receive them via email or to receive a printed notice regarding their availability on the Internet, please call our Investor Relations department at (310) 255-2000 or submit a request in writing to Activision Blizzard, Inc., 2701 Olympic Boulevard, Building B, Santa Monica, California 90404, Attention: Investor Relations, or by email to </w:t>
      </w:r>
      <w:r>
        <w:rPr>
          <w:rFonts w:ascii="Arial" w:cs="Arial" w:eastAsia="Arial" w:hAnsi="Arial"/>
          <w:sz w:val="19"/>
          <w:szCs w:val="19"/>
          <w:i w:val="1"/>
          <w:iCs w:val="1"/>
          <w:color w:val="auto"/>
        </w:rPr>
        <w:t>ir@activision.com</w:t>
      </w:r>
      <w:r>
        <w:rPr>
          <w:rFonts w:ascii="Arial" w:cs="Arial" w:eastAsia="Arial" w:hAnsi="Arial"/>
          <w:sz w:val="19"/>
          <w:szCs w:val="19"/>
          <w:color w:val="auto"/>
        </w:rPr>
        <w:t>.</w:t>
      </w:r>
    </w:p>
    <w:p>
      <w:pPr>
        <w:spacing w:after="0" w:line="108" w:lineRule="exact"/>
        <w:rPr>
          <w:sz w:val="20"/>
          <w:szCs w:val="20"/>
          <w:color w:val="auto"/>
        </w:rPr>
      </w:pPr>
    </w:p>
    <w:p>
      <w:pPr>
        <w:ind w:left="305" w:right="40" w:hanging="305"/>
        <w:spacing w:after="0" w:line="290" w:lineRule="auto"/>
        <w:tabs>
          <w:tab w:leader="none" w:pos="305" w:val="left"/>
        </w:tabs>
        <w:numPr>
          <w:ilvl w:val="0"/>
          <w:numId w:val="189"/>
        </w:numPr>
        <w:rPr>
          <w:rFonts w:ascii="Arial" w:cs="Arial" w:eastAsia="Arial" w:hAnsi="Arial"/>
          <w:sz w:val="21"/>
          <w:szCs w:val="21"/>
          <w:b w:val="1"/>
          <w:bCs w:val="1"/>
          <w:color w:val="125288"/>
        </w:rPr>
      </w:pPr>
      <w:r>
        <w:rPr>
          <w:rFonts w:ascii="Arial" w:cs="Arial" w:eastAsia="Arial" w:hAnsi="Arial"/>
          <w:sz w:val="21"/>
          <w:szCs w:val="21"/>
          <w:b w:val="1"/>
          <w:bCs w:val="1"/>
          <w:color w:val="auto"/>
        </w:rPr>
        <w:t>What if my household received multiple copies of the proxy materials and only wants one? What if I only received one copy of the proxy materials but want one for each member of my household holding stock?</w:t>
      </w:r>
    </w:p>
    <w:p>
      <w:pPr>
        <w:spacing w:after="0" w:line="82" w:lineRule="exact"/>
        <w:rPr>
          <w:sz w:val="20"/>
          <w:szCs w:val="20"/>
          <w:color w:val="auto"/>
        </w:rPr>
      </w:pPr>
    </w:p>
    <w:p>
      <w:pPr>
        <w:jc w:val="both"/>
        <w:ind w:left="305" w:right="40" w:hanging="305"/>
        <w:spacing w:after="0" w:line="236" w:lineRule="auto"/>
        <w:tabs>
          <w:tab w:leader="none" w:pos="305" w:val="left"/>
        </w:tabs>
        <w:numPr>
          <w:ilvl w:val="0"/>
          <w:numId w:val="190"/>
        </w:numPr>
        <w:rPr>
          <w:rFonts w:ascii="Arial" w:cs="Arial" w:eastAsia="Arial" w:hAnsi="Arial"/>
          <w:sz w:val="19"/>
          <w:szCs w:val="19"/>
          <w:b w:val="1"/>
          <w:bCs w:val="1"/>
          <w:color w:val="125288"/>
        </w:rPr>
      </w:pPr>
      <w:r>
        <w:rPr>
          <w:rFonts w:ascii="Arial" w:cs="Arial" w:eastAsia="Arial" w:hAnsi="Arial"/>
          <w:sz w:val="19"/>
          <w:szCs w:val="19"/>
          <w:color w:val="auto"/>
        </w:rPr>
        <w:t>The SEC has adopted rules that permit companies to deliver a single notice regarding the availability of proxy materials on the Internet or a single copy of proxy materials to multiple shareholders sharing an address, unless a company has received contrary instructions from one or more of the shareholders at that address. In accordance with those rules, we may deliver a single notice or copy of proxy materials to multiple shareholders sharing an address but, upon request, we will promptly deliver a separate notice or a separate copy of proxy materials to one or more shareholders at a shared address to which a single notice or a single copy of proxy materials was delivered. You may request a separate notice or a separate copy of proxy materials by calling our Investor Relations department at (310) 255-2000 or by mailing a request to our Corporate Secretary. Shareholders at a shared address who receive multiple notices or multiple copies of proxy materials may request to receive a single notice or a single copy of proxy materials in the future in the manner described above.</w:t>
      </w:r>
    </w:p>
    <w:p>
      <w:pPr>
        <w:spacing w:after="0" w:line="111" w:lineRule="exact"/>
        <w:rPr>
          <w:sz w:val="20"/>
          <w:szCs w:val="20"/>
          <w:color w:val="auto"/>
        </w:rPr>
      </w:pPr>
    </w:p>
    <w:p>
      <w:pPr>
        <w:ind w:left="305" w:hanging="305"/>
        <w:spacing w:after="0"/>
        <w:tabs>
          <w:tab w:leader="none" w:pos="305" w:val="left"/>
        </w:tabs>
        <w:numPr>
          <w:ilvl w:val="0"/>
          <w:numId w:val="191"/>
        </w:numPr>
        <w:rPr>
          <w:rFonts w:ascii="Arial" w:cs="Arial" w:eastAsia="Arial" w:hAnsi="Arial"/>
          <w:sz w:val="21"/>
          <w:szCs w:val="21"/>
          <w:b w:val="1"/>
          <w:bCs w:val="1"/>
          <w:color w:val="125288"/>
        </w:rPr>
      </w:pPr>
      <w:r>
        <w:rPr>
          <w:rFonts w:ascii="Arial" w:cs="Arial" w:eastAsia="Arial" w:hAnsi="Arial"/>
          <w:sz w:val="21"/>
          <w:szCs w:val="21"/>
          <w:b w:val="1"/>
          <w:bCs w:val="1"/>
          <w:color w:val="auto"/>
        </w:rPr>
        <w:t>How can I get a copy of the 2021 annual report to shareholders or the 2021 10-K?</w:t>
      </w:r>
    </w:p>
    <w:p>
      <w:pPr>
        <w:spacing w:after="0" w:line="175" w:lineRule="exact"/>
        <w:rPr>
          <w:sz w:val="20"/>
          <w:szCs w:val="20"/>
          <w:color w:val="auto"/>
        </w:rPr>
      </w:pPr>
    </w:p>
    <w:p>
      <w:pPr>
        <w:jc w:val="both"/>
        <w:ind w:left="305" w:right="40" w:hanging="305"/>
        <w:spacing w:after="0" w:line="237" w:lineRule="auto"/>
        <w:tabs>
          <w:tab w:leader="none" w:pos="305" w:val="left"/>
        </w:tabs>
        <w:numPr>
          <w:ilvl w:val="0"/>
          <w:numId w:val="192"/>
        </w:numPr>
        <w:rPr>
          <w:rFonts w:ascii="Arial" w:cs="Arial" w:eastAsia="Arial" w:hAnsi="Arial"/>
          <w:sz w:val="19"/>
          <w:szCs w:val="19"/>
          <w:b w:val="1"/>
          <w:bCs w:val="1"/>
          <w:color w:val="125288"/>
        </w:rPr>
      </w:pPr>
      <w:r>
        <w:rPr>
          <w:rFonts w:ascii="Arial" w:cs="Arial" w:eastAsia="Arial" w:hAnsi="Arial"/>
          <w:sz w:val="19"/>
          <w:szCs w:val="19"/>
          <w:color w:val="auto"/>
        </w:rPr>
        <w:t xml:space="preserve">Our annual report to shareholders for the period ended December 31, 2021, including financial statements, is being provided to our shareholders at the same time as this proxy statement. </w:t>
      </w:r>
      <w:r>
        <w:rPr>
          <w:rFonts w:ascii="Arial" w:cs="Arial" w:eastAsia="Arial" w:hAnsi="Arial"/>
          <w:sz w:val="19"/>
          <w:szCs w:val="19"/>
          <w:b w:val="1"/>
          <w:bCs w:val="1"/>
          <w:color w:val="auto"/>
        </w:rPr>
        <w:t>If you would like to receive a copy of our 2021 10-K, or any of the</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exhibits listed therein, please call our Investor Relations department at (310) 255-2000, email </w:t>
      </w:r>
      <w:r>
        <w:rPr>
          <w:rFonts w:ascii="Arial" w:cs="Arial" w:eastAsia="Arial" w:hAnsi="Arial"/>
          <w:sz w:val="19"/>
          <w:szCs w:val="19"/>
          <w:b w:val="1"/>
          <w:bCs w:val="1"/>
          <w:i w:val="1"/>
          <w:iCs w:val="1"/>
          <w:color w:val="auto"/>
        </w:rPr>
        <w:t>ir@activision.com</w:t>
      </w:r>
      <w:r>
        <w:rPr>
          <w:rFonts w:ascii="Arial" w:cs="Arial" w:eastAsia="Arial" w:hAnsi="Arial"/>
          <w:sz w:val="19"/>
          <w:szCs w:val="19"/>
          <w:b w:val="1"/>
          <w:bCs w:val="1"/>
          <w:color w:val="auto"/>
        </w:rPr>
        <w:t>, or submit a request in writing to Activision Blizzard, Inc., 2701 Olympic Boulevard, Building B, Santa Monica, California 90404, Attention: Investor Relations. We will provide you with our 2021 10-K without charge, or any of the exhibits listed therein upon the payment of a nominal fee (i.e., the expenses we incur in providing you with the requested exhibits).</w:t>
      </w:r>
    </w:p>
    <w:p>
      <w:pPr>
        <w:spacing w:after="0" w:line="300" w:lineRule="exact"/>
        <w:rPr>
          <w:sz w:val="20"/>
          <w:szCs w:val="20"/>
          <w:color w:val="auto"/>
        </w:rPr>
      </w:pPr>
    </w:p>
    <w:p>
      <w:pPr>
        <w:ind w:left="5"/>
        <w:spacing w:after="0"/>
        <w:tabs>
          <w:tab w:leader="none" w:pos="7364" w:val="left"/>
          <w:tab w:leader="none" w:pos="9384" w:val="left"/>
          <w:tab w:leader="none" w:pos="11004"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830" cy="152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44" w:right="319" w:bottom="1440" w:gutter="0" w:footer="0" w:header="0"/>
        </w:sectPr>
      </w:pPr>
    </w:p>
    <w:bookmarkStart w:id="154" w:name="page155"/>
    <w:bookmarkEnd w:id="154"/>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sz w:val="1"/>
          <w:szCs w:val="1"/>
          <w:color w:val="auto"/>
        </w:rPr>
        <w:drawing>
          <wp:inline distT="0" distB="0" distL="0" distR="0">
            <wp:extent cx="445135" cy="151130"/>
            <wp:effectExtent l="0" t="0" r="0" b="0"/>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445135" cy="151130"/>
                    </a:xfrm>
                    <a:prstGeom prst="rect">
                      <a:avLst/>
                    </a:prstGeom>
                    <a:noFill/>
                    <a:ln>
                      <a:noFill/>
                    </a:ln>
                  </pic:spPr>
                </pic:pic>
              </a:graphicData>
            </a:graphic>
          </wp:inline>
        </w:drawing>
      </w:r>
      <w:r>
        <w:rPr>
          <w:rFonts w:ascii="Arial" w:cs="Arial" w:eastAsia="Arial" w:hAnsi="Arial"/>
          <w:sz w:val="31"/>
          <w:szCs w:val="31"/>
          <w:b w:val="1"/>
          <w:bCs w:val="1"/>
          <w:color w:val="125288"/>
        </w:rPr>
        <w:t xml:space="preserve"> OTHER MATTERS</w:t>
      </w:r>
    </w:p>
    <w:p>
      <w:pPr>
        <w:spacing w:after="0" w:line="311"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COSTS OF THE ANNUAL MEETING AND PROXY SOLICITATION</w:t>
      </w:r>
    </w:p>
    <w:p>
      <w:pPr>
        <w:spacing w:after="0" w:line="309"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The Company will bear the entire cost of the Annual Meeting and this proxy solicitation, including the preparation, assembly, printing, and mailing of this proxy statement, the proxy card, the notice regarding the Internet availability of proxy materials, and any additional solicitation materials we send to shareholders. We have retained Innisfree M&amp;A Incorporated as proxy solicitor for a fee of $25,000 plus out-of-pocket expenses. In addition, proxies may be solicited, personally or by mail, telephone, or email or other electronic means, by our directors, officers, and employees without additional compensation. We also will reimburse brokers, banks, and other nominees holding shares for beneficial owners of our Common Stock for their expenses in forwarding the proxy materials to those beneficial owners.</w:t>
      </w:r>
    </w:p>
    <w:p>
      <w:pPr>
        <w:spacing w:after="0" w:line="236"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OTHER MATTERS COMING BEFORE THE ANNUAL MEETING</w:t>
      </w:r>
    </w:p>
    <w:p>
      <w:pPr>
        <w:spacing w:after="0" w:line="30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Our Board knows of no matters other than those described in this proxy statement that are expected to come before the Annual Meeting. The deadline for shareholders to notify us of any proposals or director nominations to be presented for action at the Annual Meeting has passed. Proxies may be voted subject to the discretion of the named proxy holders on matters incident to the conduct of the meeting.</w:t>
      </w:r>
    </w:p>
    <w:p>
      <w:pPr>
        <w:spacing w:after="0" w:line="237"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YOUR VOTE IS IMPORTANT</w:t>
      </w:r>
    </w:p>
    <w:p>
      <w:pPr>
        <w:spacing w:after="0" w:line="309" w:lineRule="exact"/>
        <w:rPr>
          <w:sz w:val="20"/>
          <w:szCs w:val="20"/>
          <w:color w:val="auto"/>
        </w:rPr>
      </w:pPr>
    </w:p>
    <w:p>
      <w:pPr>
        <w:jc w:val="both"/>
        <w:spacing w:after="0"/>
        <w:rPr>
          <w:sz w:val="20"/>
          <w:szCs w:val="20"/>
          <w:color w:val="auto"/>
        </w:rPr>
      </w:pPr>
      <w:r>
        <w:rPr>
          <w:rFonts w:ascii="Arial" w:cs="Arial" w:eastAsia="Arial" w:hAnsi="Arial"/>
          <w:sz w:val="19"/>
          <w:szCs w:val="19"/>
          <w:color w:val="auto"/>
        </w:rPr>
        <w:t>Even if you plan to attend the Annual Meeting, we urge you to promptly vote your shares by proxy. You may vote your shares by proxy by following the instructions under the heading “Information About the 2022 Annual Meeting” in this proxy statement. If you attend the Annual Meeting, you may withdraw your proxy and vote in person if you wish.</w:t>
      </w:r>
    </w:p>
    <w:p>
      <w:pPr>
        <w:spacing w:after="0" w:line="154" w:lineRule="exact"/>
        <w:rPr>
          <w:sz w:val="20"/>
          <w:szCs w:val="20"/>
          <w:color w:val="auto"/>
        </w:rPr>
      </w:pPr>
    </w:p>
    <w:p>
      <w:pPr>
        <w:spacing w:after="0"/>
        <w:tabs>
          <w:tab w:leader="none" w:pos="7360" w:val="left"/>
          <w:tab w:leader="none" w:pos="9380" w:val="left"/>
          <w:tab w:leader="none" w:pos="1100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55" w:name="page156"/>
    <w:bookmarkEnd w:id="155"/>
    <w:p>
      <w:pPr>
        <w:spacing w:after="0"/>
        <w:rPr>
          <w:rFonts w:ascii="Arial" w:cs="Arial" w:eastAsia="Arial" w:hAnsi="Arial"/>
          <w:sz w:val="13"/>
          <w:szCs w:val="13"/>
          <w:u w:val="single" w:color="auto"/>
          <w:color w:val="000FFF"/>
        </w:rPr>
      </w:pPr>
      <w:hyperlink w:anchor="page7">
        <w:r>
          <w:rPr>
            <w:rFonts w:ascii="Arial" w:cs="Arial" w:eastAsia="Arial" w:hAnsi="Arial"/>
            <w:sz w:val="13"/>
            <w:szCs w:val="13"/>
            <w:u w:val="single" w:color="auto"/>
            <w:color w:val="000FFF"/>
          </w:rPr>
          <w:t>Back to Contents</w:t>
        </w:r>
      </w:hyperlink>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sz w:val="1"/>
          <w:szCs w:val="1"/>
          <w:color w:val="auto"/>
        </w:rPr>
        <w:drawing>
          <wp:inline distT="0" distB="0" distL="0" distR="0">
            <wp:extent cx="445135" cy="151130"/>
            <wp:effectExtent l="0" t="0" r="0" b="0"/>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445135" cy="151130"/>
                    </a:xfrm>
                    <a:prstGeom prst="rect">
                      <a:avLst/>
                    </a:prstGeom>
                    <a:noFill/>
                    <a:ln>
                      <a:noFill/>
                    </a:ln>
                  </pic:spPr>
                </pic:pic>
              </a:graphicData>
            </a:graphic>
          </wp:inline>
        </w:drawing>
      </w:r>
      <w:r>
        <w:rPr>
          <w:rFonts w:ascii="Arial" w:cs="Arial" w:eastAsia="Arial" w:hAnsi="Arial"/>
          <w:sz w:val="31"/>
          <w:szCs w:val="31"/>
          <w:b w:val="1"/>
          <w:bCs w:val="1"/>
          <w:color w:val="125288"/>
        </w:rPr>
        <w:t xml:space="preserve"> HELPFUL RESOURCES</w:t>
      </w:r>
    </w:p>
    <w:p>
      <w:pPr>
        <w:spacing w:after="0" w:line="350"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125288"/>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43815</wp:posOffset>
            </wp:positionV>
            <wp:extent cx="7148830" cy="762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40" w:type="dxa"/>
            <w:vAlign w:val="bottom"/>
          </w:tcPr>
          <w:p>
            <w:pPr>
              <w:ind w:left="60"/>
              <w:spacing w:after="0"/>
              <w:rPr>
                <w:sz w:val="20"/>
                <w:szCs w:val="20"/>
                <w:color w:val="auto"/>
              </w:rPr>
            </w:pPr>
            <w:r>
              <w:rPr>
                <w:rFonts w:ascii="Arial" w:cs="Arial" w:eastAsia="Arial" w:hAnsi="Arial"/>
                <w:sz w:val="17"/>
                <w:szCs w:val="17"/>
                <w:color w:val="auto"/>
              </w:rPr>
              <w:t>Proxy Statement</w:t>
            </w:r>
          </w:p>
        </w:tc>
        <w:tc>
          <w:tcPr>
            <w:tcW w:w="7420" w:type="dxa"/>
            <w:vAlign w:val="bottom"/>
          </w:tcPr>
          <w:p>
            <w:pPr>
              <w:ind w:left="380"/>
              <w:spacing w:after="0"/>
              <w:rPr>
                <w:sz w:val="20"/>
                <w:szCs w:val="20"/>
                <w:color w:val="auto"/>
              </w:rPr>
            </w:pPr>
            <w:r>
              <w:rPr>
                <w:rFonts w:ascii="Arial" w:cs="Arial" w:eastAsia="Arial" w:hAnsi="Arial"/>
                <w:sz w:val="17"/>
                <w:szCs w:val="17"/>
                <w:color w:val="auto"/>
              </w:rPr>
              <w:t>investor.activision.com/sec.cfm</w:t>
            </w:r>
          </w:p>
        </w:tc>
      </w:tr>
      <w:tr>
        <w:trPr>
          <w:trHeight w:val="33"/>
        </w:trPr>
        <w:tc>
          <w:tcPr>
            <w:tcW w:w="3840" w:type="dxa"/>
            <w:vAlign w:val="bottom"/>
            <w:tcBorders>
              <w:bottom w:val="single" w:sz="8" w:color="125288"/>
            </w:tcBorders>
          </w:tcPr>
          <w:p>
            <w:pPr>
              <w:spacing w:after="0"/>
              <w:rPr>
                <w:sz w:val="2"/>
                <w:szCs w:val="2"/>
                <w:color w:val="auto"/>
              </w:rPr>
            </w:pPr>
          </w:p>
        </w:tc>
        <w:tc>
          <w:tcPr>
            <w:tcW w:w="7420" w:type="dxa"/>
            <w:vAlign w:val="bottom"/>
            <w:tcBorders>
              <w:bottom w:val="single" w:sz="8" w:color="125288"/>
            </w:tcBorders>
          </w:tcPr>
          <w:p>
            <w:pPr>
              <w:spacing w:after="0"/>
              <w:rPr>
                <w:sz w:val="2"/>
                <w:szCs w:val="2"/>
                <w:color w:val="auto"/>
              </w:rPr>
            </w:pPr>
          </w:p>
        </w:tc>
      </w:tr>
      <w:tr>
        <w:trPr>
          <w:trHeight w:val="220"/>
        </w:trPr>
        <w:tc>
          <w:tcPr>
            <w:tcW w:w="3840" w:type="dxa"/>
            <w:vAlign w:val="bottom"/>
          </w:tcPr>
          <w:p>
            <w:pPr>
              <w:ind w:left="60"/>
              <w:spacing w:after="0"/>
              <w:rPr>
                <w:sz w:val="20"/>
                <w:szCs w:val="20"/>
                <w:color w:val="auto"/>
              </w:rPr>
            </w:pPr>
            <w:r>
              <w:rPr>
                <w:rFonts w:ascii="Arial" w:cs="Arial" w:eastAsia="Arial" w:hAnsi="Arial"/>
                <w:sz w:val="17"/>
                <w:szCs w:val="17"/>
                <w:color w:val="auto"/>
              </w:rPr>
              <w:t>Annual Report</w:t>
            </w:r>
          </w:p>
        </w:tc>
        <w:tc>
          <w:tcPr>
            <w:tcW w:w="7420" w:type="dxa"/>
            <w:vAlign w:val="bottom"/>
          </w:tcPr>
          <w:p>
            <w:pPr>
              <w:ind w:left="380"/>
              <w:spacing w:after="0"/>
              <w:rPr>
                <w:sz w:val="20"/>
                <w:szCs w:val="20"/>
                <w:color w:val="auto"/>
              </w:rPr>
            </w:pPr>
            <w:r>
              <w:rPr>
                <w:rFonts w:ascii="Arial" w:cs="Arial" w:eastAsia="Arial" w:hAnsi="Arial"/>
                <w:sz w:val="17"/>
                <w:szCs w:val="17"/>
                <w:color w:val="auto"/>
              </w:rPr>
              <w:t>investor.activision.com/annual-reports.cfm</w:t>
            </w:r>
          </w:p>
        </w:tc>
      </w:tr>
      <w:tr>
        <w:trPr>
          <w:trHeight w:val="33"/>
        </w:trPr>
        <w:tc>
          <w:tcPr>
            <w:tcW w:w="3840" w:type="dxa"/>
            <w:vAlign w:val="bottom"/>
            <w:tcBorders>
              <w:bottom w:val="single" w:sz="8" w:color="125288"/>
            </w:tcBorders>
          </w:tcPr>
          <w:p>
            <w:pPr>
              <w:spacing w:after="0"/>
              <w:rPr>
                <w:sz w:val="2"/>
                <w:szCs w:val="2"/>
                <w:color w:val="auto"/>
              </w:rPr>
            </w:pPr>
          </w:p>
        </w:tc>
        <w:tc>
          <w:tcPr>
            <w:tcW w:w="7420" w:type="dxa"/>
            <w:vAlign w:val="bottom"/>
            <w:tcBorders>
              <w:bottom w:val="single" w:sz="8" w:color="125288"/>
            </w:tcBorders>
          </w:tcPr>
          <w:p>
            <w:pPr>
              <w:spacing w:after="0"/>
              <w:rPr>
                <w:sz w:val="2"/>
                <w:szCs w:val="2"/>
                <w:color w:val="auto"/>
              </w:rPr>
            </w:pPr>
          </w:p>
        </w:tc>
      </w:tr>
      <w:tr>
        <w:trPr>
          <w:trHeight w:val="220"/>
        </w:trPr>
        <w:tc>
          <w:tcPr>
            <w:tcW w:w="3840" w:type="dxa"/>
            <w:vAlign w:val="bottom"/>
          </w:tcPr>
          <w:p>
            <w:pPr>
              <w:ind w:left="60"/>
              <w:spacing w:after="0"/>
              <w:rPr>
                <w:sz w:val="20"/>
                <w:szCs w:val="20"/>
                <w:color w:val="auto"/>
              </w:rPr>
            </w:pPr>
            <w:r>
              <w:rPr>
                <w:rFonts w:ascii="Arial" w:cs="Arial" w:eastAsia="Arial" w:hAnsi="Arial"/>
                <w:sz w:val="17"/>
                <w:szCs w:val="17"/>
                <w:color w:val="auto"/>
              </w:rPr>
              <w:t>Voting for Record Holders</w:t>
            </w:r>
          </w:p>
        </w:tc>
        <w:tc>
          <w:tcPr>
            <w:tcW w:w="7420" w:type="dxa"/>
            <w:vAlign w:val="bottom"/>
          </w:tcPr>
          <w:p>
            <w:pPr>
              <w:ind w:left="380"/>
              <w:spacing w:after="0"/>
              <w:rPr>
                <w:sz w:val="20"/>
                <w:szCs w:val="20"/>
                <w:color w:val="auto"/>
              </w:rPr>
            </w:pPr>
            <w:r>
              <w:rPr>
                <w:rFonts w:ascii="Arial" w:cs="Arial" w:eastAsia="Arial" w:hAnsi="Arial"/>
                <w:sz w:val="17"/>
                <w:szCs w:val="17"/>
                <w:color w:val="auto"/>
              </w:rPr>
              <w:t>www.proxyvote.com</w:t>
            </w:r>
          </w:p>
        </w:tc>
      </w:tr>
      <w:tr>
        <w:trPr>
          <w:trHeight w:val="33"/>
        </w:trPr>
        <w:tc>
          <w:tcPr>
            <w:tcW w:w="3840" w:type="dxa"/>
            <w:vAlign w:val="bottom"/>
            <w:tcBorders>
              <w:bottom w:val="single" w:sz="8" w:color="125288"/>
            </w:tcBorders>
          </w:tcPr>
          <w:p>
            <w:pPr>
              <w:spacing w:after="0"/>
              <w:rPr>
                <w:sz w:val="2"/>
                <w:szCs w:val="2"/>
                <w:color w:val="auto"/>
              </w:rPr>
            </w:pPr>
          </w:p>
        </w:tc>
        <w:tc>
          <w:tcPr>
            <w:tcW w:w="7420" w:type="dxa"/>
            <w:vAlign w:val="bottom"/>
            <w:tcBorders>
              <w:bottom w:val="single" w:sz="8" w:color="125288"/>
            </w:tcBorders>
          </w:tcPr>
          <w:p>
            <w:pPr>
              <w:spacing w:after="0"/>
              <w:rPr>
                <w:sz w:val="2"/>
                <w:szCs w:val="2"/>
                <w:color w:val="auto"/>
              </w:rPr>
            </w:pPr>
          </w:p>
        </w:tc>
      </w:tr>
      <w:tr>
        <w:trPr>
          <w:trHeight w:val="220"/>
        </w:trPr>
        <w:tc>
          <w:tcPr>
            <w:tcW w:w="3840" w:type="dxa"/>
            <w:vAlign w:val="bottom"/>
          </w:tcPr>
          <w:p>
            <w:pPr>
              <w:ind w:left="60"/>
              <w:spacing w:after="0"/>
              <w:rPr>
                <w:sz w:val="20"/>
                <w:szCs w:val="20"/>
                <w:color w:val="auto"/>
              </w:rPr>
            </w:pPr>
            <w:r>
              <w:rPr>
                <w:rFonts w:ascii="Arial" w:cs="Arial" w:eastAsia="Arial" w:hAnsi="Arial"/>
                <w:sz w:val="17"/>
                <w:szCs w:val="17"/>
                <w:color w:val="auto"/>
              </w:rPr>
              <w:t>SEC Information on Proxy Matters</w:t>
            </w:r>
          </w:p>
        </w:tc>
        <w:tc>
          <w:tcPr>
            <w:tcW w:w="7420" w:type="dxa"/>
            <w:vAlign w:val="bottom"/>
          </w:tcPr>
          <w:p>
            <w:pPr>
              <w:ind w:left="380"/>
              <w:spacing w:after="0"/>
              <w:rPr>
                <w:sz w:val="20"/>
                <w:szCs w:val="20"/>
                <w:color w:val="auto"/>
              </w:rPr>
            </w:pPr>
            <w:r>
              <w:rPr>
                <w:rFonts w:ascii="Arial" w:cs="Arial" w:eastAsia="Arial" w:hAnsi="Arial"/>
                <w:sz w:val="17"/>
                <w:szCs w:val="17"/>
                <w:color w:val="auto"/>
              </w:rPr>
              <w:t>www.sec.gov/spotlight/proxymatters.shtml</w:t>
            </w:r>
          </w:p>
        </w:tc>
      </w:tr>
      <w:tr>
        <w:trPr>
          <w:trHeight w:val="33"/>
        </w:trPr>
        <w:tc>
          <w:tcPr>
            <w:tcW w:w="3840" w:type="dxa"/>
            <w:vAlign w:val="bottom"/>
            <w:tcBorders>
              <w:bottom w:val="single" w:sz="8" w:color="125288"/>
            </w:tcBorders>
          </w:tcPr>
          <w:p>
            <w:pPr>
              <w:spacing w:after="0"/>
              <w:rPr>
                <w:sz w:val="2"/>
                <w:szCs w:val="2"/>
                <w:color w:val="auto"/>
              </w:rPr>
            </w:pPr>
          </w:p>
        </w:tc>
        <w:tc>
          <w:tcPr>
            <w:tcW w:w="7420" w:type="dxa"/>
            <w:vAlign w:val="bottom"/>
            <w:tcBorders>
              <w:bottom w:val="single" w:sz="8" w:color="125288"/>
            </w:tcBorders>
          </w:tcPr>
          <w:p>
            <w:pPr>
              <w:spacing w:after="0"/>
              <w:rPr>
                <w:sz w:val="2"/>
                <w:szCs w:val="2"/>
                <w:color w:val="auto"/>
              </w:rPr>
            </w:pPr>
          </w:p>
        </w:tc>
      </w:tr>
      <w:tr>
        <w:trPr>
          <w:trHeight w:val="204"/>
        </w:trPr>
        <w:tc>
          <w:tcPr>
            <w:tcW w:w="3840" w:type="dxa"/>
            <w:vAlign w:val="bottom"/>
          </w:tcPr>
          <w:p>
            <w:pPr>
              <w:ind w:left="60"/>
              <w:spacing w:after="0"/>
              <w:rPr>
                <w:sz w:val="20"/>
                <w:szCs w:val="20"/>
                <w:color w:val="auto"/>
              </w:rPr>
            </w:pPr>
            <w:r>
              <w:rPr>
                <w:rFonts w:ascii="Arial" w:cs="Arial" w:eastAsia="Arial" w:hAnsi="Arial"/>
                <w:sz w:val="15"/>
                <w:szCs w:val="15"/>
                <w:b w:val="1"/>
                <w:bCs w:val="1"/>
                <w:color w:val="125288"/>
              </w:rPr>
              <w:t>BOARD OF DIRECTORS</w:t>
            </w:r>
          </w:p>
        </w:tc>
        <w:tc>
          <w:tcPr>
            <w:tcW w:w="7420" w:type="dxa"/>
            <w:vAlign w:val="bottom"/>
          </w:tcPr>
          <w:p>
            <w:pPr>
              <w:spacing w:after="0"/>
              <w:rPr>
                <w:sz w:val="17"/>
                <w:szCs w:val="17"/>
                <w:color w:val="auto"/>
              </w:rPr>
            </w:pPr>
          </w:p>
        </w:tc>
      </w:tr>
      <w:tr>
        <w:trPr>
          <w:trHeight w:val="37"/>
        </w:trPr>
        <w:tc>
          <w:tcPr>
            <w:tcW w:w="3840" w:type="dxa"/>
            <w:vAlign w:val="bottom"/>
            <w:tcBorders>
              <w:bottom w:val="single" w:sz="8" w:color="125288"/>
            </w:tcBorders>
          </w:tcPr>
          <w:p>
            <w:pPr>
              <w:spacing w:after="0"/>
              <w:rPr>
                <w:sz w:val="3"/>
                <w:szCs w:val="3"/>
                <w:color w:val="auto"/>
              </w:rPr>
            </w:pPr>
          </w:p>
        </w:tc>
        <w:tc>
          <w:tcPr>
            <w:tcW w:w="7420" w:type="dxa"/>
            <w:vAlign w:val="bottom"/>
            <w:tcBorders>
              <w:bottom w:val="single" w:sz="8" w:color="125288"/>
            </w:tcBorders>
          </w:tcPr>
          <w:p>
            <w:pPr>
              <w:spacing w:after="0"/>
              <w:rPr>
                <w:sz w:val="3"/>
                <w:szCs w:val="3"/>
                <w:color w:val="auto"/>
              </w:rPr>
            </w:pPr>
          </w:p>
        </w:tc>
      </w:tr>
      <w:tr>
        <w:trPr>
          <w:trHeight w:val="220"/>
        </w:trPr>
        <w:tc>
          <w:tcPr>
            <w:tcW w:w="3840" w:type="dxa"/>
            <w:vAlign w:val="bottom"/>
          </w:tcPr>
          <w:p>
            <w:pPr>
              <w:ind w:left="60"/>
              <w:spacing w:after="0"/>
              <w:rPr>
                <w:sz w:val="20"/>
                <w:szCs w:val="20"/>
                <w:color w:val="auto"/>
              </w:rPr>
            </w:pPr>
            <w:r>
              <w:rPr>
                <w:rFonts w:ascii="Arial" w:cs="Arial" w:eastAsia="Arial" w:hAnsi="Arial"/>
                <w:sz w:val="17"/>
                <w:szCs w:val="17"/>
                <w:color w:val="auto"/>
              </w:rPr>
              <w:t>Board of Directors</w:t>
            </w:r>
          </w:p>
        </w:tc>
        <w:tc>
          <w:tcPr>
            <w:tcW w:w="7420" w:type="dxa"/>
            <w:vAlign w:val="bottom"/>
          </w:tcPr>
          <w:p>
            <w:pPr>
              <w:ind w:left="380"/>
              <w:spacing w:after="0"/>
              <w:rPr>
                <w:sz w:val="20"/>
                <w:szCs w:val="20"/>
                <w:color w:val="auto"/>
              </w:rPr>
            </w:pPr>
            <w:r>
              <w:rPr>
                <w:rFonts w:ascii="Arial" w:cs="Arial" w:eastAsia="Arial" w:hAnsi="Arial"/>
                <w:sz w:val="17"/>
                <w:szCs w:val="17"/>
                <w:color w:val="auto"/>
              </w:rPr>
              <w:t>www.activisionblizzard.com/board-of-directors</w:t>
            </w:r>
          </w:p>
        </w:tc>
      </w:tr>
      <w:tr>
        <w:trPr>
          <w:trHeight w:val="33"/>
        </w:trPr>
        <w:tc>
          <w:tcPr>
            <w:tcW w:w="3840" w:type="dxa"/>
            <w:vAlign w:val="bottom"/>
            <w:tcBorders>
              <w:bottom w:val="single" w:sz="8" w:color="125288"/>
            </w:tcBorders>
          </w:tcPr>
          <w:p>
            <w:pPr>
              <w:spacing w:after="0"/>
              <w:rPr>
                <w:sz w:val="2"/>
                <w:szCs w:val="2"/>
                <w:color w:val="auto"/>
              </w:rPr>
            </w:pPr>
          </w:p>
        </w:tc>
        <w:tc>
          <w:tcPr>
            <w:tcW w:w="7420" w:type="dxa"/>
            <w:vAlign w:val="bottom"/>
            <w:tcBorders>
              <w:bottom w:val="single" w:sz="8" w:color="125288"/>
            </w:tcBorders>
          </w:tcPr>
          <w:p>
            <w:pPr>
              <w:spacing w:after="0"/>
              <w:rPr>
                <w:sz w:val="2"/>
                <w:szCs w:val="2"/>
                <w:color w:val="auto"/>
              </w:rPr>
            </w:pPr>
          </w:p>
        </w:tc>
      </w:tr>
      <w:tr>
        <w:trPr>
          <w:trHeight w:val="220"/>
        </w:trPr>
        <w:tc>
          <w:tcPr>
            <w:tcW w:w="3840" w:type="dxa"/>
            <w:vAlign w:val="bottom"/>
          </w:tcPr>
          <w:p>
            <w:pPr>
              <w:ind w:left="60"/>
              <w:spacing w:after="0"/>
              <w:rPr>
                <w:sz w:val="20"/>
                <w:szCs w:val="20"/>
                <w:color w:val="auto"/>
              </w:rPr>
            </w:pPr>
            <w:r>
              <w:rPr>
                <w:rFonts w:ascii="Arial" w:cs="Arial" w:eastAsia="Arial" w:hAnsi="Arial"/>
                <w:sz w:val="17"/>
                <w:szCs w:val="17"/>
                <w:color w:val="auto"/>
              </w:rPr>
              <w:t>Audit Committee Charter</w:t>
            </w:r>
          </w:p>
        </w:tc>
        <w:tc>
          <w:tcPr>
            <w:tcW w:w="7420" w:type="dxa"/>
            <w:vAlign w:val="bottom"/>
          </w:tcPr>
          <w:p>
            <w:pPr>
              <w:ind w:left="380"/>
              <w:spacing w:after="0"/>
              <w:rPr>
                <w:sz w:val="20"/>
                <w:szCs w:val="20"/>
                <w:color w:val="auto"/>
              </w:rPr>
            </w:pPr>
            <w:r>
              <w:rPr>
                <w:rFonts w:ascii="Arial" w:cs="Arial" w:eastAsia="Arial" w:hAnsi="Arial"/>
                <w:sz w:val="17"/>
                <w:szCs w:val="17"/>
                <w:color w:val="auto"/>
              </w:rPr>
              <w:t>investor.activision.com/auditcommitteecharter</w:t>
            </w:r>
          </w:p>
        </w:tc>
      </w:tr>
      <w:tr>
        <w:trPr>
          <w:trHeight w:val="33"/>
        </w:trPr>
        <w:tc>
          <w:tcPr>
            <w:tcW w:w="3840" w:type="dxa"/>
            <w:vAlign w:val="bottom"/>
            <w:tcBorders>
              <w:bottom w:val="single" w:sz="8" w:color="125288"/>
            </w:tcBorders>
          </w:tcPr>
          <w:p>
            <w:pPr>
              <w:spacing w:after="0"/>
              <w:rPr>
                <w:sz w:val="2"/>
                <w:szCs w:val="2"/>
                <w:color w:val="auto"/>
              </w:rPr>
            </w:pPr>
          </w:p>
        </w:tc>
        <w:tc>
          <w:tcPr>
            <w:tcW w:w="7420" w:type="dxa"/>
            <w:vAlign w:val="bottom"/>
            <w:tcBorders>
              <w:bottom w:val="single" w:sz="8" w:color="125288"/>
            </w:tcBorders>
          </w:tcPr>
          <w:p>
            <w:pPr>
              <w:spacing w:after="0"/>
              <w:rPr>
                <w:sz w:val="2"/>
                <w:szCs w:val="2"/>
                <w:color w:val="auto"/>
              </w:rPr>
            </w:pPr>
          </w:p>
        </w:tc>
      </w:tr>
      <w:tr>
        <w:trPr>
          <w:trHeight w:val="220"/>
        </w:trPr>
        <w:tc>
          <w:tcPr>
            <w:tcW w:w="3840" w:type="dxa"/>
            <w:vAlign w:val="bottom"/>
          </w:tcPr>
          <w:p>
            <w:pPr>
              <w:ind w:left="60"/>
              <w:spacing w:after="0"/>
              <w:rPr>
                <w:sz w:val="20"/>
                <w:szCs w:val="20"/>
                <w:color w:val="auto"/>
              </w:rPr>
            </w:pPr>
            <w:r>
              <w:rPr>
                <w:rFonts w:ascii="Arial" w:cs="Arial" w:eastAsia="Arial" w:hAnsi="Arial"/>
                <w:sz w:val="17"/>
                <w:szCs w:val="17"/>
                <w:color w:val="auto"/>
              </w:rPr>
              <w:t>NCGC Charter</w:t>
            </w:r>
          </w:p>
        </w:tc>
        <w:tc>
          <w:tcPr>
            <w:tcW w:w="7420" w:type="dxa"/>
            <w:vAlign w:val="bottom"/>
          </w:tcPr>
          <w:p>
            <w:pPr>
              <w:ind w:left="380"/>
              <w:spacing w:after="0"/>
              <w:rPr>
                <w:sz w:val="20"/>
                <w:szCs w:val="20"/>
                <w:color w:val="auto"/>
              </w:rPr>
            </w:pPr>
            <w:r>
              <w:rPr>
                <w:rFonts w:ascii="Arial" w:cs="Arial" w:eastAsia="Arial" w:hAnsi="Arial"/>
                <w:sz w:val="17"/>
                <w:szCs w:val="17"/>
                <w:color w:val="auto"/>
              </w:rPr>
              <w:t>investor.activision.com/nominatingandcorporategovernancecommitteecharter</w:t>
            </w:r>
          </w:p>
        </w:tc>
      </w:tr>
      <w:tr>
        <w:trPr>
          <w:trHeight w:val="33"/>
        </w:trPr>
        <w:tc>
          <w:tcPr>
            <w:tcW w:w="3840" w:type="dxa"/>
            <w:vAlign w:val="bottom"/>
            <w:tcBorders>
              <w:bottom w:val="single" w:sz="8" w:color="125288"/>
            </w:tcBorders>
          </w:tcPr>
          <w:p>
            <w:pPr>
              <w:spacing w:after="0"/>
              <w:rPr>
                <w:sz w:val="2"/>
                <w:szCs w:val="2"/>
                <w:color w:val="auto"/>
              </w:rPr>
            </w:pPr>
          </w:p>
        </w:tc>
        <w:tc>
          <w:tcPr>
            <w:tcW w:w="7420" w:type="dxa"/>
            <w:vAlign w:val="bottom"/>
            <w:tcBorders>
              <w:bottom w:val="single" w:sz="8" w:color="125288"/>
            </w:tcBorders>
          </w:tcPr>
          <w:p>
            <w:pPr>
              <w:spacing w:after="0"/>
              <w:rPr>
                <w:sz w:val="2"/>
                <w:szCs w:val="2"/>
                <w:color w:val="auto"/>
              </w:rPr>
            </w:pPr>
          </w:p>
        </w:tc>
      </w:tr>
      <w:tr>
        <w:trPr>
          <w:trHeight w:val="220"/>
        </w:trPr>
        <w:tc>
          <w:tcPr>
            <w:tcW w:w="3840" w:type="dxa"/>
            <w:vAlign w:val="bottom"/>
          </w:tcPr>
          <w:p>
            <w:pPr>
              <w:ind w:left="60"/>
              <w:spacing w:after="0"/>
              <w:rPr>
                <w:sz w:val="20"/>
                <w:szCs w:val="20"/>
                <w:color w:val="auto"/>
              </w:rPr>
            </w:pPr>
            <w:r>
              <w:rPr>
                <w:rFonts w:ascii="Arial" w:cs="Arial" w:eastAsia="Arial" w:hAnsi="Arial"/>
                <w:sz w:val="17"/>
                <w:szCs w:val="17"/>
                <w:color w:val="auto"/>
              </w:rPr>
              <w:t>Compensation Committee Charter</w:t>
            </w:r>
          </w:p>
        </w:tc>
        <w:tc>
          <w:tcPr>
            <w:tcW w:w="7420" w:type="dxa"/>
            <w:vAlign w:val="bottom"/>
          </w:tcPr>
          <w:p>
            <w:pPr>
              <w:ind w:left="380"/>
              <w:spacing w:after="0"/>
              <w:rPr>
                <w:sz w:val="20"/>
                <w:szCs w:val="20"/>
                <w:color w:val="auto"/>
              </w:rPr>
            </w:pPr>
            <w:r>
              <w:rPr>
                <w:rFonts w:ascii="Arial" w:cs="Arial" w:eastAsia="Arial" w:hAnsi="Arial"/>
                <w:sz w:val="17"/>
                <w:szCs w:val="17"/>
                <w:color w:val="auto"/>
              </w:rPr>
              <w:t>investor.activision.com/compensationcommitteecharter</w:t>
            </w:r>
          </w:p>
        </w:tc>
      </w:tr>
      <w:tr>
        <w:trPr>
          <w:trHeight w:val="33"/>
        </w:trPr>
        <w:tc>
          <w:tcPr>
            <w:tcW w:w="3840" w:type="dxa"/>
            <w:vAlign w:val="bottom"/>
            <w:tcBorders>
              <w:bottom w:val="single" w:sz="8" w:color="125288"/>
            </w:tcBorders>
          </w:tcPr>
          <w:p>
            <w:pPr>
              <w:spacing w:after="0"/>
              <w:rPr>
                <w:sz w:val="2"/>
                <w:szCs w:val="2"/>
                <w:color w:val="auto"/>
              </w:rPr>
            </w:pPr>
          </w:p>
        </w:tc>
        <w:tc>
          <w:tcPr>
            <w:tcW w:w="7420" w:type="dxa"/>
            <w:vAlign w:val="bottom"/>
            <w:tcBorders>
              <w:bottom w:val="single" w:sz="8" w:color="125288"/>
            </w:tcBorders>
          </w:tcPr>
          <w:p>
            <w:pPr>
              <w:spacing w:after="0"/>
              <w:rPr>
                <w:sz w:val="2"/>
                <w:szCs w:val="2"/>
                <w:color w:val="auto"/>
              </w:rPr>
            </w:pPr>
          </w:p>
        </w:tc>
      </w:tr>
      <w:tr>
        <w:trPr>
          <w:trHeight w:val="204"/>
        </w:trPr>
        <w:tc>
          <w:tcPr>
            <w:tcW w:w="3840" w:type="dxa"/>
            <w:vAlign w:val="bottom"/>
          </w:tcPr>
          <w:p>
            <w:pPr>
              <w:ind w:left="60"/>
              <w:spacing w:after="0"/>
              <w:rPr>
                <w:sz w:val="20"/>
                <w:szCs w:val="20"/>
                <w:color w:val="auto"/>
              </w:rPr>
            </w:pPr>
            <w:r>
              <w:rPr>
                <w:rFonts w:ascii="Arial" w:cs="Arial" w:eastAsia="Arial" w:hAnsi="Arial"/>
                <w:sz w:val="15"/>
                <w:szCs w:val="15"/>
                <w:b w:val="1"/>
                <w:bCs w:val="1"/>
                <w:color w:val="125288"/>
              </w:rPr>
              <w:t>FINANCIAL REPORTING</w:t>
            </w:r>
          </w:p>
        </w:tc>
        <w:tc>
          <w:tcPr>
            <w:tcW w:w="7420" w:type="dxa"/>
            <w:vAlign w:val="bottom"/>
          </w:tcPr>
          <w:p>
            <w:pPr>
              <w:spacing w:after="0"/>
              <w:rPr>
                <w:sz w:val="17"/>
                <w:szCs w:val="17"/>
                <w:color w:val="auto"/>
              </w:rPr>
            </w:pPr>
          </w:p>
        </w:tc>
      </w:tr>
      <w:tr>
        <w:trPr>
          <w:trHeight w:val="37"/>
        </w:trPr>
        <w:tc>
          <w:tcPr>
            <w:tcW w:w="3840" w:type="dxa"/>
            <w:vAlign w:val="bottom"/>
            <w:tcBorders>
              <w:bottom w:val="single" w:sz="8" w:color="125288"/>
            </w:tcBorders>
          </w:tcPr>
          <w:p>
            <w:pPr>
              <w:spacing w:after="0"/>
              <w:rPr>
                <w:sz w:val="3"/>
                <w:szCs w:val="3"/>
                <w:color w:val="auto"/>
              </w:rPr>
            </w:pPr>
          </w:p>
        </w:tc>
        <w:tc>
          <w:tcPr>
            <w:tcW w:w="7420" w:type="dxa"/>
            <w:vAlign w:val="bottom"/>
            <w:tcBorders>
              <w:bottom w:val="single" w:sz="8" w:color="125288"/>
            </w:tcBorders>
          </w:tcPr>
          <w:p>
            <w:pPr>
              <w:spacing w:after="0"/>
              <w:rPr>
                <w:sz w:val="3"/>
                <w:szCs w:val="3"/>
                <w:color w:val="auto"/>
              </w:rPr>
            </w:pPr>
          </w:p>
        </w:tc>
      </w:tr>
      <w:tr>
        <w:trPr>
          <w:trHeight w:val="220"/>
        </w:trPr>
        <w:tc>
          <w:tcPr>
            <w:tcW w:w="3840" w:type="dxa"/>
            <w:vAlign w:val="bottom"/>
          </w:tcPr>
          <w:p>
            <w:pPr>
              <w:ind w:left="60"/>
              <w:spacing w:after="0"/>
              <w:rPr>
                <w:sz w:val="20"/>
                <w:szCs w:val="20"/>
                <w:color w:val="auto"/>
              </w:rPr>
            </w:pPr>
            <w:r>
              <w:rPr>
                <w:rFonts w:ascii="Arial" w:cs="Arial" w:eastAsia="Arial" w:hAnsi="Arial"/>
                <w:sz w:val="17"/>
                <w:szCs w:val="17"/>
                <w:color w:val="auto"/>
              </w:rPr>
              <w:t>Annual Reports</w:t>
            </w:r>
          </w:p>
        </w:tc>
        <w:tc>
          <w:tcPr>
            <w:tcW w:w="7420" w:type="dxa"/>
            <w:vAlign w:val="bottom"/>
          </w:tcPr>
          <w:p>
            <w:pPr>
              <w:ind w:left="380"/>
              <w:spacing w:after="0"/>
              <w:rPr>
                <w:sz w:val="20"/>
                <w:szCs w:val="20"/>
                <w:color w:val="auto"/>
              </w:rPr>
            </w:pPr>
            <w:r>
              <w:rPr>
                <w:rFonts w:ascii="Arial" w:cs="Arial" w:eastAsia="Arial" w:hAnsi="Arial"/>
                <w:sz w:val="17"/>
                <w:szCs w:val="17"/>
                <w:color w:val="auto"/>
              </w:rPr>
              <w:t>investor.activision.com/annual-reports.cfm</w:t>
            </w:r>
          </w:p>
        </w:tc>
      </w:tr>
      <w:tr>
        <w:trPr>
          <w:trHeight w:val="33"/>
        </w:trPr>
        <w:tc>
          <w:tcPr>
            <w:tcW w:w="3840" w:type="dxa"/>
            <w:vAlign w:val="bottom"/>
            <w:tcBorders>
              <w:bottom w:val="single" w:sz="8" w:color="125288"/>
            </w:tcBorders>
          </w:tcPr>
          <w:p>
            <w:pPr>
              <w:spacing w:after="0"/>
              <w:rPr>
                <w:sz w:val="2"/>
                <w:szCs w:val="2"/>
                <w:color w:val="auto"/>
              </w:rPr>
            </w:pPr>
          </w:p>
        </w:tc>
        <w:tc>
          <w:tcPr>
            <w:tcW w:w="7420" w:type="dxa"/>
            <w:vAlign w:val="bottom"/>
            <w:tcBorders>
              <w:bottom w:val="single" w:sz="8" w:color="125288"/>
            </w:tcBorders>
          </w:tcPr>
          <w:p>
            <w:pPr>
              <w:spacing w:after="0"/>
              <w:rPr>
                <w:sz w:val="2"/>
                <w:szCs w:val="2"/>
                <w:color w:val="auto"/>
              </w:rPr>
            </w:pPr>
          </w:p>
        </w:tc>
      </w:tr>
      <w:tr>
        <w:trPr>
          <w:trHeight w:val="220"/>
        </w:trPr>
        <w:tc>
          <w:tcPr>
            <w:tcW w:w="3840" w:type="dxa"/>
            <w:vAlign w:val="bottom"/>
          </w:tcPr>
          <w:p>
            <w:pPr>
              <w:ind w:left="60"/>
              <w:spacing w:after="0"/>
              <w:rPr>
                <w:sz w:val="20"/>
                <w:szCs w:val="20"/>
                <w:color w:val="auto"/>
              </w:rPr>
            </w:pPr>
            <w:r>
              <w:rPr>
                <w:rFonts w:ascii="Arial" w:cs="Arial" w:eastAsia="Arial" w:hAnsi="Arial"/>
                <w:sz w:val="17"/>
                <w:szCs w:val="17"/>
                <w:color w:val="auto"/>
              </w:rPr>
              <w:t>Quarterly Reports</w:t>
            </w:r>
          </w:p>
        </w:tc>
        <w:tc>
          <w:tcPr>
            <w:tcW w:w="7420" w:type="dxa"/>
            <w:vAlign w:val="bottom"/>
          </w:tcPr>
          <w:p>
            <w:pPr>
              <w:ind w:left="380"/>
              <w:spacing w:after="0"/>
              <w:rPr>
                <w:sz w:val="20"/>
                <w:szCs w:val="20"/>
                <w:color w:val="auto"/>
              </w:rPr>
            </w:pPr>
            <w:r>
              <w:rPr>
                <w:rFonts w:ascii="Arial" w:cs="Arial" w:eastAsia="Arial" w:hAnsi="Arial"/>
                <w:sz w:val="17"/>
                <w:szCs w:val="17"/>
                <w:color w:val="auto"/>
              </w:rPr>
              <w:t>investor.activision.com/results.cfm</w:t>
            </w:r>
          </w:p>
        </w:tc>
      </w:tr>
      <w:tr>
        <w:trPr>
          <w:trHeight w:val="33"/>
        </w:trPr>
        <w:tc>
          <w:tcPr>
            <w:tcW w:w="3840" w:type="dxa"/>
            <w:vAlign w:val="bottom"/>
            <w:tcBorders>
              <w:bottom w:val="single" w:sz="8" w:color="125288"/>
            </w:tcBorders>
          </w:tcPr>
          <w:p>
            <w:pPr>
              <w:spacing w:after="0"/>
              <w:rPr>
                <w:sz w:val="2"/>
                <w:szCs w:val="2"/>
                <w:color w:val="auto"/>
              </w:rPr>
            </w:pPr>
          </w:p>
        </w:tc>
        <w:tc>
          <w:tcPr>
            <w:tcW w:w="7420" w:type="dxa"/>
            <w:vAlign w:val="bottom"/>
            <w:tcBorders>
              <w:bottom w:val="single" w:sz="8" w:color="125288"/>
            </w:tcBorders>
          </w:tcPr>
          <w:p>
            <w:pPr>
              <w:spacing w:after="0"/>
              <w:rPr>
                <w:sz w:val="2"/>
                <w:szCs w:val="2"/>
                <w:color w:val="auto"/>
              </w:rPr>
            </w:pPr>
          </w:p>
        </w:tc>
      </w:tr>
      <w:tr>
        <w:trPr>
          <w:trHeight w:val="204"/>
        </w:trPr>
        <w:tc>
          <w:tcPr>
            <w:tcW w:w="3840" w:type="dxa"/>
            <w:vAlign w:val="bottom"/>
          </w:tcPr>
          <w:p>
            <w:pPr>
              <w:ind w:left="60"/>
              <w:spacing w:after="0"/>
              <w:rPr>
                <w:sz w:val="20"/>
                <w:szCs w:val="20"/>
                <w:color w:val="auto"/>
              </w:rPr>
            </w:pPr>
            <w:r>
              <w:rPr>
                <w:rFonts w:ascii="Arial" w:cs="Arial" w:eastAsia="Arial" w:hAnsi="Arial"/>
                <w:sz w:val="15"/>
                <w:szCs w:val="15"/>
                <w:b w:val="1"/>
                <w:bCs w:val="1"/>
                <w:color w:val="125288"/>
              </w:rPr>
              <w:t>COMPANY BUSINESS</w:t>
            </w:r>
          </w:p>
        </w:tc>
        <w:tc>
          <w:tcPr>
            <w:tcW w:w="7420" w:type="dxa"/>
            <w:vAlign w:val="bottom"/>
          </w:tcPr>
          <w:p>
            <w:pPr>
              <w:spacing w:after="0"/>
              <w:rPr>
                <w:sz w:val="17"/>
                <w:szCs w:val="17"/>
                <w:color w:val="auto"/>
              </w:rPr>
            </w:pPr>
          </w:p>
        </w:tc>
      </w:tr>
      <w:tr>
        <w:trPr>
          <w:trHeight w:val="37"/>
        </w:trPr>
        <w:tc>
          <w:tcPr>
            <w:tcW w:w="3840" w:type="dxa"/>
            <w:vAlign w:val="bottom"/>
            <w:tcBorders>
              <w:bottom w:val="single" w:sz="8" w:color="125288"/>
            </w:tcBorders>
          </w:tcPr>
          <w:p>
            <w:pPr>
              <w:spacing w:after="0"/>
              <w:rPr>
                <w:sz w:val="3"/>
                <w:szCs w:val="3"/>
                <w:color w:val="auto"/>
              </w:rPr>
            </w:pPr>
          </w:p>
        </w:tc>
        <w:tc>
          <w:tcPr>
            <w:tcW w:w="7420" w:type="dxa"/>
            <w:vAlign w:val="bottom"/>
            <w:tcBorders>
              <w:bottom w:val="single" w:sz="8" w:color="125288"/>
            </w:tcBorders>
          </w:tcPr>
          <w:p>
            <w:pPr>
              <w:spacing w:after="0"/>
              <w:rPr>
                <w:sz w:val="3"/>
                <w:szCs w:val="3"/>
                <w:color w:val="auto"/>
              </w:rPr>
            </w:pPr>
          </w:p>
        </w:tc>
      </w:tr>
      <w:tr>
        <w:trPr>
          <w:trHeight w:val="220"/>
        </w:trPr>
        <w:tc>
          <w:tcPr>
            <w:tcW w:w="3840" w:type="dxa"/>
            <w:vAlign w:val="bottom"/>
          </w:tcPr>
          <w:p>
            <w:pPr>
              <w:ind w:left="60"/>
              <w:spacing w:after="0"/>
              <w:rPr>
                <w:sz w:val="20"/>
                <w:szCs w:val="20"/>
                <w:color w:val="auto"/>
              </w:rPr>
            </w:pPr>
            <w:r>
              <w:rPr>
                <w:rFonts w:ascii="Arial" w:cs="Arial" w:eastAsia="Arial" w:hAnsi="Arial"/>
                <w:sz w:val="17"/>
                <w:szCs w:val="17"/>
                <w:color w:val="auto"/>
              </w:rPr>
              <w:t>Corporate Website</w:t>
            </w:r>
          </w:p>
        </w:tc>
        <w:tc>
          <w:tcPr>
            <w:tcW w:w="7420" w:type="dxa"/>
            <w:vAlign w:val="bottom"/>
          </w:tcPr>
          <w:p>
            <w:pPr>
              <w:ind w:left="380"/>
              <w:spacing w:after="0"/>
              <w:rPr>
                <w:sz w:val="20"/>
                <w:szCs w:val="20"/>
                <w:color w:val="auto"/>
              </w:rPr>
            </w:pPr>
            <w:r>
              <w:rPr>
                <w:rFonts w:ascii="Arial" w:cs="Arial" w:eastAsia="Arial" w:hAnsi="Arial"/>
                <w:sz w:val="17"/>
                <w:szCs w:val="17"/>
                <w:color w:val="auto"/>
              </w:rPr>
              <w:t>www.activisionblizzard.com/</w:t>
            </w:r>
          </w:p>
        </w:tc>
      </w:tr>
      <w:tr>
        <w:trPr>
          <w:trHeight w:val="33"/>
        </w:trPr>
        <w:tc>
          <w:tcPr>
            <w:tcW w:w="3840" w:type="dxa"/>
            <w:vAlign w:val="bottom"/>
            <w:tcBorders>
              <w:bottom w:val="single" w:sz="8" w:color="125288"/>
            </w:tcBorders>
          </w:tcPr>
          <w:p>
            <w:pPr>
              <w:spacing w:after="0"/>
              <w:rPr>
                <w:sz w:val="2"/>
                <w:szCs w:val="2"/>
                <w:color w:val="auto"/>
              </w:rPr>
            </w:pPr>
          </w:p>
        </w:tc>
        <w:tc>
          <w:tcPr>
            <w:tcW w:w="7420" w:type="dxa"/>
            <w:vAlign w:val="bottom"/>
            <w:tcBorders>
              <w:bottom w:val="single" w:sz="8" w:color="125288"/>
            </w:tcBorders>
          </w:tcPr>
          <w:p>
            <w:pPr>
              <w:spacing w:after="0"/>
              <w:rPr>
                <w:sz w:val="2"/>
                <w:szCs w:val="2"/>
                <w:color w:val="auto"/>
              </w:rPr>
            </w:pPr>
          </w:p>
        </w:tc>
      </w:tr>
      <w:tr>
        <w:trPr>
          <w:trHeight w:val="220"/>
        </w:trPr>
        <w:tc>
          <w:tcPr>
            <w:tcW w:w="3840" w:type="dxa"/>
            <w:vAlign w:val="bottom"/>
          </w:tcPr>
          <w:p>
            <w:pPr>
              <w:ind w:left="60"/>
              <w:spacing w:after="0"/>
              <w:rPr>
                <w:sz w:val="20"/>
                <w:szCs w:val="20"/>
                <w:color w:val="auto"/>
              </w:rPr>
            </w:pPr>
            <w:r>
              <w:rPr>
                <w:rFonts w:ascii="Arial" w:cs="Arial" w:eastAsia="Arial" w:hAnsi="Arial"/>
                <w:sz w:val="17"/>
                <w:szCs w:val="17"/>
                <w:color w:val="auto"/>
              </w:rPr>
              <w:t>Senior Corporate Management</w:t>
            </w:r>
          </w:p>
        </w:tc>
        <w:tc>
          <w:tcPr>
            <w:tcW w:w="7420" w:type="dxa"/>
            <w:vAlign w:val="bottom"/>
          </w:tcPr>
          <w:p>
            <w:pPr>
              <w:ind w:left="380"/>
              <w:spacing w:after="0"/>
              <w:rPr>
                <w:sz w:val="20"/>
                <w:szCs w:val="20"/>
                <w:color w:val="auto"/>
              </w:rPr>
            </w:pPr>
            <w:r>
              <w:rPr>
                <w:rFonts w:ascii="Arial" w:cs="Arial" w:eastAsia="Arial" w:hAnsi="Arial"/>
                <w:sz w:val="17"/>
                <w:szCs w:val="17"/>
                <w:color w:val="auto"/>
              </w:rPr>
              <w:t>www.activisionblizzard.com/leadership</w:t>
            </w:r>
          </w:p>
        </w:tc>
      </w:tr>
      <w:tr>
        <w:trPr>
          <w:trHeight w:val="33"/>
        </w:trPr>
        <w:tc>
          <w:tcPr>
            <w:tcW w:w="3840" w:type="dxa"/>
            <w:vAlign w:val="bottom"/>
            <w:tcBorders>
              <w:bottom w:val="single" w:sz="8" w:color="125288"/>
            </w:tcBorders>
          </w:tcPr>
          <w:p>
            <w:pPr>
              <w:spacing w:after="0"/>
              <w:rPr>
                <w:sz w:val="2"/>
                <w:szCs w:val="2"/>
                <w:color w:val="auto"/>
              </w:rPr>
            </w:pPr>
          </w:p>
        </w:tc>
        <w:tc>
          <w:tcPr>
            <w:tcW w:w="7420" w:type="dxa"/>
            <w:vAlign w:val="bottom"/>
            <w:tcBorders>
              <w:bottom w:val="single" w:sz="8" w:color="125288"/>
            </w:tcBorders>
          </w:tcPr>
          <w:p>
            <w:pPr>
              <w:spacing w:after="0"/>
              <w:rPr>
                <w:sz w:val="2"/>
                <w:szCs w:val="2"/>
                <w:color w:val="auto"/>
              </w:rPr>
            </w:pPr>
          </w:p>
        </w:tc>
      </w:tr>
      <w:tr>
        <w:trPr>
          <w:trHeight w:val="220"/>
        </w:trPr>
        <w:tc>
          <w:tcPr>
            <w:tcW w:w="3840" w:type="dxa"/>
            <w:vAlign w:val="bottom"/>
          </w:tcPr>
          <w:p>
            <w:pPr>
              <w:ind w:left="60"/>
              <w:spacing w:after="0"/>
              <w:rPr>
                <w:sz w:val="20"/>
                <w:szCs w:val="20"/>
                <w:color w:val="auto"/>
              </w:rPr>
            </w:pPr>
            <w:r>
              <w:rPr>
                <w:rFonts w:ascii="Arial" w:cs="Arial" w:eastAsia="Arial" w:hAnsi="Arial"/>
                <w:sz w:val="17"/>
                <w:szCs w:val="17"/>
                <w:color w:val="auto"/>
              </w:rPr>
              <w:t>Investor Relations</w:t>
            </w:r>
          </w:p>
        </w:tc>
        <w:tc>
          <w:tcPr>
            <w:tcW w:w="7420" w:type="dxa"/>
            <w:vAlign w:val="bottom"/>
          </w:tcPr>
          <w:p>
            <w:pPr>
              <w:ind w:left="380"/>
              <w:spacing w:after="0"/>
              <w:rPr>
                <w:sz w:val="20"/>
                <w:szCs w:val="20"/>
                <w:color w:val="auto"/>
              </w:rPr>
            </w:pPr>
            <w:r>
              <w:rPr>
                <w:rFonts w:ascii="Arial" w:cs="Arial" w:eastAsia="Arial" w:hAnsi="Arial"/>
                <w:sz w:val="17"/>
                <w:szCs w:val="17"/>
                <w:color w:val="auto"/>
              </w:rPr>
              <w:t>investor.activision.com/</w:t>
            </w:r>
          </w:p>
        </w:tc>
      </w:tr>
      <w:tr>
        <w:trPr>
          <w:trHeight w:val="33"/>
        </w:trPr>
        <w:tc>
          <w:tcPr>
            <w:tcW w:w="3840" w:type="dxa"/>
            <w:vAlign w:val="bottom"/>
            <w:tcBorders>
              <w:bottom w:val="single" w:sz="8" w:color="125288"/>
            </w:tcBorders>
          </w:tcPr>
          <w:p>
            <w:pPr>
              <w:spacing w:after="0"/>
              <w:rPr>
                <w:sz w:val="2"/>
                <w:szCs w:val="2"/>
                <w:color w:val="auto"/>
              </w:rPr>
            </w:pPr>
          </w:p>
        </w:tc>
        <w:tc>
          <w:tcPr>
            <w:tcW w:w="7420" w:type="dxa"/>
            <w:vAlign w:val="bottom"/>
            <w:tcBorders>
              <w:bottom w:val="single" w:sz="8" w:color="125288"/>
            </w:tcBorders>
          </w:tcPr>
          <w:p>
            <w:pPr>
              <w:spacing w:after="0"/>
              <w:rPr>
                <w:sz w:val="2"/>
                <w:szCs w:val="2"/>
                <w:color w:val="auto"/>
              </w:rPr>
            </w:pPr>
          </w:p>
        </w:tc>
      </w:tr>
      <w:tr>
        <w:trPr>
          <w:trHeight w:val="220"/>
        </w:trPr>
        <w:tc>
          <w:tcPr>
            <w:tcW w:w="3840" w:type="dxa"/>
            <w:vAlign w:val="bottom"/>
          </w:tcPr>
          <w:p>
            <w:pPr>
              <w:ind w:left="60"/>
              <w:spacing w:after="0"/>
              <w:rPr>
                <w:sz w:val="20"/>
                <w:szCs w:val="20"/>
                <w:color w:val="auto"/>
              </w:rPr>
            </w:pPr>
            <w:r>
              <w:rPr>
                <w:rFonts w:ascii="Arial" w:cs="Arial" w:eastAsia="Arial" w:hAnsi="Arial"/>
                <w:sz w:val="17"/>
                <w:szCs w:val="17"/>
                <w:color w:val="auto"/>
              </w:rPr>
              <w:t>Latest News</w:t>
            </w:r>
          </w:p>
        </w:tc>
        <w:tc>
          <w:tcPr>
            <w:tcW w:w="7420" w:type="dxa"/>
            <w:vAlign w:val="bottom"/>
          </w:tcPr>
          <w:p>
            <w:pPr>
              <w:ind w:left="380"/>
              <w:spacing w:after="0"/>
              <w:rPr>
                <w:sz w:val="20"/>
                <w:szCs w:val="20"/>
                <w:color w:val="auto"/>
              </w:rPr>
            </w:pPr>
            <w:r>
              <w:rPr>
                <w:rFonts w:ascii="Arial" w:cs="Arial" w:eastAsia="Arial" w:hAnsi="Arial"/>
                <w:sz w:val="17"/>
                <w:szCs w:val="17"/>
                <w:color w:val="auto"/>
              </w:rPr>
              <w:t>investor.activision.com/releases.cfm</w:t>
            </w:r>
          </w:p>
        </w:tc>
      </w:tr>
      <w:tr>
        <w:trPr>
          <w:trHeight w:val="33"/>
        </w:trPr>
        <w:tc>
          <w:tcPr>
            <w:tcW w:w="3840" w:type="dxa"/>
            <w:vAlign w:val="bottom"/>
            <w:tcBorders>
              <w:bottom w:val="single" w:sz="8" w:color="125288"/>
            </w:tcBorders>
          </w:tcPr>
          <w:p>
            <w:pPr>
              <w:spacing w:after="0"/>
              <w:rPr>
                <w:sz w:val="2"/>
                <w:szCs w:val="2"/>
                <w:color w:val="auto"/>
              </w:rPr>
            </w:pPr>
          </w:p>
        </w:tc>
        <w:tc>
          <w:tcPr>
            <w:tcW w:w="7420" w:type="dxa"/>
            <w:vAlign w:val="bottom"/>
            <w:tcBorders>
              <w:bottom w:val="single" w:sz="8" w:color="125288"/>
            </w:tcBorders>
          </w:tcPr>
          <w:p>
            <w:pPr>
              <w:spacing w:after="0"/>
              <w:rPr>
                <w:sz w:val="2"/>
                <w:szCs w:val="2"/>
                <w:color w:val="auto"/>
              </w:rPr>
            </w:pPr>
          </w:p>
        </w:tc>
      </w:tr>
      <w:tr>
        <w:trPr>
          <w:trHeight w:val="220"/>
        </w:trPr>
        <w:tc>
          <w:tcPr>
            <w:tcW w:w="3840" w:type="dxa"/>
            <w:vAlign w:val="bottom"/>
          </w:tcPr>
          <w:p>
            <w:pPr>
              <w:ind w:left="60"/>
              <w:spacing w:after="0"/>
              <w:rPr>
                <w:sz w:val="20"/>
                <w:szCs w:val="20"/>
                <w:color w:val="auto"/>
              </w:rPr>
            </w:pPr>
            <w:r>
              <w:rPr>
                <w:rFonts w:ascii="Arial" w:cs="Arial" w:eastAsia="Arial" w:hAnsi="Arial"/>
                <w:sz w:val="17"/>
                <w:szCs w:val="17"/>
                <w:color w:val="auto"/>
              </w:rPr>
              <w:t>Events and Presentations</w:t>
            </w:r>
          </w:p>
        </w:tc>
        <w:tc>
          <w:tcPr>
            <w:tcW w:w="7420" w:type="dxa"/>
            <w:vAlign w:val="bottom"/>
          </w:tcPr>
          <w:p>
            <w:pPr>
              <w:ind w:left="380"/>
              <w:spacing w:after="0"/>
              <w:rPr>
                <w:sz w:val="20"/>
                <w:szCs w:val="20"/>
                <w:color w:val="auto"/>
              </w:rPr>
            </w:pPr>
            <w:r>
              <w:rPr>
                <w:rFonts w:ascii="Arial" w:cs="Arial" w:eastAsia="Arial" w:hAnsi="Arial"/>
                <w:sz w:val="17"/>
                <w:szCs w:val="17"/>
                <w:color w:val="auto"/>
              </w:rPr>
              <w:t>investor.activision.com/events.cfm</w:t>
            </w:r>
          </w:p>
        </w:tc>
      </w:tr>
      <w:tr>
        <w:trPr>
          <w:trHeight w:val="33"/>
        </w:trPr>
        <w:tc>
          <w:tcPr>
            <w:tcW w:w="3840" w:type="dxa"/>
            <w:vAlign w:val="bottom"/>
            <w:tcBorders>
              <w:bottom w:val="single" w:sz="8" w:color="125288"/>
            </w:tcBorders>
          </w:tcPr>
          <w:p>
            <w:pPr>
              <w:spacing w:after="0"/>
              <w:rPr>
                <w:sz w:val="2"/>
                <w:szCs w:val="2"/>
                <w:color w:val="auto"/>
              </w:rPr>
            </w:pPr>
          </w:p>
        </w:tc>
        <w:tc>
          <w:tcPr>
            <w:tcW w:w="7420" w:type="dxa"/>
            <w:vAlign w:val="bottom"/>
            <w:tcBorders>
              <w:bottom w:val="single" w:sz="8" w:color="125288"/>
            </w:tcBorders>
          </w:tcPr>
          <w:p>
            <w:pPr>
              <w:spacing w:after="0"/>
              <w:rPr>
                <w:sz w:val="2"/>
                <w:szCs w:val="2"/>
                <w:color w:val="auto"/>
              </w:rPr>
            </w:pPr>
          </w:p>
        </w:tc>
      </w:tr>
      <w:tr>
        <w:trPr>
          <w:trHeight w:val="204"/>
        </w:trPr>
        <w:tc>
          <w:tcPr>
            <w:tcW w:w="3840" w:type="dxa"/>
            <w:vAlign w:val="bottom"/>
          </w:tcPr>
          <w:p>
            <w:pPr>
              <w:ind w:left="60"/>
              <w:spacing w:after="0"/>
              <w:rPr>
                <w:sz w:val="20"/>
                <w:szCs w:val="20"/>
                <w:color w:val="auto"/>
              </w:rPr>
            </w:pPr>
            <w:r>
              <w:rPr>
                <w:rFonts w:ascii="Arial" w:cs="Arial" w:eastAsia="Arial" w:hAnsi="Arial"/>
                <w:sz w:val="15"/>
                <w:szCs w:val="15"/>
                <w:b w:val="1"/>
                <w:bCs w:val="1"/>
                <w:color w:val="125288"/>
              </w:rPr>
              <w:t>GOVERNANCE DOCUMENTS</w:t>
            </w:r>
          </w:p>
        </w:tc>
        <w:tc>
          <w:tcPr>
            <w:tcW w:w="7420" w:type="dxa"/>
            <w:vAlign w:val="bottom"/>
          </w:tcPr>
          <w:p>
            <w:pPr>
              <w:spacing w:after="0"/>
              <w:rPr>
                <w:sz w:val="17"/>
                <w:szCs w:val="17"/>
                <w:color w:val="auto"/>
              </w:rPr>
            </w:pPr>
          </w:p>
        </w:tc>
      </w:tr>
      <w:tr>
        <w:trPr>
          <w:trHeight w:val="37"/>
        </w:trPr>
        <w:tc>
          <w:tcPr>
            <w:tcW w:w="3840" w:type="dxa"/>
            <w:vAlign w:val="bottom"/>
            <w:tcBorders>
              <w:bottom w:val="single" w:sz="8" w:color="125288"/>
            </w:tcBorders>
          </w:tcPr>
          <w:p>
            <w:pPr>
              <w:spacing w:after="0"/>
              <w:rPr>
                <w:sz w:val="3"/>
                <w:szCs w:val="3"/>
                <w:color w:val="auto"/>
              </w:rPr>
            </w:pPr>
          </w:p>
        </w:tc>
        <w:tc>
          <w:tcPr>
            <w:tcW w:w="7420" w:type="dxa"/>
            <w:vAlign w:val="bottom"/>
            <w:tcBorders>
              <w:bottom w:val="single" w:sz="8" w:color="125288"/>
            </w:tcBorders>
          </w:tcPr>
          <w:p>
            <w:pPr>
              <w:spacing w:after="0"/>
              <w:rPr>
                <w:sz w:val="3"/>
                <w:szCs w:val="3"/>
                <w:color w:val="auto"/>
              </w:rPr>
            </w:pPr>
          </w:p>
        </w:tc>
      </w:tr>
      <w:tr>
        <w:trPr>
          <w:trHeight w:val="220"/>
        </w:trPr>
        <w:tc>
          <w:tcPr>
            <w:tcW w:w="3840" w:type="dxa"/>
            <w:vAlign w:val="bottom"/>
          </w:tcPr>
          <w:p>
            <w:pPr>
              <w:ind w:left="60"/>
              <w:spacing w:after="0"/>
              <w:rPr>
                <w:sz w:val="20"/>
                <w:szCs w:val="20"/>
                <w:color w:val="auto"/>
              </w:rPr>
            </w:pPr>
            <w:r>
              <w:rPr>
                <w:rFonts w:ascii="Arial" w:cs="Arial" w:eastAsia="Arial" w:hAnsi="Arial"/>
                <w:sz w:val="17"/>
                <w:szCs w:val="17"/>
                <w:color w:val="auto"/>
              </w:rPr>
              <w:t>Bylaws</w:t>
            </w:r>
          </w:p>
        </w:tc>
        <w:tc>
          <w:tcPr>
            <w:tcW w:w="7420" w:type="dxa"/>
            <w:vAlign w:val="bottom"/>
          </w:tcPr>
          <w:p>
            <w:pPr>
              <w:ind w:left="380"/>
              <w:spacing w:after="0"/>
              <w:rPr>
                <w:sz w:val="20"/>
                <w:szCs w:val="20"/>
                <w:color w:val="auto"/>
              </w:rPr>
            </w:pPr>
            <w:r>
              <w:rPr>
                <w:rFonts w:ascii="Arial" w:cs="Arial" w:eastAsia="Arial" w:hAnsi="Arial"/>
                <w:sz w:val="17"/>
                <w:szCs w:val="17"/>
                <w:color w:val="auto"/>
              </w:rPr>
              <w:t>investor.activision.com/by-laws</w:t>
            </w:r>
          </w:p>
        </w:tc>
      </w:tr>
      <w:tr>
        <w:trPr>
          <w:trHeight w:val="33"/>
        </w:trPr>
        <w:tc>
          <w:tcPr>
            <w:tcW w:w="3840" w:type="dxa"/>
            <w:vAlign w:val="bottom"/>
            <w:tcBorders>
              <w:bottom w:val="single" w:sz="8" w:color="125288"/>
            </w:tcBorders>
          </w:tcPr>
          <w:p>
            <w:pPr>
              <w:spacing w:after="0"/>
              <w:rPr>
                <w:sz w:val="2"/>
                <w:szCs w:val="2"/>
                <w:color w:val="auto"/>
              </w:rPr>
            </w:pPr>
          </w:p>
        </w:tc>
        <w:tc>
          <w:tcPr>
            <w:tcW w:w="7420" w:type="dxa"/>
            <w:vAlign w:val="bottom"/>
            <w:tcBorders>
              <w:bottom w:val="single" w:sz="8" w:color="125288"/>
            </w:tcBorders>
          </w:tcPr>
          <w:p>
            <w:pPr>
              <w:spacing w:after="0"/>
              <w:rPr>
                <w:sz w:val="2"/>
                <w:szCs w:val="2"/>
                <w:color w:val="auto"/>
              </w:rPr>
            </w:pPr>
          </w:p>
        </w:tc>
      </w:tr>
      <w:tr>
        <w:trPr>
          <w:trHeight w:val="220"/>
        </w:trPr>
        <w:tc>
          <w:tcPr>
            <w:tcW w:w="3840" w:type="dxa"/>
            <w:vAlign w:val="bottom"/>
          </w:tcPr>
          <w:p>
            <w:pPr>
              <w:ind w:left="60"/>
              <w:spacing w:after="0"/>
              <w:rPr>
                <w:sz w:val="20"/>
                <w:szCs w:val="20"/>
                <w:color w:val="auto"/>
              </w:rPr>
            </w:pPr>
            <w:r>
              <w:rPr>
                <w:rFonts w:ascii="Arial" w:cs="Arial" w:eastAsia="Arial" w:hAnsi="Arial"/>
                <w:sz w:val="17"/>
                <w:szCs w:val="17"/>
                <w:color w:val="auto"/>
              </w:rPr>
              <w:t>Certificate of Incorporation</w:t>
            </w:r>
          </w:p>
        </w:tc>
        <w:tc>
          <w:tcPr>
            <w:tcW w:w="7420" w:type="dxa"/>
            <w:vAlign w:val="bottom"/>
          </w:tcPr>
          <w:p>
            <w:pPr>
              <w:ind w:left="380"/>
              <w:spacing w:after="0"/>
              <w:rPr>
                <w:sz w:val="20"/>
                <w:szCs w:val="20"/>
                <w:color w:val="auto"/>
              </w:rPr>
            </w:pPr>
            <w:r>
              <w:rPr>
                <w:rFonts w:ascii="Arial" w:cs="Arial" w:eastAsia="Arial" w:hAnsi="Arial"/>
                <w:sz w:val="17"/>
                <w:szCs w:val="17"/>
                <w:color w:val="auto"/>
              </w:rPr>
              <w:t>investor.activision.com/certificate-incorporation</w:t>
            </w:r>
          </w:p>
        </w:tc>
      </w:tr>
      <w:tr>
        <w:trPr>
          <w:trHeight w:val="33"/>
        </w:trPr>
        <w:tc>
          <w:tcPr>
            <w:tcW w:w="3840" w:type="dxa"/>
            <w:vAlign w:val="bottom"/>
            <w:tcBorders>
              <w:bottom w:val="single" w:sz="8" w:color="125288"/>
            </w:tcBorders>
          </w:tcPr>
          <w:p>
            <w:pPr>
              <w:spacing w:after="0"/>
              <w:rPr>
                <w:sz w:val="2"/>
                <w:szCs w:val="2"/>
                <w:color w:val="auto"/>
              </w:rPr>
            </w:pPr>
          </w:p>
        </w:tc>
        <w:tc>
          <w:tcPr>
            <w:tcW w:w="7420" w:type="dxa"/>
            <w:vAlign w:val="bottom"/>
            <w:tcBorders>
              <w:bottom w:val="single" w:sz="8" w:color="125288"/>
            </w:tcBorders>
          </w:tcPr>
          <w:p>
            <w:pPr>
              <w:spacing w:after="0"/>
              <w:rPr>
                <w:sz w:val="2"/>
                <w:szCs w:val="2"/>
                <w:color w:val="auto"/>
              </w:rPr>
            </w:pPr>
          </w:p>
        </w:tc>
      </w:tr>
      <w:tr>
        <w:trPr>
          <w:trHeight w:val="220"/>
        </w:trPr>
        <w:tc>
          <w:tcPr>
            <w:tcW w:w="3840" w:type="dxa"/>
            <w:vAlign w:val="bottom"/>
          </w:tcPr>
          <w:p>
            <w:pPr>
              <w:ind w:left="60"/>
              <w:spacing w:after="0"/>
              <w:rPr>
                <w:sz w:val="20"/>
                <w:szCs w:val="20"/>
                <w:color w:val="auto"/>
              </w:rPr>
            </w:pPr>
            <w:r>
              <w:rPr>
                <w:rFonts w:ascii="Arial" w:cs="Arial" w:eastAsia="Arial" w:hAnsi="Arial"/>
                <w:sz w:val="17"/>
                <w:szCs w:val="17"/>
                <w:color w:val="auto"/>
              </w:rPr>
              <w:t>Code of Conduct</w:t>
            </w:r>
          </w:p>
        </w:tc>
        <w:tc>
          <w:tcPr>
            <w:tcW w:w="7420" w:type="dxa"/>
            <w:vAlign w:val="bottom"/>
          </w:tcPr>
          <w:p>
            <w:pPr>
              <w:ind w:left="380"/>
              <w:spacing w:after="0"/>
              <w:rPr>
                <w:sz w:val="20"/>
                <w:szCs w:val="20"/>
                <w:color w:val="auto"/>
              </w:rPr>
            </w:pPr>
            <w:r>
              <w:rPr>
                <w:rFonts w:ascii="Arial" w:cs="Arial" w:eastAsia="Arial" w:hAnsi="Arial"/>
                <w:sz w:val="17"/>
                <w:szCs w:val="17"/>
                <w:color w:val="auto"/>
              </w:rPr>
              <w:t>www.activisionblizzard.com/code-of-conduct/</w:t>
            </w:r>
          </w:p>
        </w:tc>
      </w:tr>
      <w:tr>
        <w:trPr>
          <w:trHeight w:val="33"/>
        </w:trPr>
        <w:tc>
          <w:tcPr>
            <w:tcW w:w="3840" w:type="dxa"/>
            <w:vAlign w:val="bottom"/>
            <w:tcBorders>
              <w:bottom w:val="single" w:sz="8" w:color="125288"/>
            </w:tcBorders>
          </w:tcPr>
          <w:p>
            <w:pPr>
              <w:spacing w:after="0"/>
              <w:rPr>
                <w:sz w:val="2"/>
                <w:szCs w:val="2"/>
                <w:color w:val="auto"/>
              </w:rPr>
            </w:pPr>
          </w:p>
        </w:tc>
        <w:tc>
          <w:tcPr>
            <w:tcW w:w="7420" w:type="dxa"/>
            <w:vAlign w:val="bottom"/>
            <w:tcBorders>
              <w:bottom w:val="single" w:sz="8" w:color="125288"/>
            </w:tcBorders>
          </w:tcPr>
          <w:p>
            <w:pPr>
              <w:spacing w:after="0"/>
              <w:rPr>
                <w:sz w:val="2"/>
                <w:szCs w:val="2"/>
                <w:color w:val="auto"/>
              </w:rPr>
            </w:pPr>
          </w:p>
        </w:tc>
      </w:tr>
      <w:tr>
        <w:trPr>
          <w:trHeight w:val="220"/>
        </w:trPr>
        <w:tc>
          <w:tcPr>
            <w:tcW w:w="3840" w:type="dxa"/>
            <w:vAlign w:val="bottom"/>
          </w:tcPr>
          <w:p>
            <w:pPr>
              <w:ind w:left="60"/>
              <w:spacing w:after="0"/>
              <w:rPr>
                <w:sz w:val="20"/>
                <w:szCs w:val="20"/>
                <w:color w:val="auto"/>
              </w:rPr>
            </w:pPr>
            <w:r>
              <w:rPr>
                <w:rFonts w:ascii="Arial" w:cs="Arial" w:eastAsia="Arial" w:hAnsi="Arial"/>
                <w:sz w:val="17"/>
                <w:szCs w:val="17"/>
                <w:color w:val="auto"/>
              </w:rPr>
              <w:t>Corporate Governance Principles and Policies</w:t>
            </w:r>
          </w:p>
        </w:tc>
        <w:tc>
          <w:tcPr>
            <w:tcW w:w="7420" w:type="dxa"/>
            <w:vAlign w:val="bottom"/>
          </w:tcPr>
          <w:p>
            <w:pPr>
              <w:ind w:left="380"/>
              <w:spacing w:after="0"/>
              <w:rPr>
                <w:sz w:val="20"/>
                <w:szCs w:val="20"/>
                <w:color w:val="auto"/>
              </w:rPr>
            </w:pPr>
            <w:r>
              <w:rPr>
                <w:rFonts w:ascii="Arial" w:cs="Arial" w:eastAsia="Arial" w:hAnsi="Arial"/>
                <w:sz w:val="17"/>
                <w:szCs w:val="17"/>
                <w:color w:val="auto"/>
              </w:rPr>
              <w:t>investor.activision.com/corporate-governance-principles-and-policies</w:t>
            </w:r>
          </w:p>
        </w:tc>
      </w:tr>
      <w:tr>
        <w:trPr>
          <w:trHeight w:val="33"/>
        </w:trPr>
        <w:tc>
          <w:tcPr>
            <w:tcW w:w="3840" w:type="dxa"/>
            <w:vAlign w:val="bottom"/>
            <w:tcBorders>
              <w:bottom w:val="single" w:sz="8" w:color="125288"/>
            </w:tcBorders>
          </w:tcPr>
          <w:p>
            <w:pPr>
              <w:spacing w:after="0"/>
              <w:rPr>
                <w:sz w:val="2"/>
                <w:szCs w:val="2"/>
                <w:color w:val="auto"/>
              </w:rPr>
            </w:pPr>
          </w:p>
        </w:tc>
        <w:tc>
          <w:tcPr>
            <w:tcW w:w="7420" w:type="dxa"/>
            <w:vAlign w:val="bottom"/>
            <w:tcBorders>
              <w:bottom w:val="single" w:sz="8" w:color="125288"/>
            </w:tcBorders>
          </w:tcPr>
          <w:p>
            <w:pPr>
              <w:spacing w:after="0"/>
              <w:rPr>
                <w:sz w:val="2"/>
                <w:szCs w:val="2"/>
                <w:color w:val="auto"/>
              </w:rPr>
            </w:pPr>
          </w:p>
        </w:tc>
      </w:tr>
      <w:tr>
        <w:trPr>
          <w:trHeight w:val="220"/>
        </w:trPr>
        <w:tc>
          <w:tcPr>
            <w:tcW w:w="3840" w:type="dxa"/>
            <w:vAlign w:val="bottom"/>
          </w:tcPr>
          <w:p>
            <w:pPr>
              <w:ind w:left="60"/>
              <w:spacing w:after="0"/>
              <w:rPr>
                <w:sz w:val="20"/>
                <w:szCs w:val="20"/>
                <w:color w:val="auto"/>
              </w:rPr>
            </w:pPr>
            <w:r>
              <w:rPr>
                <w:rFonts w:ascii="Arial" w:cs="Arial" w:eastAsia="Arial" w:hAnsi="Arial"/>
                <w:sz w:val="17"/>
                <w:szCs w:val="17"/>
                <w:color w:val="auto"/>
              </w:rPr>
              <w:t>Equal Employment Opportunity Policy</w:t>
            </w:r>
          </w:p>
        </w:tc>
        <w:tc>
          <w:tcPr>
            <w:tcW w:w="7420" w:type="dxa"/>
            <w:vAlign w:val="bottom"/>
          </w:tcPr>
          <w:p>
            <w:pPr>
              <w:ind w:left="380"/>
              <w:spacing w:after="0"/>
              <w:rPr>
                <w:sz w:val="20"/>
                <w:szCs w:val="20"/>
                <w:color w:val="auto"/>
              </w:rPr>
            </w:pPr>
            <w:r>
              <w:rPr>
                <w:rFonts w:ascii="Arial" w:cs="Arial" w:eastAsia="Arial" w:hAnsi="Arial"/>
                <w:sz w:val="17"/>
                <w:szCs w:val="17"/>
                <w:color w:val="auto"/>
              </w:rPr>
              <w:t>investor.activision.com/Equal-Employment-Opportunity-Policy-PDF</w:t>
            </w:r>
          </w:p>
        </w:tc>
      </w:tr>
      <w:tr>
        <w:trPr>
          <w:trHeight w:val="33"/>
        </w:trPr>
        <w:tc>
          <w:tcPr>
            <w:tcW w:w="3840" w:type="dxa"/>
            <w:vAlign w:val="bottom"/>
            <w:tcBorders>
              <w:bottom w:val="single" w:sz="8" w:color="125288"/>
            </w:tcBorders>
          </w:tcPr>
          <w:p>
            <w:pPr>
              <w:spacing w:after="0"/>
              <w:rPr>
                <w:sz w:val="2"/>
                <w:szCs w:val="2"/>
                <w:color w:val="auto"/>
              </w:rPr>
            </w:pPr>
          </w:p>
        </w:tc>
        <w:tc>
          <w:tcPr>
            <w:tcW w:w="7420" w:type="dxa"/>
            <w:vAlign w:val="bottom"/>
            <w:tcBorders>
              <w:bottom w:val="single" w:sz="8" w:color="125288"/>
            </w:tcBorders>
          </w:tcPr>
          <w:p>
            <w:pPr>
              <w:spacing w:after="0"/>
              <w:rPr>
                <w:sz w:val="2"/>
                <w:szCs w:val="2"/>
                <w:color w:val="auto"/>
              </w:rPr>
            </w:pPr>
          </w:p>
        </w:tc>
      </w:tr>
      <w:tr>
        <w:trPr>
          <w:trHeight w:val="220"/>
        </w:trPr>
        <w:tc>
          <w:tcPr>
            <w:tcW w:w="3840" w:type="dxa"/>
            <w:vAlign w:val="bottom"/>
          </w:tcPr>
          <w:p>
            <w:pPr>
              <w:ind w:left="60"/>
              <w:spacing w:after="0"/>
              <w:rPr>
                <w:sz w:val="20"/>
                <w:szCs w:val="20"/>
                <w:color w:val="auto"/>
              </w:rPr>
            </w:pPr>
            <w:r>
              <w:rPr>
                <w:rFonts w:ascii="Arial" w:cs="Arial" w:eastAsia="Arial" w:hAnsi="Arial"/>
                <w:sz w:val="17"/>
                <w:szCs w:val="17"/>
                <w:color w:val="auto"/>
              </w:rPr>
              <w:t>Political Activities Disclosure</w:t>
            </w:r>
          </w:p>
        </w:tc>
        <w:tc>
          <w:tcPr>
            <w:tcW w:w="7420" w:type="dxa"/>
            <w:vAlign w:val="bottom"/>
          </w:tcPr>
          <w:p>
            <w:pPr>
              <w:ind w:left="380"/>
              <w:spacing w:after="0"/>
              <w:rPr>
                <w:sz w:val="20"/>
                <w:szCs w:val="20"/>
                <w:color w:val="auto"/>
              </w:rPr>
            </w:pPr>
            <w:r>
              <w:rPr>
                <w:rFonts w:ascii="Arial" w:cs="Arial" w:eastAsia="Arial" w:hAnsi="Arial"/>
                <w:sz w:val="17"/>
                <w:szCs w:val="17"/>
                <w:color w:val="auto"/>
              </w:rPr>
              <w:t>investor.activision.com/Political-Disclosure-PDF</w:t>
            </w:r>
          </w:p>
        </w:tc>
      </w:tr>
      <w:tr>
        <w:trPr>
          <w:trHeight w:val="33"/>
        </w:trPr>
        <w:tc>
          <w:tcPr>
            <w:tcW w:w="3840" w:type="dxa"/>
            <w:vAlign w:val="bottom"/>
            <w:tcBorders>
              <w:bottom w:val="single" w:sz="8" w:color="125288"/>
            </w:tcBorders>
          </w:tcPr>
          <w:p>
            <w:pPr>
              <w:spacing w:after="0"/>
              <w:rPr>
                <w:sz w:val="2"/>
                <w:szCs w:val="2"/>
                <w:color w:val="auto"/>
              </w:rPr>
            </w:pPr>
          </w:p>
        </w:tc>
        <w:tc>
          <w:tcPr>
            <w:tcW w:w="7420" w:type="dxa"/>
            <w:vAlign w:val="bottom"/>
            <w:tcBorders>
              <w:bottom w:val="single" w:sz="8" w:color="125288"/>
            </w:tcBorders>
          </w:tcPr>
          <w:p>
            <w:pPr>
              <w:spacing w:after="0"/>
              <w:rPr>
                <w:sz w:val="2"/>
                <w:szCs w:val="2"/>
                <w:color w:val="auto"/>
              </w:rPr>
            </w:pPr>
          </w:p>
        </w:tc>
      </w:tr>
      <w:tr>
        <w:trPr>
          <w:trHeight w:val="220"/>
        </w:trPr>
        <w:tc>
          <w:tcPr>
            <w:tcW w:w="3840" w:type="dxa"/>
            <w:vAlign w:val="bottom"/>
          </w:tcPr>
          <w:p>
            <w:pPr>
              <w:ind w:left="60"/>
              <w:spacing w:after="0"/>
              <w:rPr>
                <w:sz w:val="20"/>
                <w:szCs w:val="20"/>
                <w:color w:val="auto"/>
              </w:rPr>
            </w:pPr>
            <w:r>
              <w:rPr>
                <w:rFonts w:ascii="Arial" w:cs="Arial" w:eastAsia="Arial" w:hAnsi="Arial"/>
                <w:sz w:val="17"/>
                <w:szCs w:val="17"/>
                <w:color w:val="auto"/>
              </w:rPr>
              <w:t>Executive Stock Ownership Guidelines</w:t>
            </w:r>
          </w:p>
        </w:tc>
        <w:tc>
          <w:tcPr>
            <w:tcW w:w="7420" w:type="dxa"/>
            <w:vAlign w:val="bottom"/>
          </w:tcPr>
          <w:p>
            <w:pPr>
              <w:ind w:left="380"/>
              <w:spacing w:after="0"/>
              <w:rPr>
                <w:sz w:val="20"/>
                <w:szCs w:val="20"/>
                <w:color w:val="auto"/>
              </w:rPr>
            </w:pPr>
            <w:r>
              <w:rPr>
                <w:rFonts w:ascii="Arial" w:cs="Arial" w:eastAsia="Arial" w:hAnsi="Arial"/>
                <w:sz w:val="17"/>
                <w:szCs w:val="17"/>
                <w:color w:val="auto"/>
              </w:rPr>
              <w:t>investor.activision.com/executive-stock-ownership-guidelines</w:t>
            </w:r>
          </w:p>
        </w:tc>
      </w:tr>
      <w:tr>
        <w:trPr>
          <w:trHeight w:val="33"/>
        </w:trPr>
        <w:tc>
          <w:tcPr>
            <w:tcW w:w="3840" w:type="dxa"/>
            <w:vAlign w:val="bottom"/>
            <w:tcBorders>
              <w:bottom w:val="single" w:sz="8" w:color="125288"/>
            </w:tcBorders>
          </w:tcPr>
          <w:p>
            <w:pPr>
              <w:spacing w:after="0"/>
              <w:rPr>
                <w:sz w:val="2"/>
                <w:szCs w:val="2"/>
                <w:color w:val="auto"/>
              </w:rPr>
            </w:pPr>
          </w:p>
        </w:tc>
        <w:tc>
          <w:tcPr>
            <w:tcW w:w="7420" w:type="dxa"/>
            <w:vAlign w:val="bottom"/>
            <w:tcBorders>
              <w:bottom w:val="single" w:sz="8" w:color="125288"/>
            </w:tcBorders>
          </w:tcPr>
          <w:p>
            <w:pPr>
              <w:spacing w:after="0"/>
              <w:rPr>
                <w:sz w:val="2"/>
                <w:szCs w:val="2"/>
                <w:color w:val="auto"/>
              </w:rPr>
            </w:pPr>
          </w:p>
        </w:tc>
      </w:tr>
      <w:tr>
        <w:trPr>
          <w:trHeight w:val="210"/>
        </w:trPr>
        <w:tc>
          <w:tcPr>
            <w:tcW w:w="3840" w:type="dxa"/>
            <w:vAlign w:val="bottom"/>
          </w:tcPr>
          <w:p>
            <w:pPr>
              <w:ind w:left="60"/>
              <w:spacing w:after="0"/>
              <w:rPr>
                <w:sz w:val="20"/>
                <w:szCs w:val="20"/>
                <w:color w:val="auto"/>
              </w:rPr>
            </w:pPr>
            <w:r>
              <w:rPr>
                <w:rFonts w:ascii="Arial" w:cs="Arial" w:eastAsia="Arial" w:hAnsi="Arial"/>
                <w:sz w:val="17"/>
                <w:szCs w:val="17"/>
                <w:color w:val="auto"/>
              </w:rPr>
              <w:t>Policy on Recoupment of Performance-Based</w:t>
            </w:r>
          </w:p>
        </w:tc>
        <w:tc>
          <w:tcPr>
            <w:tcW w:w="7420" w:type="dxa"/>
            <w:vAlign w:val="bottom"/>
          </w:tcPr>
          <w:p>
            <w:pPr>
              <w:ind w:left="380"/>
              <w:spacing w:after="0"/>
              <w:rPr>
                <w:sz w:val="20"/>
                <w:szCs w:val="20"/>
                <w:color w:val="auto"/>
              </w:rPr>
            </w:pPr>
            <w:r>
              <w:rPr>
                <w:rFonts w:ascii="Arial" w:cs="Arial" w:eastAsia="Arial" w:hAnsi="Arial"/>
                <w:sz w:val="17"/>
                <w:szCs w:val="17"/>
                <w:color w:val="auto"/>
              </w:rPr>
              <w:t>investor.activision.com/policy-recoupment-performance-based-compensation</w:t>
            </w:r>
          </w:p>
        </w:tc>
      </w:tr>
      <w:tr>
        <w:trPr>
          <w:trHeight w:val="190"/>
        </w:trPr>
        <w:tc>
          <w:tcPr>
            <w:tcW w:w="3840" w:type="dxa"/>
            <w:vAlign w:val="bottom"/>
          </w:tcPr>
          <w:p>
            <w:pPr>
              <w:ind w:left="60"/>
              <w:spacing w:after="0" w:line="190" w:lineRule="exact"/>
              <w:rPr>
                <w:sz w:val="20"/>
                <w:szCs w:val="20"/>
                <w:color w:val="auto"/>
              </w:rPr>
            </w:pPr>
            <w:r>
              <w:rPr>
                <w:rFonts w:ascii="Arial" w:cs="Arial" w:eastAsia="Arial" w:hAnsi="Arial"/>
                <w:sz w:val="17"/>
                <w:szCs w:val="17"/>
                <w:color w:val="auto"/>
              </w:rPr>
              <w:t>Compensation Related to Certain Financial</w:t>
            </w:r>
          </w:p>
        </w:tc>
        <w:tc>
          <w:tcPr>
            <w:tcW w:w="7420" w:type="dxa"/>
            <w:vAlign w:val="bottom"/>
          </w:tcPr>
          <w:p>
            <w:pPr>
              <w:spacing w:after="0"/>
              <w:rPr>
                <w:sz w:val="16"/>
                <w:szCs w:val="16"/>
                <w:color w:val="auto"/>
              </w:rPr>
            </w:pPr>
          </w:p>
        </w:tc>
      </w:tr>
      <w:tr>
        <w:trPr>
          <w:trHeight w:val="201"/>
        </w:trPr>
        <w:tc>
          <w:tcPr>
            <w:tcW w:w="3840" w:type="dxa"/>
            <w:vAlign w:val="bottom"/>
          </w:tcPr>
          <w:p>
            <w:pPr>
              <w:ind w:left="60"/>
              <w:spacing w:after="0"/>
              <w:rPr>
                <w:sz w:val="20"/>
                <w:szCs w:val="20"/>
                <w:color w:val="auto"/>
              </w:rPr>
            </w:pPr>
            <w:r>
              <w:rPr>
                <w:rFonts w:ascii="Arial" w:cs="Arial" w:eastAsia="Arial" w:hAnsi="Arial"/>
                <w:sz w:val="17"/>
                <w:szCs w:val="17"/>
                <w:color w:val="auto"/>
              </w:rPr>
              <w:t>Restatements</w:t>
            </w:r>
          </w:p>
        </w:tc>
        <w:tc>
          <w:tcPr>
            <w:tcW w:w="7420" w:type="dxa"/>
            <w:vAlign w:val="bottom"/>
          </w:tcPr>
          <w:p>
            <w:pPr>
              <w:spacing w:after="0"/>
              <w:rPr>
                <w:sz w:val="17"/>
                <w:szCs w:val="17"/>
                <w:color w:val="auto"/>
              </w:rPr>
            </w:pPr>
          </w:p>
        </w:tc>
      </w:tr>
      <w:tr>
        <w:trPr>
          <w:trHeight w:val="33"/>
        </w:trPr>
        <w:tc>
          <w:tcPr>
            <w:tcW w:w="3840" w:type="dxa"/>
            <w:vAlign w:val="bottom"/>
            <w:tcBorders>
              <w:bottom w:val="single" w:sz="8" w:color="125288"/>
            </w:tcBorders>
          </w:tcPr>
          <w:p>
            <w:pPr>
              <w:spacing w:after="0"/>
              <w:rPr>
                <w:sz w:val="2"/>
                <w:szCs w:val="2"/>
                <w:color w:val="auto"/>
              </w:rPr>
            </w:pPr>
          </w:p>
        </w:tc>
        <w:tc>
          <w:tcPr>
            <w:tcW w:w="7420" w:type="dxa"/>
            <w:vAlign w:val="bottom"/>
            <w:tcBorders>
              <w:bottom w:val="single" w:sz="8" w:color="125288"/>
            </w:tcBorders>
          </w:tcPr>
          <w:p>
            <w:pPr>
              <w:spacing w:after="0"/>
              <w:rPr>
                <w:sz w:val="2"/>
                <w:szCs w:val="2"/>
                <w:color w:val="auto"/>
              </w:rPr>
            </w:pPr>
          </w:p>
        </w:tc>
      </w:tr>
      <w:tr>
        <w:trPr>
          <w:trHeight w:val="220"/>
        </w:trPr>
        <w:tc>
          <w:tcPr>
            <w:tcW w:w="3840" w:type="dxa"/>
            <w:vAlign w:val="bottom"/>
          </w:tcPr>
          <w:p>
            <w:pPr>
              <w:ind w:left="60"/>
              <w:spacing w:after="0"/>
              <w:rPr>
                <w:sz w:val="20"/>
                <w:szCs w:val="20"/>
                <w:color w:val="auto"/>
              </w:rPr>
            </w:pPr>
            <w:r>
              <w:rPr>
                <w:rFonts w:ascii="Arial" w:cs="Arial" w:eastAsia="Arial" w:hAnsi="Arial"/>
                <w:sz w:val="17"/>
                <w:szCs w:val="17"/>
                <w:color w:val="auto"/>
              </w:rPr>
              <w:t>Related Person Transactions Policy</w:t>
            </w:r>
          </w:p>
        </w:tc>
        <w:tc>
          <w:tcPr>
            <w:tcW w:w="7420" w:type="dxa"/>
            <w:vAlign w:val="bottom"/>
          </w:tcPr>
          <w:p>
            <w:pPr>
              <w:ind w:left="380"/>
              <w:spacing w:after="0"/>
              <w:rPr>
                <w:sz w:val="20"/>
                <w:szCs w:val="20"/>
                <w:color w:val="auto"/>
              </w:rPr>
            </w:pPr>
            <w:r>
              <w:rPr>
                <w:rFonts w:ascii="Arial" w:cs="Arial" w:eastAsia="Arial" w:hAnsi="Arial"/>
                <w:sz w:val="17"/>
                <w:szCs w:val="17"/>
                <w:color w:val="auto"/>
              </w:rPr>
              <w:t>investor.activision.com/related-person-transactions-policy</w:t>
            </w:r>
          </w:p>
        </w:tc>
      </w:tr>
      <w:tr>
        <w:trPr>
          <w:trHeight w:val="37"/>
        </w:trPr>
        <w:tc>
          <w:tcPr>
            <w:tcW w:w="3840" w:type="dxa"/>
            <w:vAlign w:val="bottom"/>
            <w:tcBorders>
              <w:bottom w:val="single" w:sz="8" w:color="125288"/>
            </w:tcBorders>
          </w:tcPr>
          <w:p>
            <w:pPr>
              <w:spacing w:after="0"/>
              <w:rPr>
                <w:sz w:val="3"/>
                <w:szCs w:val="3"/>
                <w:color w:val="auto"/>
              </w:rPr>
            </w:pPr>
          </w:p>
        </w:tc>
        <w:tc>
          <w:tcPr>
            <w:tcW w:w="7420" w:type="dxa"/>
            <w:vAlign w:val="bottom"/>
            <w:tcBorders>
              <w:bottom w:val="single" w:sz="8" w:color="125288"/>
            </w:tcBorders>
          </w:tcPr>
          <w:p>
            <w:pPr>
              <w:spacing w:after="0"/>
              <w:rPr>
                <w:sz w:val="3"/>
                <w:szCs w:val="3"/>
                <w:color w:val="auto"/>
              </w:rPr>
            </w:pPr>
          </w:p>
        </w:tc>
      </w:tr>
    </w:tbl>
    <w:p>
      <w:pPr>
        <w:spacing w:after="0" w:line="268"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Web links throughout this document are provided for convenience only, and the content on the referenced websites does not constitute a part of this proxy statement.</w:t>
      </w:r>
    </w:p>
    <w:p>
      <w:pPr>
        <w:spacing w:after="0" w:line="150" w:lineRule="exact"/>
        <w:rPr>
          <w:sz w:val="20"/>
          <w:szCs w:val="20"/>
          <w:color w:val="auto"/>
        </w:rPr>
      </w:pPr>
    </w:p>
    <w:p>
      <w:pPr>
        <w:spacing w:after="0"/>
        <w:tabs>
          <w:tab w:leader="none" w:pos="7360" w:val="left"/>
          <w:tab w:leader="none" w:pos="9380" w:val="left"/>
          <w:tab w:leader="none" w:pos="11000" w:val="left"/>
        </w:tabs>
        <w:rPr>
          <w:sz w:val="20"/>
          <w:szCs w:val="20"/>
          <w:color w:val="auto"/>
        </w:rPr>
      </w:pPr>
      <w:r>
        <w:rPr>
          <w:rFonts w:ascii="Arial" w:cs="Arial" w:eastAsia="Arial" w:hAnsi="Arial"/>
          <w:sz w:val="14"/>
          <w:szCs w:val="14"/>
          <w:color w:val="706F6F"/>
        </w:rPr>
        <w:t>www.activisionblizzard.com</w:t>
      </w:r>
      <w:r>
        <w:rPr>
          <w:sz w:val="20"/>
          <w:szCs w:val="20"/>
          <w:color w:val="auto"/>
        </w:rPr>
        <w:tab/>
      </w:r>
      <w:r>
        <w:rPr>
          <w:rFonts w:ascii="Arial" w:cs="Arial" w:eastAsia="Arial" w:hAnsi="Arial"/>
          <w:sz w:val="14"/>
          <w:szCs w:val="14"/>
          <w:color w:val="706F6F"/>
        </w:rPr>
        <w:t>ACTIVISION BLIZZARD, INC.</w:t>
        <w:tab/>
        <w:t>2022 Proxy Statement</w:t>
      </w:r>
      <w:r>
        <w:rPr>
          <w:sz w:val="20"/>
          <w:szCs w:val="20"/>
          <w:color w:val="auto"/>
        </w:rPr>
        <w:tab/>
      </w:r>
      <w:r>
        <w:rPr>
          <w:rFonts w:ascii="Arial" w:cs="Arial" w:eastAsia="Arial" w:hAnsi="Arial"/>
          <w:sz w:val="14"/>
          <w:szCs w:val="14"/>
          <w:b w:val="1"/>
          <w:bCs w:val="1"/>
          <w:color w:val="706F6F"/>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48830" cy="1524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56" w:name="page157"/>
    <w:bookmarkEnd w:id="156"/>
    <w:p>
      <w:pPr>
        <w:spacing w:after="0"/>
        <w:rPr>
          <w:rFonts w:ascii="Arial" w:cs="Arial" w:eastAsia="Arial" w:hAnsi="Arial"/>
          <w:sz w:val="12"/>
          <w:szCs w:val="12"/>
          <w:u w:val="single" w:color="auto"/>
          <w:color w:val="000FFF"/>
        </w:rPr>
      </w:pPr>
      <w:hyperlink w:anchor="page7">
        <w:r>
          <w:rPr>
            <w:rFonts w:ascii="Arial" w:cs="Arial" w:eastAsia="Arial" w:hAnsi="Arial"/>
            <w:sz w:val="12"/>
            <w:szCs w:val="12"/>
            <w:u w:val="single" w:color="auto"/>
            <w:color w:val="000F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287020</wp:posOffset>
            </wp:positionV>
            <wp:extent cx="7148830" cy="771461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48830" cy="7714615"/>
                    </a:xfrm>
                    <a:prstGeom prst="rect">
                      <a:avLst/>
                    </a:prstGeom>
                    <a:noFill/>
                  </pic:spPr>
                </pic:pic>
              </a:graphicData>
            </a:graphic>
          </wp:anchor>
        </w:drawing>
      </w:r>
    </w:p>
    <w:p>
      <w:pPr>
        <w:sectPr>
          <w:pgSz w:w="11900" w:h="16838" w:orient="portrait"/>
          <w:cols w:equalWidth="0" w:num="1">
            <w:col w:w="10139"/>
          </w:cols>
          <w:pgMar w:left="320" w:top="144" w:right="1440" w:bottom="1440" w:gutter="0" w:footer="0" w:header="0"/>
        </w:sectPr>
      </w:pPr>
    </w:p>
    <w:bookmarkStart w:id="157" w:name="page158"/>
    <w:bookmarkEnd w:id="157"/>
    <w:p>
      <w:pPr>
        <w:spacing w:after="0"/>
        <w:rPr>
          <w:rFonts w:ascii="Arial" w:cs="Arial" w:eastAsia="Arial" w:hAnsi="Arial"/>
          <w:sz w:val="12"/>
          <w:szCs w:val="12"/>
          <w:u w:val="single" w:color="auto"/>
          <w:color w:val="000FFF"/>
        </w:rPr>
      </w:pPr>
      <w:hyperlink w:anchor="page7">
        <w:r>
          <w:rPr>
            <w:rFonts w:ascii="Arial" w:cs="Arial" w:eastAsia="Arial" w:hAnsi="Arial"/>
            <w:sz w:val="12"/>
            <w:szCs w:val="12"/>
            <w:u w:val="single" w:color="auto"/>
            <w:color w:val="000F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287020</wp:posOffset>
            </wp:positionV>
            <wp:extent cx="7148830" cy="788860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48830" cy="7888605"/>
                    </a:xfrm>
                    <a:prstGeom prst="rect">
                      <a:avLst/>
                    </a:prstGeom>
                    <a:noFill/>
                  </pic:spPr>
                </pic:pic>
              </a:graphicData>
            </a:graphic>
          </wp:anchor>
        </w:drawing>
      </w:r>
    </w:p>
    <w:p>
      <w:pPr>
        <w:sectPr>
          <w:pgSz w:w="11900" w:h="16838" w:orient="portrait"/>
          <w:cols w:equalWidth="0" w:num="1">
            <w:col w:w="10139"/>
          </w:cols>
          <w:pgMar w:left="320" w:top="144" w:right="1440" w:bottom="1440" w:gutter="0" w:footer="0" w:header="0"/>
        </w:sectPr>
      </w:pPr>
    </w:p>
    <w:bookmarkStart w:id="158" w:name="page159"/>
    <w:bookmarkEnd w:id="158"/>
    <w:p>
      <w:pPr>
        <w:spacing w:after="0"/>
        <w:rPr>
          <w:rFonts w:ascii="Arial" w:cs="Arial" w:eastAsia="Arial" w:hAnsi="Arial"/>
          <w:sz w:val="12"/>
          <w:szCs w:val="12"/>
          <w:u w:val="single" w:color="auto"/>
          <w:color w:val="000FFF"/>
        </w:rPr>
      </w:pPr>
      <w:hyperlink w:anchor="page7">
        <w:r>
          <w:rPr>
            <w:rFonts w:ascii="Arial" w:cs="Arial" w:eastAsia="Arial" w:hAnsi="Arial"/>
            <w:sz w:val="12"/>
            <w:szCs w:val="12"/>
            <w:u w:val="single" w:color="auto"/>
            <w:color w:val="000F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287020</wp:posOffset>
            </wp:positionV>
            <wp:extent cx="7148830" cy="788860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48830" cy="7888605"/>
                    </a:xfrm>
                    <a:prstGeom prst="rect">
                      <a:avLst/>
                    </a:prstGeom>
                    <a:noFill/>
                  </pic:spPr>
                </pic:pic>
              </a:graphicData>
            </a:graphic>
          </wp:anchor>
        </w:drawing>
      </w:r>
    </w:p>
    <w:sectPr>
      <w:pgSz w:w="11900" w:h="16838" w:orient="portrait"/>
      <w:cols w:equalWidth="0" w:num="1">
        <w:col w:w="10139"/>
      </w:cols>
      <w:pgMar w:left="320" w:top="1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B8370B"/>
    <w:multiLevelType w:val="hybridMultilevel"/>
    <w:lvl w:ilvl="0">
      <w:lvlJc w:val="left"/>
      <w:lvlText w:val="(%1)"/>
      <w:numFmt w:val="decimal"/>
      <w:start w:val="1"/>
    </w:lvl>
  </w:abstractNum>
  <w:abstractNum w:abstractNumId="1">
    <w:nsid w:val="50801EE1"/>
    <w:multiLevelType w:val="hybridMultilevel"/>
    <w:lvl w:ilvl="0">
      <w:lvlJc w:val="left"/>
      <w:lvlText w:val="•"/>
      <w:numFmt w:val="bullet"/>
      <w:start w:val="1"/>
    </w:lvl>
    <w:lvl w:ilvl="1">
      <w:lvlJc w:val="left"/>
      <w:lvlText w:val="\endash "/>
      <w:numFmt w:val="bullet"/>
      <w:start w:val="1"/>
    </w:lvl>
  </w:abstractNum>
  <w:abstractNum w:abstractNumId="2">
    <w:nsid w:val="488AC1A"/>
    <w:multiLevelType w:val="hybridMultilevel"/>
    <w:lvl w:ilvl="0">
      <w:lvlJc w:val="left"/>
      <w:lvlText w:val="•"/>
      <w:numFmt w:val="bullet"/>
      <w:start w:val="1"/>
    </w:lvl>
  </w:abstractNum>
  <w:abstractNum w:abstractNumId="3">
    <w:nsid w:val="5FB8011C"/>
    <w:multiLevelType w:val="hybridMultilevel"/>
    <w:lvl w:ilvl="0">
      <w:lvlJc w:val="left"/>
      <w:lvlText w:val="•"/>
      <w:numFmt w:val="bullet"/>
      <w:start w:val="1"/>
    </w:lvl>
  </w:abstractNum>
  <w:abstractNum w:abstractNumId="4">
    <w:nsid w:val="6AA78F7F"/>
    <w:multiLevelType w:val="hybridMultilevel"/>
    <w:lvl w:ilvl="0">
      <w:lvlJc w:val="left"/>
      <w:lvlText w:val="•"/>
      <w:numFmt w:val="bullet"/>
      <w:start w:val="1"/>
    </w:lvl>
  </w:abstractNum>
  <w:abstractNum w:abstractNumId="5">
    <w:nsid w:val="7672BD23"/>
    <w:multiLevelType w:val="hybridMultilevel"/>
    <w:lvl w:ilvl="0">
      <w:lvlJc w:val="left"/>
      <w:lvlText w:val="•"/>
      <w:numFmt w:val="bullet"/>
      <w:start w:val="1"/>
    </w:lvl>
  </w:abstractNum>
  <w:abstractNum w:abstractNumId="6">
    <w:nsid w:val="6FC75AF8"/>
    <w:multiLevelType w:val="hybridMultilevel"/>
    <w:lvl w:ilvl="0">
      <w:lvlJc w:val="left"/>
      <w:lvlText w:val="•"/>
      <w:numFmt w:val="bullet"/>
      <w:start w:val="1"/>
    </w:lvl>
  </w:abstractNum>
  <w:abstractNum w:abstractNumId="7">
    <w:nsid w:val="6A5F7029"/>
    <w:multiLevelType w:val="hybridMultilevel"/>
    <w:lvl w:ilvl="0">
      <w:lvlJc w:val="left"/>
      <w:lvlText w:val="•"/>
      <w:numFmt w:val="bullet"/>
      <w:start w:val="1"/>
    </w:lvl>
  </w:abstractNum>
  <w:abstractNum w:abstractNumId="8">
    <w:nsid w:val="7D5E18F8"/>
    <w:multiLevelType w:val="hybridMultilevel"/>
    <w:lvl w:ilvl="0">
      <w:lvlJc w:val="left"/>
      <w:lvlText w:val="•"/>
      <w:numFmt w:val="bullet"/>
      <w:start w:val="1"/>
    </w:lvl>
  </w:abstractNum>
  <w:abstractNum w:abstractNumId="9">
    <w:nsid w:val="5F3534A4"/>
    <w:multiLevelType w:val="hybridMultilevel"/>
    <w:lvl w:ilvl="0">
      <w:lvlJc w:val="left"/>
      <w:lvlText w:val="•"/>
      <w:numFmt w:val="bullet"/>
      <w:start w:val="1"/>
    </w:lvl>
  </w:abstractNum>
  <w:abstractNum w:abstractNumId="10">
    <w:nsid w:val="73A1821B"/>
    <w:multiLevelType w:val="hybridMultilevel"/>
    <w:lvl w:ilvl="0">
      <w:lvlJc w:val="left"/>
      <w:lvlText w:val="•"/>
      <w:numFmt w:val="bullet"/>
      <w:start w:val="1"/>
    </w:lvl>
  </w:abstractNum>
  <w:abstractNum w:abstractNumId="11">
    <w:nsid w:val="7DE67713"/>
    <w:multiLevelType w:val="hybridMultilevel"/>
    <w:lvl w:ilvl="0">
      <w:lvlJc w:val="left"/>
      <w:lvlText w:val="•"/>
      <w:numFmt w:val="bullet"/>
      <w:start w:val="1"/>
    </w:lvl>
  </w:abstractNum>
  <w:abstractNum w:abstractNumId="12">
    <w:nsid w:val="555C55B5"/>
    <w:multiLevelType w:val="hybridMultilevel"/>
    <w:lvl w:ilvl="0">
      <w:lvlJc w:val="left"/>
      <w:lvlText w:val="•"/>
      <w:numFmt w:val="bullet"/>
      <w:start w:val="1"/>
    </w:lvl>
  </w:abstractNum>
  <w:abstractNum w:abstractNumId="13">
    <w:nsid w:val="3FA62ACA"/>
    <w:multiLevelType w:val="hybridMultilevel"/>
    <w:lvl w:ilvl="0">
      <w:lvlJc w:val="left"/>
      <w:lvlText w:val="•"/>
      <w:numFmt w:val="bullet"/>
      <w:start w:val="1"/>
    </w:lvl>
  </w:abstractNum>
  <w:abstractNum w:abstractNumId="14">
    <w:nsid w:val="14FCE74E"/>
    <w:multiLevelType w:val="hybridMultilevel"/>
    <w:lvl w:ilvl="0">
      <w:lvlJc w:val="left"/>
      <w:lvlText w:val="•"/>
      <w:numFmt w:val="bullet"/>
      <w:start w:val="1"/>
    </w:lvl>
  </w:abstractNum>
  <w:abstractNum w:abstractNumId="15">
    <w:nsid w:val="6A3DD3E8"/>
    <w:multiLevelType w:val="hybridMultilevel"/>
    <w:lvl w:ilvl="0">
      <w:lvlJc w:val="left"/>
      <w:lvlText w:val="•"/>
      <w:numFmt w:val="bullet"/>
      <w:start w:val="1"/>
    </w:lvl>
  </w:abstractNum>
  <w:abstractNum w:abstractNumId="16">
    <w:nsid w:val="71C91298"/>
    <w:multiLevelType w:val="hybridMultilevel"/>
    <w:lvl w:ilvl="0">
      <w:lvlJc w:val="left"/>
      <w:lvlText w:val="•"/>
      <w:numFmt w:val="bullet"/>
      <w:start w:val="1"/>
    </w:lvl>
  </w:abstractNum>
  <w:abstractNum w:abstractNumId="17">
    <w:nsid w:val="9DAF632"/>
    <w:multiLevelType w:val="hybridMultilevel"/>
    <w:lvl w:ilvl="0">
      <w:lvlJc w:val="left"/>
      <w:lvlText w:val="•"/>
      <w:numFmt w:val="bullet"/>
      <w:start w:val="1"/>
    </w:lvl>
  </w:abstractNum>
  <w:abstractNum w:abstractNumId="18">
    <w:nsid w:val="53299938"/>
    <w:multiLevelType w:val="hybridMultilevel"/>
    <w:lvl w:ilvl="0">
      <w:lvlJc w:val="left"/>
      <w:lvlText w:val="•"/>
      <w:numFmt w:val="bullet"/>
      <w:start w:val="1"/>
    </w:lvl>
  </w:abstractNum>
  <w:abstractNum w:abstractNumId="19">
    <w:nsid w:val="1FBFE8E0"/>
    <w:multiLevelType w:val="hybridMultilevel"/>
    <w:lvl w:ilvl="0">
      <w:lvlJc w:val="left"/>
      <w:lvlText w:val="•"/>
      <w:numFmt w:val="bullet"/>
      <w:start w:val="1"/>
    </w:lvl>
  </w:abstractNum>
  <w:abstractNum w:abstractNumId="20">
    <w:nsid w:val="5092CA79"/>
    <w:multiLevelType w:val="hybridMultilevel"/>
    <w:lvl w:ilvl="0">
      <w:lvlJc w:val="left"/>
      <w:lvlText w:val="•"/>
      <w:numFmt w:val="bullet"/>
      <w:start w:val="1"/>
    </w:lvl>
  </w:abstractNum>
  <w:abstractNum w:abstractNumId="21">
    <w:nsid w:val="1D545C4D"/>
    <w:multiLevelType w:val="hybridMultilevel"/>
    <w:lvl w:ilvl="0">
      <w:lvlJc w:val="left"/>
      <w:lvlText w:val="•"/>
      <w:numFmt w:val="bullet"/>
      <w:start w:val="1"/>
    </w:lvl>
  </w:abstractNum>
  <w:abstractNum w:abstractNumId="22">
    <w:nsid w:val="59ADEA3D"/>
    <w:multiLevelType w:val="hybridMultilevel"/>
    <w:lvl w:ilvl="0">
      <w:lvlJc w:val="left"/>
      <w:lvlText w:val="•"/>
      <w:numFmt w:val="bullet"/>
      <w:start w:val="1"/>
    </w:lvl>
  </w:abstractNum>
  <w:abstractNum w:abstractNumId="23">
    <w:nsid w:val="288F1A34"/>
    <w:multiLevelType w:val="hybridMultilevel"/>
    <w:lvl w:ilvl="0">
      <w:lvlJc w:val="left"/>
      <w:lvlText w:val="•"/>
      <w:numFmt w:val="bullet"/>
      <w:start w:val="1"/>
    </w:lvl>
  </w:abstractNum>
  <w:abstractNum w:abstractNumId="24">
    <w:nsid w:val="2A155DBC"/>
    <w:multiLevelType w:val="hybridMultilevel"/>
    <w:lvl w:ilvl="0">
      <w:lvlJc w:val="left"/>
      <w:lvlText w:val="•"/>
      <w:numFmt w:val="bullet"/>
      <w:start w:val="1"/>
    </w:lvl>
  </w:abstractNum>
  <w:abstractNum w:abstractNumId="25">
    <w:nsid w:val="1D9F6E5F"/>
    <w:multiLevelType w:val="hybridMultilevel"/>
    <w:lvl w:ilvl="0">
      <w:lvlJc w:val="left"/>
      <w:lvlText w:val="•"/>
      <w:numFmt w:val="bullet"/>
      <w:start w:val="1"/>
    </w:lvl>
  </w:abstractNum>
  <w:abstractNum w:abstractNumId="26">
    <w:nsid w:val="97E1B4E"/>
    <w:multiLevelType w:val="hybridMultilevel"/>
    <w:lvl w:ilvl="0">
      <w:lvlJc w:val="left"/>
      <w:lvlText w:val="•"/>
      <w:numFmt w:val="bullet"/>
      <w:start w:val="1"/>
    </w:lvl>
  </w:abstractNum>
  <w:abstractNum w:abstractNumId="27">
    <w:nsid w:val="51088277"/>
    <w:multiLevelType w:val="hybridMultilevel"/>
    <w:lvl w:ilvl="0">
      <w:lvlJc w:val="left"/>
      <w:lvlText w:val="•"/>
      <w:numFmt w:val="bullet"/>
      <w:start w:val="1"/>
    </w:lvl>
  </w:abstractNum>
  <w:abstractNum w:abstractNumId="28">
    <w:nsid w:val="1CA0C5FA"/>
    <w:multiLevelType w:val="hybridMultilevel"/>
    <w:lvl w:ilvl="0">
      <w:lvlJc w:val="left"/>
      <w:lvlText w:val="•"/>
      <w:numFmt w:val="bullet"/>
      <w:start w:val="1"/>
    </w:lvl>
    <w:lvl w:ilvl="1">
      <w:lvlJc w:val="left"/>
      <w:lvlText w:val="•"/>
      <w:numFmt w:val="bullet"/>
      <w:start w:val="1"/>
    </w:lvl>
  </w:abstractNum>
  <w:abstractNum w:abstractNumId="29">
    <w:nsid w:val="53584BCB"/>
    <w:multiLevelType w:val="hybridMultilevel"/>
    <w:lvl w:ilvl="0">
      <w:lvlJc w:val="left"/>
      <w:lvlText w:val="•"/>
      <w:numFmt w:val="bullet"/>
      <w:start w:val="1"/>
    </w:lvl>
    <w:lvl w:ilvl="1">
      <w:lvlJc w:val="left"/>
      <w:lvlText w:val="•"/>
      <w:numFmt w:val="bullet"/>
      <w:start w:val="1"/>
    </w:lvl>
  </w:abstractNum>
  <w:abstractNum w:abstractNumId="30">
    <w:nsid w:val="415E286C"/>
    <w:multiLevelType w:val="hybridMultilevel"/>
    <w:lvl w:ilvl="0">
      <w:lvlJc w:val="left"/>
      <w:lvlText w:val="•"/>
      <w:numFmt w:val="bullet"/>
      <w:start w:val="1"/>
    </w:lvl>
  </w:abstractNum>
  <w:abstractNum w:abstractNumId="31">
    <w:nsid w:val="7C58FD05"/>
    <w:multiLevelType w:val="hybridMultilevel"/>
    <w:lvl w:ilvl="0">
      <w:lvlJc w:val="left"/>
      <w:lvlText w:val="•"/>
      <w:numFmt w:val="bullet"/>
      <w:start w:val="1"/>
    </w:lvl>
  </w:abstractNum>
  <w:abstractNum w:abstractNumId="32">
    <w:nsid w:val="23D86AAC"/>
    <w:multiLevelType w:val="hybridMultilevel"/>
    <w:lvl w:ilvl="0">
      <w:lvlJc w:val="left"/>
      <w:lvlText w:val="•"/>
      <w:numFmt w:val="bullet"/>
      <w:start w:val="1"/>
    </w:lvl>
  </w:abstractNum>
  <w:abstractNum w:abstractNumId="33">
    <w:nsid w:val="45E6D486"/>
    <w:multiLevelType w:val="hybridMultilevel"/>
    <w:lvl w:ilvl="0">
      <w:lvlJc w:val="left"/>
      <w:lvlText w:val="•"/>
      <w:numFmt w:val="bullet"/>
      <w:start w:val="1"/>
    </w:lvl>
  </w:abstractNum>
  <w:abstractNum w:abstractNumId="34">
    <w:nsid w:val="5C10FE21"/>
    <w:multiLevelType w:val="hybridMultilevel"/>
    <w:lvl w:ilvl="0">
      <w:lvlJc w:val="left"/>
      <w:lvlText w:val="•"/>
      <w:numFmt w:val="bullet"/>
      <w:start w:val="1"/>
    </w:lvl>
  </w:abstractNum>
  <w:abstractNum w:abstractNumId="35">
    <w:nsid w:val="E7FFA2B"/>
    <w:multiLevelType w:val="hybridMultilevel"/>
    <w:lvl w:ilvl="0">
      <w:lvlJc w:val="left"/>
      <w:lvlText w:val="•"/>
      <w:numFmt w:val="bullet"/>
      <w:start w:val="1"/>
    </w:lvl>
  </w:abstractNum>
  <w:abstractNum w:abstractNumId="36">
    <w:nsid w:val="3C5991AA"/>
    <w:multiLevelType w:val="hybridMultilevel"/>
    <w:lvl w:ilvl="0">
      <w:lvlJc w:val="left"/>
      <w:lvlText w:val="•"/>
      <w:numFmt w:val="bullet"/>
      <w:start w:val="1"/>
    </w:lvl>
  </w:abstractNum>
  <w:abstractNum w:abstractNumId="37">
    <w:nsid w:val="4BD8591A"/>
    <w:multiLevelType w:val="hybridMultilevel"/>
    <w:lvl w:ilvl="0">
      <w:lvlJc w:val="left"/>
      <w:lvlText w:val="•"/>
      <w:numFmt w:val="bullet"/>
      <w:start w:val="1"/>
    </w:lvl>
  </w:abstractNum>
  <w:abstractNum w:abstractNumId="38">
    <w:nsid w:val="78DF6A55"/>
    <w:multiLevelType w:val="hybridMultilevel"/>
    <w:lvl w:ilvl="0">
      <w:lvlJc w:val="left"/>
      <w:lvlText w:val="•"/>
      <w:numFmt w:val="bullet"/>
      <w:start w:val="1"/>
    </w:lvl>
    <w:lvl w:ilvl="1">
      <w:lvlJc w:val="left"/>
      <w:lvlText w:val="\endash "/>
      <w:numFmt w:val="bullet"/>
      <w:start w:val="1"/>
    </w:lvl>
  </w:abstractNum>
  <w:abstractNum w:abstractNumId="39">
    <w:nsid w:val="39B7AAA2"/>
    <w:multiLevelType w:val="hybridMultilevel"/>
    <w:lvl w:ilvl="0">
      <w:lvlJc w:val="left"/>
      <w:lvlText w:val="•"/>
      <w:numFmt w:val="bullet"/>
      <w:start w:val="1"/>
    </w:lvl>
  </w:abstractNum>
  <w:abstractNum w:abstractNumId="40">
    <w:nsid w:val="2B0D8DBE"/>
    <w:multiLevelType w:val="hybridMultilevel"/>
    <w:lvl w:ilvl="0">
      <w:lvlJc w:val="left"/>
      <w:lvlText w:val="•"/>
      <w:numFmt w:val="bullet"/>
      <w:start w:val="1"/>
    </w:lvl>
  </w:abstractNum>
  <w:abstractNum w:abstractNumId="41">
    <w:nsid w:val="6C80EC70"/>
    <w:multiLevelType w:val="hybridMultilevel"/>
    <w:lvl w:ilvl="0">
      <w:lvlJc w:val="left"/>
      <w:lvlText w:val="•"/>
      <w:numFmt w:val="bullet"/>
      <w:start w:val="1"/>
    </w:lvl>
  </w:abstractNum>
  <w:abstractNum w:abstractNumId="42">
    <w:nsid w:val="379E21B5"/>
    <w:multiLevelType w:val="hybridMultilevel"/>
    <w:lvl w:ilvl="0">
      <w:lvlJc w:val="left"/>
      <w:lvlText w:val="•"/>
      <w:numFmt w:val="bullet"/>
      <w:start w:val="1"/>
    </w:lvl>
  </w:abstractNum>
  <w:abstractNum w:abstractNumId="43">
    <w:nsid w:val="69E373"/>
    <w:multiLevelType w:val="hybridMultilevel"/>
    <w:lvl w:ilvl="0">
      <w:lvlJc w:val="left"/>
      <w:lvlText w:val="•"/>
      <w:numFmt w:val="bullet"/>
      <w:start w:val="1"/>
    </w:lvl>
  </w:abstractNum>
  <w:abstractNum w:abstractNumId="44">
    <w:nsid w:val="2C27173B"/>
    <w:multiLevelType w:val="hybridMultilevel"/>
    <w:lvl w:ilvl="0">
      <w:lvlJc w:val="left"/>
      <w:lvlText w:val="•"/>
      <w:numFmt w:val="bullet"/>
      <w:start w:val="1"/>
    </w:lvl>
  </w:abstractNum>
  <w:abstractNum w:abstractNumId="45">
    <w:nsid w:val="4C9B0904"/>
    <w:multiLevelType w:val="hybridMultilevel"/>
    <w:lvl w:ilvl="0">
      <w:lvlJc w:val="left"/>
      <w:lvlText w:val="•"/>
      <w:numFmt w:val="bullet"/>
      <w:start w:val="1"/>
    </w:lvl>
  </w:abstractNum>
  <w:abstractNum w:abstractNumId="46">
    <w:nsid w:val="6AA7B75C"/>
    <w:multiLevelType w:val="hybridMultilevel"/>
    <w:lvl w:ilvl="0">
      <w:lvlJc w:val="left"/>
      <w:lvlText w:val="•"/>
      <w:numFmt w:val="bullet"/>
      <w:start w:val="1"/>
    </w:lvl>
  </w:abstractNum>
  <w:abstractNum w:abstractNumId="47">
    <w:nsid w:val="1DF029D3"/>
    <w:multiLevelType w:val="hybridMultilevel"/>
    <w:lvl w:ilvl="0">
      <w:lvlJc w:val="left"/>
      <w:lvlText w:val="•"/>
      <w:numFmt w:val="bullet"/>
      <w:start w:val="1"/>
    </w:lvl>
  </w:abstractNum>
  <w:abstractNum w:abstractNumId="48">
    <w:nsid w:val="5675FF36"/>
    <w:multiLevelType w:val="hybridMultilevel"/>
    <w:lvl w:ilvl="0">
      <w:lvlJc w:val="left"/>
      <w:lvlText w:val="•"/>
      <w:numFmt w:val="bullet"/>
      <w:start w:val="1"/>
    </w:lvl>
  </w:abstractNum>
  <w:abstractNum w:abstractNumId="49">
    <w:nsid w:val="3DD15094"/>
    <w:multiLevelType w:val="hybridMultilevel"/>
    <w:lvl w:ilvl="0">
      <w:lvlJc w:val="left"/>
      <w:lvlText w:val="•"/>
      <w:numFmt w:val="bullet"/>
      <w:start w:val="1"/>
    </w:lvl>
    <w:lvl w:ilvl="1">
      <w:lvlJc w:val="left"/>
      <w:lvlText w:val="\endash "/>
      <w:numFmt w:val="bullet"/>
      <w:start w:val="1"/>
    </w:lvl>
  </w:abstractNum>
  <w:abstractNum w:abstractNumId="50">
    <w:nsid w:val="3DB012B3"/>
    <w:multiLevelType w:val="hybridMultilevel"/>
    <w:lvl w:ilvl="0">
      <w:lvlJc w:val="left"/>
      <w:lvlText w:val="•"/>
      <w:numFmt w:val="bullet"/>
      <w:start w:val="1"/>
    </w:lvl>
    <w:lvl w:ilvl="1">
      <w:lvlJc w:val="left"/>
      <w:lvlText w:val="\endash "/>
      <w:numFmt w:val="bullet"/>
      <w:start w:val="1"/>
    </w:lvl>
  </w:abstractNum>
  <w:abstractNum w:abstractNumId="51">
    <w:nsid w:val="2708C9AF"/>
    <w:multiLevelType w:val="hybridMultilevel"/>
    <w:lvl w:ilvl="0">
      <w:lvlJc w:val="left"/>
      <w:lvlText w:val="•"/>
      <w:numFmt w:val="bullet"/>
      <w:start w:val="1"/>
    </w:lvl>
    <w:lvl w:ilvl="1">
      <w:lvlJc w:val="left"/>
      <w:lvlText w:val="\endash "/>
      <w:numFmt w:val="bullet"/>
      <w:start w:val="1"/>
    </w:lvl>
  </w:abstractNum>
  <w:abstractNum w:abstractNumId="52">
    <w:nsid w:val="5B25ACE2"/>
    <w:multiLevelType w:val="hybridMultilevel"/>
    <w:lvl w:ilvl="0">
      <w:lvlJc w:val="left"/>
      <w:lvlText w:val="•"/>
      <w:numFmt w:val="bullet"/>
      <w:start w:val="1"/>
    </w:lvl>
  </w:abstractNum>
  <w:abstractNum w:abstractNumId="53">
    <w:nsid w:val="175DFCF0"/>
    <w:multiLevelType w:val="hybridMultilevel"/>
    <w:lvl w:ilvl="0">
      <w:lvlJc w:val="left"/>
      <w:lvlText w:val="•"/>
      <w:numFmt w:val="bullet"/>
      <w:start w:val="1"/>
    </w:lvl>
  </w:abstractNum>
  <w:abstractNum w:abstractNumId="54">
    <w:nsid w:val="4F97E3E4"/>
    <w:multiLevelType w:val="hybridMultilevel"/>
    <w:lvl w:ilvl="0">
      <w:lvlJc w:val="left"/>
      <w:lvlText w:val="•"/>
      <w:numFmt w:val="bullet"/>
      <w:start w:val="1"/>
    </w:lvl>
  </w:abstractNum>
  <w:abstractNum w:abstractNumId="55">
    <w:nsid w:val="53B0A9E"/>
    <w:multiLevelType w:val="hybridMultilevel"/>
    <w:lvl w:ilvl="0">
      <w:lvlJc w:val="left"/>
      <w:lvlText w:val="•"/>
      <w:numFmt w:val="bullet"/>
      <w:start w:val="1"/>
    </w:lvl>
  </w:abstractNum>
  <w:abstractNum w:abstractNumId="56">
    <w:nsid w:val="34FD6B4F"/>
    <w:multiLevelType w:val="hybridMultilevel"/>
    <w:lvl w:ilvl="0">
      <w:lvlJc w:val="left"/>
      <w:lvlText w:val="•"/>
      <w:numFmt w:val="bullet"/>
      <w:start w:val="1"/>
    </w:lvl>
  </w:abstractNum>
  <w:abstractNum w:abstractNumId="57">
    <w:nsid w:val="5915FF32"/>
    <w:multiLevelType w:val="hybridMultilevel"/>
    <w:lvl w:ilvl="0">
      <w:lvlJc w:val="left"/>
      <w:lvlText w:val="•"/>
      <w:numFmt w:val="bullet"/>
      <w:start w:val="1"/>
    </w:lvl>
  </w:abstractNum>
  <w:abstractNum w:abstractNumId="58">
    <w:nsid w:val="56438D15"/>
    <w:multiLevelType w:val="hybridMultilevel"/>
    <w:lvl w:ilvl="0">
      <w:lvlJc w:val="left"/>
      <w:lvlText w:val="•"/>
      <w:numFmt w:val="bullet"/>
      <w:start w:val="1"/>
    </w:lvl>
  </w:abstractNum>
  <w:abstractNum w:abstractNumId="59">
    <w:nsid w:val="519E3149"/>
    <w:multiLevelType w:val="hybridMultilevel"/>
    <w:lvl w:ilvl="0">
      <w:lvlJc w:val="left"/>
      <w:lvlText w:val="(%1)"/>
      <w:numFmt w:val="decimal"/>
      <w:start w:val="1"/>
    </w:lvl>
  </w:abstractNum>
  <w:abstractNum w:abstractNumId="60">
    <w:nsid w:val="2C6E4AFD"/>
    <w:multiLevelType w:val="hybridMultilevel"/>
    <w:lvl w:ilvl="0">
      <w:lvlJc w:val="left"/>
      <w:lvlText w:val="(%1)"/>
      <w:numFmt w:val="lowerLetter"/>
      <w:start w:val="1"/>
    </w:lvl>
  </w:abstractNum>
  <w:abstractNum w:abstractNumId="61">
    <w:nsid w:val="17A1B582"/>
    <w:multiLevelType w:val="hybridMultilevel"/>
    <w:lvl w:ilvl="0">
      <w:lvlJc w:val="left"/>
      <w:lvlText w:val="•"/>
      <w:numFmt w:val="bullet"/>
      <w:start w:val="1"/>
    </w:lvl>
  </w:abstractNum>
  <w:abstractNum w:abstractNumId="62">
    <w:nsid w:val="4DF72E4E"/>
    <w:multiLevelType w:val="hybridMultilevel"/>
    <w:lvl w:ilvl="0">
      <w:lvlJc w:val="left"/>
      <w:lvlText w:val="•"/>
      <w:numFmt w:val="bullet"/>
      <w:start w:val="1"/>
    </w:lvl>
  </w:abstractNum>
  <w:abstractNum w:abstractNumId="63">
    <w:nsid w:val="5046B5A9"/>
    <w:multiLevelType w:val="hybridMultilevel"/>
    <w:lvl w:ilvl="0">
      <w:lvlJc w:val="left"/>
      <w:lvlText w:val="•"/>
      <w:numFmt w:val="bullet"/>
      <w:start w:val="1"/>
    </w:lvl>
  </w:abstractNum>
  <w:abstractNum w:abstractNumId="64">
    <w:nsid w:val="5D888A08"/>
    <w:multiLevelType w:val="hybridMultilevel"/>
    <w:lvl w:ilvl="0">
      <w:lvlJc w:val="left"/>
      <w:lvlText w:val="•"/>
      <w:numFmt w:val="bullet"/>
      <w:start w:val="1"/>
    </w:lvl>
  </w:abstractNum>
  <w:abstractNum w:abstractNumId="65">
    <w:nsid w:val="2A082C70"/>
    <w:multiLevelType w:val="hybridMultilevel"/>
    <w:lvl w:ilvl="0">
      <w:lvlJc w:val="left"/>
      <w:lvlText w:val="•"/>
      <w:numFmt w:val="bullet"/>
      <w:start w:val="1"/>
    </w:lvl>
  </w:abstractNum>
  <w:abstractNum w:abstractNumId="66">
    <w:nsid w:val="5EC6AFD4"/>
    <w:multiLevelType w:val="hybridMultilevel"/>
    <w:lvl w:ilvl="0">
      <w:lvlJc w:val="left"/>
      <w:lvlText w:val="•"/>
      <w:numFmt w:val="bullet"/>
      <w:start w:val="1"/>
    </w:lvl>
  </w:abstractNum>
  <w:abstractNum w:abstractNumId="67">
    <w:nsid w:val="19E21BB2"/>
    <w:multiLevelType w:val="hybridMultilevel"/>
    <w:lvl w:ilvl="0">
      <w:lvlJc w:val="left"/>
      <w:lvlText w:val="•"/>
      <w:numFmt w:val="bullet"/>
      <w:start w:val="1"/>
    </w:lvl>
    <w:lvl w:ilvl="1">
      <w:lvlJc w:val="left"/>
      <w:lvlText w:val="•"/>
      <w:numFmt w:val="bullet"/>
      <w:start w:val="1"/>
    </w:lvl>
  </w:abstractNum>
  <w:abstractNum w:abstractNumId="68">
    <w:nsid w:val="75E0858A"/>
    <w:multiLevelType w:val="hybridMultilevel"/>
    <w:lvl w:ilvl="0">
      <w:lvlJc w:val="left"/>
      <w:lvlText w:val="•"/>
      <w:numFmt w:val="bullet"/>
      <w:start w:val="1"/>
    </w:lvl>
    <w:lvl w:ilvl="1">
      <w:lvlJc w:val="left"/>
      <w:lvlText w:val="•"/>
      <w:numFmt w:val="bullet"/>
      <w:start w:val="1"/>
    </w:lvl>
  </w:abstractNum>
  <w:abstractNum w:abstractNumId="69">
    <w:nsid w:val="57A61A29"/>
    <w:multiLevelType w:val="hybridMultilevel"/>
    <w:lvl w:ilvl="0">
      <w:lvlJc w:val="left"/>
      <w:lvlText w:val="•"/>
      <w:numFmt w:val="bullet"/>
      <w:start w:val="1"/>
    </w:lvl>
  </w:abstractNum>
  <w:abstractNum w:abstractNumId="70">
    <w:nsid w:val="5399C654"/>
    <w:multiLevelType w:val="hybridMultilevel"/>
    <w:lvl w:ilvl="0">
      <w:lvlJc w:val="left"/>
      <w:lvlText w:val="•"/>
      <w:numFmt w:val="bullet"/>
      <w:start w:val="1"/>
    </w:lvl>
    <w:lvl w:ilvl="1">
      <w:lvlJc w:val="left"/>
      <w:lvlText w:val="•"/>
      <w:numFmt w:val="bullet"/>
      <w:start w:val="1"/>
    </w:lvl>
  </w:abstractNum>
  <w:abstractNum w:abstractNumId="71">
    <w:nsid w:val="20EE1348"/>
    <w:multiLevelType w:val="hybridMultilevel"/>
    <w:lvl w:ilvl="0">
      <w:lvlJc w:val="left"/>
      <w:lvlText w:val="•"/>
      <w:numFmt w:val="bullet"/>
      <w:start w:val="1"/>
    </w:lvl>
  </w:abstractNum>
  <w:abstractNum w:abstractNumId="72">
    <w:nsid w:val="4427069A"/>
    <w:multiLevelType w:val="hybridMultilevel"/>
    <w:lvl w:ilvl="0">
      <w:lvlJc w:val="left"/>
      <w:lvlText w:val="•"/>
      <w:numFmt w:val="bullet"/>
      <w:start w:val="1"/>
    </w:lvl>
  </w:abstractNum>
  <w:abstractNum w:abstractNumId="73">
    <w:nsid w:val="B37E80A"/>
    <w:multiLevelType w:val="hybridMultilevel"/>
    <w:lvl w:ilvl="0">
      <w:lvlJc w:val="left"/>
      <w:lvlText w:val="•"/>
      <w:numFmt w:val="bullet"/>
      <w:start w:val="1"/>
    </w:lvl>
  </w:abstractNum>
  <w:abstractNum w:abstractNumId="74">
    <w:nsid w:val="2157F6BC"/>
    <w:multiLevelType w:val="hybridMultilevel"/>
    <w:lvl w:ilvl="0">
      <w:lvlJc w:val="left"/>
      <w:lvlText w:val="•"/>
      <w:numFmt w:val="bullet"/>
      <w:start w:val="1"/>
    </w:lvl>
  </w:abstractNum>
  <w:abstractNum w:abstractNumId="75">
    <w:nsid w:val="704E1DD5"/>
    <w:multiLevelType w:val="hybridMultilevel"/>
    <w:lvl w:ilvl="0">
      <w:lvlJc w:val="left"/>
      <w:lvlText w:val="•"/>
      <w:numFmt w:val="bullet"/>
      <w:start w:val="1"/>
    </w:lvl>
  </w:abstractNum>
  <w:abstractNum w:abstractNumId="76">
    <w:nsid w:val="57D2F10E"/>
    <w:multiLevelType w:val="hybridMultilevel"/>
    <w:lvl w:ilvl="0">
      <w:lvlJc w:val="left"/>
      <w:lvlText w:val="•"/>
      <w:numFmt w:val="bullet"/>
      <w:start w:val="1"/>
    </w:lvl>
  </w:abstractNum>
  <w:abstractNum w:abstractNumId="77">
    <w:nsid w:val="BFFAE18"/>
    <w:multiLevelType w:val="hybridMultilevel"/>
    <w:lvl w:ilvl="0">
      <w:lvlJc w:val="left"/>
      <w:lvlText w:val="•"/>
      <w:numFmt w:val="bullet"/>
      <w:start w:val="1"/>
    </w:lvl>
  </w:abstractNum>
  <w:abstractNum w:abstractNumId="78">
    <w:nsid w:val="E3E47A8"/>
    <w:multiLevelType w:val="hybridMultilevel"/>
    <w:lvl w:ilvl="0">
      <w:lvlJc w:val="left"/>
      <w:lvlText w:val="•"/>
      <w:numFmt w:val="bullet"/>
      <w:start w:val="1"/>
    </w:lvl>
  </w:abstractNum>
  <w:abstractNum w:abstractNumId="79">
    <w:nsid w:val="2E48F044"/>
    <w:multiLevelType w:val="hybridMultilevel"/>
    <w:lvl w:ilvl="0">
      <w:lvlJc w:val="left"/>
      <w:lvlText w:val="•"/>
      <w:numFmt w:val="bullet"/>
      <w:start w:val="1"/>
    </w:lvl>
  </w:abstractNum>
  <w:abstractNum w:abstractNumId="80">
    <w:nsid w:val="49D0FEAC"/>
    <w:multiLevelType w:val="hybridMultilevel"/>
    <w:lvl w:ilvl="0">
      <w:lvlJc w:val="left"/>
      <w:lvlText w:val="*"/>
      <w:numFmt w:val="bullet"/>
      <w:start w:val="1"/>
    </w:lvl>
  </w:abstractNum>
  <w:abstractNum w:abstractNumId="81">
    <w:nsid w:val="4BEE5A5B"/>
    <w:multiLevelType w:val="hybridMultilevel"/>
    <w:lvl w:ilvl="0">
      <w:lvlJc w:val="left"/>
      <w:lvlText w:val="•"/>
      <w:numFmt w:val="bullet"/>
      <w:start w:val="1"/>
    </w:lvl>
  </w:abstractNum>
  <w:abstractNum w:abstractNumId="82">
    <w:nsid w:val="5551B9F3"/>
    <w:multiLevelType w:val="hybridMultilevel"/>
    <w:lvl w:ilvl="0">
      <w:lvlJc w:val="left"/>
      <w:lvlText w:val="(%1)"/>
      <w:numFmt w:val="decimal"/>
      <w:start w:val="1"/>
    </w:lvl>
  </w:abstractNum>
  <w:abstractNum w:abstractNumId="83">
    <w:nsid w:val="24F6AB8E"/>
    <w:multiLevelType w:val="hybridMultilevel"/>
    <w:lvl w:ilvl="0">
      <w:lvlJc w:val="left"/>
      <w:lvlText w:val="•"/>
      <w:numFmt w:val="bullet"/>
      <w:start w:val="1"/>
    </w:lvl>
  </w:abstractNum>
  <w:abstractNum w:abstractNumId="84">
    <w:nsid w:val="634C574C"/>
    <w:multiLevelType w:val="hybridMultilevel"/>
    <w:lvl w:ilvl="0">
      <w:lvlJc w:val="left"/>
      <w:lvlText w:val="•"/>
      <w:numFmt w:val="bullet"/>
      <w:start w:val="1"/>
    </w:lvl>
  </w:abstractNum>
  <w:abstractNum w:abstractNumId="85">
    <w:nsid w:val="24E99DD7"/>
    <w:multiLevelType w:val="hybridMultilevel"/>
    <w:lvl w:ilvl="0">
      <w:lvlJc w:val="left"/>
      <w:lvlText w:val="•"/>
      <w:numFmt w:val="bullet"/>
      <w:start w:val="1"/>
    </w:lvl>
  </w:abstractNum>
  <w:abstractNum w:abstractNumId="86">
    <w:nsid w:val="2A31B62D"/>
    <w:multiLevelType w:val="hybridMultilevel"/>
    <w:lvl w:ilvl="0">
      <w:lvlJc w:val="left"/>
      <w:lvlText w:val="•"/>
      <w:numFmt w:val="bullet"/>
      <w:start w:val="1"/>
    </w:lvl>
    <w:lvl w:ilvl="1">
      <w:lvlJc w:val="left"/>
      <w:lvlText w:val="\endash "/>
      <w:numFmt w:val="bullet"/>
      <w:start w:val="1"/>
    </w:lvl>
  </w:abstractNum>
  <w:abstractNum w:abstractNumId="87">
    <w:nsid w:val="1849C29B"/>
    <w:multiLevelType w:val="hybridMultilevel"/>
    <w:lvl w:ilvl="0">
      <w:lvlJc w:val="left"/>
      <w:lvlText w:val="•"/>
      <w:numFmt w:val="bullet"/>
      <w:start w:val="1"/>
    </w:lvl>
    <w:lvl w:ilvl="1">
      <w:lvlJc w:val="left"/>
      <w:lvlText w:val="\endash "/>
      <w:numFmt w:val="bullet"/>
      <w:start w:val="1"/>
    </w:lvl>
  </w:abstractNum>
  <w:abstractNum w:abstractNumId="88">
    <w:nsid w:val="7DFF9D09"/>
    <w:multiLevelType w:val="hybridMultilevel"/>
    <w:lvl w:ilvl="0">
      <w:lvlJc w:val="left"/>
      <w:lvlText w:val="\endash "/>
      <w:numFmt w:val="bullet"/>
      <w:start w:val="1"/>
    </w:lvl>
  </w:abstractNum>
  <w:abstractNum w:abstractNumId="89">
    <w:nsid w:val="754342"/>
    <w:multiLevelType w:val="hybridMultilevel"/>
    <w:lvl w:ilvl="0">
      <w:lvlJc w:val="left"/>
      <w:lvlText w:val="•"/>
      <w:numFmt w:val="bullet"/>
      <w:start w:val="1"/>
    </w:lvl>
  </w:abstractNum>
  <w:abstractNum w:abstractNumId="90">
    <w:nsid w:val="69E7F3E5"/>
    <w:multiLevelType w:val="hybridMultilevel"/>
    <w:lvl w:ilvl="0">
      <w:lvlJc w:val="left"/>
      <w:lvlText w:val="•"/>
      <w:numFmt w:val="bullet"/>
      <w:start w:val="1"/>
    </w:lvl>
  </w:abstractNum>
  <w:abstractNum w:abstractNumId="91">
    <w:nsid w:val="2A6DE806"/>
    <w:multiLevelType w:val="hybridMultilevel"/>
    <w:lvl w:ilvl="0">
      <w:lvlJc w:val="left"/>
      <w:lvlText w:val="•"/>
      <w:numFmt w:val="bullet"/>
      <w:start w:val="1"/>
    </w:lvl>
  </w:abstractNum>
  <w:abstractNum w:abstractNumId="92">
    <w:nsid w:val="1816F8C4"/>
    <w:multiLevelType w:val="hybridMultilevel"/>
    <w:lvl w:ilvl="0">
      <w:lvlJc w:val="left"/>
      <w:lvlText w:val="(%1)"/>
      <w:numFmt w:val="decimal"/>
      <w:start w:val="1"/>
    </w:lvl>
  </w:abstractNum>
  <w:abstractNum w:abstractNumId="93">
    <w:nsid w:val="37DF2233"/>
    <w:multiLevelType w:val="hybridMultilevel"/>
    <w:lvl w:ilvl="0">
      <w:lvlJc w:val="left"/>
      <w:lvlText w:val="(%1)"/>
      <w:numFmt w:val="decimal"/>
      <w:start w:val="1"/>
    </w:lvl>
  </w:abstractNum>
  <w:abstractNum w:abstractNumId="94">
    <w:nsid w:val="7AB49DAF"/>
    <w:multiLevelType w:val="hybridMultilevel"/>
    <w:lvl w:ilvl="0">
      <w:lvlJc w:val="left"/>
      <w:lvlText w:val="(%1)"/>
      <w:numFmt w:val="decimal"/>
      <w:start w:val="1"/>
    </w:lvl>
  </w:abstractNum>
  <w:abstractNum w:abstractNumId="95">
    <w:nsid w:val="759F82CD"/>
    <w:multiLevelType w:val="hybridMultilevel"/>
    <w:lvl w:ilvl="0">
      <w:lvlJc w:val="left"/>
      <w:lvlText w:val="(%1)"/>
      <w:numFmt w:val="decimal"/>
      <w:start w:val="1"/>
    </w:lvl>
  </w:abstractNum>
  <w:abstractNum w:abstractNumId="96">
    <w:nsid w:val="61E74EA3"/>
    <w:multiLevelType w:val="hybridMultilevel"/>
    <w:lvl w:ilvl="0">
      <w:lvlJc w:val="left"/>
      <w:lvlText w:val="•"/>
      <w:numFmt w:val="bullet"/>
      <w:start w:val="1"/>
    </w:lvl>
  </w:abstractNum>
  <w:abstractNum w:abstractNumId="97">
    <w:nsid w:val="597B4D84"/>
    <w:multiLevelType w:val="hybridMultilevel"/>
    <w:lvl w:ilvl="0">
      <w:lvlJc w:val="left"/>
      <w:lvlText w:val="•"/>
      <w:numFmt w:val="bullet"/>
      <w:start w:val="1"/>
    </w:lvl>
  </w:abstractNum>
  <w:abstractNum w:abstractNumId="98">
    <w:nsid w:val="F819E7F"/>
    <w:multiLevelType w:val="hybridMultilevel"/>
    <w:lvl w:ilvl="0">
      <w:lvlJc w:val="left"/>
      <w:lvlText w:val="•"/>
      <w:numFmt w:val="bullet"/>
      <w:start w:val="1"/>
    </w:lvl>
  </w:abstractNum>
  <w:abstractNum w:abstractNumId="99">
    <w:nsid w:val="57C7D42D"/>
    <w:multiLevelType w:val="hybridMultilevel"/>
    <w:lvl w:ilvl="0">
      <w:lvlJc w:val="left"/>
      <w:lvlText w:val="(%1)"/>
      <w:numFmt w:val="decimal"/>
      <w:start w:val="1"/>
    </w:lvl>
  </w:abstractNum>
  <w:abstractNum w:abstractNumId="100">
    <w:nsid w:val="312167AD"/>
    <w:multiLevelType w:val="hybridMultilevel"/>
    <w:lvl w:ilvl="0">
      <w:lvlJc w:val="left"/>
      <w:lvlText w:val="(%1)"/>
      <w:numFmt w:val="decimal"/>
      <w:start w:val="1"/>
    </w:lvl>
  </w:abstractNum>
  <w:abstractNum w:abstractNumId="101">
    <w:nsid w:val="631B64D4"/>
    <w:multiLevelType w:val="hybridMultilevel"/>
    <w:lvl w:ilvl="0">
      <w:lvlJc w:val="left"/>
      <w:lvlText w:val="(%1)"/>
      <w:numFmt w:val="decimal"/>
      <w:start w:val="1"/>
    </w:lvl>
  </w:abstractNum>
  <w:abstractNum w:abstractNumId="102">
    <w:nsid w:val="78B5E776"/>
    <w:multiLevelType w:val="hybridMultilevel"/>
    <w:lvl w:ilvl="0">
      <w:lvlJc w:val="left"/>
      <w:lvlText w:val="(%1)"/>
      <w:numFmt w:val="decimal"/>
      <w:start w:val="1"/>
    </w:lvl>
  </w:abstractNum>
  <w:abstractNum w:abstractNumId="103">
    <w:nsid w:val="75486E47"/>
    <w:multiLevelType w:val="hybridMultilevel"/>
    <w:lvl w:ilvl="0">
      <w:lvlJc w:val="left"/>
      <w:lvlText w:val="%1"/>
      <w:numFmt w:val="decimal"/>
      <w:start w:val="1"/>
    </w:lvl>
    <w:lvl w:ilvl="1">
      <w:lvlJc w:val="left"/>
      <w:lvlText w:val="(%2)"/>
      <w:numFmt w:val="lowerLetter"/>
      <w:start w:val="1"/>
    </w:lvl>
  </w:abstractNum>
  <w:abstractNum w:abstractNumId="104">
    <w:nsid w:val="6E534CDE"/>
    <w:multiLevelType w:val="hybridMultilevel"/>
    <w:lvl w:ilvl="0">
      <w:lvlJc w:val="left"/>
      <w:lvlText w:val="(%1)"/>
      <w:numFmt w:val="decimal"/>
      <w:start w:val="3"/>
    </w:lvl>
    <w:lvl w:ilvl="1">
      <w:lvlJc w:val="left"/>
      <w:lvlText w:val="%2"/>
      <w:numFmt w:val="lowerLetter"/>
      <w:start w:val="1"/>
    </w:lvl>
  </w:abstractNum>
  <w:abstractNum w:abstractNumId="105">
    <w:nsid w:val="1A0DDE32"/>
    <w:multiLevelType w:val="hybridMultilevel"/>
    <w:lvl w:ilvl="0">
      <w:lvlJc w:val="left"/>
      <w:lvlText w:val="(%1)"/>
      <w:numFmt w:val="lowerLetter"/>
      <w:start w:val="1"/>
    </w:lvl>
  </w:abstractNum>
  <w:abstractNum w:abstractNumId="106">
    <w:nsid w:val="65968C1C"/>
    <w:multiLevelType w:val="hybridMultilevel"/>
    <w:lvl w:ilvl="0">
      <w:lvlJc w:val="left"/>
      <w:lvlText w:val="(%1)"/>
      <w:numFmt w:val="decimal"/>
      <w:start w:val="6"/>
    </w:lvl>
  </w:abstractNum>
  <w:abstractNum w:abstractNumId="107">
    <w:nsid w:val="46263DEC"/>
    <w:multiLevelType w:val="hybridMultilevel"/>
    <w:lvl w:ilvl="0">
      <w:lvlJc w:val="left"/>
      <w:lvlText w:val="(%1)"/>
      <w:numFmt w:val="decimal"/>
      <w:start w:val="1"/>
    </w:lvl>
  </w:abstractNum>
  <w:abstractNum w:abstractNumId="108">
    <w:nsid w:val="260D8C4A"/>
    <w:multiLevelType w:val="hybridMultilevel"/>
    <w:lvl w:ilvl="0">
      <w:lvlJc w:val="left"/>
      <w:lvlText w:val="(%1)"/>
      <w:numFmt w:val="decimal"/>
      <w:start w:val="12"/>
    </w:lvl>
  </w:abstractNum>
  <w:abstractNum w:abstractNumId="109">
    <w:nsid w:val="73D4D3C4"/>
    <w:multiLevelType w:val="hybridMultilevel"/>
    <w:lvl w:ilvl="0">
      <w:lvlJc w:val="left"/>
      <w:lvlText w:val="(%1)"/>
      <w:numFmt w:val="decimal"/>
      <w:start w:val="24"/>
    </w:lvl>
  </w:abstractNum>
  <w:abstractNum w:abstractNumId="110">
    <w:nsid w:val="746F2E30"/>
    <w:multiLevelType w:val="hybridMultilevel"/>
    <w:lvl w:ilvl="0">
      <w:lvlJc w:val="left"/>
      <w:lvlText w:val="(%1)"/>
      <w:numFmt w:val="decimal"/>
      <w:start w:val="37"/>
    </w:lvl>
  </w:abstractNum>
  <w:abstractNum w:abstractNumId="111">
    <w:nsid w:val="6FDE8AF6"/>
    <w:multiLevelType w:val="hybridMultilevel"/>
    <w:lvl w:ilvl="0">
      <w:lvlJc w:val="left"/>
      <w:lvlText w:val="(%1)"/>
      <w:numFmt w:val="decimal"/>
      <w:start w:val="1"/>
    </w:lvl>
  </w:abstractNum>
  <w:abstractNum w:abstractNumId="112">
    <w:nsid w:val="3FC32E20"/>
    <w:multiLevelType w:val="hybridMultilevel"/>
    <w:lvl w:ilvl="0">
      <w:lvlJc w:val="left"/>
      <w:lvlText w:val="(%1)"/>
      <w:numFmt w:val="decimal"/>
      <w:start w:val="14"/>
    </w:lvl>
  </w:abstractNum>
  <w:abstractNum w:abstractNumId="113">
    <w:nsid w:val="49C0E823"/>
    <w:multiLevelType w:val="hybridMultilevel"/>
    <w:lvl w:ilvl="0">
      <w:lvlJc w:val="left"/>
      <w:lvlText w:val="(%1)"/>
      <w:numFmt w:val="decimal"/>
      <w:start w:val="35"/>
    </w:lvl>
  </w:abstractNum>
  <w:abstractNum w:abstractNumId="114">
    <w:nsid w:val="14D53685"/>
    <w:multiLevelType w:val="hybridMultilevel"/>
    <w:lvl w:ilvl="0">
      <w:lvlJc w:val="left"/>
      <w:lvlText w:val="(%1)"/>
      <w:numFmt w:val="decimal"/>
      <w:start w:val="58"/>
    </w:lvl>
  </w:abstractNum>
  <w:abstractNum w:abstractNumId="115">
    <w:nsid w:val="230F856C"/>
    <w:multiLevelType w:val="hybridMultilevel"/>
    <w:lvl w:ilvl="0">
      <w:lvlJc w:val="left"/>
      <w:lvlText w:val="(%1)"/>
      <w:numFmt w:val="decimal"/>
      <w:start w:val="1"/>
    </w:lvl>
  </w:abstractNum>
  <w:abstractNum w:abstractNumId="116">
    <w:nsid w:val="6EAA85FB"/>
    <w:multiLevelType w:val="hybridMultilevel"/>
    <w:lvl w:ilvl="0">
      <w:lvlJc w:val="left"/>
      <w:lvlText w:val="*"/>
      <w:numFmt w:val="bullet"/>
      <w:start w:val="1"/>
    </w:lvl>
  </w:abstractNum>
  <w:abstractNum w:abstractNumId="117">
    <w:nsid w:val="3F06ECB2"/>
    <w:multiLevelType w:val="hybridMultilevel"/>
    <w:lvl w:ilvl="0">
      <w:lvlJc w:val="left"/>
      <w:lvlText w:val="•"/>
      <w:numFmt w:val="bullet"/>
      <w:start w:val="1"/>
    </w:lvl>
  </w:abstractNum>
  <w:abstractNum w:abstractNumId="118">
    <w:nsid w:val="3B594807"/>
    <w:multiLevelType w:val="hybridMultilevel"/>
    <w:lvl w:ilvl="0">
      <w:lvlJc w:val="left"/>
      <w:lvlText w:val="•"/>
      <w:numFmt w:val="bullet"/>
      <w:start w:val="1"/>
    </w:lvl>
  </w:abstractNum>
  <w:abstractNum w:abstractNumId="119">
    <w:nsid w:val="6CAA2304"/>
    <w:multiLevelType w:val="hybridMultilevel"/>
    <w:lvl w:ilvl="0">
      <w:lvlJc w:val="left"/>
      <w:lvlText w:val="•"/>
      <w:numFmt w:val="bullet"/>
      <w:start w:val="1"/>
    </w:lvl>
  </w:abstractNum>
  <w:abstractNum w:abstractNumId="120">
    <w:nsid w:val="3F7C2FF4"/>
    <w:multiLevelType w:val="hybridMultilevel"/>
    <w:lvl w:ilvl="0">
      <w:lvlJc w:val="left"/>
      <w:lvlText w:val="•"/>
      <w:numFmt w:val="bullet"/>
      <w:start w:val="1"/>
    </w:lvl>
  </w:abstractNum>
  <w:abstractNum w:abstractNumId="121">
    <w:nsid w:val="25413BEC"/>
    <w:multiLevelType w:val="hybridMultilevel"/>
    <w:lvl w:ilvl="0">
      <w:lvlJc w:val="left"/>
      <w:lvlText w:val="•"/>
      <w:numFmt w:val="bullet"/>
      <w:start w:val="1"/>
    </w:lvl>
  </w:abstractNum>
  <w:abstractNum w:abstractNumId="122">
    <w:nsid w:val="17180B0B"/>
    <w:multiLevelType w:val="hybridMultilevel"/>
    <w:lvl w:ilvl="0">
      <w:lvlJc w:val="left"/>
      <w:lvlText w:val="(%1)"/>
      <w:numFmt w:val="lowerLetter"/>
      <w:start w:val="25"/>
    </w:lvl>
  </w:abstractNum>
  <w:abstractNum w:abstractNumId="123">
    <w:nsid w:val="579328B9"/>
    <w:multiLevelType w:val="hybridMultilevel"/>
    <w:lvl w:ilvl="0">
      <w:lvlJc w:val="left"/>
      <w:lvlText w:val="•"/>
      <w:numFmt w:val="bullet"/>
      <w:start w:val="1"/>
    </w:lvl>
  </w:abstractNum>
  <w:abstractNum w:abstractNumId="124">
    <w:nsid w:val="5D205E20"/>
    <w:multiLevelType w:val="hybridMultilevel"/>
    <w:lvl w:ilvl="0">
      <w:lvlJc w:val="left"/>
      <w:lvlText w:val="•"/>
      <w:numFmt w:val="bullet"/>
      <w:start w:val="1"/>
    </w:lvl>
  </w:abstractNum>
  <w:abstractNum w:abstractNumId="125">
    <w:nsid w:val="11CCA8BA"/>
    <w:multiLevelType w:val="hybridMultilevel"/>
    <w:lvl w:ilvl="0">
      <w:lvlJc w:val="left"/>
      <w:lvlText w:val="•"/>
      <w:numFmt w:val="bullet"/>
      <w:start w:val="1"/>
    </w:lvl>
  </w:abstractNum>
  <w:abstractNum w:abstractNumId="126">
    <w:nsid w:val="4D32AB86"/>
    <w:multiLevelType w:val="hybridMultilevel"/>
    <w:lvl w:ilvl="0">
      <w:lvlJc w:val="left"/>
      <w:lvlText w:val="(%1)"/>
      <w:numFmt w:val="decimal"/>
      <w:start w:val="6"/>
    </w:lvl>
  </w:abstractNum>
  <w:abstractNum w:abstractNumId="127">
    <w:nsid w:val="3F07ACC3"/>
    <w:multiLevelType w:val="hybridMultilevel"/>
    <w:lvl w:ilvl="0">
      <w:lvlJc w:val="left"/>
      <w:lvlText w:val="•"/>
      <w:numFmt w:val="bullet"/>
      <w:start w:val="1"/>
    </w:lvl>
  </w:abstractNum>
  <w:abstractNum w:abstractNumId="128">
    <w:nsid w:val="6B47F63E"/>
    <w:multiLevelType w:val="hybridMultilevel"/>
    <w:lvl w:ilvl="0">
      <w:lvlJc w:val="left"/>
      <w:lvlText w:val="•"/>
      <w:numFmt w:val="bullet"/>
      <w:start w:val="1"/>
    </w:lvl>
  </w:abstractNum>
  <w:abstractNum w:abstractNumId="129">
    <w:nsid w:val="5CB44A05"/>
    <w:multiLevelType w:val="hybridMultilevel"/>
    <w:lvl w:ilvl="0">
      <w:lvlJc w:val="left"/>
      <w:lvlText w:val="•"/>
      <w:numFmt w:val="bullet"/>
      <w:start w:val="1"/>
    </w:lvl>
  </w:abstractNum>
  <w:abstractNum w:abstractNumId="130">
    <w:nsid w:val="16CF80F1"/>
    <w:multiLevelType w:val="hybridMultilevel"/>
    <w:lvl w:ilvl="0">
      <w:lvlJc w:val="left"/>
      <w:lvlText w:val="•"/>
      <w:numFmt w:val="bullet"/>
      <w:start w:val="1"/>
    </w:lvl>
  </w:abstractNum>
  <w:abstractNum w:abstractNumId="131">
    <w:nsid w:val="1C695DEC"/>
    <w:multiLevelType w:val="hybridMultilevel"/>
    <w:lvl w:ilvl="0">
      <w:lvlJc w:val="left"/>
      <w:lvlText w:val="•"/>
      <w:numFmt w:val="bullet"/>
      <w:start w:val="1"/>
    </w:lvl>
  </w:abstractNum>
  <w:abstractNum w:abstractNumId="132">
    <w:nsid w:val="3FCFAED9"/>
    <w:multiLevelType w:val="hybridMultilevel"/>
    <w:lvl w:ilvl="0">
      <w:lvlJc w:val="left"/>
      <w:lvlText w:val="(%1)"/>
      <w:numFmt w:val="decimal"/>
      <w:start w:val="1"/>
    </w:lvl>
  </w:abstractNum>
  <w:abstractNum w:abstractNumId="133">
    <w:nsid w:val="F856867"/>
    <w:multiLevelType w:val="hybridMultilevel"/>
    <w:lvl w:ilvl="0">
      <w:lvlJc w:val="left"/>
      <w:lvlText w:val="•"/>
      <w:numFmt w:val="bullet"/>
      <w:start w:val="1"/>
    </w:lvl>
  </w:abstractNum>
  <w:abstractNum w:abstractNumId="134">
    <w:nsid w:val="11B1CC33"/>
    <w:multiLevelType w:val="hybridMultilevel"/>
    <w:lvl w:ilvl="0">
      <w:lvlJc w:val="left"/>
      <w:lvlText w:val="•"/>
      <w:numFmt w:val="bullet"/>
      <w:start w:val="1"/>
    </w:lvl>
  </w:abstractNum>
  <w:abstractNum w:abstractNumId="135">
    <w:nsid w:val="2E22FBB7"/>
    <w:multiLevelType w:val="hybridMultilevel"/>
    <w:lvl w:ilvl="0">
      <w:lvlJc w:val="left"/>
      <w:lvlText w:val="•"/>
      <w:numFmt w:val="bullet"/>
      <w:start w:val="1"/>
    </w:lvl>
  </w:abstractNum>
  <w:abstractNum w:abstractNumId="136">
    <w:nsid w:val="29934699"/>
    <w:multiLevelType w:val="hybridMultilevel"/>
    <w:lvl w:ilvl="0">
      <w:lvlJc w:val="left"/>
      <w:lvlText w:val="1"/>
      <w:numFmt w:val="bullet"/>
      <w:start w:val="1"/>
    </w:lvl>
  </w:abstractNum>
  <w:abstractNum w:abstractNumId="137">
    <w:nsid w:val="77485850"/>
    <w:multiLevelType w:val="hybridMultilevel"/>
    <w:lvl w:ilvl="0">
      <w:lvlJc w:val="left"/>
      <w:lvlText w:val="3"/>
      <w:numFmt w:val="bullet"/>
      <w:start w:val="1"/>
    </w:lvl>
  </w:abstractNum>
  <w:abstractNum w:abstractNumId="138">
    <w:nsid w:val="744939A3"/>
    <w:multiLevelType w:val="hybridMultilevel"/>
    <w:lvl w:ilvl="0">
      <w:lvlJc w:val="left"/>
      <w:lvlText w:val="4"/>
      <w:numFmt w:val="bullet"/>
      <w:start w:val="1"/>
    </w:lvl>
  </w:abstractNum>
  <w:abstractNum w:abstractNumId="139">
    <w:nsid w:val="4FA0D2E3"/>
    <w:multiLevelType w:val="hybridMultilevel"/>
    <w:lvl w:ilvl="0">
      <w:lvlJc w:val="left"/>
      <w:lvlText w:val="•"/>
      <w:numFmt w:val="bullet"/>
      <w:start w:val="1"/>
    </w:lvl>
  </w:abstractNum>
  <w:abstractNum w:abstractNumId="140">
    <w:nsid w:val="6B1D2C14"/>
    <w:multiLevelType w:val="hybridMultilevel"/>
    <w:lvl w:ilvl="0">
      <w:lvlJc w:val="left"/>
      <w:lvlText w:val="•"/>
      <w:numFmt w:val="bullet"/>
      <w:start w:val="1"/>
    </w:lvl>
  </w:abstractNum>
  <w:abstractNum w:abstractNumId="141">
    <w:nsid w:val="68B867D3"/>
    <w:multiLevelType w:val="hybridMultilevel"/>
    <w:lvl w:ilvl="0">
      <w:lvlJc w:val="left"/>
      <w:lvlText w:val="•"/>
      <w:numFmt w:val="bullet"/>
      <w:start w:val="1"/>
    </w:lvl>
  </w:abstractNum>
  <w:abstractNum w:abstractNumId="142">
    <w:nsid w:val="3F7F5DD9"/>
    <w:multiLevelType w:val="hybridMultilevel"/>
    <w:lvl w:ilvl="0">
      <w:lvlJc w:val="left"/>
      <w:lvlText w:val="•"/>
      <w:numFmt w:val="bullet"/>
      <w:start w:val="1"/>
    </w:lvl>
  </w:abstractNum>
  <w:abstractNum w:abstractNumId="143">
    <w:nsid w:val="2AE05A34"/>
    <w:multiLevelType w:val="hybridMultilevel"/>
    <w:lvl w:ilvl="0">
      <w:lvlJc w:val="left"/>
      <w:lvlText w:val="•"/>
      <w:numFmt w:val="bullet"/>
      <w:start w:val="1"/>
    </w:lvl>
  </w:abstractNum>
  <w:abstractNum w:abstractNumId="144">
    <w:nsid w:val="32794FF7"/>
    <w:multiLevelType w:val="hybridMultilevel"/>
    <w:lvl w:ilvl="0">
      <w:lvlJc w:val="left"/>
      <w:lvlText w:val="*"/>
      <w:numFmt w:val="bullet"/>
      <w:start w:val="1"/>
    </w:lvl>
  </w:abstractNum>
  <w:abstractNum w:abstractNumId="145">
    <w:nsid w:val="5454945E"/>
    <w:multiLevelType w:val="hybridMultilevel"/>
    <w:lvl w:ilvl="0">
      <w:lvlJc w:val="left"/>
      <w:lvlText w:val="(%1)"/>
      <w:numFmt w:val="decimal"/>
      <w:start w:val="1"/>
    </w:lvl>
  </w:abstractNum>
  <w:abstractNum w:abstractNumId="146">
    <w:nsid w:val="4DEFDFA0"/>
    <w:multiLevelType w:val="hybridMultilevel"/>
    <w:lvl w:ilvl="0">
      <w:lvlJc w:val="left"/>
      <w:lvlText w:val="(%1)"/>
      <w:numFmt w:val="decimal"/>
      <w:start w:val="5"/>
    </w:lvl>
  </w:abstractNum>
  <w:abstractNum w:abstractNumId="147">
    <w:nsid w:val="2123D5F2"/>
    <w:multiLevelType w:val="hybridMultilevel"/>
    <w:lvl w:ilvl="0">
      <w:lvlJc w:val="left"/>
      <w:lvlText w:val="(%1)"/>
      <w:numFmt w:val="decimal"/>
      <w:start w:val="1"/>
    </w:lvl>
  </w:abstractNum>
  <w:abstractNum w:abstractNumId="148">
    <w:nsid w:val="135B8110"/>
    <w:multiLevelType w:val="hybridMultilevel"/>
    <w:lvl w:ilvl="0">
      <w:lvlJc w:val="left"/>
      <w:lvlText w:val="(%1)"/>
      <w:numFmt w:val="decimal"/>
      <w:start w:val="1"/>
    </w:lvl>
  </w:abstractNum>
  <w:abstractNum w:abstractNumId="149">
    <w:nsid w:val="94927A8"/>
    <w:multiLevelType w:val="hybridMultilevel"/>
    <w:lvl w:ilvl="0">
      <w:lvlJc w:val="left"/>
      <w:lvlText w:val="%1:"/>
      <w:numFmt w:val="upperLetter"/>
      <w:start w:val="17"/>
    </w:lvl>
  </w:abstractNum>
  <w:abstractNum w:abstractNumId="150">
    <w:nsid w:val="DCDF8F6"/>
    <w:multiLevelType w:val="hybridMultilevel"/>
    <w:lvl w:ilvl="0">
      <w:lvlJc w:val="left"/>
      <w:lvlText w:val="%1:"/>
      <w:numFmt w:val="upperLetter"/>
      <w:start w:val="1"/>
    </w:lvl>
  </w:abstractNum>
  <w:abstractNum w:abstractNumId="151">
    <w:nsid w:val="52D7B105"/>
    <w:multiLevelType w:val="hybridMultilevel"/>
    <w:lvl w:ilvl="0">
      <w:lvlJc w:val="left"/>
      <w:lvlText w:val="%1:"/>
      <w:numFmt w:val="upperLetter"/>
      <w:start w:val="17"/>
    </w:lvl>
  </w:abstractNum>
  <w:abstractNum w:abstractNumId="152">
    <w:nsid w:val="2E8A6394"/>
    <w:multiLevelType w:val="hybridMultilevel"/>
    <w:lvl w:ilvl="0">
      <w:lvlJc w:val="left"/>
      <w:lvlText w:val="%1:"/>
      <w:numFmt w:val="upperLetter"/>
      <w:start w:val="1"/>
    </w:lvl>
  </w:abstractNum>
  <w:abstractNum w:abstractNumId="153">
    <w:nsid w:val="24E60401"/>
    <w:multiLevelType w:val="hybridMultilevel"/>
    <w:lvl w:ilvl="0">
      <w:lvlJc w:val="left"/>
      <w:lvlText w:val="%1:"/>
      <w:numFmt w:val="upperLetter"/>
      <w:start w:val="17"/>
    </w:lvl>
  </w:abstractNum>
  <w:abstractNum w:abstractNumId="154">
    <w:nsid w:val="2A6AD9BE"/>
    <w:multiLevelType w:val="hybridMultilevel"/>
    <w:lvl w:ilvl="0">
      <w:lvlJc w:val="left"/>
      <w:lvlText w:val="%1:"/>
      <w:numFmt w:val="upperLetter"/>
      <w:start w:val="1"/>
    </w:lvl>
  </w:abstractNum>
  <w:abstractNum w:abstractNumId="155">
    <w:nsid w:val="BAAC1B4"/>
    <w:multiLevelType w:val="hybridMultilevel"/>
    <w:lvl w:ilvl="0">
      <w:lvlJc w:val="left"/>
      <w:lvlText w:val="%1:"/>
      <w:numFmt w:val="upperLetter"/>
      <w:start w:val="17"/>
    </w:lvl>
  </w:abstractNum>
  <w:abstractNum w:abstractNumId="156">
    <w:nsid w:val="36B2ACBC"/>
    <w:multiLevelType w:val="hybridMultilevel"/>
    <w:lvl w:ilvl="0">
      <w:lvlJc w:val="left"/>
      <w:lvlText w:val="%1:"/>
      <w:numFmt w:val="upperLetter"/>
      <w:start w:val="1"/>
    </w:lvl>
  </w:abstractNum>
  <w:abstractNum w:abstractNumId="157">
    <w:nsid w:val="779D8544"/>
    <w:multiLevelType w:val="hybridMultilevel"/>
    <w:lvl w:ilvl="0">
      <w:lvlJc w:val="left"/>
      <w:lvlText w:val="%1:"/>
      <w:numFmt w:val="upperLetter"/>
      <w:start w:val="17"/>
    </w:lvl>
  </w:abstractNum>
  <w:abstractNum w:abstractNumId="158">
    <w:nsid w:val="4AB26E78"/>
    <w:multiLevelType w:val="hybridMultilevel"/>
    <w:lvl w:ilvl="0">
      <w:lvlJc w:val="left"/>
      <w:lvlText w:val="%1:"/>
      <w:numFmt w:val="upperLetter"/>
      <w:start w:val="1"/>
    </w:lvl>
  </w:abstractNum>
  <w:abstractNum w:abstractNumId="159">
    <w:nsid w:val="21FAA2FA"/>
    <w:multiLevelType w:val="hybridMultilevel"/>
    <w:lvl w:ilvl="0">
      <w:lvlJc w:val="left"/>
      <w:lvlText w:val="%1:"/>
      <w:numFmt w:val="upperLetter"/>
      <w:start w:val="17"/>
    </w:lvl>
  </w:abstractNum>
  <w:abstractNum w:abstractNumId="160">
    <w:nsid w:val="5451CF49"/>
    <w:multiLevelType w:val="hybridMultilevel"/>
    <w:lvl w:ilvl="0">
      <w:lvlJc w:val="left"/>
      <w:lvlText w:val="%1:"/>
      <w:numFmt w:val="upperLetter"/>
      <w:start w:val="1"/>
    </w:lvl>
  </w:abstractNum>
  <w:abstractNum w:abstractNumId="161">
    <w:nsid w:val="6181EF69"/>
    <w:multiLevelType w:val="hybridMultilevel"/>
    <w:lvl w:ilvl="0">
      <w:lvlJc w:val="left"/>
      <w:lvlText w:val="%1:"/>
      <w:numFmt w:val="upperLetter"/>
      <w:start w:val="17"/>
    </w:lvl>
  </w:abstractNum>
  <w:abstractNum w:abstractNumId="162">
    <w:nsid w:val="3E6400E6"/>
    <w:multiLevelType w:val="hybridMultilevel"/>
    <w:lvl w:ilvl="0">
      <w:lvlJc w:val="left"/>
      <w:lvlText w:val="%1:"/>
      <w:numFmt w:val="upperLetter"/>
      <w:start w:val="17"/>
    </w:lvl>
  </w:abstractNum>
  <w:abstractNum w:abstractNumId="163">
    <w:nsid w:val="14217E23"/>
    <w:multiLevelType w:val="hybridMultilevel"/>
    <w:lvl w:ilvl="0">
      <w:lvlJc w:val="left"/>
      <w:lvlText w:val="%1:"/>
      <w:numFmt w:val="upperLetter"/>
      <w:start w:val="1"/>
    </w:lvl>
  </w:abstractNum>
  <w:abstractNum w:abstractNumId="164">
    <w:nsid w:val="710757D0"/>
    <w:multiLevelType w:val="hybridMultilevel"/>
    <w:lvl w:ilvl="0">
      <w:lvlJc w:val="left"/>
      <w:lvlText w:val="%1:"/>
      <w:numFmt w:val="upperLetter"/>
      <w:start w:val="17"/>
    </w:lvl>
  </w:abstractNum>
  <w:abstractNum w:abstractNumId="165">
    <w:nsid w:val="5015CD1A"/>
    <w:multiLevelType w:val="hybridMultilevel"/>
    <w:lvl w:ilvl="0">
      <w:lvlJc w:val="left"/>
      <w:lvlText w:val="%1:"/>
      <w:numFmt w:val="upperLetter"/>
      <w:start w:val="1"/>
    </w:lvl>
    <w:lvl w:ilvl="1">
      <w:lvlJc w:val="left"/>
      <w:lvlText w:val="•"/>
      <w:numFmt w:val="bullet"/>
      <w:start w:val="1"/>
    </w:lvl>
  </w:abstractNum>
  <w:abstractNum w:abstractNumId="166">
    <w:nsid w:val="424479DA"/>
    <w:multiLevelType w:val="hybridMultilevel"/>
    <w:lvl w:ilvl="0">
      <w:lvlJc w:val="left"/>
      <w:lvlText w:val="%1:"/>
      <w:numFmt w:val="upperLetter"/>
      <w:start w:val="17"/>
    </w:lvl>
  </w:abstractNum>
  <w:abstractNum w:abstractNumId="167">
    <w:nsid w:val="1A9A9E69"/>
    <w:multiLevelType w:val="hybridMultilevel"/>
    <w:lvl w:ilvl="0">
      <w:lvlJc w:val="left"/>
      <w:lvlText w:val="%1:"/>
      <w:numFmt w:val="upperLetter"/>
      <w:start w:val="1"/>
    </w:lvl>
  </w:abstractNum>
  <w:abstractNum w:abstractNumId="168">
    <w:nsid w:val="475E256A"/>
    <w:multiLevelType w:val="hybridMultilevel"/>
    <w:lvl w:ilvl="0">
      <w:lvlJc w:val="left"/>
      <w:lvlText w:val="%1:"/>
      <w:numFmt w:val="upperLetter"/>
      <w:start w:val="17"/>
    </w:lvl>
  </w:abstractNum>
  <w:abstractNum w:abstractNumId="169">
    <w:nsid w:val="368DB37E"/>
    <w:multiLevelType w:val="hybridMultilevel"/>
    <w:lvl w:ilvl="0">
      <w:lvlJc w:val="left"/>
      <w:lvlText w:val="%1:"/>
      <w:numFmt w:val="upperLetter"/>
      <w:start w:val="1"/>
    </w:lvl>
  </w:abstractNum>
  <w:abstractNum w:abstractNumId="170">
    <w:nsid w:val="6A3B714C"/>
    <w:multiLevelType w:val="hybridMultilevel"/>
    <w:lvl w:ilvl="0">
      <w:lvlJc w:val="left"/>
      <w:lvlText w:val="%1:"/>
      <w:numFmt w:val="upperLetter"/>
      <w:start w:val="17"/>
    </w:lvl>
  </w:abstractNum>
  <w:abstractNum w:abstractNumId="171">
    <w:nsid w:val="327B517E"/>
    <w:multiLevelType w:val="hybridMultilevel"/>
    <w:lvl w:ilvl="0">
      <w:lvlJc w:val="left"/>
      <w:lvlText w:val="%1:"/>
      <w:numFmt w:val="upperLetter"/>
      <w:start w:val="1"/>
    </w:lvl>
  </w:abstractNum>
  <w:abstractNum w:abstractNumId="172">
    <w:nsid w:val="1F461B51"/>
    <w:multiLevelType w:val="hybridMultilevel"/>
    <w:lvl w:ilvl="0">
      <w:lvlJc w:val="left"/>
      <w:lvlText w:val="%1:"/>
      <w:numFmt w:val="upperLetter"/>
      <w:start w:val="17"/>
    </w:lvl>
  </w:abstractNum>
  <w:abstractNum w:abstractNumId="173">
    <w:nsid w:val="29BACF25"/>
    <w:multiLevelType w:val="hybridMultilevel"/>
    <w:lvl w:ilvl="0">
      <w:lvlJc w:val="left"/>
      <w:lvlText w:val="%1:"/>
      <w:numFmt w:val="upperLetter"/>
      <w:start w:val="1"/>
    </w:lvl>
  </w:abstractNum>
  <w:abstractNum w:abstractNumId="174">
    <w:nsid w:val="5D5BABB3"/>
    <w:multiLevelType w:val="hybridMultilevel"/>
    <w:lvl w:ilvl="0">
      <w:lvlJc w:val="left"/>
      <w:lvlText w:val="%1:"/>
      <w:numFmt w:val="upperLetter"/>
      <w:start w:val="17"/>
    </w:lvl>
  </w:abstractNum>
  <w:abstractNum w:abstractNumId="175">
    <w:nsid w:val="51BF6B48"/>
    <w:multiLevelType w:val="hybridMultilevel"/>
    <w:lvl w:ilvl="0">
      <w:lvlJc w:val="left"/>
      <w:lvlText w:val="%1:"/>
      <w:numFmt w:val="upperLetter"/>
      <w:start w:val="1"/>
    </w:lvl>
  </w:abstractNum>
  <w:abstractNum w:abstractNumId="176">
    <w:nsid w:val="7E0F6384"/>
    <w:multiLevelType w:val="hybridMultilevel"/>
    <w:lvl w:ilvl="0">
      <w:lvlJc w:val="left"/>
      <w:lvlText w:val="%1:"/>
      <w:numFmt w:val="upperLetter"/>
      <w:start w:val="17"/>
    </w:lvl>
  </w:abstractNum>
  <w:abstractNum w:abstractNumId="177">
    <w:nsid w:val="2B4B8B53"/>
    <w:multiLevelType w:val="hybridMultilevel"/>
    <w:lvl w:ilvl="0">
      <w:lvlJc w:val="left"/>
      <w:lvlText w:val="%1:"/>
      <w:numFmt w:val="upperLetter"/>
      <w:start w:val="1"/>
    </w:lvl>
  </w:abstractNum>
  <w:abstractNum w:abstractNumId="178">
    <w:nsid w:val="72E3413A"/>
    <w:multiLevelType w:val="hybridMultilevel"/>
    <w:lvl w:ilvl="0">
      <w:lvlJc w:val="left"/>
      <w:lvlText w:val="%1:"/>
      <w:numFmt w:val="upperLetter"/>
      <w:start w:val="17"/>
    </w:lvl>
  </w:abstractNum>
  <w:abstractNum w:abstractNumId="179">
    <w:nsid w:val="116AE494"/>
    <w:multiLevelType w:val="hybridMultilevel"/>
    <w:lvl w:ilvl="0">
      <w:lvlJc w:val="left"/>
      <w:lvlText w:val="%1:"/>
      <w:numFmt w:val="upperLetter"/>
      <w:start w:val="1"/>
    </w:lvl>
  </w:abstractNum>
  <w:abstractNum w:abstractNumId="180">
    <w:nsid w:val="3494B2FB"/>
    <w:multiLevelType w:val="hybridMultilevel"/>
    <w:lvl w:ilvl="0">
      <w:lvlJc w:val="left"/>
      <w:lvlText w:val="%1:"/>
      <w:numFmt w:val="upperLetter"/>
      <w:start w:val="17"/>
    </w:lvl>
  </w:abstractNum>
  <w:abstractNum w:abstractNumId="181">
    <w:nsid w:val="B13A31"/>
    <w:multiLevelType w:val="hybridMultilevel"/>
    <w:lvl w:ilvl="0">
      <w:lvlJc w:val="left"/>
      <w:lvlText w:val="%1:"/>
      <w:numFmt w:val="upperLetter"/>
      <w:start w:val="1"/>
    </w:lvl>
  </w:abstractNum>
  <w:abstractNum w:abstractNumId="182">
    <w:nsid w:val="64429599"/>
    <w:multiLevelType w:val="hybridMultilevel"/>
    <w:lvl w:ilvl="0">
      <w:lvlJc w:val="left"/>
      <w:lvlText w:val="%1:"/>
      <w:numFmt w:val="upperLetter"/>
      <w:start w:val="17"/>
    </w:lvl>
  </w:abstractNum>
  <w:abstractNum w:abstractNumId="183">
    <w:nsid w:val="631F1690"/>
    <w:multiLevelType w:val="hybridMultilevel"/>
    <w:lvl w:ilvl="0">
      <w:lvlJc w:val="left"/>
      <w:lvlText w:val="%1:"/>
      <w:numFmt w:val="upperLetter"/>
      <w:start w:val="1"/>
    </w:lvl>
  </w:abstractNum>
  <w:abstractNum w:abstractNumId="184">
    <w:nsid w:val="25973E32"/>
    <w:multiLevelType w:val="hybridMultilevel"/>
    <w:lvl w:ilvl="0">
      <w:lvlJc w:val="left"/>
      <w:lvlText w:val="%1:"/>
      <w:numFmt w:val="upperLetter"/>
      <w:start w:val="17"/>
    </w:lvl>
  </w:abstractNum>
  <w:abstractNum w:abstractNumId="185">
    <w:nsid w:val="EAD6F57"/>
    <w:multiLevelType w:val="hybridMultilevel"/>
    <w:lvl w:ilvl="0">
      <w:lvlJc w:val="left"/>
      <w:lvlText w:val="%1:"/>
      <w:numFmt w:val="upperLetter"/>
      <w:start w:val="1"/>
    </w:lvl>
  </w:abstractNum>
  <w:abstractNum w:abstractNumId="186">
    <w:nsid w:val="6EC9D844"/>
    <w:multiLevelType w:val="hybridMultilevel"/>
    <w:lvl w:ilvl="0">
      <w:lvlJc w:val="left"/>
      <w:lvlText w:val="%1:"/>
      <w:numFmt w:val="upperLetter"/>
      <w:start w:val="17"/>
    </w:lvl>
  </w:abstractNum>
  <w:abstractNum w:abstractNumId="187">
    <w:nsid w:val="5C49EAEE"/>
    <w:multiLevelType w:val="hybridMultilevel"/>
    <w:lvl w:ilvl="0">
      <w:lvlJc w:val="left"/>
      <w:lvlText w:val="%1:"/>
      <w:numFmt w:val="upperLetter"/>
      <w:start w:val="1"/>
    </w:lvl>
  </w:abstractNum>
  <w:abstractNum w:abstractNumId="188">
    <w:nsid w:val="64AF49B"/>
    <w:multiLevelType w:val="hybridMultilevel"/>
    <w:lvl w:ilvl="0">
      <w:lvlJc w:val="left"/>
      <w:lvlText w:val="%1:"/>
      <w:numFmt w:val="upperLetter"/>
      <w:start w:val="17"/>
    </w:lvl>
  </w:abstractNum>
  <w:abstractNum w:abstractNumId="189">
    <w:nsid w:val="397C46BC"/>
    <w:multiLevelType w:val="hybridMultilevel"/>
    <w:lvl w:ilvl="0">
      <w:lvlJc w:val="left"/>
      <w:lvlText w:val="%1:"/>
      <w:numFmt w:val="upperLetter"/>
      <w:start w:val="1"/>
    </w:lvl>
  </w:abstractNum>
  <w:abstractNum w:abstractNumId="190">
    <w:nsid w:val="7E448DE9"/>
    <w:multiLevelType w:val="hybridMultilevel"/>
    <w:lvl w:ilvl="0">
      <w:lvlJc w:val="left"/>
      <w:lvlText w:val="%1:"/>
      <w:numFmt w:val="upperLetter"/>
      <w:start w:val="17"/>
    </w:lvl>
  </w:abstractNum>
  <w:abstractNum w:abstractNumId="191">
    <w:nsid w:val="5A9CC3E5"/>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jpe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jpe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jpeg"/><Relationship Id="rId365" Type="http://schemas.openxmlformats.org/officeDocument/2006/relationships/image" Target="media/image358.jpe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jpe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jpe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jpe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jpe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jpeg"/><Relationship Id="rId514" Type="http://schemas.openxmlformats.org/officeDocument/2006/relationships/image" Target="media/image507.jpeg"/><Relationship Id="rId515" Type="http://schemas.openxmlformats.org/officeDocument/2006/relationships/image" Target="media/image508.jpe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2022-04-29T23:39:49Z</dcterms:created>
  <dcterms:modified xsi:type="dcterms:W3CDTF">2022-04-29T23:39:49Z</dcterms:modified>
</cp:coreProperties>
</file>