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14, 2021</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ACTIVISION BLIZZARD,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09"/>
        </w:trPr>
        <w:tc>
          <w:tcPr>
            <w:tcW w:w="3420" w:type="dxa"/>
            <w:vAlign w:val="bottom"/>
          </w:tcPr>
          <w:p>
            <w:pPr>
              <w:jc w:val="center"/>
              <w:ind w:right="1482"/>
              <w:spacing w:after="0"/>
              <w:rPr>
                <w:sz w:val="20"/>
                <w:szCs w:val="20"/>
                <w:color w:val="auto"/>
              </w:rPr>
            </w:pPr>
            <w:r>
              <w:rPr>
                <w:rFonts w:ascii="Arial" w:cs="Arial" w:eastAsia="Arial" w:hAnsi="Arial"/>
                <w:sz w:val="16"/>
                <w:szCs w:val="16"/>
                <w:b w:val="1"/>
                <w:bCs w:val="1"/>
                <w:color w:val="auto"/>
                <w:w w:val="99"/>
              </w:rPr>
              <w:t>Delaware</w:t>
            </w:r>
          </w:p>
        </w:tc>
        <w:tc>
          <w:tcPr>
            <w:tcW w:w="3020" w:type="dxa"/>
            <w:vAlign w:val="bottom"/>
          </w:tcPr>
          <w:p>
            <w:pPr>
              <w:jc w:val="right"/>
              <w:ind w:right="1224"/>
              <w:spacing w:after="0"/>
              <w:rPr>
                <w:sz w:val="20"/>
                <w:szCs w:val="20"/>
                <w:color w:val="auto"/>
              </w:rPr>
            </w:pPr>
            <w:r>
              <w:rPr>
                <w:rFonts w:ascii="Arial" w:cs="Arial" w:eastAsia="Arial" w:hAnsi="Arial"/>
                <w:sz w:val="16"/>
                <w:szCs w:val="16"/>
                <w:b w:val="1"/>
                <w:bCs w:val="1"/>
                <w:color w:val="auto"/>
              </w:rPr>
              <w:t>001-15839</w:t>
            </w:r>
          </w:p>
        </w:tc>
        <w:tc>
          <w:tcPr>
            <w:tcW w:w="2720" w:type="dxa"/>
            <w:vAlign w:val="bottom"/>
          </w:tcPr>
          <w:p>
            <w:pPr>
              <w:jc w:val="center"/>
              <w:ind w:left="1462"/>
              <w:spacing w:after="0"/>
              <w:rPr>
                <w:sz w:val="20"/>
                <w:szCs w:val="20"/>
                <w:color w:val="auto"/>
              </w:rPr>
            </w:pPr>
            <w:r>
              <w:rPr>
                <w:rFonts w:ascii="Arial" w:cs="Arial" w:eastAsia="Arial" w:hAnsi="Arial"/>
                <w:sz w:val="16"/>
                <w:szCs w:val="16"/>
                <w:b w:val="1"/>
                <w:bCs w:val="1"/>
                <w:color w:val="auto"/>
              </w:rPr>
              <w:t>95-4803544</w:t>
            </w:r>
          </w:p>
        </w:tc>
      </w:tr>
      <w:tr>
        <w:trPr>
          <w:trHeight w:val="162"/>
        </w:trPr>
        <w:tc>
          <w:tcPr>
            <w:tcW w:w="3420" w:type="dxa"/>
            <w:vAlign w:val="bottom"/>
          </w:tcPr>
          <w:p>
            <w:pPr>
              <w:jc w:val="center"/>
              <w:ind w:right="1482"/>
              <w:spacing w:after="0"/>
              <w:rPr>
                <w:sz w:val="20"/>
                <w:szCs w:val="20"/>
                <w:color w:val="auto"/>
              </w:rPr>
            </w:pPr>
            <w:r>
              <w:rPr>
                <w:rFonts w:ascii="Arial" w:cs="Arial" w:eastAsia="Arial" w:hAnsi="Arial"/>
                <w:sz w:val="14"/>
                <w:szCs w:val="14"/>
                <w:color w:val="auto"/>
              </w:rPr>
              <w:t>(State or Other Jurisdiction of</w:t>
            </w:r>
          </w:p>
        </w:tc>
        <w:tc>
          <w:tcPr>
            <w:tcW w:w="3020" w:type="dxa"/>
            <w:vAlign w:val="bottom"/>
          </w:tcPr>
          <w:p>
            <w:pPr>
              <w:jc w:val="center"/>
              <w:ind w:right="264"/>
              <w:spacing w:after="0"/>
              <w:rPr>
                <w:sz w:val="20"/>
                <w:szCs w:val="20"/>
                <w:color w:val="auto"/>
              </w:rPr>
            </w:pPr>
            <w:r>
              <w:rPr>
                <w:rFonts w:ascii="Arial" w:cs="Arial" w:eastAsia="Arial" w:hAnsi="Arial"/>
                <w:sz w:val="14"/>
                <w:szCs w:val="14"/>
                <w:color w:val="auto"/>
              </w:rPr>
              <w:t>(Commission File Number)</w:t>
            </w:r>
          </w:p>
        </w:tc>
        <w:tc>
          <w:tcPr>
            <w:tcW w:w="2720" w:type="dxa"/>
            <w:vAlign w:val="bottom"/>
          </w:tcPr>
          <w:p>
            <w:pPr>
              <w:jc w:val="center"/>
              <w:ind w:left="1462"/>
              <w:spacing w:after="0" w:line="162" w:lineRule="exact"/>
              <w:rPr>
                <w:sz w:val="20"/>
                <w:szCs w:val="20"/>
                <w:color w:val="auto"/>
              </w:rPr>
            </w:pPr>
            <w:r>
              <w:rPr>
                <w:rFonts w:ascii="Arial" w:cs="Arial" w:eastAsia="Arial" w:hAnsi="Arial"/>
                <w:sz w:val="16"/>
                <w:szCs w:val="16"/>
                <w:color w:val="auto"/>
              </w:rPr>
              <w:t>(IRS Employer</w:t>
            </w:r>
          </w:p>
        </w:tc>
      </w:tr>
      <w:tr>
        <w:trPr>
          <w:trHeight w:val="206"/>
        </w:trPr>
        <w:tc>
          <w:tcPr>
            <w:tcW w:w="3420" w:type="dxa"/>
            <w:vAlign w:val="bottom"/>
          </w:tcPr>
          <w:p>
            <w:pPr>
              <w:jc w:val="center"/>
              <w:ind w:right="1462"/>
              <w:spacing w:after="0"/>
              <w:rPr>
                <w:sz w:val="20"/>
                <w:szCs w:val="20"/>
                <w:color w:val="auto"/>
              </w:rPr>
            </w:pPr>
            <w:r>
              <w:rPr>
                <w:rFonts w:ascii="Arial" w:cs="Arial" w:eastAsia="Arial" w:hAnsi="Arial"/>
                <w:sz w:val="16"/>
                <w:szCs w:val="16"/>
                <w:color w:val="auto"/>
              </w:rPr>
              <w:t>Incorporation)</w:t>
            </w:r>
          </w:p>
        </w:tc>
        <w:tc>
          <w:tcPr>
            <w:tcW w:w="3020" w:type="dxa"/>
            <w:vAlign w:val="bottom"/>
          </w:tcPr>
          <w:p>
            <w:pPr>
              <w:spacing w:after="0"/>
              <w:rPr>
                <w:sz w:val="17"/>
                <w:szCs w:val="17"/>
                <w:color w:val="auto"/>
              </w:rPr>
            </w:pPr>
          </w:p>
        </w:tc>
        <w:tc>
          <w:tcPr>
            <w:tcW w:w="2720" w:type="dxa"/>
            <w:vAlign w:val="bottom"/>
          </w:tcPr>
          <w:p>
            <w:pPr>
              <w:jc w:val="center"/>
              <w:ind w:left="1442"/>
              <w:spacing w:after="0"/>
              <w:rPr>
                <w:sz w:val="20"/>
                <w:szCs w:val="20"/>
                <w:color w:val="auto"/>
              </w:rPr>
            </w:pPr>
            <w:r>
              <w:rPr>
                <w:rFonts w:ascii="Arial" w:cs="Arial" w:eastAsia="Arial" w:hAnsi="Arial"/>
                <w:sz w:val="15"/>
                <w:szCs w:val="15"/>
                <w:color w:val="auto"/>
              </w:rPr>
              <w:t>Identification No.)</w:t>
            </w:r>
          </w:p>
        </w:tc>
      </w:tr>
      <w:tr>
        <w:trPr>
          <w:trHeight w:val="395"/>
        </w:trPr>
        <w:tc>
          <w:tcPr>
            <w:tcW w:w="3420" w:type="dxa"/>
            <w:vAlign w:val="bottom"/>
          </w:tcPr>
          <w:p>
            <w:pPr>
              <w:jc w:val="center"/>
              <w:ind w:left="222"/>
              <w:spacing w:after="0"/>
              <w:rPr>
                <w:sz w:val="20"/>
                <w:szCs w:val="20"/>
                <w:color w:val="auto"/>
              </w:rPr>
            </w:pPr>
            <w:r>
              <w:rPr>
                <w:rFonts w:ascii="Arial" w:cs="Arial" w:eastAsia="Arial" w:hAnsi="Arial"/>
                <w:sz w:val="16"/>
                <w:szCs w:val="16"/>
                <w:b w:val="1"/>
                <w:bCs w:val="1"/>
                <w:color w:val="auto"/>
              </w:rPr>
              <w:t>3100 Ocean Park Boulevard,</w:t>
            </w:r>
          </w:p>
        </w:tc>
        <w:tc>
          <w:tcPr>
            <w:tcW w:w="30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2"/>
        </w:trPr>
        <w:tc>
          <w:tcPr>
            <w:tcW w:w="3420" w:type="dxa"/>
            <w:vAlign w:val="bottom"/>
          </w:tcPr>
          <w:p>
            <w:pPr>
              <w:jc w:val="center"/>
              <w:ind w:left="262"/>
              <w:spacing w:after="0"/>
              <w:rPr>
                <w:sz w:val="20"/>
                <w:szCs w:val="20"/>
                <w:color w:val="auto"/>
              </w:rPr>
            </w:pPr>
            <w:r>
              <w:rPr>
                <w:rFonts w:ascii="Arial" w:cs="Arial" w:eastAsia="Arial" w:hAnsi="Arial"/>
                <w:sz w:val="16"/>
                <w:szCs w:val="16"/>
                <w:b w:val="1"/>
                <w:bCs w:val="1"/>
                <w:color w:val="auto"/>
              </w:rPr>
              <w:t>Santa Monica, CA</w:t>
            </w:r>
          </w:p>
        </w:tc>
        <w:tc>
          <w:tcPr>
            <w:tcW w:w="3020" w:type="dxa"/>
            <w:vAlign w:val="bottom"/>
          </w:tcPr>
          <w:p>
            <w:pPr>
              <w:spacing w:after="0"/>
              <w:rPr>
                <w:sz w:val="18"/>
                <w:szCs w:val="18"/>
                <w:color w:val="auto"/>
              </w:rPr>
            </w:pPr>
          </w:p>
        </w:tc>
        <w:tc>
          <w:tcPr>
            <w:tcW w:w="2720" w:type="dxa"/>
            <w:vAlign w:val="bottom"/>
          </w:tcPr>
          <w:p>
            <w:pPr>
              <w:jc w:val="right"/>
              <w:ind w:right="1242"/>
              <w:spacing w:after="0"/>
              <w:rPr>
                <w:sz w:val="20"/>
                <w:szCs w:val="20"/>
                <w:color w:val="auto"/>
              </w:rPr>
            </w:pPr>
            <w:r>
              <w:rPr>
                <w:rFonts w:ascii="Arial" w:cs="Arial" w:eastAsia="Arial" w:hAnsi="Arial"/>
                <w:sz w:val="16"/>
                <w:szCs w:val="16"/>
                <w:b w:val="1"/>
                <w:bCs w:val="1"/>
                <w:color w:val="auto"/>
              </w:rPr>
              <w:t>90405</w:t>
            </w:r>
          </w:p>
        </w:tc>
      </w:tr>
      <w:tr>
        <w:trPr>
          <w:trHeight w:val="159"/>
        </w:trPr>
        <w:tc>
          <w:tcPr>
            <w:tcW w:w="3420" w:type="dxa"/>
            <w:vAlign w:val="bottom"/>
          </w:tcPr>
          <w:p>
            <w:pPr>
              <w:jc w:val="center"/>
              <w:ind w:left="262"/>
              <w:spacing w:after="0" w:line="159" w:lineRule="exact"/>
              <w:rPr>
                <w:sz w:val="20"/>
                <w:szCs w:val="20"/>
                <w:color w:val="auto"/>
              </w:rPr>
            </w:pPr>
            <w:r>
              <w:rPr>
                <w:rFonts w:ascii="Arial" w:cs="Arial" w:eastAsia="Arial" w:hAnsi="Arial"/>
                <w:sz w:val="14"/>
                <w:szCs w:val="14"/>
                <w:color w:val="auto"/>
              </w:rPr>
              <w:t>(Address of Principal Executive</w:t>
            </w:r>
          </w:p>
        </w:tc>
        <w:tc>
          <w:tcPr>
            <w:tcW w:w="3020" w:type="dxa"/>
            <w:vAlign w:val="bottom"/>
          </w:tcPr>
          <w:p>
            <w:pPr>
              <w:spacing w:after="0"/>
              <w:rPr>
                <w:sz w:val="13"/>
                <w:szCs w:val="13"/>
                <w:color w:val="auto"/>
              </w:rPr>
            </w:pPr>
          </w:p>
        </w:tc>
        <w:tc>
          <w:tcPr>
            <w:tcW w:w="2720" w:type="dxa"/>
            <w:vAlign w:val="bottom"/>
          </w:tcPr>
          <w:p>
            <w:pPr>
              <w:jc w:val="center"/>
              <w:ind w:right="282"/>
              <w:spacing w:after="0" w:line="159" w:lineRule="exact"/>
              <w:rPr>
                <w:sz w:val="20"/>
                <w:szCs w:val="20"/>
                <w:color w:val="auto"/>
              </w:rPr>
            </w:pPr>
            <w:r>
              <w:rPr>
                <w:rFonts w:ascii="Arial" w:cs="Arial" w:eastAsia="Arial" w:hAnsi="Arial"/>
                <w:sz w:val="14"/>
                <w:szCs w:val="14"/>
                <w:color w:val="auto"/>
              </w:rPr>
              <w:t>(Zip Code)</w:t>
            </w:r>
          </w:p>
        </w:tc>
      </w:tr>
      <w:tr>
        <w:trPr>
          <w:trHeight w:val="195"/>
        </w:trPr>
        <w:tc>
          <w:tcPr>
            <w:tcW w:w="3420" w:type="dxa"/>
            <w:vAlign w:val="bottom"/>
          </w:tcPr>
          <w:p>
            <w:pPr>
              <w:jc w:val="center"/>
              <w:ind w:left="262"/>
              <w:spacing w:after="0"/>
              <w:rPr>
                <w:sz w:val="20"/>
                <w:szCs w:val="20"/>
                <w:color w:val="auto"/>
              </w:rPr>
            </w:pPr>
            <w:r>
              <w:rPr>
                <w:rFonts w:ascii="Arial" w:cs="Arial" w:eastAsia="Arial" w:hAnsi="Arial"/>
                <w:sz w:val="16"/>
                <w:szCs w:val="16"/>
                <w:color w:val="auto"/>
              </w:rPr>
              <w:t>Offices)</w:t>
            </w:r>
          </w:p>
        </w:tc>
        <w:tc>
          <w:tcPr>
            <w:tcW w:w="3020" w:type="dxa"/>
            <w:vAlign w:val="bottom"/>
          </w:tcPr>
          <w:p>
            <w:pPr>
              <w:spacing w:after="0"/>
              <w:rPr>
                <w:sz w:val="16"/>
                <w:szCs w:val="16"/>
                <w:color w:val="auto"/>
              </w:rPr>
            </w:pPr>
          </w:p>
        </w:tc>
        <w:tc>
          <w:tcPr>
            <w:tcW w:w="2720" w:type="dxa"/>
            <w:vAlign w:val="bottom"/>
          </w:tcPr>
          <w:p>
            <w:pPr>
              <w:spacing w:after="0"/>
              <w:rPr>
                <w:sz w:val="16"/>
                <w:szCs w:val="16"/>
                <w:color w:val="auto"/>
              </w:rPr>
            </w:pPr>
          </w:p>
        </w:tc>
      </w:tr>
    </w:tbl>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(310) 255-2000</w:t>
      </w: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4"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9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4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4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43" w:lineRule="exact"/>
        <w:rPr>
          <w:rFonts w:ascii="MS PGothic" w:cs="MS PGothic" w:eastAsia="MS PGothic" w:hAnsi="MS PGothic"/>
          <w:sz w:val="18"/>
          <w:szCs w:val="18"/>
          <w:color w:val="auto"/>
        </w:rPr>
      </w:pPr>
    </w:p>
    <w:p>
      <w:pPr>
        <w:ind w:left="40" w:right="2840" w:hanging="32"/>
        <w:spacing w:after="0" w:line="537"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193"/>
        </w:trPr>
        <w:tc>
          <w:tcPr>
            <w:tcW w:w="3540" w:type="dxa"/>
            <w:vAlign w:val="bottom"/>
            <w:tcBorders>
              <w:top w:val="single" w:sz="8" w:color="auto"/>
              <w:left w:val="single" w:sz="8" w:color="auto"/>
              <w:right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Title of Each Class</w:t>
            </w:r>
          </w:p>
        </w:tc>
        <w:tc>
          <w:tcPr>
            <w:tcW w:w="3620" w:type="dxa"/>
            <w:vAlign w:val="bottom"/>
            <w:tcBorders>
              <w:top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Trading Symbol</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7"/>
        </w:trPr>
        <w:tc>
          <w:tcPr>
            <w:tcW w:w="3540" w:type="dxa"/>
            <w:vAlign w:val="bottom"/>
            <w:tcBorders>
              <w:left w:val="single" w:sz="8" w:color="auto"/>
              <w:bottom w:val="single" w:sz="8" w:color="auto"/>
              <w:right w:val="single" w:sz="8" w:color="auto"/>
            </w:tcBorders>
          </w:tcPr>
          <w:p>
            <w:pPr>
              <w:spacing w:after="0"/>
              <w:rPr>
                <w:sz w:val="18"/>
                <w:szCs w:val="18"/>
                <w:color w:val="auto"/>
              </w:rPr>
            </w:pPr>
          </w:p>
        </w:tc>
        <w:tc>
          <w:tcPr>
            <w:tcW w:w="362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83"/>
        </w:trPr>
        <w:tc>
          <w:tcPr>
            <w:tcW w:w="3540" w:type="dxa"/>
            <w:vAlign w:val="bottom"/>
            <w:tcBorders>
              <w:left w:val="single" w:sz="8" w:color="auto"/>
              <w:bottom w:val="single" w:sz="8" w:color="auto"/>
              <w:right w:val="single" w:sz="8" w:color="auto"/>
            </w:tcBorders>
          </w:tcPr>
          <w:p>
            <w:pPr>
              <w:jc w:val="center"/>
              <w:ind w:right="59"/>
              <w:spacing w:after="0" w:line="183" w:lineRule="exact"/>
              <w:rPr>
                <w:sz w:val="20"/>
                <w:szCs w:val="20"/>
                <w:color w:val="auto"/>
              </w:rPr>
            </w:pPr>
            <w:r>
              <w:rPr>
                <w:rFonts w:ascii="Arial" w:cs="Arial" w:eastAsia="Arial" w:hAnsi="Arial"/>
                <w:sz w:val="16"/>
                <w:szCs w:val="16"/>
                <w:color w:val="auto"/>
              </w:rPr>
              <w:t>Common Stock, par value $.000001 per share</w:t>
            </w:r>
          </w:p>
        </w:tc>
        <w:tc>
          <w:tcPr>
            <w:tcW w:w="3620" w:type="dxa"/>
            <w:vAlign w:val="bottom"/>
            <w:tcBorders>
              <w:bottom w:val="single" w:sz="8" w:color="auto"/>
              <w:right w:val="single" w:sz="8" w:color="auto"/>
            </w:tcBorders>
          </w:tcPr>
          <w:p>
            <w:pPr>
              <w:jc w:val="center"/>
              <w:ind w:right="99"/>
              <w:spacing w:after="0" w:line="183" w:lineRule="exact"/>
              <w:rPr>
                <w:sz w:val="20"/>
                <w:szCs w:val="20"/>
                <w:color w:val="auto"/>
              </w:rPr>
            </w:pPr>
            <w:r>
              <w:rPr>
                <w:rFonts w:ascii="Arial" w:cs="Arial" w:eastAsia="Arial" w:hAnsi="Arial"/>
                <w:sz w:val="16"/>
                <w:szCs w:val="16"/>
                <w:color w:val="auto"/>
              </w:rPr>
              <w:t>ATVI</w:t>
            </w:r>
          </w:p>
        </w:tc>
        <w:tc>
          <w:tcPr>
            <w:tcW w:w="3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218"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spacing w:after="0" w:line="184" w:lineRule="exact"/>
        <w:tabs>
          <w:tab w:leader="none" w:pos="21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7" w:lineRule="exact"/>
        <w:rPr>
          <w:sz w:val="24"/>
          <w:szCs w:val="24"/>
          <w:color w:val="auto"/>
        </w:rPr>
      </w:pPr>
    </w:p>
    <w:p>
      <w:pPr>
        <w:ind w:right="14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 w:name="page2"/>
    <w:bookmarkEnd w:id="1"/>
    <w:p>
      <w:pPr>
        <w:ind w:right="36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25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June 18, 2021, the Compensation Committee (the “Compensation Committee”) of the Board of Directors of Activision Blizzard, Inc. (the “Company”) reaffirmed its commitment to performance-based compensation for all employees. To that end, the Compensation Committee and Robert A. Kotick, the Company’s Chief Executive Officer, agreed to clarify that, notwithstanding the current terms of his employment agreement, dated November 22, 2016 and amended April 28, 2021, the parties’ intent is that, effective immediately and throughout Mr. Kotick’s tenure as chief executive officer of the Company, (i) the annualized target grant date value of any future long-term incentive (“LTI”) awards granted to him by the Company in any fiscal year shall be no greater than the median annualized target LTI grant value of chief executive officers within the Company’s then-applicable group of peer companies (as determined by the Compensation Committee), and (ii) eligibility for achievement of a portion of such LTI grants in each fiscal year will be tied to a comparison between the Company’s total shareholder return and the total shareholder return of the same applicable group of peer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On June 14, 2021, the Company held its annual meeting of shareholders (the “Annual Meeting”).</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is a brief description of each matter voted on at the Annual Meeting and the manner with respect to which votes were cast, including the number of abstentions and, with respect to Proposal No. 1, “broker non-votes.” There are no broker non-votes for Proposal No. 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Proposal 1. Election of Directors.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Election of the following ten directors to serve one-year terms expiring at the Company’s 2022 Annual Meeting of Shareholders, and until their respective successors are duly elected or appointed and qualified or until the earlier of their death, resignation or removal.</w:t>
      </w:r>
    </w:p>
    <w:p>
      <w:pPr>
        <w:spacing w:after="0" w:line="387"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For</w:t>
            </w:r>
          </w:p>
        </w:tc>
        <w:tc>
          <w:tcPr>
            <w:tcW w:w="1460" w:type="dxa"/>
            <w:vAlign w:val="bottom"/>
            <w:gridSpan w:val="3"/>
          </w:tcPr>
          <w:p>
            <w:pPr>
              <w:ind w:left="240"/>
              <w:spacing w:after="0"/>
              <w:rPr>
                <w:sz w:val="20"/>
                <w:szCs w:val="20"/>
                <w:color w:val="auto"/>
              </w:rPr>
            </w:pPr>
            <w:r>
              <w:rPr>
                <w:rFonts w:ascii="Arial" w:cs="Arial" w:eastAsia="Arial" w:hAnsi="Arial"/>
                <w:sz w:val="16"/>
                <w:szCs w:val="16"/>
                <w:b w:val="1"/>
                <w:bCs w:val="1"/>
                <w:color w:val="auto"/>
              </w:rPr>
              <w:t>Against</w:t>
            </w: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Abstain</w:t>
            </w:r>
          </w:p>
        </w:tc>
        <w:tc>
          <w:tcPr>
            <w:tcW w:w="1360" w:type="dxa"/>
            <w:vAlign w:val="bottom"/>
          </w:tcPr>
          <w:p>
            <w:pPr>
              <w:spacing w:after="0"/>
              <w:rPr>
                <w:sz w:val="20"/>
                <w:szCs w:val="20"/>
                <w:color w:val="auto"/>
              </w:rPr>
            </w:pPr>
            <w:r>
              <w:rPr>
                <w:rFonts w:ascii="Arial" w:cs="Arial" w:eastAsia="Arial" w:hAnsi="Arial"/>
                <w:sz w:val="16"/>
                <w:szCs w:val="16"/>
                <w:b w:val="1"/>
                <w:bCs w:val="1"/>
                <w:color w:val="auto"/>
                <w:w w:val="98"/>
              </w:rPr>
              <w:t>Broker Non-Votes</w:t>
            </w:r>
          </w:p>
        </w:tc>
      </w:tr>
      <w:tr>
        <w:trPr>
          <w:trHeight w:val="20"/>
        </w:trPr>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198"/>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Reveta Bowers</w:t>
            </w:r>
          </w:p>
        </w:tc>
        <w:tc>
          <w:tcPr>
            <w:tcW w:w="1120" w:type="dxa"/>
            <w:vAlign w:val="bottom"/>
            <w:gridSpan w:val="2"/>
          </w:tcPr>
          <w:p>
            <w:pPr>
              <w:spacing w:after="0"/>
              <w:rPr>
                <w:sz w:val="20"/>
                <w:szCs w:val="20"/>
                <w:color w:val="auto"/>
              </w:rPr>
            </w:pPr>
            <w:r>
              <w:rPr>
                <w:rFonts w:ascii="Arial" w:cs="Arial" w:eastAsia="Arial" w:hAnsi="Arial"/>
                <w:sz w:val="16"/>
                <w:szCs w:val="16"/>
                <w:color w:val="auto"/>
              </w:rPr>
              <w:t>613,397,880</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22,038,695</w:t>
            </w:r>
          </w:p>
        </w:tc>
        <w:tc>
          <w:tcPr>
            <w:tcW w:w="600" w:type="dxa"/>
            <w:vAlign w:val="bottom"/>
          </w:tcPr>
          <w:p>
            <w:pPr>
              <w:spacing w:after="0"/>
              <w:rPr>
                <w:sz w:val="20"/>
                <w:szCs w:val="20"/>
                <w:color w:val="auto"/>
              </w:rPr>
            </w:pPr>
            <w:r>
              <w:rPr>
                <w:rFonts w:ascii="Arial" w:cs="Arial" w:eastAsia="Arial" w:hAnsi="Arial"/>
                <w:sz w:val="16"/>
                <w:szCs w:val="16"/>
                <w:color w:val="auto"/>
              </w:rPr>
              <w:t>238,519</w:t>
            </w:r>
          </w:p>
        </w:tc>
        <w:tc>
          <w:tcPr>
            <w:tcW w:w="4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Robert J. Corti</w:t>
            </w:r>
          </w:p>
        </w:tc>
        <w:tc>
          <w:tcPr>
            <w:tcW w:w="1120" w:type="dxa"/>
            <w:vAlign w:val="bottom"/>
            <w:gridSpan w:val="2"/>
          </w:tcPr>
          <w:p>
            <w:pPr>
              <w:spacing w:after="0"/>
              <w:rPr>
                <w:sz w:val="20"/>
                <w:szCs w:val="20"/>
                <w:color w:val="auto"/>
              </w:rPr>
            </w:pPr>
            <w:r>
              <w:rPr>
                <w:rFonts w:ascii="Arial" w:cs="Arial" w:eastAsia="Arial" w:hAnsi="Arial"/>
                <w:sz w:val="16"/>
                <w:szCs w:val="16"/>
                <w:color w:val="auto"/>
              </w:rPr>
              <w:t>598,285,619</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35,687,153</w:t>
            </w:r>
          </w:p>
        </w:tc>
        <w:tc>
          <w:tcPr>
            <w:tcW w:w="1000" w:type="dxa"/>
            <w:vAlign w:val="bottom"/>
            <w:gridSpan w:val="2"/>
          </w:tcPr>
          <w:p>
            <w:pPr>
              <w:spacing w:after="0"/>
              <w:rPr>
                <w:sz w:val="20"/>
                <w:szCs w:val="20"/>
                <w:color w:val="auto"/>
              </w:rPr>
            </w:pPr>
            <w:r>
              <w:rPr>
                <w:rFonts w:ascii="Arial" w:cs="Arial" w:eastAsia="Arial" w:hAnsi="Arial"/>
                <w:sz w:val="16"/>
                <w:szCs w:val="16"/>
                <w:color w:val="auto"/>
              </w:rPr>
              <w:t>1,702,322</w:t>
            </w: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w w:val="99"/>
              </w:rPr>
              <w:t>Hendrik Hartong III</w:t>
            </w:r>
          </w:p>
        </w:tc>
        <w:tc>
          <w:tcPr>
            <w:tcW w:w="1120" w:type="dxa"/>
            <w:vAlign w:val="bottom"/>
            <w:gridSpan w:val="2"/>
          </w:tcPr>
          <w:p>
            <w:pPr>
              <w:spacing w:after="0"/>
              <w:rPr>
                <w:sz w:val="20"/>
                <w:szCs w:val="20"/>
                <w:color w:val="auto"/>
              </w:rPr>
            </w:pPr>
            <w:r>
              <w:rPr>
                <w:rFonts w:ascii="Arial" w:cs="Arial" w:eastAsia="Arial" w:hAnsi="Arial"/>
                <w:sz w:val="16"/>
                <w:szCs w:val="16"/>
                <w:color w:val="auto"/>
              </w:rPr>
              <w:t>631,277,056</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4,115,104</w:t>
            </w:r>
          </w:p>
        </w:tc>
        <w:tc>
          <w:tcPr>
            <w:tcW w:w="600" w:type="dxa"/>
            <w:vAlign w:val="bottom"/>
          </w:tcPr>
          <w:p>
            <w:pPr>
              <w:spacing w:after="0"/>
              <w:rPr>
                <w:sz w:val="20"/>
                <w:szCs w:val="20"/>
                <w:color w:val="auto"/>
              </w:rPr>
            </w:pPr>
            <w:r>
              <w:rPr>
                <w:rFonts w:ascii="Arial" w:cs="Arial" w:eastAsia="Arial" w:hAnsi="Arial"/>
                <w:sz w:val="16"/>
                <w:szCs w:val="16"/>
                <w:color w:val="auto"/>
              </w:rPr>
              <w:t>282,934</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Brian G. Kelly</w:t>
            </w:r>
          </w:p>
        </w:tc>
        <w:tc>
          <w:tcPr>
            <w:tcW w:w="1120" w:type="dxa"/>
            <w:vAlign w:val="bottom"/>
            <w:gridSpan w:val="2"/>
          </w:tcPr>
          <w:p>
            <w:pPr>
              <w:spacing w:after="0"/>
              <w:rPr>
                <w:sz w:val="20"/>
                <w:szCs w:val="20"/>
                <w:color w:val="auto"/>
              </w:rPr>
            </w:pPr>
            <w:r>
              <w:rPr>
                <w:rFonts w:ascii="Arial" w:cs="Arial" w:eastAsia="Arial" w:hAnsi="Arial"/>
                <w:sz w:val="16"/>
                <w:szCs w:val="16"/>
                <w:color w:val="auto"/>
              </w:rPr>
              <w:t>609,445,380</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25,927,220</w:t>
            </w:r>
          </w:p>
        </w:tc>
        <w:tc>
          <w:tcPr>
            <w:tcW w:w="600" w:type="dxa"/>
            <w:vAlign w:val="bottom"/>
          </w:tcPr>
          <w:p>
            <w:pPr>
              <w:spacing w:after="0"/>
              <w:rPr>
                <w:sz w:val="20"/>
                <w:szCs w:val="20"/>
                <w:color w:val="auto"/>
              </w:rPr>
            </w:pPr>
            <w:r>
              <w:rPr>
                <w:rFonts w:ascii="Arial" w:cs="Arial" w:eastAsia="Arial" w:hAnsi="Arial"/>
                <w:sz w:val="16"/>
                <w:szCs w:val="16"/>
                <w:color w:val="auto"/>
              </w:rPr>
              <w:t>302,494</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Robert A. Kotick</w:t>
            </w:r>
          </w:p>
        </w:tc>
        <w:tc>
          <w:tcPr>
            <w:tcW w:w="1120" w:type="dxa"/>
            <w:vAlign w:val="bottom"/>
            <w:gridSpan w:val="2"/>
          </w:tcPr>
          <w:p>
            <w:pPr>
              <w:spacing w:after="0"/>
              <w:rPr>
                <w:sz w:val="20"/>
                <w:szCs w:val="20"/>
                <w:color w:val="auto"/>
              </w:rPr>
            </w:pPr>
            <w:r>
              <w:rPr>
                <w:rFonts w:ascii="Arial" w:cs="Arial" w:eastAsia="Arial" w:hAnsi="Arial"/>
                <w:sz w:val="16"/>
                <w:szCs w:val="16"/>
                <w:color w:val="auto"/>
              </w:rPr>
              <w:t>624,928,814</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10,462,916</w:t>
            </w:r>
          </w:p>
        </w:tc>
        <w:tc>
          <w:tcPr>
            <w:tcW w:w="600" w:type="dxa"/>
            <w:vAlign w:val="bottom"/>
          </w:tcPr>
          <w:p>
            <w:pPr>
              <w:spacing w:after="0"/>
              <w:rPr>
                <w:sz w:val="20"/>
                <w:szCs w:val="20"/>
                <w:color w:val="auto"/>
              </w:rPr>
            </w:pPr>
            <w:r>
              <w:rPr>
                <w:rFonts w:ascii="Arial" w:cs="Arial" w:eastAsia="Arial" w:hAnsi="Arial"/>
                <w:sz w:val="16"/>
                <w:szCs w:val="16"/>
                <w:color w:val="auto"/>
              </w:rPr>
              <w:t>283,364</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Barry Meyer</w:t>
            </w:r>
          </w:p>
        </w:tc>
        <w:tc>
          <w:tcPr>
            <w:tcW w:w="1120" w:type="dxa"/>
            <w:vAlign w:val="bottom"/>
            <w:gridSpan w:val="2"/>
          </w:tcPr>
          <w:p>
            <w:pPr>
              <w:spacing w:after="0"/>
              <w:rPr>
                <w:sz w:val="20"/>
                <w:szCs w:val="20"/>
                <w:color w:val="auto"/>
              </w:rPr>
            </w:pPr>
            <w:r>
              <w:rPr>
                <w:rFonts w:ascii="Arial" w:cs="Arial" w:eastAsia="Arial" w:hAnsi="Arial"/>
                <w:sz w:val="16"/>
                <w:szCs w:val="16"/>
                <w:color w:val="auto"/>
              </w:rPr>
              <w:t>616,091,266</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19,301,443</w:t>
            </w:r>
          </w:p>
        </w:tc>
        <w:tc>
          <w:tcPr>
            <w:tcW w:w="600" w:type="dxa"/>
            <w:vAlign w:val="bottom"/>
          </w:tcPr>
          <w:p>
            <w:pPr>
              <w:spacing w:after="0"/>
              <w:rPr>
                <w:sz w:val="20"/>
                <w:szCs w:val="20"/>
                <w:color w:val="auto"/>
              </w:rPr>
            </w:pPr>
            <w:r>
              <w:rPr>
                <w:rFonts w:ascii="Arial" w:cs="Arial" w:eastAsia="Arial" w:hAnsi="Arial"/>
                <w:sz w:val="16"/>
                <w:szCs w:val="16"/>
                <w:color w:val="auto"/>
              </w:rPr>
              <w:t>282,385</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Robert Morgado</w:t>
            </w:r>
          </w:p>
        </w:tc>
        <w:tc>
          <w:tcPr>
            <w:tcW w:w="1120" w:type="dxa"/>
            <w:vAlign w:val="bottom"/>
            <w:gridSpan w:val="2"/>
          </w:tcPr>
          <w:p>
            <w:pPr>
              <w:spacing w:after="0"/>
              <w:rPr>
                <w:sz w:val="20"/>
                <w:szCs w:val="20"/>
                <w:color w:val="auto"/>
              </w:rPr>
            </w:pPr>
            <w:r>
              <w:rPr>
                <w:rFonts w:ascii="Arial" w:cs="Arial" w:eastAsia="Arial" w:hAnsi="Arial"/>
                <w:sz w:val="16"/>
                <w:szCs w:val="16"/>
                <w:color w:val="auto"/>
              </w:rPr>
              <w:t>545,830,152</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89,531,334</w:t>
            </w:r>
          </w:p>
        </w:tc>
        <w:tc>
          <w:tcPr>
            <w:tcW w:w="600" w:type="dxa"/>
            <w:vAlign w:val="bottom"/>
          </w:tcPr>
          <w:p>
            <w:pPr>
              <w:spacing w:after="0"/>
              <w:rPr>
                <w:sz w:val="20"/>
                <w:szCs w:val="20"/>
                <w:color w:val="auto"/>
              </w:rPr>
            </w:pPr>
            <w:r>
              <w:rPr>
                <w:rFonts w:ascii="Arial" w:cs="Arial" w:eastAsia="Arial" w:hAnsi="Arial"/>
                <w:sz w:val="16"/>
                <w:szCs w:val="16"/>
                <w:color w:val="auto"/>
              </w:rPr>
              <w:t>313,608</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Peter Nolan</w:t>
            </w:r>
          </w:p>
        </w:tc>
        <w:tc>
          <w:tcPr>
            <w:tcW w:w="1120" w:type="dxa"/>
            <w:vAlign w:val="bottom"/>
            <w:gridSpan w:val="2"/>
          </w:tcPr>
          <w:p>
            <w:pPr>
              <w:spacing w:after="0"/>
              <w:rPr>
                <w:sz w:val="20"/>
                <w:szCs w:val="20"/>
                <w:color w:val="auto"/>
              </w:rPr>
            </w:pPr>
            <w:r>
              <w:rPr>
                <w:rFonts w:ascii="Arial" w:cs="Arial" w:eastAsia="Arial" w:hAnsi="Arial"/>
                <w:sz w:val="16"/>
                <w:szCs w:val="16"/>
                <w:color w:val="auto"/>
              </w:rPr>
              <w:t>631,345,230</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4,045,606</w:t>
            </w:r>
          </w:p>
        </w:tc>
        <w:tc>
          <w:tcPr>
            <w:tcW w:w="600" w:type="dxa"/>
            <w:vAlign w:val="bottom"/>
          </w:tcPr>
          <w:p>
            <w:pPr>
              <w:spacing w:after="0"/>
              <w:rPr>
                <w:sz w:val="20"/>
                <w:szCs w:val="20"/>
                <w:color w:val="auto"/>
              </w:rPr>
            </w:pPr>
            <w:r>
              <w:rPr>
                <w:rFonts w:ascii="Arial" w:cs="Arial" w:eastAsia="Arial" w:hAnsi="Arial"/>
                <w:sz w:val="16"/>
                <w:szCs w:val="16"/>
                <w:color w:val="auto"/>
              </w:rPr>
              <w:t>284,258</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89"/>
        </w:trPr>
        <w:tc>
          <w:tcPr>
            <w:tcW w:w="1820" w:type="dxa"/>
            <w:vAlign w:val="bottom"/>
          </w:tcPr>
          <w:p>
            <w:pPr>
              <w:jc w:val="right"/>
              <w:ind w:right="379"/>
              <w:spacing w:after="0"/>
              <w:rPr>
                <w:sz w:val="20"/>
                <w:szCs w:val="20"/>
                <w:color w:val="auto"/>
              </w:rPr>
            </w:pPr>
            <w:r>
              <w:rPr>
                <w:rFonts w:ascii="Arial" w:cs="Arial" w:eastAsia="Arial" w:hAnsi="Arial"/>
                <w:sz w:val="16"/>
                <w:szCs w:val="16"/>
                <w:color w:val="auto"/>
              </w:rPr>
              <w:t>Dawn Ostroff</w:t>
            </w:r>
          </w:p>
        </w:tc>
        <w:tc>
          <w:tcPr>
            <w:tcW w:w="1120" w:type="dxa"/>
            <w:vAlign w:val="bottom"/>
            <w:gridSpan w:val="2"/>
          </w:tcPr>
          <w:p>
            <w:pPr>
              <w:spacing w:after="0"/>
              <w:rPr>
                <w:sz w:val="20"/>
                <w:szCs w:val="20"/>
                <w:color w:val="auto"/>
              </w:rPr>
            </w:pPr>
            <w:r>
              <w:rPr>
                <w:rFonts w:ascii="Arial" w:cs="Arial" w:eastAsia="Arial" w:hAnsi="Arial"/>
                <w:sz w:val="16"/>
                <w:szCs w:val="16"/>
                <w:color w:val="auto"/>
              </w:rPr>
              <w:t>620,852,744</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14,579,958</w:t>
            </w:r>
          </w:p>
        </w:tc>
        <w:tc>
          <w:tcPr>
            <w:tcW w:w="600" w:type="dxa"/>
            <w:vAlign w:val="bottom"/>
          </w:tcPr>
          <w:p>
            <w:pPr>
              <w:spacing w:after="0"/>
              <w:rPr>
                <w:sz w:val="20"/>
                <w:szCs w:val="20"/>
                <w:color w:val="auto"/>
              </w:rPr>
            </w:pPr>
            <w:r>
              <w:rPr>
                <w:rFonts w:ascii="Arial" w:cs="Arial" w:eastAsia="Arial" w:hAnsi="Arial"/>
                <w:sz w:val="16"/>
                <w:szCs w:val="16"/>
                <w:color w:val="auto"/>
              </w:rPr>
              <w:t>242,392</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r>
        <w:trPr>
          <w:trHeight w:val="195"/>
        </w:trPr>
        <w:tc>
          <w:tcPr>
            <w:tcW w:w="1820" w:type="dxa"/>
            <w:vAlign w:val="bottom"/>
          </w:tcPr>
          <w:p>
            <w:pPr>
              <w:jc w:val="right"/>
              <w:ind w:right="379"/>
              <w:spacing w:after="0"/>
              <w:rPr>
                <w:sz w:val="20"/>
                <w:szCs w:val="20"/>
                <w:color w:val="auto"/>
              </w:rPr>
            </w:pPr>
            <w:r>
              <w:rPr>
                <w:rFonts w:ascii="Arial" w:cs="Arial" w:eastAsia="Arial" w:hAnsi="Arial"/>
                <w:sz w:val="16"/>
                <w:szCs w:val="16"/>
                <w:color w:val="auto"/>
                <w:w w:val="99"/>
              </w:rPr>
              <w:t>Casey Wasserman</w:t>
            </w:r>
          </w:p>
        </w:tc>
        <w:tc>
          <w:tcPr>
            <w:tcW w:w="1120" w:type="dxa"/>
            <w:vAlign w:val="bottom"/>
            <w:gridSpan w:val="2"/>
          </w:tcPr>
          <w:p>
            <w:pPr>
              <w:spacing w:after="0"/>
              <w:rPr>
                <w:sz w:val="20"/>
                <w:szCs w:val="20"/>
                <w:color w:val="auto"/>
              </w:rPr>
            </w:pPr>
            <w:r>
              <w:rPr>
                <w:rFonts w:ascii="Arial" w:cs="Arial" w:eastAsia="Arial" w:hAnsi="Arial"/>
                <w:sz w:val="16"/>
                <w:szCs w:val="16"/>
                <w:color w:val="auto"/>
              </w:rPr>
              <w:t>623,889,517</w:t>
            </w:r>
          </w:p>
        </w:tc>
        <w:tc>
          <w:tcPr>
            <w:tcW w:w="1460" w:type="dxa"/>
            <w:vAlign w:val="bottom"/>
            <w:gridSpan w:val="3"/>
          </w:tcPr>
          <w:p>
            <w:pPr>
              <w:ind w:left="240"/>
              <w:spacing w:after="0"/>
              <w:rPr>
                <w:sz w:val="20"/>
                <w:szCs w:val="20"/>
                <w:color w:val="auto"/>
              </w:rPr>
            </w:pPr>
            <w:r>
              <w:rPr>
                <w:rFonts w:ascii="Arial" w:cs="Arial" w:eastAsia="Arial" w:hAnsi="Arial"/>
                <w:sz w:val="16"/>
                <w:szCs w:val="16"/>
                <w:color w:val="auto"/>
              </w:rPr>
              <w:t>11,504,631</w:t>
            </w:r>
          </w:p>
        </w:tc>
        <w:tc>
          <w:tcPr>
            <w:tcW w:w="600" w:type="dxa"/>
            <w:vAlign w:val="bottom"/>
          </w:tcPr>
          <w:p>
            <w:pPr>
              <w:spacing w:after="0"/>
              <w:rPr>
                <w:sz w:val="20"/>
                <w:szCs w:val="20"/>
                <w:color w:val="auto"/>
              </w:rPr>
            </w:pPr>
            <w:r>
              <w:rPr>
                <w:rFonts w:ascii="Arial" w:cs="Arial" w:eastAsia="Arial" w:hAnsi="Arial"/>
                <w:sz w:val="16"/>
                <w:szCs w:val="16"/>
                <w:color w:val="auto"/>
              </w:rPr>
              <w:t>280,946</w:t>
            </w:r>
          </w:p>
        </w:tc>
        <w:tc>
          <w:tcPr>
            <w:tcW w:w="4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36,747,734</w:t>
            </w:r>
          </w:p>
        </w:tc>
      </w:tr>
    </w:tbl>
    <w:p>
      <w:pPr>
        <w:spacing w:after="0" w:line="200" w:lineRule="exact"/>
        <w:rPr>
          <w:sz w:val="20"/>
          <w:szCs w:val="20"/>
          <w:color w:val="auto"/>
        </w:rPr>
      </w:pPr>
    </w:p>
    <w:p>
      <w:pPr>
        <w:spacing w:after="0" w:line="206"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b w:val="1"/>
          <w:bCs w:val="1"/>
          <w:i w:val="1"/>
          <w:iCs w:val="1"/>
          <w:color w:val="auto"/>
        </w:rPr>
        <w:t>Proposal 3. Ratification of the appointment of PricewaterhouseCoopers LLP as the Company’s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Ratification of the appointment of PricewaterhouseCoopers LLP as the Company’s independent registered public accounting firm for 2021.</w:t>
      </w:r>
    </w:p>
    <w:p>
      <w:pPr>
        <w:spacing w:after="0" w:line="197" w:lineRule="exact"/>
        <w:rPr>
          <w:sz w:val="20"/>
          <w:szCs w:val="20"/>
          <w:color w:val="auto"/>
        </w:rPr>
      </w:pPr>
    </w:p>
    <w:tbl>
      <w:tblPr>
        <w:tblLayout w:type="fixed"/>
        <w:tblInd w:w="3940" w:type="dxa"/>
        <w:tblCellMar>
          <w:top w:w="0" w:type="dxa"/>
          <w:left w:w="0" w:type="dxa"/>
          <w:bottom w:w="0" w:type="dxa"/>
          <w:right w:w="0" w:type="dxa"/>
        </w:tblCellMar>
      </w:tblPr>
      <w:tr>
        <w:trPr>
          <w:trHeight w:val="184"/>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For</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Against</w:t>
            </w:r>
          </w:p>
        </w:tc>
        <w:tc>
          <w:tcPr>
            <w:tcW w:w="580" w:type="dxa"/>
            <w:vAlign w:val="bottom"/>
          </w:tcPr>
          <w:p>
            <w:pPr>
              <w:spacing w:after="0"/>
              <w:rPr>
                <w:sz w:val="20"/>
                <w:szCs w:val="20"/>
                <w:color w:val="auto"/>
              </w:rPr>
            </w:pPr>
            <w:r>
              <w:rPr>
                <w:rFonts w:ascii="Arial" w:cs="Arial" w:eastAsia="Arial" w:hAnsi="Arial"/>
                <w:sz w:val="16"/>
                <w:szCs w:val="16"/>
                <w:b w:val="1"/>
                <w:bCs w:val="1"/>
                <w:color w:val="auto"/>
                <w:w w:val="95"/>
              </w:rPr>
              <w:t>Abstain</w:t>
            </w:r>
          </w:p>
        </w:tc>
      </w:tr>
      <w:tr>
        <w:trPr>
          <w:trHeight w:val="20"/>
        </w:trPr>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3"/>
        </w:trPr>
        <w:tc>
          <w:tcPr>
            <w:tcW w:w="1120" w:type="dxa"/>
            <w:vAlign w:val="bottom"/>
            <w:gridSpan w:val="2"/>
          </w:tcPr>
          <w:p>
            <w:pPr>
              <w:spacing w:after="0"/>
              <w:rPr>
                <w:sz w:val="20"/>
                <w:szCs w:val="20"/>
                <w:color w:val="auto"/>
              </w:rPr>
            </w:pPr>
            <w:r>
              <w:rPr>
                <w:rFonts w:ascii="Arial" w:cs="Arial" w:eastAsia="Arial" w:hAnsi="Arial"/>
                <w:sz w:val="16"/>
                <w:szCs w:val="16"/>
                <w:color w:val="auto"/>
              </w:rPr>
              <w:t>653,181,917</w:t>
            </w:r>
          </w:p>
        </w:tc>
        <w:tc>
          <w:tcPr>
            <w:tcW w:w="1120" w:type="dxa"/>
            <w:vAlign w:val="bottom"/>
            <w:gridSpan w:val="2"/>
          </w:tcPr>
          <w:p>
            <w:pPr>
              <w:spacing w:after="0"/>
              <w:rPr>
                <w:sz w:val="20"/>
                <w:szCs w:val="20"/>
                <w:color w:val="auto"/>
              </w:rPr>
            </w:pPr>
            <w:r>
              <w:rPr>
                <w:rFonts w:ascii="Arial" w:cs="Arial" w:eastAsia="Arial" w:hAnsi="Arial"/>
                <w:sz w:val="16"/>
                <w:szCs w:val="16"/>
                <w:color w:val="auto"/>
              </w:rPr>
              <w:t>18,985,274</w:t>
            </w:r>
          </w:p>
        </w:tc>
        <w:tc>
          <w:tcPr>
            <w:tcW w:w="580" w:type="dxa"/>
            <w:vAlign w:val="bottom"/>
          </w:tcPr>
          <w:p>
            <w:pPr>
              <w:spacing w:after="0"/>
              <w:rPr>
                <w:sz w:val="20"/>
                <w:szCs w:val="20"/>
                <w:color w:val="auto"/>
              </w:rPr>
            </w:pPr>
            <w:r>
              <w:rPr>
                <w:rFonts w:ascii="Arial" w:cs="Arial" w:eastAsia="Arial" w:hAnsi="Arial"/>
                <w:sz w:val="16"/>
                <w:szCs w:val="16"/>
                <w:color w:val="auto"/>
                <w:w w:val="96"/>
              </w:rPr>
              <w:t>255,637</w:t>
            </w:r>
          </w:p>
        </w:tc>
      </w:tr>
    </w:tbl>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Proposal 2. Shareholder Advisory Vote on Executive Compensation.</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adjourned the Annual Meeting with respect to the advisory vote on executive compensation for the limited purpose of allowing additional time for shareholders to vote on the proposal. The independent members of the Board of Directors of the Company elected to adjourn the Annual Meeting until 9:00 a.m. (Pacific Time) on Monday, June 21, 2021 (the “Reconvened Annual Meeting”).</w:t>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At the Reconvened Annual Meeting, the shareholders voted to approve the non-binding, advisory proposal on the compensation of the Company’s executive officers named in the “Summary Compensation Table” in the Company’s Proxy Statement, as disclosed in that Proxy Statement pursuant to Item 402 of Regulation S-K. Set forth below is the manner in which votes were cast with respect to such non-binding advisory vote, including the number of abstentions and broker non-votes.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w:t>
            </w: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Against</w:t>
            </w:r>
          </w:p>
        </w:tc>
        <w:tc>
          <w:tcPr>
            <w:tcW w:w="126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Abstain</w:t>
            </w:r>
          </w:p>
        </w:tc>
        <w:tc>
          <w:tcPr>
            <w:tcW w:w="4440" w:type="dxa"/>
            <w:vAlign w:val="bottom"/>
            <w:gridSpan w:val="4"/>
          </w:tcPr>
          <w:p>
            <w:pPr>
              <w:spacing w:after="0"/>
              <w:rPr>
                <w:sz w:val="20"/>
                <w:szCs w:val="20"/>
                <w:color w:val="auto"/>
              </w:rPr>
            </w:pPr>
            <w:r>
              <w:rPr>
                <w:rFonts w:ascii="Arial" w:cs="Arial" w:eastAsia="Arial" w:hAnsi="Arial"/>
                <w:sz w:val="16"/>
                <w:szCs w:val="16"/>
                <w:b w:val="1"/>
                <w:bCs w:val="1"/>
                <w:color w:val="auto"/>
              </w:rPr>
              <w:t>Broker Non-</w:t>
            </w: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4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Votes</w:t>
            </w: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343,457,244</w:t>
            </w:r>
          </w:p>
        </w:tc>
        <w:tc>
          <w:tcPr>
            <w:tcW w:w="1080" w:type="dxa"/>
            <w:vAlign w:val="bottom"/>
            <w:gridSpan w:val="2"/>
          </w:tcPr>
          <w:p>
            <w:pPr>
              <w:spacing w:after="0"/>
              <w:rPr>
                <w:sz w:val="20"/>
                <w:szCs w:val="20"/>
                <w:color w:val="auto"/>
              </w:rPr>
            </w:pPr>
            <w:r>
              <w:rPr>
                <w:rFonts w:ascii="Arial" w:cs="Arial" w:eastAsia="Arial" w:hAnsi="Arial"/>
                <w:sz w:val="18"/>
                <w:szCs w:val="18"/>
                <w:color w:val="auto"/>
              </w:rPr>
              <w:t>274,588,223</w:t>
            </w:r>
          </w:p>
        </w:tc>
        <w:tc>
          <w:tcPr>
            <w:tcW w:w="180" w:type="dxa"/>
            <w:vAlign w:val="bottom"/>
            <w:vMerge w:val="continue"/>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17,854,766</w:t>
            </w:r>
          </w:p>
        </w:tc>
        <w:tc>
          <w:tcPr>
            <w:tcW w:w="20" w:type="dxa"/>
            <w:vAlign w:val="bottom"/>
            <w:vMerge w:val="continue"/>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9"/>
              </w:rPr>
              <w:t>36,670,798</w:t>
            </w:r>
          </w:p>
        </w:tc>
        <w:tc>
          <w:tcPr>
            <w:tcW w:w="3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4"/>
        </w:trPr>
        <w:tc>
          <w:tcPr>
            <w:tcW w:w="3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Date: June 21,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ACTIVISION BLIZZARD, INC.</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Frances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6"/>
          <w:szCs w:val="16"/>
          <w:color w:val="auto"/>
        </w:rPr>
        <w:t>Frances Townsend</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Corporate Affairs, Corporate Secretary and</w:t>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2021-06-21T14:32:48Z</dcterms:created>
  <dcterms:modified xsi:type="dcterms:W3CDTF">2021-06-21T14:32:48Z</dcterms:modified>
</cp:coreProperties>
</file>