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27964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1270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9" w:lineRule="exact"/>
        <w:rPr>
          <w:sz w:val="24"/>
          <w:szCs w:val="24"/>
          <w:color w:val="auto"/>
        </w:rPr>
      </w:pPr>
    </w:p>
    <w:p>
      <w:pPr>
        <w:ind w:left="1800" w:hanging="204"/>
        <w:spacing w:after="0"/>
        <w:tabs>
          <w:tab w:leader="none" w:pos="18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2019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o  TRANSITION REPORT PURSUANT TO SECTION 13 OR 15(d) OF THE SECURITIES EXCHANGE ACT OF 1934</w:t>
      </w:r>
    </w:p>
    <w:p>
      <w:pPr>
        <w:spacing w:after="0" w:line="168" w:lineRule="exact"/>
        <w:rPr>
          <w:sz w:val="24"/>
          <w:szCs w:val="24"/>
          <w:color w:val="auto"/>
        </w:rPr>
      </w:pPr>
    </w:p>
    <w:p>
      <w:pPr>
        <w:ind w:left="4060"/>
        <w:spacing w:after="0"/>
        <w:tabs>
          <w:tab w:leader="none" w:pos="6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12065</wp:posOffset>
            </wp:positionV>
            <wp:extent cx="1714500" cy="532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ACTIVISION BLIZZARD,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4220" w:type="dxa"/>
            <w:vAlign w:val="bottom"/>
            <w:gridSpan w:val="2"/>
          </w:tcPr>
          <w:p>
            <w:pPr>
              <w:jc w:val="center"/>
              <w:ind w:left="1232"/>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right"/>
              <w:ind w:right="2352"/>
              <w:spacing w:after="0"/>
              <w:rPr>
                <w:sz w:val="20"/>
                <w:szCs w:val="20"/>
                <w:color w:val="auto"/>
              </w:rPr>
            </w:pPr>
            <w:r>
              <w:rPr>
                <w:rFonts w:ascii="Times New Roman" w:cs="Times New Roman" w:eastAsia="Times New Roman" w:hAnsi="Times New Roman"/>
                <w:sz w:val="14"/>
                <w:szCs w:val="14"/>
                <w:b w:val="1"/>
                <w:bCs w:val="1"/>
                <w:color w:val="auto"/>
              </w:rPr>
              <w:t>95-4803544</w:t>
            </w:r>
          </w:p>
        </w:tc>
      </w:tr>
      <w:tr>
        <w:trPr>
          <w:trHeight w:val="193"/>
        </w:trPr>
        <w:tc>
          <w:tcPr>
            <w:tcW w:w="4220" w:type="dxa"/>
            <w:vAlign w:val="bottom"/>
            <w:gridSpan w:val="2"/>
          </w:tcPr>
          <w:p>
            <w:pPr>
              <w:jc w:val="center"/>
              <w:ind w:left="1212"/>
              <w:spacing w:after="0"/>
              <w:rPr>
                <w:sz w:val="20"/>
                <w:szCs w:val="20"/>
                <w:color w:val="auto"/>
              </w:rPr>
            </w:pPr>
            <w:r>
              <w:rPr>
                <w:rFonts w:ascii="Times New Roman" w:cs="Times New Roman" w:eastAsia="Times New Roman" w:hAnsi="Times New Roman"/>
                <w:sz w:val="14"/>
                <w:szCs w:val="14"/>
                <w:color w:val="auto"/>
                <w:w w:val="97"/>
              </w:rPr>
              <w:t>(State or other jurisdiction of</w:t>
            </w: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0" w:type="dxa"/>
            <w:vAlign w:val="bottom"/>
          </w:tcPr>
          <w:p>
            <w:pPr>
              <w:jc w:val="center"/>
              <w:ind w:right="1432"/>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175"/>
        </w:trPr>
        <w:tc>
          <w:tcPr>
            <w:tcW w:w="4220" w:type="dxa"/>
            <w:vAlign w:val="bottom"/>
            <w:gridSpan w:val="2"/>
          </w:tcPr>
          <w:p>
            <w:pPr>
              <w:jc w:val="center"/>
              <w:ind w:left="1232"/>
              <w:spacing w:after="0"/>
              <w:rPr>
                <w:sz w:val="20"/>
                <w:szCs w:val="20"/>
                <w:color w:val="auto"/>
              </w:rPr>
            </w:pPr>
            <w:r>
              <w:rPr>
                <w:rFonts w:ascii="Times New Roman" w:cs="Times New Roman" w:eastAsia="Times New Roman" w:hAnsi="Times New Roman"/>
                <w:sz w:val="14"/>
                <w:szCs w:val="14"/>
                <w:color w:val="auto"/>
                <w:w w:val="97"/>
              </w:rPr>
              <w:t>incorporation or organization)</w:t>
            </w: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297"/>
        </w:trPr>
        <w:tc>
          <w:tcPr>
            <w:tcW w:w="4220" w:type="dxa"/>
            <w:vAlign w:val="bottom"/>
            <w:gridSpan w:val="2"/>
          </w:tcPr>
          <w:p>
            <w:pPr>
              <w:jc w:val="center"/>
              <w:ind w:left="1212"/>
              <w:spacing w:after="0"/>
              <w:rPr>
                <w:sz w:val="20"/>
                <w:szCs w:val="20"/>
                <w:color w:val="auto"/>
              </w:rPr>
            </w:pPr>
            <w:r>
              <w:rPr>
                <w:rFonts w:ascii="Times New Roman" w:cs="Times New Roman" w:eastAsia="Times New Roman" w:hAnsi="Times New Roman"/>
                <w:sz w:val="14"/>
                <w:szCs w:val="14"/>
                <w:b w:val="1"/>
                <w:bCs w:val="1"/>
                <w:color w:val="auto"/>
                <w:w w:val="97"/>
              </w:rPr>
              <w:t>3100 Ocean Park Boulevard, Santa Monica, CA</w:t>
            </w: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jc w:val="right"/>
              <w:ind w:right="2512"/>
              <w:spacing w:after="0"/>
              <w:rPr>
                <w:sz w:val="20"/>
                <w:szCs w:val="20"/>
                <w:color w:val="auto"/>
              </w:rPr>
            </w:pPr>
            <w:r>
              <w:rPr>
                <w:rFonts w:ascii="Times New Roman" w:cs="Times New Roman" w:eastAsia="Times New Roman" w:hAnsi="Times New Roman"/>
                <w:sz w:val="14"/>
                <w:szCs w:val="14"/>
                <w:b w:val="1"/>
                <w:bCs w:val="1"/>
                <w:color w:val="auto"/>
              </w:rPr>
              <w:t>90405</w:t>
            </w:r>
          </w:p>
        </w:tc>
      </w:tr>
      <w:tr>
        <w:trPr>
          <w:trHeight w:val="205"/>
        </w:trPr>
        <w:tc>
          <w:tcPr>
            <w:tcW w:w="4220" w:type="dxa"/>
            <w:vAlign w:val="bottom"/>
            <w:gridSpan w:val="2"/>
          </w:tcPr>
          <w:p>
            <w:pPr>
              <w:jc w:val="center"/>
              <w:ind w:left="1232"/>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jc w:val="center"/>
              <w:ind w:right="1412"/>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6"/>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(310) 255-2000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75"/>
        </w:trPr>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450"/>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40" w:type="dxa"/>
            <w:vAlign w:val="bottom"/>
          </w:tcPr>
          <w:p>
            <w:pPr>
              <w:spacing w:after="0"/>
              <w:rPr>
                <w:sz w:val="24"/>
                <w:szCs w:val="24"/>
                <w:color w:val="auto"/>
              </w:rPr>
            </w:pPr>
          </w:p>
        </w:tc>
        <w:tc>
          <w:tcPr>
            <w:tcW w:w="31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Common Stock, par value $0.000001 per share</w:t>
            </w:r>
          </w:p>
        </w:tc>
        <w:tc>
          <w:tcPr>
            <w:tcW w:w="140" w:type="dxa"/>
            <w:vAlign w:val="bottom"/>
          </w:tcPr>
          <w:p>
            <w:pPr>
              <w:spacing w:after="0"/>
              <w:rPr>
                <w:sz w:val="15"/>
                <w:szCs w:val="15"/>
                <w:color w:val="auto"/>
              </w:rPr>
            </w:pPr>
          </w:p>
        </w:tc>
        <w:tc>
          <w:tcPr>
            <w:tcW w:w="3100" w:type="dxa"/>
            <w:vAlign w:val="bottom"/>
            <w:gridSpan w:val="3"/>
          </w:tcPr>
          <w:p>
            <w:pPr>
              <w:ind w:left="940"/>
              <w:spacing w:after="0"/>
              <w:rPr>
                <w:sz w:val="20"/>
                <w:szCs w:val="20"/>
                <w:color w:val="auto"/>
              </w:rPr>
            </w:pPr>
            <w:r>
              <w:rPr>
                <w:rFonts w:ascii="Times New Roman" w:cs="Times New Roman" w:eastAsia="Times New Roman" w:hAnsi="Times New Roman"/>
                <w:sz w:val="14"/>
                <w:szCs w:val="14"/>
                <w:color w:val="auto"/>
              </w:rPr>
              <w:t>ATVI</w:t>
            </w:r>
          </w:p>
        </w:tc>
        <w:tc>
          <w:tcPr>
            <w:tcW w:w="4000" w:type="dxa"/>
            <w:vAlign w:val="bottom"/>
          </w:tcPr>
          <w:p>
            <w:pPr>
              <w:jc w:val="center"/>
              <w:ind w:right="612"/>
              <w:spacing w:after="0"/>
              <w:rPr>
                <w:sz w:val="20"/>
                <w:szCs w:val="20"/>
                <w:color w:val="auto"/>
              </w:rPr>
            </w:pPr>
            <w:r>
              <w:rPr>
                <w:rFonts w:ascii="Times New Roman" w:cs="Times New Roman" w:eastAsia="Times New Roman" w:hAnsi="Times New Roman"/>
                <w:sz w:val="14"/>
                <w:szCs w:val="14"/>
                <w:color w:val="auto"/>
                <w:w w:val="96"/>
              </w:rPr>
              <w:t>The Nasdaq Global Select Market</w:t>
            </w:r>
          </w:p>
        </w:tc>
      </w:tr>
    </w:tbl>
    <w:p>
      <w:pPr>
        <w:spacing w:after="0" w:line="90" w:lineRule="exact"/>
        <w:rPr>
          <w:sz w:val="24"/>
          <w:szCs w:val="24"/>
          <w:color w:val="auto"/>
        </w:rPr>
      </w:pPr>
    </w:p>
    <w:p>
      <w:pPr>
        <w:jc w:val="both"/>
        <w:ind w:firstLine="245"/>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4" w:lineRule="exact"/>
        <w:rPr>
          <w:sz w:val="24"/>
          <w:szCs w:val="24"/>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p>
      <w:pPr>
        <w:ind w:left="1080"/>
        <w:spacing w:after="0"/>
        <w:tabs>
          <w:tab w:leader="none" w:pos="4820" w:val="left"/>
          <w:tab w:leader="none" w:pos="8700" w:val="left"/>
        </w:tabs>
        <w:rPr>
          <w:sz w:val="20"/>
          <w:szCs w:val="20"/>
          <w:color w:val="auto"/>
        </w:rPr>
      </w:pPr>
      <w:r>
        <w:rPr>
          <w:rFonts w:ascii="Times New Roman" w:cs="Times New Roman" w:eastAsia="Times New Roman" w:hAnsi="Times New Roman"/>
          <w:sz w:val="14"/>
          <w:szCs w:val="14"/>
          <w:color w:val="auto"/>
        </w:rPr>
        <w:t>Large Accelerated Filer x</w:t>
      </w:r>
      <w:r>
        <w:rPr>
          <w:sz w:val="20"/>
          <w:szCs w:val="20"/>
          <w:color w:val="auto"/>
        </w:rPr>
        <w:tab/>
      </w:r>
      <w:r>
        <w:rPr>
          <w:rFonts w:ascii="Times New Roman" w:cs="Times New Roman" w:eastAsia="Times New Roman" w:hAnsi="Times New Roman"/>
          <w:sz w:val="14"/>
          <w:szCs w:val="14"/>
          <w:color w:val="auto"/>
        </w:rPr>
        <w:t>Non-accelerated Filer o</w:t>
      </w:r>
      <w:r>
        <w:rPr>
          <w:sz w:val="20"/>
          <w:szCs w:val="20"/>
          <w:color w:val="auto"/>
        </w:rPr>
        <w:tab/>
      </w:r>
      <w:r>
        <w:rPr>
          <w:rFonts w:ascii="Times New Roman" w:cs="Times New Roman" w:eastAsia="Times New Roman" w:hAnsi="Times New Roman"/>
          <w:sz w:val="12"/>
          <w:szCs w:val="12"/>
          <w:color w:val="auto"/>
        </w:rPr>
        <w:t>Accelerated Filer o</w:t>
      </w:r>
    </w:p>
    <w:p>
      <w:pPr>
        <w:spacing w:after="0" w:line="136"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4"/>
          <w:szCs w:val="14"/>
          <w:color w:val="auto"/>
        </w:rPr>
        <w:t>Smaller reporting company o</w:t>
      </w:r>
    </w:p>
    <w:p>
      <w:pPr>
        <w:spacing w:after="0" w:line="44"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4"/>
          <w:szCs w:val="14"/>
          <w:color w:val="auto"/>
        </w:rPr>
        <w:t>Emerging growth company o</w:t>
      </w:r>
    </w:p>
    <w:p>
      <w:pPr>
        <w:spacing w:after="0" w:line="105" w:lineRule="exact"/>
        <w:rPr>
          <w:sz w:val="24"/>
          <w:szCs w:val="24"/>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4" w:lineRule="exact"/>
        <w:rPr>
          <w:sz w:val="24"/>
          <w:szCs w:val="24"/>
          <w:color w:val="auto"/>
        </w:rPr>
      </w:pPr>
    </w:p>
    <w:p>
      <w:pPr>
        <w:ind w:left="240" w:right="4340"/>
        <w:spacing w:after="0" w:line="387" w:lineRule="auto"/>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 No x The number of shares of the registrant’s Common Stock outstanding at April 25, 2019 was 766,006,719.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67945</wp:posOffset>
            </wp:positionV>
            <wp:extent cx="710438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4380" cy="1270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3175</wp:posOffset>
            </wp:positionV>
            <wp:extent cx="7104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4380" cy="63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860" w:type="dxa"/>
            <w:vAlign w:val="bottom"/>
            <w:gridSpan w:val="7"/>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57"/>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gridSpan w:val="9"/>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114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gridSpan w:val="7"/>
          </w:tcPr>
          <w:p>
            <w:pPr>
              <w:jc w:val="center"/>
              <w:ind w:right="4000"/>
              <w:spacing w:after="0"/>
              <w:rPr>
                <w:sz w:val="20"/>
                <w:szCs w:val="20"/>
                <w:color w:val="auto"/>
              </w:rPr>
            </w:pPr>
            <w:r>
              <w:rPr>
                <w:rFonts w:ascii="Times New Roman" w:cs="Times New Roman" w:eastAsia="Times New Roman" w:hAnsi="Times New Roman"/>
                <w:sz w:val="14"/>
                <w:szCs w:val="14"/>
                <w:b w:val="1"/>
                <w:bCs w:val="1"/>
                <w:color w:val="auto"/>
                <w:w w:val="95"/>
              </w:rPr>
              <w:t>Table of Contents</w:t>
            </w:r>
          </w:p>
        </w:tc>
        <w:tc>
          <w:tcPr>
            <w:tcW w:w="114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Cautionary Statement</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3">
              <w:r>
                <w:rPr>
                  <w:rFonts w:ascii="Times New Roman" w:cs="Times New Roman" w:eastAsia="Times New Roman" w:hAnsi="Times New Roman"/>
                  <w:sz w:val="14"/>
                  <w:szCs w:val="14"/>
                  <w:color w:val="auto"/>
                </w:rPr>
                <w:t>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PART I.</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FINANCIAL INFORMATION</w:t>
              </w:r>
            </w:hyperlink>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rFonts w:ascii="Times New Roman" w:cs="Times New Roman" w:eastAsia="Times New Roman" w:hAnsi="Times New Roman"/>
                <w:sz w:val="14"/>
                <w:szCs w:val="14"/>
                <w:color w:val="0000EE"/>
                <w:w w:val="85"/>
              </w:rPr>
            </w:pPr>
            <w:hyperlink w:anchor="page4">
              <w:r>
                <w:rPr>
                  <w:rFonts w:ascii="Times New Roman" w:cs="Times New Roman" w:eastAsia="Times New Roman" w:hAnsi="Times New Roman"/>
                  <w:sz w:val="14"/>
                  <w:szCs w:val="14"/>
                  <w:color w:val="0000EE"/>
                  <w:w w:val="85"/>
                </w:rPr>
                <w:t>Item 1.</w:t>
              </w:r>
            </w:hyperlink>
          </w:p>
        </w:tc>
        <w:tc>
          <w:tcPr>
            <w:tcW w:w="1460" w:type="dxa"/>
            <w:vAlign w:val="bottom"/>
            <w:gridSpan w:val="5"/>
          </w:tcPr>
          <w:p>
            <w:pPr>
              <w:spacing w:after="0"/>
              <w:rPr>
                <w:sz w:val="24"/>
                <w:szCs w:val="24"/>
                <w:color w:val="auto"/>
              </w:rPr>
            </w:pPr>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4">
              <w:r>
                <w:rPr>
                  <w:rFonts w:ascii="Times New Roman" w:cs="Times New Roman" w:eastAsia="Times New Roman" w:hAnsi="Times New Roman"/>
                  <w:sz w:val="14"/>
                  <w:szCs w:val="14"/>
                  <w:color w:val="0000EE"/>
                </w:rPr>
                <w:t>Financial Statements (Unaudited)</w:t>
              </w:r>
            </w:hyperlink>
          </w:p>
        </w:tc>
        <w:tc>
          <w:tcPr>
            <w:tcW w:w="1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7"/>
              </w:rPr>
            </w:pPr>
            <w:hyperlink w:anchor="page4">
              <w:r>
                <w:rPr>
                  <w:rFonts w:ascii="Times New Roman" w:cs="Times New Roman" w:eastAsia="Times New Roman" w:hAnsi="Times New Roman"/>
                  <w:sz w:val="14"/>
                  <w:szCs w:val="14"/>
                  <w:color w:val="0000EE"/>
                  <w:w w:val="97"/>
                </w:rPr>
                <w:t>Condensed Consolidated Balance Sheets at March 31, 2019 and December 31, 2018</w:t>
              </w:r>
            </w:hyperlink>
          </w:p>
        </w:tc>
        <w:tc>
          <w:tcPr>
            <w:tcW w:w="3840" w:type="dxa"/>
            <w:vAlign w:val="bottom"/>
            <w:gridSpan w:val="6"/>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4">
              <w:r>
                <w:rPr>
                  <w:rFonts w:ascii="Times New Roman" w:cs="Times New Roman" w:eastAsia="Times New Roman" w:hAnsi="Times New Roman"/>
                  <w:sz w:val="14"/>
                  <w:szCs w:val="14"/>
                  <w:color w:val="auto"/>
                </w:rPr>
                <w:t>4</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5">
              <w:r>
                <w:rPr>
                  <w:rFonts w:ascii="Times New Roman" w:cs="Times New Roman" w:eastAsia="Times New Roman" w:hAnsi="Times New Roman"/>
                  <w:sz w:val="14"/>
                  <w:szCs w:val="14"/>
                  <w:color w:val="0000EE"/>
                </w:rPr>
                <w:t>Condensed Consolidated Statements of Operations for the three months ended March 31, 2019 and March 31, 2018</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5">
              <w:r>
                <w:rPr>
                  <w:rFonts w:ascii="Times New Roman" w:cs="Times New Roman" w:eastAsia="Times New Roman" w:hAnsi="Times New Roman"/>
                  <w:sz w:val="14"/>
                  <w:szCs w:val="14"/>
                  <w:color w:val="auto"/>
                </w:rPr>
                <w:t>5</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6">
              <w:r>
                <w:rPr>
                  <w:rFonts w:ascii="Times New Roman" w:cs="Times New Roman" w:eastAsia="Times New Roman" w:hAnsi="Times New Roman"/>
                  <w:sz w:val="14"/>
                  <w:szCs w:val="14"/>
                  <w:color w:val="0000EE"/>
                </w:rPr>
                <w:t>Condensed Consolidated Statements of Comprehensive Income for the three months ended March 31, 2019 and March 31, 2018</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6">
              <w:r>
                <w:rPr>
                  <w:rFonts w:ascii="Times New Roman" w:cs="Times New Roman" w:eastAsia="Times New Roman" w:hAnsi="Times New Roman"/>
                  <w:sz w:val="14"/>
                  <w:szCs w:val="14"/>
                  <w:color w:val="auto"/>
                </w:rPr>
                <w:t>6</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0" w:type="dxa"/>
            <w:vAlign w:val="bottom"/>
            <w:tcBorders>
              <w:top w:val="single" w:sz="8" w:color="0000EE"/>
            </w:tcBorders>
            <w:gridSpan w:val="15"/>
          </w:tcPr>
          <w:p>
            <w:pPr>
              <w:spacing w:after="0"/>
              <w:rPr>
                <w:rFonts w:ascii="Times New Roman" w:cs="Times New Roman" w:eastAsia="Times New Roman" w:hAnsi="Times New Roman"/>
                <w:sz w:val="14"/>
                <w:szCs w:val="14"/>
                <w:color w:val="0000EE"/>
              </w:rPr>
            </w:pPr>
            <w:hyperlink w:anchor="page7">
              <w:r>
                <w:rPr>
                  <w:rFonts w:ascii="Times New Roman" w:cs="Times New Roman" w:eastAsia="Times New Roman" w:hAnsi="Times New Roman"/>
                  <w:sz w:val="14"/>
                  <w:szCs w:val="14"/>
                  <w:color w:val="0000EE"/>
                </w:rPr>
                <w:t>Condensed Consolidated Statements of Cash Flows for the three months ended March 31, 2019 and March 31, 2018</w:t>
              </w:r>
            </w:hyperlink>
          </w:p>
        </w:tc>
        <w:tc>
          <w:tcPr>
            <w:tcW w:w="1440" w:type="dxa"/>
            <w:vAlign w:val="bottom"/>
            <w:gridSpan w:val="2"/>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7">
              <w:r>
                <w:rPr>
                  <w:rFonts w:ascii="Times New Roman" w:cs="Times New Roman" w:eastAsia="Times New Roman" w:hAnsi="Times New Roman"/>
                  <w:sz w:val="14"/>
                  <w:szCs w:val="14"/>
                  <w:color w:val="auto"/>
                </w:rPr>
                <w:t>7</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8">
              <w:r>
                <w:rPr>
                  <w:rFonts w:ascii="Times New Roman" w:cs="Times New Roman" w:eastAsia="Times New Roman" w:hAnsi="Times New Roman"/>
                  <w:sz w:val="14"/>
                  <w:szCs w:val="14"/>
                  <w:color w:val="0000EE"/>
                </w:rPr>
                <w:t>Condensed Consolidated Statement of Changes in Shareholders’ Equity for the three months ended March 31, 2019 and March 31, 2018</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8">
              <w:r>
                <w:rPr>
                  <w:rFonts w:ascii="Times New Roman" w:cs="Times New Roman" w:eastAsia="Times New Roman" w:hAnsi="Times New Roman"/>
                  <w:sz w:val="14"/>
                  <w:szCs w:val="14"/>
                  <w:color w:val="auto"/>
                </w:rPr>
                <w:t>8</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40" w:type="dxa"/>
            <w:vAlign w:val="bottom"/>
            <w:tcBorders>
              <w:top w:val="single" w:sz="8" w:color="0000EE"/>
            </w:tcBorders>
            <w:gridSpan w:val="16"/>
          </w:tcPr>
          <w:p>
            <w:pPr>
              <w:spacing w:after="0"/>
              <w:rPr>
                <w:rFonts w:ascii="Times New Roman" w:cs="Times New Roman" w:eastAsia="Times New Roman" w:hAnsi="Times New Roman"/>
                <w:sz w:val="14"/>
                <w:szCs w:val="14"/>
                <w:color w:val="0000EE"/>
              </w:rPr>
            </w:pPr>
            <w:hyperlink w:anchor="page9">
              <w:r>
                <w:rPr>
                  <w:rFonts w:ascii="Times New Roman" w:cs="Times New Roman" w:eastAsia="Times New Roman" w:hAnsi="Times New Roman"/>
                  <w:sz w:val="14"/>
                  <w:szCs w:val="14"/>
                  <w:color w:val="0000EE"/>
                </w:rPr>
                <w:t>Notes to Condensed Consolidated Financial Statements</w:t>
              </w:r>
            </w:hyperlink>
          </w:p>
        </w:tc>
        <w:tc>
          <w:tcPr>
            <w:tcW w:w="1000" w:type="dxa"/>
            <w:vAlign w:val="bottom"/>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9">
              <w:r>
                <w:rPr>
                  <w:rFonts w:ascii="Times New Roman" w:cs="Times New Roman" w:eastAsia="Times New Roman" w:hAnsi="Times New Roman"/>
                  <w:sz w:val="14"/>
                  <w:szCs w:val="14"/>
                  <w:color w:val="auto"/>
                </w:rPr>
                <w:t>9</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Item 2.</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32">
              <w:r>
                <w:rPr>
                  <w:rFonts w:ascii="Times New Roman" w:cs="Times New Roman" w:eastAsia="Times New Roman" w:hAnsi="Times New Roman"/>
                  <w:sz w:val="14"/>
                  <w:szCs w:val="14"/>
                  <w:color w:val="0000EE"/>
                </w:rPr>
                <w:t>Management’s Discussion and Analysis of Financial Condition and Results of Operations</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32">
              <w:r>
                <w:rPr>
                  <w:rFonts w:ascii="Times New Roman" w:cs="Times New Roman" w:eastAsia="Times New Roman" w:hAnsi="Times New Roman"/>
                  <w:sz w:val="14"/>
                  <w:szCs w:val="14"/>
                  <w:color w:val="auto"/>
                </w:rPr>
                <w:t>32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50">
              <w:r>
                <w:rPr>
                  <w:rFonts w:ascii="Times New Roman" w:cs="Times New Roman" w:eastAsia="Times New Roman" w:hAnsi="Times New Roman"/>
                  <w:sz w:val="14"/>
                  <w:szCs w:val="14"/>
                  <w:color w:val="0000EE"/>
                </w:rPr>
                <w:t>Item 3.</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50">
              <w:r>
                <w:rPr>
                  <w:rFonts w:ascii="Times New Roman" w:cs="Times New Roman" w:eastAsia="Times New Roman" w:hAnsi="Times New Roman"/>
                  <w:sz w:val="14"/>
                  <w:szCs w:val="14"/>
                  <w:color w:val="0000EE"/>
                </w:rPr>
                <w:t>Quantitative and Qualitative Disclosures About Market Risk</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50">
              <w:r>
                <w:rPr>
                  <w:rFonts w:ascii="Times New Roman" w:cs="Times New Roman" w:eastAsia="Times New Roman" w:hAnsi="Times New Roman"/>
                  <w:sz w:val="14"/>
                  <w:szCs w:val="14"/>
                  <w:color w:val="auto"/>
                </w:rPr>
                <w:t>50</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Item 4.</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Controls and Procedures</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52">
              <w:r>
                <w:rPr>
                  <w:rFonts w:ascii="Times New Roman" w:cs="Times New Roman" w:eastAsia="Times New Roman" w:hAnsi="Times New Roman"/>
                  <w:sz w:val="14"/>
                  <w:szCs w:val="14"/>
                  <w:color w:val="auto"/>
                </w:rPr>
                <w:t>52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PART II.</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OTHER INFORMATION</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52">
              <w:r>
                <w:rPr>
                  <w:rFonts w:ascii="Times New Roman" w:cs="Times New Roman" w:eastAsia="Times New Roman" w:hAnsi="Times New Roman"/>
                  <w:sz w:val="14"/>
                  <w:szCs w:val="14"/>
                  <w:color w:val="auto"/>
                </w:rPr>
                <w:t>52</w:t>
              </w:r>
            </w:hyperlink>
          </w:p>
        </w:tc>
      </w:tr>
      <w:tr>
        <w:trPr>
          <w:trHeight w:val="389"/>
        </w:trPr>
        <w:tc>
          <w:tcPr>
            <w:tcW w:w="2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Item 1.</w:t>
              </w:r>
            </w:hyperlink>
          </w:p>
        </w:tc>
        <w:tc>
          <w:tcPr>
            <w:tcW w:w="1360" w:type="dxa"/>
            <w:vAlign w:val="bottom"/>
            <w:gridSpan w:val="4"/>
          </w:tcPr>
          <w:p>
            <w:pPr>
              <w:spacing w:after="0"/>
              <w:rPr>
                <w:sz w:val="24"/>
                <w:szCs w:val="24"/>
                <w:color w:val="auto"/>
              </w:rPr>
            </w:pPr>
          </w:p>
        </w:tc>
        <w:tc>
          <w:tcPr>
            <w:tcW w:w="1440" w:type="dxa"/>
            <w:vAlign w:val="bottom"/>
            <w:tcBorders>
              <w:top w:val="single" w:sz="8" w:color="0000EE"/>
            </w:tcBorders>
            <w:gridSpan w:val="6"/>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Legal Proceedings</w:t>
              </w:r>
            </w:hyperlink>
          </w:p>
        </w:tc>
        <w:tc>
          <w:tcPr>
            <w:tcW w:w="7000" w:type="dxa"/>
            <w:vAlign w:val="bottom"/>
            <w:gridSpan w:val="11"/>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52">
              <w:r>
                <w:rPr>
                  <w:rFonts w:ascii="Times New Roman" w:cs="Times New Roman" w:eastAsia="Times New Roman" w:hAnsi="Times New Roman"/>
                  <w:sz w:val="14"/>
                  <w:szCs w:val="14"/>
                  <w:color w:val="auto"/>
                </w:rPr>
                <w:t>52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Item 1A.</w:t>
              </w:r>
            </w:hyperlink>
          </w:p>
        </w:tc>
        <w:tc>
          <w:tcPr>
            <w:tcW w:w="8440" w:type="dxa"/>
            <w:vAlign w:val="bottom"/>
            <w:gridSpan w:val="17"/>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Risk Factors</w:t>
              </w:r>
            </w:hyperlink>
          </w:p>
        </w:tc>
        <w:tc>
          <w:tcPr>
            <w:tcW w:w="1140" w:type="dxa"/>
            <w:vAlign w:val="bottom"/>
          </w:tcPr>
          <w:p>
            <w:pPr>
              <w:jc w:val="right"/>
              <w:spacing w:after="0"/>
              <w:rPr>
                <w:rFonts w:ascii="Times New Roman" w:cs="Times New Roman" w:eastAsia="Times New Roman" w:hAnsi="Times New Roman"/>
                <w:sz w:val="14"/>
                <w:szCs w:val="14"/>
                <w:color w:val="auto"/>
              </w:rPr>
            </w:pPr>
            <w:hyperlink w:anchor="page52">
              <w:r>
                <w:rPr>
                  <w:rFonts w:ascii="Times New Roman" w:cs="Times New Roman" w:eastAsia="Times New Roman" w:hAnsi="Times New Roman"/>
                  <w:sz w:val="14"/>
                  <w:szCs w:val="14"/>
                  <w:color w:val="auto"/>
                </w:rPr>
                <w:t>52</w:t>
              </w:r>
            </w:hyperlink>
          </w:p>
        </w:tc>
      </w:tr>
      <w:tr>
        <w:trPr>
          <w:trHeight w:val="389"/>
        </w:trPr>
        <w:tc>
          <w:tcPr>
            <w:tcW w:w="2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Item 6.</w:t>
              </w:r>
            </w:hyperlink>
          </w:p>
        </w:tc>
        <w:tc>
          <w:tcPr>
            <w:tcW w:w="1360" w:type="dxa"/>
            <w:vAlign w:val="bottom"/>
            <w:gridSpan w:val="4"/>
          </w:tcPr>
          <w:p>
            <w:pPr>
              <w:spacing w:after="0"/>
              <w:rPr>
                <w:sz w:val="24"/>
                <w:szCs w:val="24"/>
                <w:color w:val="auto"/>
              </w:rPr>
            </w:pPr>
          </w:p>
        </w:tc>
        <w:tc>
          <w:tcPr>
            <w:tcW w:w="68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w:anchor="page52">
              <w:r>
                <w:rPr>
                  <w:rFonts w:ascii="Times New Roman" w:cs="Times New Roman" w:eastAsia="Times New Roman" w:hAnsi="Times New Roman"/>
                  <w:sz w:val="14"/>
                  <w:szCs w:val="14"/>
                  <w:color w:val="0000EE"/>
                </w:rPr>
                <w:t>Exhibits</w:t>
              </w:r>
            </w:hyperlink>
          </w:p>
        </w:tc>
        <w:tc>
          <w:tcPr>
            <w:tcW w:w="7760" w:type="dxa"/>
            <w:vAlign w:val="bottom"/>
            <w:gridSpan w:val="15"/>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52">
              <w:r>
                <w:rPr>
                  <w:rFonts w:ascii="Times New Roman" w:cs="Times New Roman" w:eastAsia="Times New Roman" w:hAnsi="Times New Roman"/>
                  <w:sz w:val="14"/>
                  <w:szCs w:val="14"/>
                  <w:color w:val="auto"/>
                </w:rPr>
                <w:t>52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Times New Roman" w:cs="Times New Roman" w:eastAsia="Times New Roman" w:hAnsi="Times New Roman"/>
                <w:sz w:val="14"/>
                <w:szCs w:val="14"/>
                <w:color w:val="0000EE"/>
              </w:rPr>
            </w:pPr>
            <w:hyperlink w:anchor="page53">
              <w:r>
                <w:rPr>
                  <w:rFonts w:ascii="Times New Roman" w:cs="Times New Roman" w:eastAsia="Times New Roman" w:hAnsi="Times New Roman"/>
                  <w:sz w:val="14"/>
                  <w:szCs w:val="14"/>
                  <w:color w:val="0000EE"/>
                </w:rPr>
                <w:t>EXHIBIT INDEX</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53">
              <w:r>
                <w:rPr>
                  <w:rFonts w:ascii="Times New Roman" w:cs="Times New Roman" w:eastAsia="Times New Roman" w:hAnsi="Times New Roman"/>
                  <w:sz w:val="14"/>
                  <w:szCs w:val="14"/>
                  <w:color w:val="auto"/>
                </w:rPr>
                <w:t>53</w:t>
              </w:r>
            </w:hyperlink>
          </w:p>
        </w:tc>
      </w:tr>
      <w:tr>
        <w:trPr>
          <w:trHeight w:val="399"/>
        </w:trPr>
        <w:tc>
          <w:tcPr>
            <w:tcW w:w="20" w:type="dxa"/>
            <w:vAlign w:val="bottom"/>
          </w:tcPr>
          <w:p>
            <w:pPr>
              <w:spacing w:after="0"/>
              <w:rPr>
                <w:sz w:val="24"/>
                <w:szCs w:val="24"/>
                <w:color w:val="auto"/>
              </w:rPr>
            </w:pPr>
          </w:p>
        </w:tc>
        <w:tc>
          <w:tcPr>
            <w:tcW w:w="1000" w:type="dxa"/>
            <w:vAlign w:val="bottom"/>
            <w:tcBorders>
              <w:top w:val="single" w:sz="8" w:color="0000EE"/>
            </w:tcBorders>
            <w:gridSpan w:val="5"/>
          </w:tcPr>
          <w:p>
            <w:pPr>
              <w:spacing w:after="0"/>
              <w:rPr>
                <w:rFonts w:ascii="Times New Roman" w:cs="Times New Roman" w:eastAsia="Times New Roman" w:hAnsi="Times New Roman"/>
                <w:sz w:val="14"/>
                <w:szCs w:val="14"/>
                <w:color w:val="0000EE"/>
              </w:rPr>
            </w:pPr>
            <w:hyperlink w:anchor="page54">
              <w:r>
                <w:rPr>
                  <w:rFonts w:ascii="Times New Roman" w:cs="Times New Roman" w:eastAsia="Times New Roman" w:hAnsi="Times New Roman"/>
                  <w:sz w:val="14"/>
                  <w:szCs w:val="14"/>
                  <w:color w:val="0000EE"/>
                </w:rPr>
                <w:t>SIGNATURE</w:t>
              </w:r>
            </w:hyperlink>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4"/>
                <w:szCs w:val="14"/>
                <w:color w:val="auto"/>
              </w:rPr>
            </w:pPr>
            <w:hyperlink w:anchor="page54">
              <w:r>
                <w:rPr>
                  <w:rFonts w:ascii="Times New Roman" w:cs="Times New Roman" w:eastAsia="Times New Roman" w:hAnsi="Times New Roman"/>
                  <w:sz w:val="14"/>
                  <w:szCs w:val="14"/>
                  <w:color w:val="auto"/>
                </w:rPr>
                <w:t>54</w:t>
              </w:r>
            </w:hyperlink>
          </w:p>
        </w:tc>
      </w:tr>
      <w:tr>
        <w:trPr>
          <w:trHeight w:val="542"/>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gridSpan w:val="11"/>
          </w:tcPr>
          <w:p>
            <w:pPr>
              <w:jc w:val="center"/>
              <w:ind w:left="3072"/>
              <w:spacing w:after="0"/>
              <w:rPr>
                <w:sz w:val="20"/>
                <w:szCs w:val="20"/>
                <w:color w:val="auto"/>
              </w:rPr>
            </w:pPr>
            <w:r>
              <w:rPr>
                <w:rFonts w:ascii="Times New Roman" w:cs="Times New Roman" w:eastAsia="Times New Roman" w:hAnsi="Times New Roman"/>
                <w:sz w:val="14"/>
                <w:szCs w:val="14"/>
                <w:color w:val="auto"/>
                <w:w w:val="85"/>
              </w:rPr>
              <w:t>2</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20" w:top="111"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w:t>
      </w:r>
    </w:p>
    <w:p>
      <w:pPr>
        <w:spacing w:after="0" w:line="168" w:lineRule="exact"/>
        <w:rPr>
          <w:sz w:val="20"/>
          <w:szCs w:val="20"/>
          <w:color w:val="auto"/>
        </w:rPr>
      </w:pPr>
    </w:p>
    <w:p>
      <w:pPr>
        <w:ind w:right="20" w:firstLine="245"/>
        <w:spacing w:after="0" w:line="248"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45" w:lineRule="exact"/>
        <w:rPr>
          <w:sz w:val="20"/>
          <w:szCs w:val="20"/>
          <w:color w:val="auto"/>
        </w:rPr>
      </w:pPr>
    </w:p>
    <w:p>
      <w:pPr>
        <w:ind w:firstLine="245"/>
        <w:spacing w:after="0" w:line="290" w:lineRule="auto"/>
        <w:rPr>
          <w:sz w:val="20"/>
          <w:szCs w:val="20"/>
          <w:color w:val="auto"/>
        </w:rPr>
      </w:pPr>
      <w:r>
        <w:rPr>
          <w:rFonts w:ascii="Times New Roman" w:cs="Times New Roman" w:eastAsia="Times New Roman" w:hAnsi="Times New Roman"/>
          <w:sz w:val="12"/>
          <w:szCs w:val="12"/>
          <w:i w:val="1"/>
          <w:iCs w:val="1"/>
          <w:color w:val="auto"/>
        </w:rPr>
        <w:t>We caution that a number of important factors could cause our actual future results and other future circumstances to differ materially from those expressed in any forward-looking statements. Such factors include, but are not limited to: our ability to consistently deliver popular, high-quality titles in a timely manner; our ability to satisfy the expectations of consumers with respect to our brands, games, services, and/or business practices; concentration of revenue among a small number of titles;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our ability to realize the expected financial and operational benefits of, and effectively manage, our recently announced restructuring plans; increasing importance of revenues derived from digital distribution channels; risks associated with the retail sales business model; substantial influence of third-party platform providers over our products and costs; success and availability of video game consoles manufactured by third parties; risks associated with the free-to-play business model, including dependence on a relatively small number of consumers for a significant portion of revenues and profits from any given game; risks and costs associated with legal proceedings; changes in tax rates or exposure to additional tax liabilities, as well as the outcome of current or future tax disputes; rapid changes in technology and industry standards; competition, including from other forms of entertainment; our ability to sell products at assumed pricing levels; our ability to attract, retain, and motivate skilled personnel; reliance on external developers for development of some of our software products; the amount of our debt and the limitations imposed by the covenants in the agreements governing our debt; counterparty risks relating to customers, licensees, licensors, and manufacturers; intellectual property claims; piracy and unauthorized copying of our products; risks and uncertainties of conducting business outside the U.S.; fluctuations in currency exchange rates; increasing regulation of our business, products, and distribution in key territories; compliance with continually evolving laws and regulations concerning data privacy; potential data breaches and other cybersecurity risks; and the other factors identified in “Risk Factors” included in Part I, Item 1A of our Annual Report on Form 10-K for the year ended December 31, 2018.</w:t>
      </w:r>
    </w:p>
    <w:p>
      <w:pPr>
        <w:spacing w:after="0" w:line="290" w:lineRule="exact"/>
        <w:rPr>
          <w:sz w:val="20"/>
          <w:szCs w:val="20"/>
          <w:color w:val="auto"/>
        </w:rPr>
      </w:pPr>
    </w:p>
    <w:p>
      <w:pPr>
        <w:ind w:right="20" w:firstLine="245"/>
        <w:spacing w:after="0" w:line="256" w:lineRule="auto"/>
        <w:rPr>
          <w:sz w:val="20"/>
          <w:szCs w:val="20"/>
          <w:color w:val="auto"/>
        </w:rPr>
      </w:pPr>
      <w:r>
        <w:rPr>
          <w:rFonts w:ascii="Times New Roman" w:cs="Times New Roman" w:eastAsia="Times New Roman" w:hAnsi="Times New Roman"/>
          <w:sz w:val="14"/>
          <w:szCs w:val="14"/>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39" w:lineRule="exact"/>
        <w:rPr>
          <w:sz w:val="20"/>
          <w:szCs w:val="20"/>
          <w:color w:val="auto"/>
        </w:rPr>
      </w:pPr>
    </w:p>
    <w:p>
      <w:pPr>
        <w:jc w:val="both"/>
        <w:ind w:right="200" w:firstLine="245"/>
        <w:spacing w:after="0" w:line="256" w:lineRule="auto"/>
        <w:rPr>
          <w:sz w:val="20"/>
          <w:szCs w:val="20"/>
          <w:color w:val="auto"/>
        </w:rPr>
      </w:pPr>
      <w:r>
        <w:rPr>
          <w:rFonts w:ascii="Times New Roman" w:cs="Times New Roman" w:eastAsia="Times New Roman" w:hAnsi="Times New Roman"/>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United States (“U.S.”) dollars, unless otherwise explicitly stated to the contrary.</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40"/>
          </w:cols>
          <w:pgMar w:left="220" w:top="12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4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6500" w:type="dxa"/>
            <w:vAlign w:val="bottom"/>
          </w:tcPr>
          <w:p>
            <w:pPr>
              <w:jc w:val="center"/>
              <w:ind w:left="2992"/>
              <w:spacing w:after="0"/>
              <w:rPr>
                <w:sz w:val="20"/>
                <w:szCs w:val="20"/>
                <w:color w:val="auto"/>
              </w:rPr>
            </w:pPr>
            <w:r>
              <w:rPr>
                <w:rFonts w:ascii="Times New Roman" w:cs="Times New Roman" w:eastAsia="Times New Roman" w:hAnsi="Times New Roman"/>
                <w:sz w:val="14"/>
                <w:szCs w:val="14"/>
                <w:b w:val="1"/>
                <w:bCs w:val="1"/>
                <w:color w:val="auto"/>
                <w:w w:val="96"/>
              </w:rPr>
              <w:t>PART I. FINANCIAL INFORMATION</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7"/>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1"/>
        </w:trPr>
        <w:tc>
          <w:tcPr>
            <w:tcW w:w="960" w:type="dxa"/>
            <w:vAlign w:val="bottom"/>
          </w:tcPr>
          <w:p>
            <w:pPr>
              <w:spacing w:after="0"/>
              <w:rPr>
                <w:sz w:val="24"/>
                <w:szCs w:val="2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w w:val="97"/>
              </w:rPr>
              <w:t>CONDENSED CONSOLIDATED BALANCE SHEETS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(Unaudited)</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(Amounts in millions, except share data)</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86"/>
        </w:trPr>
        <w:tc>
          <w:tcPr>
            <w:tcW w:w="9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220" w:type="dxa"/>
            <w:vAlign w:val="bottom"/>
          </w:tcPr>
          <w:p>
            <w:pPr>
              <w:spacing w:after="0"/>
              <w:rPr>
                <w:sz w:val="24"/>
                <w:szCs w:val="24"/>
                <w:color w:val="auto"/>
              </w:rPr>
            </w:pP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4,225</w:t>
            </w:r>
          </w:p>
        </w:tc>
      </w:tr>
      <w:tr>
        <w:trPr>
          <w:trHeight w:val="183"/>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allowances of $106 and $190, at March 31, 2019 and December 31, 2018, respectively</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1,035</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r>
      <w:tr>
        <w:trPr>
          <w:trHeight w:val="183"/>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Software development</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264</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539</w:t>
            </w:r>
          </w:p>
        </w:tc>
      </w:tr>
      <w:tr>
        <w:trPr>
          <w:trHeight w:val="17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6,037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6,106</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 development</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282</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458</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482</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735</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9,763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9,762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9"/>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17,948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17,890</w:t>
            </w: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1"/>
        </w:trPr>
        <w:tc>
          <w:tcPr>
            <w:tcW w:w="96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253</w:t>
            </w:r>
          </w:p>
        </w:tc>
      </w:tr>
      <w:tr>
        <w:trPr>
          <w:trHeight w:val="183"/>
        </w:trPr>
        <w:tc>
          <w:tcPr>
            <w:tcW w:w="7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1,493</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896</w:t>
            </w:r>
          </w:p>
        </w:tc>
      </w:tr>
      <w:tr>
        <w:trPr>
          <w:trHeight w:val="17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2,642</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net</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2,671</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1,167</w:t>
            </w:r>
          </w:p>
        </w:tc>
      </w:tr>
      <w:tr>
        <w:trPr>
          <w:trHeight w:val="17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6,352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6,498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6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2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r>
      <w:tr>
        <w:trPr>
          <w:trHeight w:val="18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1"/>
        </w:trPr>
        <w:tc>
          <w:tcPr>
            <w:tcW w:w="7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Common stock, $0.000001 par value, 2,400,000,000 shares authorized, 1,194,600,733 and 1,192,093,991 shares issued at March 31,</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7"/>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2019 and December 31, 2018, 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11,004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10,963</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Treasury stock, at cost, 428,676,471 shares at March 31, 2019 and December 31, 2018</w:t>
            </w:r>
          </w:p>
        </w:tc>
        <w:tc>
          <w:tcPr>
            <w:tcW w:w="2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(5,563)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5"/>
                <w:szCs w:val="15"/>
                <w:color w:val="auto"/>
              </w:rPr>
            </w:pPr>
          </w:p>
        </w:tc>
        <w:tc>
          <w:tcPr>
            <w:tcW w:w="1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6,593</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11,392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9"/>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17,948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17,890</w:t>
            </w: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60"/>
          </w:cols>
          <w:pgMar w:left="220" w:top="111" w:right="2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 except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40" w:type="dxa"/>
            <w:vAlign w:val="bottom"/>
          </w:tcPr>
          <w:p>
            <w:pPr>
              <w:spacing w:after="0"/>
              <w:rPr>
                <w:sz w:val="15"/>
                <w:szCs w:val="15"/>
                <w:color w:val="auto"/>
              </w:rPr>
            </w:pPr>
          </w:p>
        </w:tc>
        <w:tc>
          <w:tcPr>
            <w:tcW w:w="358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Pr>
          <w:p>
            <w:pPr>
              <w:spacing w:after="0"/>
              <w:rPr>
                <w:sz w:val="15"/>
                <w:szCs w:val="15"/>
                <w:color w:val="auto"/>
              </w:rPr>
            </w:pPr>
          </w:p>
        </w:tc>
      </w:tr>
      <w:tr>
        <w:trPr>
          <w:trHeight w:val="21"/>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3"/>
        </w:trPr>
        <w:tc>
          <w:tcPr>
            <w:tcW w:w="7240" w:type="dxa"/>
            <w:vAlign w:val="bottom"/>
          </w:tcPr>
          <w:p>
            <w:pPr>
              <w:spacing w:after="0"/>
              <w:rPr>
                <w:sz w:val="15"/>
                <w:szCs w:val="15"/>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5"/>
                <w:szCs w:val="15"/>
                <w:color w:val="auto"/>
              </w:rPr>
            </w:pP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sales</w:t>
            </w: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15"/>
                <w:szCs w:val="15"/>
                <w:color w:val="auto"/>
              </w:rPr>
            </w:pP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720</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licensing, and other revenues</w:t>
            </w:r>
          </w:p>
        </w:tc>
        <w:tc>
          <w:tcPr>
            <w:tcW w:w="1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1,245</w:t>
            </w:r>
          </w:p>
        </w:tc>
      </w:tr>
      <w:tr>
        <w:trPr>
          <w:trHeight w:val="17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1,965</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5"/>
        </w:trPr>
        <w:tc>
          <w:tcPr>
            <w:tcW w:w="7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8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3"/>
        </w:trPr>
        <w:tc>
          <w:tcPr>
            <w:tcW w:w="7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 licenses</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146</w:t>
            </w:r>
          </w:p>
        </w:tc>
      </w:tr>
      <w:tr>
        <w:trPr>
          <w:trHeight w:val="183"/>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270</w:t>
            </w:r>
          </w:p>
        </w:tc>
      </w:tr>
      <w:tr>
        <w:trPr>
          <w:trHeight w:val="183"/>
        </w:trPr>
        <w:tc>
          <w:tcPr>
            <w:tcW w:w="7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 licenses</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84</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259</w:t>
            </w: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251</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198</w:t>
            </w: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related costs</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1,255</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1,370</w:t>
            </w:r>
          </w:p>
        </w:tc>
      </w:tr>
      <w:tr>
        <w:trPr>
          <w:trHeight w:val="205"/>
        </w:trPr>
        <w:tc>
          <w:tcPr>
            <w:tcW w:w="724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18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595</w:t>
            </w:r>
          </w:p>
        </w:tc>
      </w:tr>
      <w:tr>
        <w:trPr>
          <w:trHeight w:val="18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w:t>
            </w: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567</w:t>
            </w:r>
          </w:p>
        </w:tc>
      </w:tr>
      <w:tr>
        <w:trPr>
          <w:trHeight w:val="18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67</w:t>
            </w: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r>
        <w:trPr>
          <w:trHeight w:val="20"/>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7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15"/>
                <w:szCs w:val="15"/>
                <w:color w:val="auto"/>
              </w:rPr>
            </w:pP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0.66</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0" w:type="dxa"/>
            <w:vAlign w:val="bottom"/>
            <w:tcBorders>
              <w:bottom w:val="single" w:sz="8" w:color="CCEEFF"/>
            </w:tcBorders>
            <w:shd w:val="clear" w:color="auto" w:fill="CCEEFF"/>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0.65</w:t>
            </w:r>
          </w:p>
        </w:tc>
      </w:tr>
      <w:tr>
        <w:trPr>
          <w:trHeight w:val="215"/>
        </w:trPr>
        <w:tc>
          <w:tcPr>
            <w:tcW w:w="7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number of shares outstanding</w:t>
            </w:r>
          </w:p>
        </w:tc>
        <w:tc>
          <w:tcPr>
            <w:tcW w:w="14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759</w:t>
            </w:r>
          </w:p>
        </w:tc>
      </w:tr>
      <w:tr>
        <w:trPr>
          <w:trHeight w:val="21"/>
        </w:trPr>
        <w:tc>
          <w:tcPr>
            <w:tcW w:w="7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770</w:t>
            </w:r>
          </w:p>
        </w:tc>
      </w:tr>
      <w:tr>
        <w:trPr>
          <w:trHeight w:val="21"/>
        </w:trPr>
        <w:tc>
          <w:tcPr>
            <w:tcW w:w="72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127" w:right="2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40" w:type="dxa"/>
            <w:vAlign w:val="bottom"/>
          </w:tcPr>
          <w:p>
            <w:pPr>
              <w:spacing w:after="0"/>
              <w:rPr>
                <w:sz w:val="15"/>
                <w:szCs w:val="15"/>
                <w:color w:val="auto"/>
              </w:rPr>
            </w:pPr>
          </w:p>
        </w:tc>
        <w:tc>
          <w:tcPr>
            <w:tcW w:w="36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Pr>
          <w:p>
            <w:pPr>
              <w:spacing w:after="0"/>
              <w:rPr>
                <w:sz w:val="15"/>
                <w:szCs w:val="15"/>
                <w:color w:val="auto"/>
              </w:rPr>
            </w:pPr>
          </w:p>
        </w:tc>
      </w:tr>
      <w:tr>
        <w:trPr>
          <w:trHeight w:val="21"/>
        </w:trPr>
        <w:tc>
          <w:tcPr>
            <w:tcW w:w="7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3"/>
        </w:trPr>
        <w:tc>
          <w:tcPr>
            <w:tcW w:w="7240" w:type="dxa"/>
            <w:vAlign w:val="bottom"/>
          </w:tcPr>
          <w:p>
            <w:pPr>
              <w:spacing w:after="0"/>
              <w:rPr>
                <w:sz w:val="15"/>
                <w:szCs w:val="15"/>
                <w:color w:val="auto"/>
              </w:rPr>
            </w:pP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5"/>
                <w:szCs w:val="15"/>
                <w:color w:val="auto"/>
              </w:rPr>
            </w:pP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tcBorders>
              <w:bottom w:val="single" w:sz="8" w:color="CCEEFF"/>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r>
        <w:trPr>
          <w:trHeight w:val="245"/>
        </w:trPr>
        <w:tc>
          <w:tcPr>
            <w:tcW w:w="7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8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46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7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5"/>
        </w:trPr>
        <w:tc>
          <w:tcPr>
            <w:tcW w:w="7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gains (losses) on forward contracts designated as hedges, net of tax</w:t>
            </w:r>
          </w:p>
        </w:tc>
        <w:tc>
          <w:tcPr>
            <w:tcW w:w="14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gains (losses) on investments, net of tax</w:t>
            </w:r>
          </w:p>
        </w:tc>
        <w:tc>
          <w:tcPr>
            <w:tcW w:w="1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460" w:type="dxa"/>
            <w:vAlign w:val="bottom"/>
            <w:tcBorders>
              <w:bottom w:val="single" w:sz="8" w:color="CCEEFF"/>
            </w:tcBorders>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460" w:type="dxa"/>
            <w:vAlign w:val="bottom"/>
            <w:tcBorders>
              <w:top w:val="single" w:sz="8" w:color="auto"/>
              <w:bottom w:val="single" w:sz="8" w:color="auto"/>
            </w:tcBorders>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486</w:t>
            </w:r>
          </w:p>
        </w:tc>
      </w:tr>
      <w:tr>
        <w:trPr>
          <w:trHeight w:val="20"/>
        </w:trPr>
        <w:tc>
          <w:tcPr>
            <w:tcW w:w="7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12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46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42"/>
        </w:trPr>
        <w:tc>
          <w:tcPr>
            <w:tcW w:w="960" w:type="dxa"/>
            <w:vAlign w:val="bottom"/>
            <w:tcBorders>
              <w:top w:val="single" w:sz="8" w:color="0000EE"/>
            </w:tcBorders>
          </w:tcPr>
          <w:p>
            <w:pPr>
              <w:spacing w:after="0"/>
              <w:rPr>
                <w:sz w:val="24"/>
                <w:szCs w:val="2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w w:val="97"/>
              </w:rPr>
              <w:t>ACTIVISION BLIZZARD, INC. AND SUBSIDIARIES</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960" w:type="dxa"/>
            <w:vAlign w:val="bottom"/>
          </w:tcPr>
          <w:p>
            <w:pPr>
              <w:spacing w:after="0"/>
              <w:rPr>
                <w:sz w:val="14"/>
                <w:szCs w:val="14"/>
                <w:color w:val="auto"/>
              </w:rPr>
            </w:pPr>
          </w:p>
        </w:tc>
        <w:tc>
          <w:tcPr>
            <w:tcW w:w="7820" w:type="dxa"/>
            <w:vAlign w:val="bottom"/>
            <w:gridSpan w:val="2"/>
          </w:tcPr>
          <w:p>
            <w:pPr>
              <w:jc w:val="center"/>
              <w:ind w:left="1652"/>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STATEMENTS OF CASH FLOWS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(Unaudited)</w:t>
            </w: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6500" w:type="dxa"/>
            <w:vAlign w:val="bottom"/>
          </w:tcPr>
          <w:p>
            <w:pPr>
              <w:jc w:val="center"/>
              <w:ind w:left="2972"/>
              <w:spacing w:after="0"/>
              <w:rPr>
                <w:sz w:val="20"/>
                <w:szCs w:val="20"/>
                <w:color w:val="auto"/>
              </w:rPr>
            </w:pPr>
            <w:r>
              <w:rPr>
                <w:rFonts w:ascii="Times New Roman" w:cs="Times New Roman" w:eastAsia="Times New Roman" w:hAnsi="Times New Roman"/>
                <w:sz w:val="14"/>
                <w:szCs w:val="14"/>
                <w:color w:val="auto"/>
                <w:w w:val="97"/>
              </w:rPr>
              <w:t>(Amounts in millions)</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86"/>
        </w:trPr>
        <w:tc>
          <w:tcPr>
            <w:tcW w:w="9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38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2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3"/>
        </w:trPr>
        <w:tc>
          <w:tcPr>
            <w:tcW w:w="9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5"/>
                <w:szCs w:val="15"/>
                <w:color w:val="auto"/>
              </w:rPr>
            </w:pP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1320" w:type="dxa"/>
            <w:vAlign w:val="bottom"/>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29</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155</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capitalized software development costs and intellectual property licenses (1)</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150</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Share-based compensation expense (2)</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54</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503</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Software development and intellectual property licenses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revenues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3"/>
        </w:trPr>
        <w:tc>
          <w:tcPr>
            <w:tcW w:w="7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529</w:t>
            </w:r>
          </w:p>
        </w:tc>
      </w:tr>
      <w:tr>
        <w:trPr>
          <w:trHeight w:val="205"/>
        </w:trPr>
        <w:tc>
          <w:tcPr>
            <w:tcW w:w="9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18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maturities of available-for-sale investments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investments</w:t>
            </w:r>
          </w:p>
        </w:tc>
        <w:tc>
          <w:tcPr>
            <w:tcW w:w="1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32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5"/>
        </w:trPr>
        <w:tc>
          <w:tcPr>
            <w:tcW w:w="9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18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to employees</w:t>
            </w:r>
          </w:p>
        </w:tc>
        <w:tc>
          <w:tcPr>
            <w:tcW w:w="13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payment related to net share settlements on restricted stock units</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3"/>
        </w:trPr>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w:t>
            </w:r>
          </w:p>
        </w:tc>
      </w:tr>
      <w:tr>
        <w:trPr>
          <w:trHeight w:val="17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504</w:t>
            </w:r>
          </w:p>
        </w:tc>
      </w:tr>
      <w:tr>
        <w:trPr>
          <w:trHeight w:val="21"/>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at beginning of period</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4,229</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4,720</w:t>
            </w:r>
          </w:p>
        </w:tc>
      </w:tr>
      <w:tr>
        <w:trPr>
          <w:trHeight w:val="18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at end of period</w:t>
            </w:r>
          </w:p>
        </w:tc>
        <w:tc>
          <w:tcPr>
            <w:tcW w:w="1320" w:type="dxa"/>
            <w:vAlign w:val="bottom"/>
            <w:tcBorders>
              <w:top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4,700</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6985</wp:posOffset>
            </wp:positionV>
            <wp:extent cx="25457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5715" cy="6350"/>
                    </a:xfrm>
                    <a:prstGeom prst="rect">
                      <a:avLst/>
                    </a:prstGeom>
                    <a:noFill/>
                  </pic:spPr>
                </pic:pic>
              </a:graphicData>
            </a:graphic>
          </wp:anchor>
        </w:drawing>
      </w:r>
    </w:p>
    <w:p>
      <w:pPr>
        <w:spacing w:after="0" w:line="11" w:lineRule="exact"/>
        <w:rPr>
          <w:sz w:val="20"/>
          <w:szCs w:val="20"/>
          <w:color w:val="auto"/>
        </w:rPr>
      </w:pPr>
    </w:p>
    <w:p>
      <w:pPr>
        <w:ind w:left="240" w:hanging="238"/>
        <w:spacing w:after="0"/>
        <w:tabs>
          <w:tab w:leader="none" w:pos="2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deferral and amortization of share-based compensation expense.</w:t>
      </w:r>
    </w:p>
    <w:p>
      <w:pPr>
        <w:spacing w:after="0" w:line="19" w:lineRule="exact"/>
        <w:rPr>
          <w:rFonts w:ascii="Times New Roman" w:cs="Times New Roman" w:eastAsia="Times New Roman" w:hAnsi="Times New Roman"/>
          <w:sz w:val="12"/>
          <w:szCs w:val="12"/>
          <w:color w:val="auto"/>
        </w:rPr>
      </w:pPr>
    </w:p>
    <w:p>
      <w:pPr>
        <w:ind w:left="240" w:hanging="238"/>
        <w:spacing w:after="0"/>
        <w:tabs>
          <w:tab w:leader="none" w:pos="2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-186690</wp:posOffset>
            </wp:positionV>
            <wp:extent cx="25457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5715" cy="635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60"/>
          </w:cols>
          <w:pgMar w:left="220" w:top="111" w:right="21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 and March 31, 2018</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and shares in millions,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23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3"/>
                <w:szCs w:val="13"/>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5"/>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2018</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1,192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10,963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6,593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11,392</w:t>
            </w:r>
          </w:p>
        </w:tc>
        <w:tc>
          <w:tcPr>
            <w:tcW w:w="0" w:type="dxa"/>
            <w:vAlign w:val="bottom"/>
          </w:tcPr>
          <w:p>
            <w:pPr>
              <w:spacing w:after="0"/>
              <w:rPr>
                <w:sz w:val="1"/>
                <w:szCs w:val="1"/>
                <w:color w:val="auto"/>
              </w:rPr>
            </w:pPr>
          </w:p>
        </w:tc>
      </w:tr>
      <w:tr>
        <w:trPr>
          <w:trHeight w:val="200"/>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w w:val="99"/>
              </w:rPr>
              <w:t>Issuance of common stock pursuant to restricted stock</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0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($0.37 per common share)</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2019</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1,195</w:t>
            </w:r>
          </w:p>
        </w:tc>
        <w:tc>
          <w:tcPr>
            <w:tcW w:w="120" w:type="dxa"/>
            <w:vAlign w:val="bottom"/>
          </w:tcPr>
          <w:p>
            <w:pPr>
              <w:spacing w:after="0"/>
              <w:rPr>
                <w:sz w:val="15"/>
                <w:szCs w:val="15"/>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tcPr>
          <w:p>
            <w:pPr>
              <w:spacing w:after="0"/>
              <w:rPr>
                <w:sz w:val="15"/>
                <w:szCs w:val="15"/>
                <w:color w:val="auto"/>
              </w:rPr>
            </w:pP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11,004</w:t>
            </w:r>
          </w:p>
        </w:tc>
        <w:tc>
          <w:tcPr>
            <w:tcW w:w="120" w:type="dxa"/>
            <w:vAlign w:val="bottom"/>
          </w:tcPr>
          <w:p>
            <w:pPr>
              <w:spacing w:after="0"/>
              <w:rPr>
                <w:sz w:val="15"/>
                <w:szCs w:val="15"/>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6,757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(602)</w:t>
            </w:r>
          </w:p>
        </w:tc>
        <w:tc>
          <w:tcPr>
            <w:tcW w:w="120" w:type="dxa"/>
            <w:vAlign w:val="bottom"/>
          </w:tcPr>
          <w:p>
            <w:pPr>
              <w:spacing w:after="0"/>
              <w:rPr>
                <w:sz w:val="15"/>
                <w:szCs w:val="15"/>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11,596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420" w:type="dxa"/>
            <w:vAlign w:val="bottom"/>
          </w:tcPr>
          <w:p>
            <w:pPr>
              <w:spacing w:after="0"/>
              <w:rPr>
                <w:sz w:val="20"/>
                <w:szCs w:val="20"/>
                <w:color w:val="auto"/>
              </w:rPr>
            </w:pPr>
          </w:p>
        </w:tc>
        <w:tc>
          <w:tcPr>
            <w:tcW w:w="23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3"/>
                <w:szCs w:val="13"/>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5"/>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2017</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1,186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10,747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4,916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9,462</w:t>
            </w: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Cumulative impact from adoption of new revenue</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91</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accounting standard</w:t>
            </w: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Components of comprehensive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Issuance of common stock pursuant to employee</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w w:val="99"/>
              </w:rPr>
              <w:t>Issuance of common stock pursuant to restricted stock</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units</w:t>
            </w: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Restricted stock surrendered for employees’ tax</w:t>
            </w:r>
          </w:p>
        </w:tc>
        <w:tc>
          <w:tcPr>
            <w:tcW w:w="1040" w:type="dxa"/>
            <w:vAlign w:val="bottom"/>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liability</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Share-based compensation expense related to</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stock options and restricted stock units</w:t>
            </w:r>
          </w:p>
        </w:tc>
        <w:tc>
          <w:tcPr>
            <w:tcW w:w="11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Dividends ($0.34 per common share)</w:t>
            </w: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(259)</w:t>
            </w: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2018</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1,190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(429)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(5,563)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10,786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5,245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9,819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127" w:right="21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ACTIVISION BLIZZARD, INC. AND SUBSIDIARIES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Business and Basis of Consolidation and Presentation</w:t>
      </w:r>
    </w:p>
    <w:p>
      <w:pPr>
        <w:spacing w:after="0" w:line="201"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3" w:lineRule="exact"/>
        <w:rPr>
          <w:sz w:val="20"/>
          <w:szCs w:val="20"/>
          <w:color w:val="auto"/>
        </w:rPr>
      </w:pPr>
    </w:p>
    <w:p>
      <w:pPr>
        <w:ind w:right="280" w:firstLine="245"/>
        <w:spacing w:after="0" w:line="265" w:lineRule="auto"/>
        <w:rPr>
          <w:sz w:val="20"/>
          <w:szCs w:val="20"/>
          <w:color w:val="auto"/>
        </w:rPr>
      </w:pPr>
      <w:r>
        <w:rPr>
          <w:rFonts w:ascii="Times New Roman" w:cs="Times New Roman" w:eastAsia="Times New Roman" w:hAnsi="Times New Roman"/>
          <w:sz w:val="14"/>
          <w:szCs w:val="14"/>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Segments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Based upon our organizational structure, we conduct our business through three reportable segments, as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 Activision Publishing, Inc.</w:t>
      </w:r>
    </w:p>
    <w:p>
      <w:pPr>
        <w:spacing w:after="0" w:line="168" w:lineRule="exact"/>
        <w:rPr>
          <w:sz w:val="20"/>
          <w:szCs w:val="20"/>
          <w:color w:val="auto"/>
        </w:rPr>
      </w:pPr>
    </w:p>
    <w:p>
      <w:pPr>
        <w:ind w:right="100" w:firstLine="245"/>
        <w:spacing w:after="0" w:line="227" w:lineRule="auto"/>
        <w:rPr>
          <w:sz w:val="20"/>
          <w:szCs w:val="20"/>
          <w:color w:val="auto"/>
        </w:rPr>
      </w:pPr>
      <w:r>
        <w:rPr>
          <w:rFonts w:ascii="Times New Roman" w:cs="Times New Roman" w:eastAsia="Times New Roman" w:hAnsi="Times New Roman"/>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first-person shooter for the console and PC platforms.</w:t>
      </w:r>
    </w:p>
    <w:p>
      <w:pPr>
        <w:spacing w:after="0" w:line="155"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 Blizzard Entertainment, Inc.</w:t>
      </w:r>
    </w:p>
    <w:p>
      <w:pPr>
        <w:spacing w:after="0" w:line="168" w:lineRule="exact"/>
        <w:rPr>
          <w:sz w:val="20"/>
          <w:szCs w:val="20"/>
          <w:color w:val="auto"/>
        </w:rPr>
      </w:pPr>
    </w:p>
    <w:p>
      <w:pPr>
        <w:ind w:right="20" w:firstLine="245"/>
        <w:spacing w:after="0" w:line="216" w:lineRule="auto"/>
        <w:rPr>
          <w:sz w:val="20"/>
          <w:szCs w:val="20"/>
          <w:color w:val="auto"/>
        </w:rPr>
      </w:pPr>
      <w:r>
        <w:rPr>
          <w:rFonts w:ascii="Times New Roman" w:cs="Times New Roman" w:eastAsia="Times New Roman" w:hAnsi="Times New Roman"/>
          <w:sz w:val="14"/>
          <w:szCs w:val="14"/>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which facilitates digital distribution of Blizzard content and selected Activision content, online social connectivity, and the creation of user-generated content. Blizzard also includes the activities of the Overwatch League</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3" w:lineRule="exact"/>
        <w:rPr>
          <w:sz w:val="20"/>
          <w:szCs w:val="20"/>
          <w:color w:val="auto"/>
        </w:rPr>
      </w:pPr>
    </w:p>
    <w:p>
      <w:pPr>
        <w:ind w:right="40" w:firstLine="245"/>
        <w:spacing w:after="0" w:line="201" w:lineRule="auto"/>
        <w:rPr>
          <w:sz w:val="20"/>
          <w:szCs w:val="20"/>
          <w:color w:val="auto"/>
        </w:rPr>
      </w:pPr>
      <w:r>
        <w:rPr>
          <w:rFonts w:ascii="Times New Roman" w:cs="Times New Roman" w:eastAsia="Times New Roman" w:hAnsi="Times New Roman"/>
          <w:sz w:val="14"/>
          <w:szCs w:val="14"/>
          <w:color w:val="auto"/>
        </w:rPr>
        <w:t>Blizzard’s key product franchises include: World of Warcraft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subscription-based massive multi-player online role-playing game for the PC platform; StarCraft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real-time strategy franchise for the PC platform; Diablo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action role-playing franchise for the PC and console platforms; Hearthstone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online collectible card franchise for the PC and mobile platforms; and Overwatch</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team-based first-person shooter for the PC and console platforms.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(iii) King Digital Entertainment</w:t>
      </w:r>
    </w:p>
    <w:p>
      <w:pPr>
        <w:spacing w:after="0" w:line="168"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King Digital Entertainment (“King”) is a leading global developer and publisher of interactive entertainment content and services, primarily on the mobile platform, including for Google Inc.’s Android and Apple Inc.’s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40"/>
          </w:cols>
          <w:pgMar w:left="220" w:top="127"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80" w:firstLine="245"/>
        <w:spacing w:after="0" w:line="265" w:lineRule="auto"/>
        <w:rPr>
          <w:sz w:val="20"/>
          <w:szCs w:val="20"/>
          <w:color w:val="auto"/>
        </w:rPr>
      </w:pPr>
      <w:r>
        <w:rPr>
          <w:rFonts w:ascii="Times New Roman" w:cs="Times New Roman" w:eastAsia="Times New Roman" w:hAnsi="Times New Roman"/>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also engage in other businesses that do not represent reportable segments, including:</w:t>
      </w:r>
    </w:p>
    <w:p>
      <w:pPr>
        <w:spacing w:after="0" w:line="166" w:lineRule="exact"/>
        <w:rPr>
          <w:sz w:val="20"/>
          <w:szCs w:val="20"/>
          <w:color w:val="auto"/>
        </w:rPr>
      </w:pPr>
    </w:p>
    <w:p>
      <w:pPr>
        <w:ind w:left="740" w:right="40" w:hanging="247"/>
        <w:spacing w:after="0" w:line="265"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4"/>
          <w:szCs w:val="14"/>
          <w:i w:val="1"/>
          <w:iCs w:val="1"/>
          <w:color w:val="auto"/>
        </w:rPr>
        <w:t>Skylanders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Academy</w:t>
      </w:r>
      <w:r>
        <w:rPr>
          <w:rFonts w:ascii="Times New Roman" w:cs="Times New Roman" w:eastAsia="Times New Roman" w:hAnsi="Times New Roman"/>
          <w:sz w:val="14"/>
          <w:szCs w:val="14"/>
          <w:color w:val="auto"/>
        </w:rPr>
        <w:t xml:space="preserve"> on Netflix; and</w:t>
      </w:r>
    </w:p>
    <w:p>
      <w:pPr>
        <w:spacing w:after="0" w:line="135" w:lineRule="exact"/>
        <w:rPr>
          <w:rFonts w:ascii="Times New Roman" w:cs="Times New Roman" w:eastAsia="Times New Roman" w:hAnsi="Times New Roman"/>
          <w:sz w:val="14"/>
          <w:szCs w:val="14"/>
          <w:color w:val="auto"/>
        </w:rPr>
      </w:pPr>
    </w:p>
    <w:p>
      <w:pPr>
        <w:ind w:left="740" w:right="40" w:hanging="247"/>
        <w:spacing w:after="0" w:line="265"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 and Presentation</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2018.</w:t>
      </w:r>
    </w:p>
    <w:p>
      <w:pPr>
        <w:spacing w:after="0" w:line="147" w:lineRule="exact"/>
        <w:rPr>
          <w:sz w:val="20"/>
          <w:szCs w:val="20"/>
          <w:color w:val="auto"/>
        </w:rPr>
      </w:pPr>
    </w:p>
    <w:p>
      <w:pPr>
        <w:ind w:right="240" w:firstLine="245"/>
        <w:spacing w:after="0" w:line="251"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and operations of the Company. All intercompany accounts and transactions have been eliminated.</w:t>
      </w:r>
    </w:p>
    <w:p>
      <w:pPr>
        <w:spacing w:after="0" w:line="166" w:lineRule="exact"/>
        <w:rPr>
          <w:sz w:val="20"/>
          <w:szCs w:val="20"/>
          <w:color w:val="auto"/>
        </w:rPr>
      </w:pPr>
    </w:p>
    <w:p>
      <w:pPr>
        <w:ind w:right="40" w:firstLine="245"/>
        <w:spacing w:after="0" w:line="306" w:lineRule="auto"/>
        <w:rPr>
          <w:sz w:val="20"/>
          <w:szCs w:val="20"/>
          <w:color w:val="auto"/>
        </w:rPr>
      </w:pPr>
      <w:r>
        <w:rPr>
          <w:rFonts w:ascii="Times New Roman" w:cs="Times New Roman" w:eastAsia="Times New Roman" w:hAnsi="Times New Roman"/>
          <w:sz w:val="12"/>
          <w:szCs w:val="12"/>
          <w:color w:val="auto"/>
        </w:rPr>
        <w:t>During the three months ended March 31, 2019, we identified an error principally related to the initial recognition of global intangible low-taxed income of foreign subsidiaries income taxes which should have been recorded in the three months and year ended December 31, 2018. Income tax expense for the three months and year ended December 31, 2018 should have been reduced by $35 million. This amount is not material to the consolidated financial statements for the year ended December 31, 2018, and we will revise our 2018 consolidated financial statements to correct this matter in our Annual Report on Form 10-K for the year ending December 31, 2019. Our condensed consolidated balance sheet as of December 31, 2018, as presented in this Form 10-Q, has been revised to reflect the correction of this error.</w:t>
      </w:r>
    </w:p>
    <w:p>
      <w:pPr>
        <w:spacing w:after="0" w:line="114"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March 31, 2019 and 2018, we had the following amounts associated with investing and financing activities recorded within “Accrued expenses and other liabilities”:</w:t>
      </w:r>
    </w:p>
    <w:p>
      <w:pPr>
        <w:spacing w:after="0" w:line="166" w:lineRule="exact"/>
        <w:rPr>
          <w:sz w:val="20"/>
          <w:szCs w:val="20"/>
          <w:color w:val="auto"/>
        </w:rPr>
      </w:pPr>
    </w:p>
    <w:p>
      <w:pPr>
        <w:ind w:left="740" w:hanging="247"/>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payable of $283 million and $259 million, respectively;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withholding tax payments related to net share settlements on restricted stock units of $40 million and $26 million, respectively.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60"/>
          </w:cols>
          <w:pgMar w:left="220" w:top="127" w:right="21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480" w:firstLine="245"/>
        <w:spacing w:after="0" w:line="265" w:lineRule="auto"/>
        <w:rPr>
          <w:sz w:val="20"/>
          <w:szCs w:val="20"/>
          <w:color w:val="auto"/>
        </w:rPr>
      </w:pPr>
      <w:r>
        <w:rPr>
          <w:rFonts w:ascii="Times New Roman" w:cs="Times New Roman" w:eastAsia="Times New Roman" w:hAnsi="Times New Roman"/>
          <w:sz w:val="14"/>
          <w:szCs w:val="14"/>
          <w:color w:val="auto"/>
        </w:rPr>
        <w:t>The beginning and ending cash and cash equivalents and restricted cash reported within our condensed consolidated statement of cash flows included restricted cash amounts as follows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600" w:type="dxa"/>
            <w:vAlign w:val="bottom"/>
          </w:tcPr>
          <w:p>
            <w:pPr>
              <w:spacing w:after="0"/>
              <w:rPr>
                <w:sz w:val="15"/>
                <w:szCs w:val="15"/>
                <w:color w:val="auto"/>
              </w:rPr>
            </w:pPr>
          </w:p>
        </w:tc>
      </w:tr>
      <w:tr>
        <w:trPr>
          <w:trHeight w:val="21"/>
        </w:trPr>
        <w:tc>
          <w:tcPr>
            <w:tcW w:w="6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tcPr>
          <w:p>
            <w:pPr>
              <w:spacing w:after="0"/>
              <w:rPr>
                <w:sz w:val="15"/>
                <w:szCs w:val="15"/>
                <w:color w:val="auto"/>
              </w:rPr>
            </w:pPr>
          </w:p>
        </w:tc>
        <w:tc>
          <w:tcPr>
            <w:tcW w:w="16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restricted cash</w:t>
            </w:r>
          </w:p>
        </w:tc>
        <w:tc>
          <w:tcPr>
            <w:tcW w:w="1620" w:type="dxa"/>
            <w:vAlign w:val="bottom"/>
            <w:tcBorders>
              <w:bottom w:val="single" w:sz="8" w:color="CCEEFF"/>
            </w:tcBorders>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restricted cash</w:t>
            </w:r>
          </w:p>
        </w:tc>
        <w:tc>
          <w:tcPr>
            <w:tcW w:w="162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w:t>
            </w: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Accounting Standards Codification (“ASC”) 842: Leases</w:t>
      </w:r>
    </w:p>
    <w:p>
      <w:pPr>
        <w:spacing w:after="0" w:line="170"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In February 2016, the Financial Accounting Standards Board (“FASB”) issued new guidance related to the accounting for leases. The new standard replaces all current U.S. GAAP guidance on this topic. The new standard, among other things, requires a lessee to classify a lease as either an operating or financing lease, and to recognize a lease liability and a right-of-use (“ROU”) asset for its leases. On January 1, 2019, we adopted the new lease accounting standard. As a result, we have updated our significant accounting policy disclosure to include our accounting policy for leases under the new standard. Refer to Note 3 for information about the impact of adoption on our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jc w:val="both"/>
        <w:ind w:right="40" w:firstLine="245"/>
        <w:spacing w:after="0" w:line="291" w:lineRule="auto"/>
        <w:rPr>
          <w:sz w:val="20"/>
          <w:szCs w:val="20"/>
          <w:color w:val="auto"/>
        </w:rPr>
      </w:pPr>
      <w:r>
        <w:rPr>
          <w:rFonts w:ascii="Times New Roman" w:cs="Times New Roman" w:eastAsia="Times New Roman" w:hAnsi="Times New Roman"/>
          <w:sz w:val="12"/>
          <w:szCs w:val="12"/>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Included in the lease liability are future lease payments that are fixed, in-substance fixed, or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ROU asset also includes any lease payments made prior to commencement, initial direct costs incurred, and lease incentives received. As most of our leases do not provide an implicit rate, we generally use our incremental borrowing rate in determining the present value of future payments. The incremental borrowing rate represents the rate required to borrow funds over a similar term to purchase the leased asset, and is based on the information available at the commencement date of the lease. For leased assets with similar lease terms and asset type we applied a portfolio approach in determining a single incremental borrowing rate to apply to the leased assets.</w:t>
      </w:r>
    </w:p>
    <w:p>
      <w:pPr>
        <w:spacing w:after="0" w:line="152" w:lineRule="exact"/>
        <w:rPr>
          <w:sz w:val="20"/>
          <w:szCs w:val="20"/>
          <w:color w:val="auto"/>
        </w:rPr>
      </w:pPr>
    </w:p>
    <w:p>
      <w:pPr>
        <w:ind w:right="80" w:firstLine="245"/>
        <w:spacing w:after="0" w:line="251" w:lineRule="auto"/>
        <w:rPr>
          <w:sz w:val="20"/>
          <w:szCs w:val="20"/>
          <w:color w:val="auto"/>
        </w:rPr>
      </w:pPr>
      <w:r>
        <w:rPr>
          <w:rFonts w:ascii="Times New Roman" w:cs="Times New Roman" w:eastAsia="Times New Roman" w:hAnsi="Times New Roman"/>
          <w:sz w:val="14"/>
          <w:szCs w:val="14"/>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145" w:lineRule="exact"/>
        <w:rPr>
          <w:sz w:val="20"/>
          <w:szCs w:val="20"/>
          <w:color w:val="auto"/>
        </w:rPr>
      </w:pPr>
    </w:p>
    <w:p>
      <w:pPr>
        <w:ind w:right="60" w:firstLine="245"/>
        <w:spacing w:after="0" w:line="317" w:lineRule="auto"/>
        <w:rPr>
          <w:sz w:val="20"/>
          <w:szCs w:val="20"/>
          <w:color w:val="auto"/>
        </w:rPr>
      </w:pPr>
      <w:r>
        <w:rPr>
          <w:rFonts w:ascii="Times New Roman" w:cs="Times New Roman" w:eastAsia="Times New Roman" w:hAnsi="Times New Roman"/>
          <w:sz w:val="12"/>
          <w:szCs w:val="12"/>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08" w:lineRule="exact"/>
        <w:rPr>
          <w:sz w:val="20"/>
          <w:szCs w:val="20"/>
          <w:color w:val="auto"/>
        </w:rPr>
      </w:pPr>
    </w:p>
    <w:p>
      <w:pPr>
        <w:ind w:right="560" w:firstLine="245"/>
        <w:spacing w:after="0" w:line="265" w:lineRule="auto"/>
        <w:rPr>
          <w:sz w:val="20"/>
          <w:szCs w:val="20"/>
          <w:color w:val="auto"/>
        </w:rPr>
      </w:pPr>
      <w:r>
        <w:rPr>
          <w:rFonts w:ascii="Times New Roman" w:cs="Times New Roman" w:eastAsia="Times New Roman" w:hAnsi="Times New Roman"/>
          <w:sz w:val="14"/>
          <w:szCs w:val="14"/>
          <w:color w:val="auto"/>
        </w:rPr>
        <w:t>Operating lease ROU assets are presented in “Other assets” and operating lease liabilities are presented in “Accrued expenses and other current liabilities” and “Other liabilities” on our condensed consolidated balance sheet.</w:t>
      </w:r>
    </w:p>
    <w:p>
      <w:pPr>
        <w:spacing w:after="0" w:line="135" w:lineRule="exact"/>
        <w:rPr>
          <w:sz w:val="20"/>
          <w:szCs w:val="20"/>
          <w:color w:val="auto"/>
        </w:r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Finance lease ROU assets are presented in “Property and equipment, net” and finance lease liabilities are presented in “Accrued expenses and other current liabilities” and “Other liabilities” on our condensed consolidated balance sheet.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127" w:right="2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Recently Issued Accounting Pronouncements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ind w:right="240" w:firstLine="245"/>
        <w:spacing w:after="0" w:line="254" w:lineRule="auto"/>
        <w:rPr>
          <w:sz w:val="20"/>
          <w:szCs w:val="20"/>
          <w:color w:val="auto"/>
        </w:rPr>
      </w:pPr>
      <w:r>
        <w:rPr>
          <w:rFonts w:ascii="Times New Roman" w:cs="Times New Roman" w:eastAsia="Times New Roman" w:hAnsi="Times New Roman"/>
          <w:sz w:val="14"/>
          <w:szCs w:val="14"/>
          <w:color w:val="auto"/>
        </w:rPr>
        <w:t>As noted in Note 2 above,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impact from the adoption of the new lease accounting standard to our condensed consolidated balance sheet at January 1, 2019, was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 due to adoption of new</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w:t>
            </w:r>
          </w:p>
        </w:tc>
        <w:tc>
          <w:tcPr>
            <w:tcW w:w="120" w:type="dxa"/>
            <w:vAlign w:val="bottom"/>
          </w:tcPr>
          <w:p>
            <w:pPr>
              <w:spacing w:after="0"/>
              <w:rPr>
                <w:sz w:val="14"/>
                <w:szCs w:val="1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2018</w:t>
            </w:r>
          </w:p>
        </w:tc>
        <w:tc>
          <w:tcPr>
            <w:tcW w:w="18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lease accounting standard</w:t>
            </w:r>
          </w:p>
        </w:tc>
        <w:tc>
          <w:tcPr>
            <w:tcW w:w="160" w:type="dxa"/>
            <w:vAlign w:val="bottom"/>
          </w:tcPr>
          <w:p>
            <w:pPr>
              <w:spacing w:after="0"/>
              <w:rPr>
                <w:sz w:val="14"/>
                <w:szCs w:val="14"/>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Balance at January 1, 2019</w:t>
            </w:r>
          </w:p>
        </w:tc>
      </w:tr>
      <w:tr>
        <w:trPr>
          <w:trHeight w:val="25"/>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r>
      <w:tr>
        <w:trPr>
          <w:trHeight w:val="183"/>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531</w:t>
            </w: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734</w:t>
            </w:r>
          </w:p>
        </w:tc>
      </w:tr>
      <w:tr>
        <w:trPr>
          <w:trHeight w:val="18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950</w:t>
            </w:r>
          </w:p>
        </w:tc>
      </w:tr>
      <w:tr>
        <w:trPr>
          <w:trHeight w:val="183"/>
        </w:trPr>
        <w:tc>
          <w:tcPr>
            <w:tcW w:w="5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5"/>
                <w:szCs w:val="15"/>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1,357</w:t>
            </w:r>
          </w:p>
        </w:tc>
      </w:tr>
    </w:tbl>
    <w:p>
      <w:pPr>
        <w:spacing w:after="0" w:line="3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adoption of this standard did not have an impact on our condensed consolidated income statements or condensed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68" w:lineRule="exact"/>
        <w:rPr>
          <w:sz w:val="20"/>
          <w:szCs w:val="20"/>
          <w:color w:val="auto"/>
        </w:rPr>
      </w:pPr>
    </w:p>
    <w:p>
      <w:pPr>
        <w:ind w:right="20" w:firstLine="245"/>
        <w:spacing w:after="0" w:line="249" w:lineRule="auto"/>
        <w:rPr>
          <w:sz w:val="20"/>
          <w:szCs w:val="20"/>
          <w:color w:val="auto"/>
        </w:rPr>
      </w:pPr>
      <w:r>
        <w:rPr>
          <w:rFonts w:ascii="Times New Roman" w:cs="Times New Roman" w:eastAsia="Times New Roman" w:hAnsi="Times New Roman"/>
          <w:sz w:val="14"/>
          <w:szCs w:val="14"/>
          <w:color w:val="auto"/>
        </w:rPr>
        <w:t>In January 2017, the FASB issued new guidance that eliminates Step 2 from the goodwill impairment test. Instead, if an entity forgoes a Step 0 test, an entity will be required to perform its annual or interim goodwill impairment test by comparing the fair value of a reporting unit, as 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are evaluating the impact, if any, of adopting this new accounting guidance on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Cloud Computing Arrangements</w:t>
      </w:r>
    </w:p>
    <w:p>
      <w:pPr>
        <w:spacing w:after="0" w:line="168"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14"/>
          <w:szCs w:val="14"/>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The new standard is effective for fiscal years beginning after December 15, 2019, and can be applied retrospectively or prospectively. Early adoption is permitted. We are evaluating the impact, if any, of adopting this new accounting guidance on our financial statements.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7"/>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Inventories, Net</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8"/>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Inventories, net, consist of the following (amounts in millions):</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50"/>
        </w:trPr>
        <w:tc>
          <w:tcPr>
            <w:tcW w:w="9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860" w:type="dxa"/>
            <w:vAlign w:val="bottom"/>
            <w:tcBorders>
              <w:bottom w:val="single" w:sz="8" w:color="CCEEFF"/>
            </w:tcBorders>
            <w:shd w:val="clear" w:color="auto" w:fill="CCEEFF"/>
          </w:tcPr>
          <w:p>
            <w:pPr>
              <w:jc w:val="right"/>
              <w:ind w:right="17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w:t>
            </w:r>
          </w:p>
        </w:tc>
      </w:tr>
      <w:tr>
        <w:trPr>
          <w:trHeight w:val="18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Purchased parts and components</w:t>
            </w:r>
          </w:p>
        </w:tc>
        <w:tc>
          <w:tcPr>
            <w:tcW w:w="18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1860" w:type="dxa"/>
            <w:vAlign w:val="bottom"/>
            <w:tcBorders>
              <w:bottom w:val="single" w:sz="8" w:color="auto"/>
            </w:tcBorders>
            <w:shd w:val="clear" w:color="auto" w:fill="CCEEFF"/>
          </w:tcPr>
          <w:p>
            <w:pPr>
              <w:jc w:val="right"/>
              <w:ind w:right="17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March 31, 2019 and December 31, 2018, inventory reserves were $20 million and $22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Software Development and Intellectual Property Licenses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the components of our capitalized software development costs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Internally-developed software costs</w:t>
            </w:r>
          </w:p>
        </w:tc>
        <w:tc>
          <w:tcPr>
            <w:tcW w:w="1820" w:type="dxa"/>
            <w:vAlign w:val="bottom"/>
            <w:tcBorders>
              <w:bottom w:val="single" w:sz="8" w:color="CCEEFF"/>
            </w:tcBorders>
            <w:shd w:val="clear" w:color="auto" w:fill="CCEEFF"/>
          </w:tcPr>
          <w:p>
            <w:pPr>
              <w:jc w:val="right"/>
              <w:ind w:right="167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291</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made to third-party software developers</w:t>
            </w:r>
          </w:p>
        </w:tc>
        <w:tc>
          <w:tcPr>
            <w:tcW w:w="182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software development costs</w:t>
            </w:r>
          </w:p>
        </w:tc>
        <w:tc>
          <w:tcPr>
            <w:tcW w:w="1820" w:type="dxa"/>
            <w:vAlign w:val="bottom"/>
            <w:tcBorders>
              <w:bottom w:val="single" w:sz="8" w:color="auto"/>
            </w:tcBorders>
            <w:shd w:val="clear" w:color="auto" w:fill="CCEEFF"/>
          </w:tcPr>
          <w:p>
            <w:pPr>
              <w:jc w:val="right"/>
              <w:ind w:right="167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329</w:t>
            </w:r>
          </w:p>
        </w:tc>
      </w:tr>
      <w:tr>
        <w:trPr>
          <w:trHeight w:val="20"/>
        </w:trPr>
        <w:tc>
          <w:tcPr>
            <w:tcW w:w="67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both March 31, 2019 and December 31, 2018, capitalized intellectual property licenses were not material.</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Amortization of capitalized software development costs and intellectual property licenses was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40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Pr>
          <w:p>
            <w:pPr>
              <w:spacing w:after="0"/>
              <w:rPr>
                <w:sz w:val="15"/>
                <w:szCs w:val="15"/>
                <w:color w:val="auto"/>
              </w:rPr>
            </w:pPr>
          </w:p>
        </w:tc>
      </w:tr>
      <w:tr>
        <w:trPr>
          <w:trHeight w:val="21"/>
        </w:trPr>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tcPr>
          <w:p>
            <w:pPr>
              <w:spacing w:after="0"/>
              <w:rPr>
                <w:sz w:val="15"/>
                <w:szCs w:val="15"/>
                <w:color w:val="auto"/>
              </w:rPr>
            </w:pP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Pr>
          <w:p>
            <w:pPr>
              <w:spacing w:after="0"/>
              <w:rPr>
                <w:sz w:val="15"/>
                <w:szCs w:val="15"/>
                <w:color w:val="auto"/>
              </w:rPr>
            </w:pP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capitalized software development costs and intellectual property licenses</w:t>
            </w:r>
          </w:p>
        </w:tc>
        <w:tc>
          <w:tcPr>
            <w:tcW w:w="1640" w:type="dxa"/>
            <w:vAlign w:val="bottom"/>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4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152</w:t>
            </w:r>
          </w:p>
        </w:tc>
      </w:tr>
      <w:tr>
        <w:trPr>
          <w:trHeight w:val="21"/>
        </w:trPr>
        <w:tc>
          <w:tcPr>
            <w:tcW w:w="67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Intangible Assets, Net</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Intangible assets, net, consist of the following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5"/>
          </w:tcPr>
          <w:p>
            <w:pPr>
              <w:ind w:left="940"/>
              <w:spacing w:after="0"/>
              <w:rPr>
                <w:sz w:val="20"/>
                <w:szCs w:val="20"/>
                <w:color w:val="auto"/>
              </w:rPr>
            </w:pPr>
            <w:r>
              <w:rPr>
                <w:rFonts w:ascii="Times New Roman" w:cs="Times New Roman" w:eastAsia="Times New Roman" w:hAnsi="Times New Roman"/>
                <w:sz w:val="12"/>
                <w:szCs w:val="12"/>
                <w:b w:val="1"/>
                <w:bCs w:val="1"/>
                <w:color w:val="auto"/>
              </w:rPr>
              <w:t>At March 31, 2019</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
        </w:trPr>
        <w:tc>
          <w:tcPr>
            <w:tcW w:w="460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460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Estimated useful lives</w:t>
            </w: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160" w:type="dxa"/>
            <w:vAlign w:val="bottom"/>
          </w:tcPr>
          <w:p>
            <w:pPr>
              <w:spacing w:after="0"/>
              <w:rPr>
                <w:sz w:val="14"/>
                <w:szCs w:val="14"/>
                <w:color w:val="auto"/>
              </w:rPr>
            </w:pPr>
          </w:p>
        </w:tc>
        <w:tc>
          <w:tcPr>
            <w:tcW w:w="1420" w:type="dxa"/>
            <w:vAlign w:val="bottom"/>
          </w:tcPr>
          <w:p>
            <w:pPr>
              <w:jc w:val="right"/>
              <w:ind w:right="173"/>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definite-lived intangible assets:</w:t>
            </w: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Internally-developed franchises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102</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Developed software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111</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30</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15 years</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definite-lived intangible assets (1)</w:t>
            </w: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247</w:t>
            </w:r>
          </w:p>
        </w:tc>
      </w:tr>
      <w:tr>
        <w:trPr>
          <w:trHeight w:val="191"/>
        </w:trPr>
        <w:tc>
          <w:tcPr>
            <w:tcW w:w="4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indefinite-lived intangible assets: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Activision trademark</w:t>
            </w:r>
          </w:p>
        </w:tc>
        <w:tc>
          <w:tcPr>
            <w:tcW w:w="5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4"/>
                <w:szCs w:val="14"/>
                <w:color w:val="auto"/>
                <w:w w:val="95"/>
              </w:rPr>
              <w:t>Indefinite</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386</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trade names</w:t>
            </w:r>
          </w:p>
        </w:tc>
        <w:tc>
          <w:tcPr>
            <w:tcW w:w="580" w:type="dxa"/>
            <w:vAlign w:val="bottom"/>
          </w:tcPr>
          <w:p>
            <w:pPr>
              <w:spacing w:after="0"/>
              <w:rPr>
                <w:sz w:val="15"/>
                <w:szCs w:val="15"/>
                <w:color w:val="auto"/>
              </w:rPr>
            </w:pPr>
          </w:p>
        </w:tc>
        <w:tc>
          <w:tcPr>
            <w:tcW w:w="12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w w:val="95"/>
              </w:rPr>
              <w:t>Indefinite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47</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433</w:t>
            </w:r>
          </w:p>
        </w:tc>
      </w:tr>
      <w:tr>
        <w:trPr>
          <w:trHeight w:val="189"/>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680</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5660" w:right="3220" w:hanging="5658"/>
        <w:spacing w:after="0" w:line="783" w:lineRule="auto"/>
        <w:tabs>
          <w:tab w:leader="none" w:pos="24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the balances of the customer base intangible assets have been removed as such amounts were fully amortized in the prior year. 13</w:t>
      </w:r>
    </w:p>
    <w:p>
      <w:pPr>
        <w:sectPr>
          <w:pgSz w:w="11900" w:h="16838" w:orient="portrait"/>
          <w:cols w:equalWidth="0" w:num="1">
            <w:col w:w="11460"/>
          </w:cols>
          <w:pgMar w:left="220" w:top="111" w:right="21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2"/>
                <w:szCs w:val="12"/>
                <w:b w:val="1"/>
                <w:bCs w:val="1"/>
                <w:color w:val="auto"/>
              </w:rPr>
              <w:t>At December 31, 2018</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
        </w:trPr>
        <w:tc>
          <w:tcPr>
            <w:tcW w:w="460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460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Estimated useful lives</w:t>
            </w: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16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definite-lived intangible assets:</w:t>
            </w: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Internally-developed franchises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11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122</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Developed software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145</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base</w:t>
            </w:r>
          </w:p>
        </w:tc>
        <w:tc>
          <w:tcPr>
            <w:tcW w:w="5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2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w:t>
            </w: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15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302</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1"/>
        </w:trPr>
        <w:tc>
          <w:tcPr>
            <w:tcW w:w="4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83"/>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Activision trademark</w:t>
            </w:r>
          </w:p>
        </w:tc>
        <w:tc>
          <w:tcPr>
            <w:tcW w:w="5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386</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Acquired trade names</w:t>
            </w:r>
          </w:p>
        </w:tc>
        <w:tc>
          <w:tcPr>
            <w:tcW w:w="5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w:t>
            </w:r>
          </w:p>
        </w:tc>
      </w:tr>
      <w:tr>
        <w:trPr>
          <w:trHeight w:val="17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433</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735</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Amortization expense of our intangible assets was $55 million and $119 million for the three months ended March 31, 2019 and 2018, respectively.</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March 31, 2019, future amortization of definite-lived intangible assets is estimated as follows (amounts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 (remaining nine months)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Goodwill</w:t>
            </w: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6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The changes in the carrying amount of goodwill by reportable segment are as follows (amounts in millions):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3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38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6,897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2,675</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9,762</w:t>
            </w:r>
          </w:p>
        </w:tc>
        <w:tc>
          <w:tcPr>
            <w:tcW w:w="0" w:type="dxa"/>
            <w:vAlign w:val="bottom"/>
          </w:tcPr>
          <w:p>
            <w:pPr>
              <w:spacing w:after="0"/>
              <w:rPr>
                <w:sz w:val="1"/>
                <w:szCs w:val="1"/>
                <w:color w:val="auto"/>
              </w:rPr>
            </w:pPr>
          </w:p>
        </w:tc>
      </w:tr>
      <w:tr>
        <w:trPr>
          <w:trHeight w:val="183"/>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5"/>
                <w:szCs w:val="15"/>
                <w:color w:val="auto"/>
              </w:rPr>
            </w:pP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2,675</w:t>
            </w: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Fair Value Measurements</w:t>
      </w:r>
    </w:p>
    <w:p>
      <w:pPr>
        <w:spacing w:after="0" w:line="201" w:lineRule="exact"/>
        <w:rPr>
          <w:sz w:val="20"/>
          <w:szCs w:val="20"/>
          <w:color w:val="auto"/>
        </w:rPr>
      </w:pPr>
    </w:p>
    <w:p>
      <w:pPr>
        <w:ind w:right="320" w:firstLine="245"/>
        <w:spacing w:after="0" w:line="265" w:lineRule="auto"/>
        <w:rPr>
          <w:sz w:val="20"/>
          <w:szCs w:val="20"/>
          <w:color w:val="auto"/>
        </w:rPr>
      </w:pPr>
      <w:r>
        <w:rPr>
          <w:rFonts w:ascii="Times New Roman" w:cs="Times New Roman" w:eastAsia="Times New Roman" w:hAnsi="Times New Roman"/>
          <w:sz w:val="14"/>
          <w:szCs w:val="14"/>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35" w:lineRule="exact"/>
        <w:rPr>
          <w:sz w:val="20"/>
          <w:szCs w:val="20"/>
          <w:color w:val="auto"/>
        </w:rPr>
      </w:pPr>
    </w:p>
    <w:p>
      <w:pPr>
        <w:ind w:left="500" w:hanging="1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166" w:lineRule="exact"/>
        <w:rPr>
          <w:rFonts w:ascii="Times New Roman" w:cs="Times New Roman" w:eastAsia="Times New Roman" w:hAnsi="Times New Roman"/>
          <w:sz w:val="14"/>
          <w:szCs w:val="14"/>
          <w:color w:val="auto"/>
        </w:rPr>
      </w:pPr>
    </w:p>
    <w:p>
      <w:pPr>
        <w:ind w:left="500" w:hanging="130"/>
        <w:spacing w:after="0" w:line="265"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35" w:lineRule="exact"/>
        <w:rPr>
          <w:rFonts w:ascii="Times New Roman" w:cs="Times New Roman" w:eastAsia="Times New Roman" w:hAnsi="Times New Roman"/>
          <w:sz w:val="14"/>
          <w:szCs w:val="14"/>
          <w:color w:val="auto"/>
        </w:rPr>
      </w:pPr>
    </w:p>
    <w:p>
      <w:pPr>
        <w:ind w:left="500" w:right="40" w:hanging="130"/>
        <w:spacing w:after="0" w:line="265"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60"/>
          </w:cols>
          <w:pgMar w:left="220" w:top="127" w:right="2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 on a Recurring Basis</w:t>
      </w:r>
    </w:p>
    <w:p>
      <w:pPr>
        <w:spacing w:after="0" w:line="170"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6"/>
          </w:tcPr>
          <w:p>
            <w:pPr>
              <w:jc w:val="center"/>
              <w:ind w:left="155"/>
              <w:spacing w:after="0"/>
              <w:rPr>
                <w:sz w:val="20"/>
                <w:szCs w:val="20"/>
                <w:color w:val="auto"/>
              </w:rPr>
            </w:pPr>
            <w:r>
              <w:rPr>
                <w:rFonts w:ascii="Times New Roman" w:cs="Times New Roman" w:eastAsia="Times New Roman" w:hAnsi="Times New Roman"/>
                <w:sz w:val="12"/>
                <w:szCs w:val="12"/>
                <w:b w:val="1"/>
                <w:bCs w:val="1"/>
                <w:color w:val="auto"/>
              </w:rPr>
              <w:t>Fair Value Measurements at March 31, 2019 Using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5"/>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Active Markets for</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940" w:type="dxa"/>
            <w:vAlign w:val="bottom"/>
          </w:tcPr>
          <w:p>
            <w:pPr>
              <w:jc w:val="center"/>
              <w:ind w:left="235"/>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Identical Assets</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Unobservable Inputs</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As of March 31, 2019</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9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6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spacing w:after="0"/>
              <w:rPr>
                <w:sz w:val="14"/>
                <w:szCs w:val="14"/>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Recurring fair value measurements: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3,991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3,991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government treasury bills</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treasuries and government agency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97"/>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4,186</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4,164</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r>
      <w:tr>
        <w:trPr>
          <w:trHeight w:val="191"/>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7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hedges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r>
      <w:tr>
        <w:trPr>
          <w:trHeight w:val="44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6"/>
          </w:tcPr>
          <w:p>
            <w:pPr>
              <w:jc w:val="center"/>
              <w:ind w:left="155"/>
              <w:spacing w:after="0"/>
              <w:rPr>
                <w:sz w:val="20"/>
                <w:szCs w:val="20"/>
                <w:color w:val="auto"/>
              </w:rPr>
            </w:pPr>
            <w:r>
              <w:rPr>
                <w:rFonts w:ascii="Times New Roman" w:cs="Times New Roman" w:eastAsia="Times New Roman" w:hAnsi="Times New Roman"/>
                <w:sz w:val="12"/>
                <w:szCs w:val="12"/>
                <w:b w:val="1"/>
                <w:bCs w:val="1"/>
                <w:color w:val="auto"/>
              </w:rPr>
              <w:t>Fair Value Measurements at December 31, 2018 Using</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Quoted Prices in</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Active Markets for</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Significant Other</w:t>
            </w:r>
          </w:p>
        </w:tc>
        <w:tc>
          <w:tcPr>
            <w:tcW w:w="940" w:type="dxa"/>
            <w:vAlign w:val="bottom"/>
          </w:tcPr>
          <w:p>
            <w:pPr>
              <w:jc w:val="center"/>
              <w:ind w:left="235"/>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Identical Assets</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Observable Inputs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Unobservable Inputs</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61"/>
        </w:trPr>
        <w:tc>
          <w:tcPr>
            <w:tcW w:w="334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 December 31, 2018</w:t>
            </w: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9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Recurring fair value measurements: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government treasury bills</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treasuries and government agency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183"/>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not designated as</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r>
      <w:tr>
        <w:trPr>
          <w:trHeight w:val="197"/>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hedges</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r>
      <w:tr>
        <w:trPr>
          <w:trHeight w:val="201"/>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r>
      <w:tr>
        <w:trPr>
          <w:trHeight w:val="18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contracts designated as hedges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r>
      <w:tr>
        <w:trPr>
          <w:trHeight w:val="510"/>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Forward Contracts Designated as Hedges (“Cash Flow Hedges”)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total gross notional amounts and fair values of our Cash Flow Hedges are as follows (amounts in millions):</w:t>
      </w:r>
    </w:p>
    <w:p>
      <w:pPr>
        <w:sectPr>
          <w:pgSz w:w="11900" w:h="16838" w:orient="portrait"/>
          <w:cols w:equalWidth="0" w:num="1">
            <w:col w:w="11460"/>
          </w:cols>
          <w:pgMar w:left="220" w:top="127" w:right="219" w:bottom="1440" w:gutter="0" w:footer="0" w:header="0"/>
        </w:sectPr>
      </w:pPr>
    </w:p>
    <w:p>
      <w:pPr>
        <w:spacing w:after="0" w:line="32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79640"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63"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48"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Times New Roman" w:cs="Times New Roman" w:eastAsia="Times New Roman" w:hAnsi="Times New Roman"/>
          <w:sz w:val="14"/>
          <w:szCs w:val="14"/>
          <w:color w:val="auto"/>
        </w:rPr>
        <w:t>Buy USD, Sell Euro</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530</w:t>
        <w:tab/>
        <w:t>$</w:t>
      </w:r>
      <w:r>
        <w:rPr>
          <w:sz w:val="20"/>
          <w:szCs w:val="20"/>
          <w:color w:val="auto"/>
        </w:rPr>
        <w:tab/>
      </w: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723</w:t>
        <w:tab/>
        <w:t>$</w:t>
      </w:r>
      <w:r>
        <w:rPr>
          <w:sz w:val="20"/>
          <w:szCs w:val="20"/>
          <w:color w:val="auto"/>
        </w:rPr>
        <w:tab/>
      </w:r>
      <w:r>
        <w:rPr>
          <w:rFonts w:ascii="Times New Roman" w:cs="Times New Roman" w:eastAsia="Times New Roman" w:hAnsi="Times New Roman"/>
          <w:sz w:val="14"/>
          <w:szCs w:val="14"/>
          <w:color w:val="auto"/>
        </w:rPr>
        <w:t>12</w:t>
      </w:r>
    </w:p>
    <w:p>
      <w:pPr>
        <w:spacing w:after="0" w:line="350" w:lineRule="exact"/>
        <w:rPr>
          <w:sz w:val="20"/>
          <w:szCs w:val="20"/>
          <w:color w:val="auto"/>
        </w:rPr>
      </w:pPr>
    </w:p>
    <w:p>
      <w:pPr>
        <w:ind w:right="60" w:firstLine="245"/>
        <w:spacing w:after="0" w:line="254" w:lineRule="auto"/>
        <w:rPr>
          <w:sz w:val="20"/>
          <w:szCs w:val="20"/>
          <w:color w:val="auto"/>
        </w:rPr>
      </w:pPr>
      <w:r>
        <w:rPr>
          <w:rFonts w:ascii="Times New Roman" w:cs="Times New Roman" w:eastAsia="Times New Roman" w:hAnsi="Times New Roman"/>
          <w:sz w:val="14"/>
          <w:szCs w:val="14"/>
          <w:color w:val="auto"/>
        </w:rPr>
        <w:t>At March 31, 2019, our Cash Flow Hedges have remaining maturities of nine months or less. Additionally, $4 million of net realized but unrecognized gains are recorded within “Accumulated other comprehensive income (loss)” at March 31, 2019 for Cash Flow Hedges that had settled but were deferred and will be amortized into earnings, along with the associated hedged revenues. Such amounts will be reclassified into earnings within the next 12 months.</w:t>
      </w:r>
    </w:p>
    <w:p>
      <w:pPr>
        <w:spacing w:after="0" w:line="143"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520" w:type="dxa"/>
            <w:vAlign w:val="bottom"/>
            <w:gridSpan w:val="3"/>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25"/>
        </w:trPr>
        <w:tc>
          <w:tcPr>
            <w:tcW w:w="36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59"/>
        </w:trPr>
        <w:tc>
          <w:tcPr>
            <w:tcW w:w="3680" w:type="dxa"/>
            <w:vAlign w:val="bottom"/>
          </w:tcPr>
          <w:p>
            <w:pPr>
              <w:spacing w:after="0"/>
              <w:rPr>
                <w:sz w:val="13"/>
                <w:szCs w:val="13"/>
                <w:color w:val="auto"/>
              </w:rPr>
            </w:pPr>
          </w:p>
        </w:tc>
        <w:tc>
          <w:tcPr>
            <w:tcW w:w="1480" w:type="dxa"/>
            <w:vAlign w:val="bottom"/>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Pr>
          <w:p>
            <w:pPr>
              <w:spacing w:after="0"/>
              <w:rPr>
                <w:sz w:val="13"/>
                <w:szCs w:val="13"/>
                <w:color w:val="auto"/>
              </w:rPr>
            </w:pP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Statement of Operations Classification</w:t>
            </w:r>
          </w:p>
        </w:tc>
      </w:tr>
      <w:tr>
        <w:trPr>
          <w:trHeight w:val="25"/>
        </w:trPr>
        <w:tc>
          <w:tcPr>
            <w:tcW w:w="3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7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Net revenues</w:t>
            </w:r>
          </w:p>
        </w:tc>
      </w:tr>
      <w:tr>
        <w:trPr>
          <w:trHeight w:val="21"/>
        </w:trPr>
        <w:tc>
          <w:tcPr>
            <w:tcW w:w="36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Forward Contracts Not Designated as Hedges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gross notional amounts and fair values of our foreign currency forward contracts not designated as hedges are as follows (amounts in millions):</w:t>
      </w:r>
    </w:p>
    <w:p>
      <w:pPr>
        <w:sectPr>
          <w:pgSz w:w="11900" w:h="16838" w:orient="portrait"/>
          <w:cols w:equalWidth="0" w:num="1">
            <w:col w:w="11460"/>
          </w:cols>
          <w:pgMar w:left="220" w:top="127" w:right="219" w:bottom="1440" w:gutter="0" w:footer="0" w:header="0"/>
          <w:type w:val="continuous"/>
        </w:sectPr>
      </w:pPr>
    </w:p>
    <w:p>
      <w:pPr>
        <w:spacing w:after="0" w:line="125"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9"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USD, Sell SEK</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EUR</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EUR,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GBP</w:t>
            </w:r>
          </w:p>
        </w:tc>
        <w:tc>
          <w:tcPr>
            <w:tcW w:w="8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55</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35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months ended March 31, 2019 and 2018, pre-tax net gains (losses) associated with these forward contracts were recorded in “General and administrative expenses” and were not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 on a Non-Recurring Basis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measure the fair value of certain assets on a non-recurring basis, generally annually or when events or changes in circumstances indicate that the carrying amount of the assets may not be recoverable.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months ended March 31, 2019 and 2018, there were no impairment charges related to assets that are measured on a non-recurring basis.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127" w:right="21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Deferred revenues</w:t>
      </w:r>
    </w:p>
    <w:p>
      <w:pPr>
        <w:spacing w:after="0" w:line="201" w:lineRule="exact"/>
        <w:rPr>
          <w:sz w:val="20"/>
          <w:szCs w:val="20"/>
          <w:color w:val="auto"/>
        </w:rPr>
      </w:pPr>
    </w:p>
    <w:p>
      <w:pPr>
        <w:ind w:right="100" w:firstLine="245"/>
        <w:spacing w:after="0" w:line="249" w:lineRule="auto"/>
        <w:rPr>
          <w:sz w:val="20"/>
          <w:szCs w:val="20"/>
          <w:color w:val="auto"/>
        </w:rPr>
      </w:pPr>
      <w:r>
        <w:rPr>
          <w:rFonts w:ascii="Times New Roman" w:cs="Times New Roman" w:eastAsia="Times New Roman" w:hAnsi="Times New Roman"/>
          <w:sz w:val="14"/>
          <w:szCs w:val="14"/>
          <w:color w:val="auto"/>
        </w:rPr>
        <w:t>We record deferred revenues when cash payments are received or due in advance of the fulfillment of our associated performance obligations. The opening balance of deferred revenues as of January 1, 2019 and the ending balance as of March 31, 2019, were $1.6 billion and $1.0 billion, respectively, including our current and non-current balances. For the three months ended March 31, 2019,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three months ended March 31, 2019, $0.9 billion of revenues were recognized that were included in the deferred revenues balance at the beginning of the period.</w:t>
      </w:r>
    </w:p>
    <w:p>
      <w:pPr>
        <w:spacing w:after="0" w:line="147" w:lineRule="exact"/>
        <w:rPr>
          <w:sz w:val="20"/>
          <w:szCs w:val="20"/>
          <w:color w:val="auto"/>
        </w:rPr>
      </w:pPr>
    </w:p>
    <w:p>
      <w:pPr>
        <w:jc w:val="both"/>
        <w:ind w:right="160" w:firstLine="245"/>
        <w:spacing w:after="0" w:line="254" w:lineRule="auto"/>
        <w:rPr>
          <w:sz w:val="20"/>
          <w:szCs w:val="20"/>
          <w:color w:val="auto"/>
        </w:rPr>
      </w:pPr>
      <w:r>
        <w:rPr>
          <w:rFonts w:ascii="Times New Roman" w:cs="Times New Roman" w:eastAsia="Times New Roman" w:hAnsi="Times New Roman"/>
          <w:sz w:val="14"/>
          <w:szCs w:val="14"/>
          <w:color w:val="auto"/>
        </w:rPr>
        <w:t>As of March 31, 2019, the aggregate amount of contracted revenues allocated to our unsatisfied performance obligations is $2.2 billion, which includes our deferred revenues balances and amounts to be invoiced and recognized as revenue in future periods. We expect to recognize approximately $1.1 billion over the next 12 months, $0.4 billion in the subsequent 12 month period, and the remainder thereafter. This balance does not include an estimate for variable consideration arising from sales-based royalty license revenue in excess of the contractual minimum guarantee.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Leases</w:t>
      </w:r>
    </w:p>
    <w:p>
      <w:pPr>
        <w:spacing w:after="0" w:line="201" w:lineRule="exact"/>
        <w:rPr>
          <w:sz w:val="20"/>
          <w:szCs w:val="20"/>
          <w:color w:val="auto"/>
        </w:rPr>
      </w:pPr>
    </w:p>
    <w:p>
      <w:pPr>
        <w:jc w:val="both"/>
        <w:ind w:right="100" w:firstLine="245"/>
        <w:spacing w:after="0" w:line="317" w:lineRule="auto"/>
        <w:rPr>
          <w:sz w:val="20"/>
          <w:szCs w:val="20"/>
          <w:color w:val="auto"/>
        </w:rPr>
      </w:pPr>
      <w:r>
        <w:rPr>
          <w:rFonts w:ascii="Times New Roman" w:cs="Times New Roman" w:eastAsia="Times New Roman" w:hAnsi="Times New Roman"/>
          <w:sz w:val="12"/>
          <w:szCs w:val="12"/>
          <w:color w:val="auto"/>
        </w:rPr>
        <w:t>Our lease arrangements are primarily for: (1) corporate, administrative, and development studio offices; (2) data centers and server equipment; and (3) live event production equipment. Our existing leases have remaining lease terms ranging from one to 10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 our financing leases are not material.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Information related to our operating leases are as follows (amounts in millions):</w:t>
            </w: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86"/>
        </w:trPr>
        <w:tc>
          <w:tcPr>
            <w:tcW w:w="9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Three Months Ended March 31, 2019</w:t>
            </w:r>
          </w:p>
        </w:tc>
      </w:tr>
      <w:tr>
        <w:trPr>
          <w:trHeight w:val="21"/>
        </w:trPr>
        <w:tc>
          <w:tcPr>
            <w:tcW w:w="9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175"/>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10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CCEEFF"/>
            </w:tcBorders>
            <w:shd w:val="clear" w:color="auto" w:fill="CCEEFF"/>
          </w:tcPr>
          <w:p>
            <w:pPr>
              <w:spacing w:after="0"/>
              <w:rPr>
                <w:sz w:val="15"/>
                <w:szCs w:val="15"/>
                <w:color w:val="auto"/>
              </w:rPr>
            </w:pPr>
          </w:p>
        </w:tc>
      </w:tr>
      <w:tr>
        <w:trPr>
          <w:trHeight w:val="183"/>
        </w:trPr>
        <w:tc>
          <w:tcPr>
            <w:tcW w:w="9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w:t>
            </w:r>
          </w:p>
        </w:tc>
      </w:tr>
      <w:tr>
        <w:trPr>
          <w:trHeight w:val="21"/>
        </w:trPr>
        <w:tc>
          <w:tcPr>
            <w:tcW w:w="9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85"/>
        </w:trPr>
        <w:tc>
          <w:tcPr>
            <w:tcW w:w="9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lease costs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Operating Cash Flows Information</w:t>
            </w: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1"/>
        </w:trPr>
        <w:tc>
          <w:tcPr>
            <w:tcW w:w="9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85"/>
        </w:trPr>
        <w:tc>
          <w:tcPr>
            <w:tcW w:w="9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9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ROU assets obtained in exchange for new lease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19</w:t>
            </w:r>
          </w:p>
        </w:tc>
      </w:tr>
      <w:tr>
        <w:trPr>
          <w:trHeight w:val="21"/>
        </w:trPr>
        <w:tc>
          <w:tcPr>
            <w:tcW w:w="9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85"/>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Lease terms and discount rates</w:t>
            </w:r>
          </w:p>
        </w:tc>
        <w:tc>
          <w:tcPr>
            <w:tcW w:w="10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16"/>
                <w:szCs w:val="16"/>
                <w:color w:val="auto"/>
              </w:rPr>
            </w:pPr>
          </w:p>
        </w:tc>
      </w:tr>
      <w:tr>
        <w:trPr>
          <w:trHeight w:val="183"/>
        </w:trPr>
        <w:tc>
          <w:tcPr>
            <w:tcW w:w="9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Remaining lease term</w:t>
            </w:r>
          </w:p>
        </w:tc>
        <w:tc>
          <w:tcPr>
            <w:tcW w:w="100" w:type="dxa"/>
            <w:vAlign w:val="bottom"/>
          </w:tcPr>
          <w:p>
            <w:pPr>
              <w:spacing w:after="0"/>
              <w:rPr>
                <w:sz w:val="15"/>
                <w:szCs w:val="15"/>
                <w:color w:val="auto"/>
              </w:rPr>
            </w:pPr>
          </w:p>
        </w:tc>
        <w:tc>
          <w:tcPr>
            <w:tcW w:w="23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5.23 years</w:t>
            </w:r>
          </w:p>
        </w:tc>
      </w:tr>
      <w:tr>
        <w:trPr>
          <w:trHeight w:val="21"/>
        </w:trPr>
        <w:tc>
          <w:tcPr>
            <w:tcW w:w="9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83"/>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21"/>
        </w:trPr>
        <w:tc>
          <w:tcPr>
            <w:tcW w:w="9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Future undiscounted lease payments for our operating lease liabilities, and a reconciliation of these payments to our operating lease liabilities at March 31, 2019, are as follows (amounts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5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 (remaining nine months)</w:t>
            </w:r>
          </w:p>
        </w:tc>
        <w:tc>
          <w:tcPr>
            <w:tcW w:w="630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5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3"/>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5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shd w:val="clear" w:color="auto" w:fill="CCEEFF"/>
              </w:rPr>
              <w:t>Thereafter</w:t>
            </w:r>
          </w:p>
        </w:tc>
        <w:tc>
          <w:tcPr>
            <w:tcW w:w="5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3"/>
        </w:trPr>
        <w:tc>
          <w:tcPr>
            <w:tcW w:w="3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5200" w:type="dxa"/>
            <w:vAlign w:val="bottom"/>
          </w:tcPr>
          <w:p>
            <w:pPr>
              <w:spacing w:after="0"/>
              <w:rPr>
                <w:sz w:val="15"/>
                <w:szCs w:val="15"/>
                <w:color w:val="auto"/>
              </w:rPr>
            </w:pPr>
          </w:p>
        </w:tc>
        <w:tc>
          <w:tcPr>
            <w:tcW w:w="110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1"/>
        </w:trPr>
        <w:tc>
          <w:tcPr>
            <w:tcW w:w="386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imputed interest</w:t>
            </w:r>
          </w:p>
        </w:tc>
        <w:tc>
          <w:tcPr>
            <w:tcW w:w="5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5"/>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lease liabilities</w:t>
            </w:r>
          </w:p>
        </w:tc>
        <w:tc>
          <w:tcPr>
            <w:tcW w:w="5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200" w:type="dxa"/>
            <w:vAlign w:val="bottom"/>
            <w:vMerge w:val="restart"/>
          </w:tcPr>
          <w:p>
            <w:pPr>
              <w:jc w:val="right"/>
              <w:ind w:right="3192"/>
              <w:spacing w:after="0"/>
              <w:rPr>
                <w:sz w:val="20"/>
                <w:szCs w:val="20"/>
                <w:color w:val="auto"/>
              </w:rPr>
            </w:pPr>
            <w:r>
              <w:rPr>
                <w:rFonts w:ascii="Times New Roman" w:cs="Times New Roman" w:eastAsia="Times New Roman" w:hAnsi="Times New Roman"/>
                <w:sz w:val="14"/>
                <w:szCs w:val="14"/>
                <w:color w:val="auto"/>
              </w:rPr>
              <w:t>17</w:t>
            </w: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Operating lease ROU assets and liabilities recorded on our condensed consolidated balance sheet as of March 31, 2019, were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20" w:type="dxa"/>
            <w:vAlign w:val="bottom"/>
          </w:tcPr>
          <w:p>
            <w:pPr>
              <w:spacing w:after="0"/>
              <w:rPr>
                <w:sz w:val="15"/>
                <w:szCs w:val="15"/>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1660" w:type="dxa"/>
            <w:vAlign w:val="bottom"/>
            <w:tcBorders>
              <w:bottom w:val="single" w:sz="8" w:color="CCEEFF"/>
            </w:tcBorders>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r>
      <w:tr>
        <w:trPr>
          <w:trHeight w:val="245"/>
        </w:trPr>
        <w:tc>
          <w:tcPr>
            <w:tcW w:w="48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18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660" w:type="dxa"/>
            <w:vAlign w:val="bottom"/>
            <w:tcBorders>
              <w:bottom w:val="single" w:sz="8" w:color="CCEEFF"/>
            </w:tcBorders>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r>
      <w:tr>
        <w:trPr>
          <w:trHeight w:val="18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66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r>
      <w:tr>
        <w:trPr>
          <w:trHeight w:val="189"/>
        </w:trPr>
        <w:tc>
          <w:tcPr>
            <w:tcW w:w="48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r>
      <w:tr>
        <w:trPr>
          <w:trHeight w:val="20"/>
        </w:trPr>
        <w:tc>
          <w:tcPr>
            <w:tcW w:w="4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Future minimum lease payments as of December 31, 2018, prior to our adoption of the new lease accounting standard, were as follows:</w:t>
            </w: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3"/>
        </w:trPr>
        <w:tc>
          <w:tcPr>
            <w:tcW w:w="9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8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110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w:t>
            </w: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w:t>
            </w:r>
          </w:p>
        </w:tc>
      </w:tr>
      <w:tr>
        <w:trPr>
          <w:trHeight w:val="183"/>
        </w:trPr>
        <w:tc>
          <w:tcPr>
            <w:tcW w:w="9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5"/>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r>
      <w:tr>
        <w:trPr>
          <w:trHeight w:val="189"/>
        </w:trPr>
        <w:tc>
          <w:tcPr>
            <w:tcW w:w="9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346</w:t>
            </w: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Debt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09" w:lineRule="exact"/>
        <w:rPr>
          <w:sz w:val="20"/>
          <w:szCs w:val="20"/>
          <w:color w:val="auto"/>
        </w:rPr>
      </w:pPr>
    </w:p>
    <w:p>
      <w:pPr>
        <w:jc w:val="both"/>
        <w:ind w:right="100" w:firstLine="245"/>
        <w:spacing w:after="0" w:line="349" w:lineRule="auto"/>
        <w:rPr>
          <w:sz w:val="20"/>
          <w:szCs w:val="20"/>
          <w:color w:val="auto"/>
        </w:rPr>
      </w:pPr>
      <w:r>
        <w:rPr>
          <w:rFonts w:ascii="Times New Roman" w:cs="Times New Roman" w:eastAsia="Times New Roman" w:hAnsi="Times New Roman"/>
          <w:sz w:val="12"/>
          <w:szCs w:val="12"/>
          <w:color w:val="auto"/>
        </w:rPr>
        <w:t>As of March 31, 2019 and December 31, 2018,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March 31, 2019.</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Refer to Note 13 contained in our Annual Report on Form 10-K for the year ended December 31, 2018 for further details regarding the Credit Agreement, its key terms, and previous amendments made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Unsecured Senior Notes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 March 31, 2019 and December 31, 2018, we had the following unsecured senior notes outstanding:</w:t>
      </w:r>
    </w:p>
    <w:p>
      <w:pPr>
        <w:spacing w:after="0" w:line="166" w:lineRule="exact"/>
        <w:rPr>
          <w:sz w:val="20"/>
          <w:szCs w:val="20"/>
          <w:color w:val="auto"/>
        </w:rPr>
      </w:pPr>
    </w:p>
    <w:p>
      <w:pPr>
        <w:ind w:left="740" w:hanging="247"/>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$650 million of 2.3% unsecured senior notes due September 2021 (the “2021 Notes”) and $850 million of 3.4% unsecured senior notes due September 2026 (the “2026 Notes”); and</w:t>
      </w:r>
    </w:p>
    <w:p>
      <w:pPr>
        <w:spacing w:after="0" w:line="166" w:lineRule="exact"/>
        <w:rPr>
          <w:rFonts w:ascii="Times New Roman" w:cs="Times New Roman" w:eastAsia="Times New Roman" w:hAnsi="Times New Roman"/>
          <w:sz w:val="14"/>
          <w:szCs w:val="14"/>
          <w:color w:val="auto"/>
        </w:rPr>
      </w:pPr>
    </w:p>
    <w:p>
      <w:pPr>
        <w:ind w:left="740" w:right="520" w:hanging="247"/>
        <w:spacing w:after="0" w:line="265" w:lineRule="auto"/>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 million of 2.6% unsecured senior notes due June 2022 (the “2022 Notes”), $400 million of 3.4% unsecured senior notes due June 2027 (the “2027 Notes”), and $400 million of 4.5% unsecured senior notes due June 2047 (the “2047 Notes”, and together with the 2021 Notes, the 2022 Notes, the 2026 Notes, and the 2027 Notes, the “Notes”).</w:t>
      </w:r>
    </w:p>
    <w:p>
      <w:pPr>
        <w:spacing w:after="0" w:line="133" w:lineRule="exact"/>
        <w:rPr>
          <w:sz w:val="20"/>
          <w:szCs w:val="20"/>
          <w:color w:val="auto"/>
        </w:rPr>
      </w:pPr>
    </w:p>
    <w:p>
      <w:pPr>
        <w:jc w:val="both"/>
        <w:ind w:right="160" w:firstLine="245"/>
        <w:spacing w:after="0" w:line="256" w:lineRule="auto"/>
        <w:rPr>
          <w:sz w:val="20"/>
          <w:szCs w:val="20"/>
          <w:color w:val="auto"/>
        </w:rPr>
      </w:pPr>
      <w:r>
        <w:rPr>
          <w:rFonts w:ascii="Times New Roman" w:cs="Times New Roman" w:eastAsia="Times New Roman" w:hAnsi="Times New Roman"/>
          <w:sz w:val="14"/>
          <w:szCs w:val="14"/>
          <w:color w:val="auto"/>
        </w:rPr>
        <w:t xml:space="preserve">The Notes are general senior obligations of the Company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We were in compliance with the terms of the Notes as of March 31, 2019.</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7" w:right="2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Interest is payable semi-annually in arrears on March 15 and September 15 of each year for the 2021 Notes and the 2026 Notes, and payable semi-annually in arrears on June 15 and December 15 of each year for the 2022 Notes, the 2027 Notes, and the 2047 Notes. Accrued interest payable is recorded within “Accrued expenses and other liabilities” in our condensed consolidated balance sheets. As of March 31, 2019 and December 31, 2018, we had accrued interest payable of $14 million and $15 million, respectively, related to the Notes.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Refer to Note 13 contained in our Annual Report on Form 10-K for the year ended December 31, 2018 for further details regarding key terms under our indentures that govern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and Financing Costs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Fees and discounts associated with the issuance of our debt instruments are recorded as debt discount, which reduces their respective carrying values, and are amortized over their respective terms.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is recorded within “Interest and other expense (income), net” in our condensed consolidated statement of operations.</w:t>
      </w:r>
    </w:p>
    <w:p>
      <w:pPr>
        <w:spacing w:after="0" w:line="154" w:lineRule="exact"/>
        <w:rPr>
          <w:sz w:val="20"/>
          <w:szCs w:val="20"/>
          <w:color w:val="auto"/>
        </w:rPr>
      </w:pPr>
    </w:p>
    <w:p>
      <w:pPr>
        <w:ind w:right="120" w:firstLine="245"/>
        <w:spacing w:after="0" w:line="265" w:lineRule="auto"/>
        <w:rPr>
          <w:sz w:val="20"/>
          <w:szCs w:val="20"/>
          <w:color w:val="auto"/>
        </w:rPr>
      </w:pPr>
      <w:r>
        <w:rPr>
          <w:rFonts w:ascii="Times New Roman" w:cs="Times New Roman" w:eastAsia="Times New Roman" w:hAnsi="Times New Roman"/>
          <w:sz w:val="14"/>
          <w:szCs w:val="14"/>
          <w:color w:val="auto"/>
        </w:rPr>
        <w:t>For the three months ended March 31, 2019 and March 31, 2018, interest expense was $21 million and $40 million, respectively, and amortization of the debt discount and deferred financing costs was $1 million and $2 million, respectively.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summary of our outstanding debt is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At March 31, 2019</w:t>
            </w: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58"/>
        </w:trPr>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r>
      <w:tr>
        <w:trPr>
          <w:trHeight w:val="179"/>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396</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2,672</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25"/>
        </w:trPr>
        <w:tc>
          <w:tcPr>
            <w:tcW w:w="4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At December 31, 2018</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58"/>
        </w:trPr>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r>
      <w:tr>
        <w:trPr>
          <w:trHeight w:val="179"/>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March 31, 2019, the scheduled maturities and contractual principal repayments of our debt for each of the five succeeding years and thereafter are as follows (amounts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ending December 31,</w:t>
            </w:r>
          </w:p>
        </w:tc>
        <w:tc>
          <w:tcPr>
            <w:tcW w:w="5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2019 (remaining nine months)</w:t>
            </w:r>
          </w:p>
        </w:tc>
        <w:tc>
          <w:tcPr>
            <w:tcW w:w="638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2020</w:t>
            </w:r>
          </w:p>
        </w:tc>
        <w:tc>
          <w:tcPr>
            <w:tcW w:w="5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2021</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2022</w:t>
            </w:r>
          </w:p>
        </w:tc>
        <w:tc>
          <w:tcPr>
            <w:tcW w:w="5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3"/>
        </w:trPr>
        <w:tc>
          <w:tcPr>
            <w:tcW w:w="3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2023</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shd w:val="clear" w:color="auto" w:fill="CCEEFF"/>
              </w:rPr>
              <w:t>Thereafter</w:t>
            </w:r>
          </w:p>
        </w:tc>
        <w:tc>
          <w:tcPr>
            <w:tcW w:w="54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85"/>
        </w:trPr>
        <w:tc>
          <w:tcPr>
            <w:tcW w:w="38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w:t>
            </w:r>
          </w:p>
        </w:tc>
        <w:tc>
          <w:tcPr>
            <w:tcW w:w="54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460" w:type="dxa"/>
            <w:vAlign w:val="bottom"/>
            <w:vMerge w:val="restart"/>
          </w:tcPr>
          <w:p>
            <w:pPr>
              <w:jc w:val="right"/>
              <w:ind w:right="3432"/>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8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0"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color w:val="auto"/>
        </w:rPr>
        <w:t>With the exception of the 2047 Notes, using Level 2 inputs (i.e., observable market prices in less-than-active markets) at March 31, 2019, the carrying values of the Notes approximated their fair values, as the interest rates were similar to the current rates at which we could borrow funds over the selected interest periods. At March 31, 2019, based on Level 2 inputs, the fair value of the 2047 Notes was $378 million.</w:t>
      </w:r>
    </w:p>
    <w:p>
      <w:pPr>
        <w:spacing w:after="0" w:line="143" w:lineRule="exact"/>
        <w:rPr>
          <w:sz w:val="20"/>
          <w:szCs w:val="20"/>
          <w:color w:val="auto"/>
        </w:rPr>
      </w:pPr>
    </w:p>
    <w:p>
      <w:pPr>
        <w:jc w:val="both"/>
        <w:ind w:firstLine="245"/>
        <w:spacing w:after="0" w:line="254" w:lineRule="auto"/>
        <w:rPr>
          <w:sz w:val="20"/>
          <w:szCs w:val="20"/>
          <w:color w:val="auto"/>
        </w:rPr>
      </w:pPr>
      <w:r>
        <w:rPr>
          <w:rFonts w:ascii="Times New Roman" w:cs="Times New Roman" w:eastAsia="Times New Roman" w:hAnsi="Times New Roman"/>
          <w:sz w:val="14"/>
          <w:szCs w:val="14"/>
          <w:color w:val="auto"/>
        </w:rPr>
        <w:t>Using Level 2 inputs at December 31, 2018, the carrying values of the 2021 Notes and the 2022 Notes approximated their fair values, as the interest rates were similar to the current rates at which we could borrow funds over the selected interest periods. At December 31, 2018, based on Level 2 inputs, the fair values of the 2026 Notes, the 2027 Notes, and the 2047 Notes were $800 million, $376 million, and $360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Accumulated Other Comprehensive Income (Loss)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components of accumulated other comprehensive income (loss) were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on available-for-sale securities</w:t>
            </w:r>
          </w:p>
        </w:tc>
        <w:tc>
          <w:tcPr>
            <w:tcW w:w="42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(601)</w:t>
            </w:r>
          </w:p>
        </w:tc>
      </w:tr>
      <w:tr>
        <w:trPr>
          <w:trHeight w:val="18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tcPr>
          <w:p>
            <w:pPr>
              <w:spacing w:after="0"/>
              <w:rPr>
                <w:sz w:val="15"/>
                <w:szCs w:val="15"/>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1"/>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7"/>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into earnings</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(602)</w:t>
            </w: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1"/>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 2018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on available-for-sale securities</w:t>
            </w:r>
          </w:p>
        </w:tc>
        <w:tc>
          <w:tcPr>
            <w:tcW w:w="420" w:type="dxa"/>
            <w:vAlign w:val="bottom"/>
          </w:tcPr>
          <w:p>
            <w:pPr>
              <w:spacing w:after="0"/>
              <w:rPr>
                <w:sz w:val="14"/>
                <w:szCs w:val="14"/>
                <w:color w:val="auto"/>
              </w:rPr>
            </w:pPr>
          </w:p>
        </w:tc>
        <w:tc>
          <w:tcPr>
            <w:tcW w:w="130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(638)</w:t>
            </w:r>
          </w:p>
        </w:tc>
      </w:tr>
      <w:tr>
        <w:trPr>
          <w:trHeight w:val="18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impact from adoption of new revenue accounting standard</w:t>
            </w:r>
          </w:p>
        </w:tc>
        <w:tc>
          <w:tcPr>
            <w:tcW w:w="100" w:type="dxa"/>
            <w:vAlign w:val="bottom"/>
          </w:tcPr>
          <w:p>
            <w:pPr>
              <w:spacing w:after="0"/>
              <w:rPr>
                <w:sz w:val="15"/>
                <w:szCs w:val="15"/>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into earnings</w:t>
            </w: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Operating Segments and Geographic Region</w:t>
      </w:r>
    </w:p>
    <w:p>
      <w:pPr>
        <w:spacing w:after="0" w:line="201"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aggregate operating segments.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7" w:right="2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Information on reportable segment net revenues and operating income for the three months ended March 31, 2019 and 2018, are presented below (amounts in millions):</w:t>
      </w:r>
    </w:p>
    <w:p>
      <w:pPr>
        <w:sectPr>
          <w:pgSz w:w="11900" w:h="16838" w:orient="portrait"/>
          <w:cols w:equalWidth="0" w:num="1">
            <w:col w:w="11460"/>
          </w:cols>
          <w:pgMar w:left="220" w:top="1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net revenues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revenues from external customers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Intersegment net revenues (1)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net revenues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Intersegment revenues reflect licensing and service fees charged between segments.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40005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00500" cy="635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King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8"/>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4"/>
                <w:szCs w:val="24"/>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24"/>
                <w:szCs w:val="24"/>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1,185</w:t>
            </w:r>
          </w:p>
        </w:tc>
      </w:tr>
      <w:tr>
        <w:trPr>
          <w:trHeight w:val="205"/>
        </w:trPr>
        <w:tc>
          <w:tcPr>
            <w:tcW w:w="112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5"/>
                <w:szCs w:val="15"/>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1,190</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4"/>
                <w:szCs w:val="24"/>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24"/>
                <w:szCs w:val="24"/>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-745490</wp:posOffset>
            </wp:positionV>
            <wp:extent cx="7279640"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13652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-479425</wp:posOffset>
            </wp:positionV>
            <wp:extent cx="7279640" cy="130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-206375</wp:posOffset>
            </wp:positionV>
            <wp:extent cx="7279640" cy="90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908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312420</wp:posOffset>
            </wp:positionV>
            <wp:extent cx="40005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00500" cy="63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40005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0500" cy="635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King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8"/>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4"/>
                <w:szCs w:val="24"/>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24"/>
                <w:szCs w:val="24"/>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1,325</w:t>
            </w:r>
          </w:p>
        </w:tc>
      </w:tr>
      <w:tr>
        <w:trPr>
          <w:trHeight w:val="205"/>
        </w:trPr>
        <w:tc>
          <w:tcPr>
            <w:tcW w:w="112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5"/>
                <w:szCs w:val="15"/>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1,326</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1120" w:type="dxa"/>
            <w:vAlign w:val="bottom"/>
          </w:tcPr>
          <w:p>
            <w:pPr>
              <w:jc w:val="right"/>
              <w:ind w:right="95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24"/>
                <w:szCs w:val="24"/>
                <w:color w:val="auto"/>
              </w:rPr>
            </w:pP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4"/>
                <w:szCs w:val="24"/>
                <w:color w:val="auto"/>
              </w:rPr>
            </w:pPr>
          </w:p>
        </w:tc>
        <w:tc>
          <w:tcPr>
            <w:tcW w:w="104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-745490</wp:posOffset>
            </wp:positionV>
            <wp:extent cx="7279640"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13652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-479425</wp:posOffset>
            </wp:positionV>
            <wp:extent cx="7279640" cy="130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-206375</wp:posOffset>
            </wp:positionV>
            <wp:extent cx="7279640" cy="90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9080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4820" w:space="340"/>
            <w:col w:w="6300"/>
          </w:cols>
          <w:pgMar w:left="220" w:top="127" w:right="219" w:bottom="1440" w:gutter="0" w:footer="0" w:header="0"/>
          <w:type w:val="continuous"/>
        </w:sect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98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366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consolidated net revenues:</w:t>
            </w:r>
          </w:p>
        </w:tc>
        <w:tc>
          <w:tcPr>
            <w:tcW w:w="25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3660" w:type="dxa"/>
            <w:vAlign w:val="bottom"/>
            <w:gridSpan w:val="2"/>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tcPr>
          <w:p>
            <w:pPr>
              <w:spacing w:after="0"/>
              <w:rPr>
                <w:sz w:val="15"/>
                <w:szCs w:val="15"/>
                <w:color w:val="auto"/>
              </w:rPr>
            </w:pP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1,326</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non-reportable segments (1)</w:t>
            </w:r>
          </w:p>
        </w:tc>
        <w:tc>
          <w:tcPr>
            <w:tcW w:w="2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 deferred net revenues (2)</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 of intersegment revenues (3)</w:t>
            </w:r>
          </w:p>
        </w:tc>
        <w:tc>
          <w:tcPr>
            <w:tcW w:w="25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25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1,965</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consolidated income before income tax expense:</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income</w:t>
            </w:r>
          </w:p>
        </w:tc>
        <w:tc>
          <w:tcPr>
            <w:tcW w:w="3660" w:type="dxa"/>
            <w:vAlign w:val="bottom"/>
            <w:tcBorders>
              <w:bottom w:val="single" w:sz="8" w:color="CCEEFF"/>
            </w:tcBorders>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 from non-reportable segments (1)</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 deferred net revenues and related cost of revenues (2)</w:t>
            </w:r>
          </w:p>
        </w:tc>
        <w:tc>
          <w:tcPr>
            <w:tcW w:w="2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and related costs (4)</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25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2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income before income tax expense</w:t>
            </w:r>
          </w:p>
        </w:tc>
        <w:tc>
          <w:tcPr>
            <w:tcW w:w="3660" w:type="dxa"/>
            <w:vAlign w:val="bottom"/>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2052"/>
              <w:spacing w:after="0"/>
              <w:rPr>
                <w:sz w:val="20"/>
                <w:szCs w:val="20"/>
                <w:color w:val="auto"/>
              </w:rPr>
            </w:pPr>
            <w:r>
              <w:rPr>
                <w:rFonts w:ascii="Times New Roman" w:cs="Times New Roman" w:eastAsia="Times New Roman" w:hAnsi="Times New Roman"/>
                <w:sz w:val="14"/>
                <w:szCs w:val="14"/>
                <w:color w:val="auto"/>
              </w:rPr>
              <w:t>21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7" w:right="21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right="100" w:hanging="238"/>
        <w:spacing w:after="0" w:line="265" w:lineRule="auto"/>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35"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net effect from recognition (deferral) of deferred net revenues, along with related cost of revenues, on certain of our online-enabled products.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restructuring initiatives, primarily severance and other restructuring-related costs.</w:t>
      </w:r>
    </w:p>
    <w:p>
      <w:pPr>
        <w:spacing w:after="0" w:line="166" w:lineRule="exact"/>
        <w:rPr>
          <w:rFonts w:ascii="Times New Roman" w:cs="Times New Roman" w:eastAsia="Times New Roman" w:hAnsi="Times New Roman"/>
          <w:sz w:val="14"/>
          <w:szCs w:val="14"/>
          <w:color w:val="auto"/>
        </w:rPr>
      </w:pPr>
    </w:p>
    <w:p>
      <w:pPr>
        <w:ind w:left="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Net revenues by distribution channel, including a reconciliation to each of our reportable segment’s revenues, for the three months ended March 31, 2019 and 2018, were as follows (amounts in millions):</w:t>
      </w:r>
    </w:p>
    <w:p>
      <w:pPr>
        <w:spacing w:after="0" w:line="200" w:lineRule="exact"/>
        <w:rPr>
          <w:sz w:val="20"/>
          <w:szCs w:val="20"/>
          <w:color w:val="auto"/>
        </w:rPr>
      </w:pPr>
    </w:p>
    <w:p>
      <w:pPr>
        <w:spacing w:after="0" w:line="21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25400</wp:posOffset>
            </wp:positionV>
            <wp:extent cx="48768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68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466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763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(446)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0"/>
              </w:rPr>
              <w:t>Blizzard</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8"/>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1,393</w:t>
            </w:r>
          </w:p>
        </w:tc>
      </w:tr>
      <w:tr>
        <w:trPr>
          <w:trHeight w:val="205"/>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313</w:t>
            </w:r>
          </w:p>
        </w:tc>
      </w:tr>
      <w:tr>
        <w:trPr>
          <w:trHeight w:val="205"/>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119</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461</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1,825</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04"/>
        </w:trPr>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05"/>
        </w:trPr>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205"/>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04"/>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292</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1,065</w:t>
            </w:r>
          </w:p>
        </w:tc>
      </w:tr>
      <w:tr>
        <w:trPr>
          <w:trHeight w:val="205"/>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w:t>
            </w:r>
          </w:p>
        </w:tc>
      </w:tr>
      <w:tr>
        <w:trPr>
          <w:trHeight w:val="205"/>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3"/>
        </w:trPr>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344</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1,258</w:t>
            </w:r>
          </w:p>
        </w:tc>
      </w:tr>
      <w:tr>
        <w:trPr>
          <w:trHeight w:val="21"/>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-2077720</wp:posOffset>
            </wp:positionV>
            <wp:extent cx="7279640" cy="13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-1506220</wp:posOffset>
            </wp:positionV>
            <wp:extent cx="7279640" cy="130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-1246505</wp:posOffset>
            </wp:positionV>
            <wp:extent cx="7279640" cy="13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-675005</wp:posOffset>
            </wp:positionV>
            <wp:extent cx="7279640" cy="130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-415290</wp:posOffset>
            </wp:positionV>
            <wp:extent cx="7279640" cy="13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1301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-154940</wp:posOffset>
            </wp:positionV>
            <wp:extent cx="7279640" cy="155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-986155</wp:posOffset>
            </wp:positionV>
            <wp:extent cx="7279640" cy="155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-1818005</wp:posOffset>
            </wp:positionV>
            <wp:extent cx="7279640" cy="155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640" cy="15557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-2343785</wp:posOffset>
            </wp:positionV>
            <wp:extent cx="7279640" cy="136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60"/>
            <w:col w:w="6040"/>
          </w:cols>
          <w:pgMar w:left="220" w:top="127" w:right="21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127" w:right="2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82"/>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1,463</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409</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1,965</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1,205</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100</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1,384</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“Digital online channels” include revenues from digitally-distributed subscriptions, downloadable content, microtransactions, and products, as well as licensing royalties.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60"/>
          </w:cols>
          <w:pgMar w:left="220" w:top="111" w:right="2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40" w:firstLine="245"/>
        <w:spacing w:after="0" w:line="265" w:lineRule="auto"/>
        <w:rPr>
          <w:sz w:val="20"/>
          <w:szCs w:val="20"/>
          <w:color w:val="auto"/>
        </w:rPr>
      </w:pPr>
      <w:r>
        <w:rPr>
          <w:rFonts w:ascii="Times New Roman" w:cs="Times New Roman" w:eastAsia="Times New Roman" w:hAnsi="Times New Roman"/>
          <w:sz w:val="14"/>
          <w:szCs w:val="14"/>
          <w:color w:val="auto"/>
        </w:rPr>
        <w:t>Geographic information presented below is based on the location of the paying customer. Net revenues by geographic region, including a reconciliation to each of our reportable segment’s net revenues, for the three months ended March 31, 2019 and 2018, were as follows (amounts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988</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223</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1,825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670</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174</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1,258</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1,065</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687</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213</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1,965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732</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487</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165</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1,384</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7"/>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0" w:lineRule="exact"/>
        <w:rPr>
          <w:sz w:val="20"/>
          <w:szCs w:val="20"/>
          <w:color w:val="auto"/>
        </w:rPr>
      </w:pPr>
    </w:p>
    <w:p>
      <w:pPr>
        <w:ind w:left="240" w:hanging="238"/>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“EMEA” consists of the Europe, Middle East, and Africa geographic regions.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166"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color w:val="auto"/>
        </w:rPr>
        <w:t>The Company’s net revenues in the U.S. were 49% and 47% of consolidated net revenues for the three months ended March 31, 2019 and 2018, respectively. The Company’s net revenues in the U.K. were 10% and 11% of consolidated net revenues for the three months ended March 31, 2019 and 2018, respectively. No other country’s net revenues exceeded 10% of consolidated net revenues for either the three months ended March 31, 2019 or 2018.</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by platform, including a reconciliation to each of our reportable segment’s net revenues, for the three months ended March 31, 2019 and 2018, were as follows (amounts 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677</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494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535</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119</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1,825</w:t>
            </w:r>
          </w:p>
        </w:tc>
      </w:tr>
      <w:tr>
        <w:trPr>
          <w:trHeight w:val="222"/>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279</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345</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521</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w:t>
            </w: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1,258</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7"/>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0"/>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8"/>
        </w:trPr>
        <w:tc>
          <w:tcPr>
            <w:tcW w:w="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9"/>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40" w:type="dxa"/>
            <w:vAlign w:val="bottom"/>
          </w:tcPr>
          <w:p>
            <w:pPr>
              <w:spacing w:after="0"/>
              <w:rPr>
                <w:sz w:val="15"/>
                <w:szCs w:val="15"/>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85"/>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769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817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519</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536</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1,965</w:t>
            </w:r>
          </w:p>
        </w:tc>
      </w:tr>
      <w:tr>
        <w:trPr>
          <w:trHeight w:val="222"/>
        </w:trPr>
        <w:tc>
          <w:tcPr>
            <w:tcW w:w="9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Console</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450</w:t>
            </w:r>
          </w:p>
        </w:tc>
      </w:tr>
      <w:tr>
        <w:trPr>
          <w:trHeight w:val="18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100</w:t>
            </w: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1,384</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right="540" w:hanging="238"/>
        <w:spacing w:after="0" w:line="277" w:lineRule="auto"/>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“Mobile and ancillary” include revenues from mobile devices, as well as non-platform specific game-related revenues, such as standalone sales of toys and accessories from our Skylanders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franchise and other physical merchandise and accessories.</w:t>
      </w:r>
    </w:p>
    <w:p>
      <w:pPr>
        <w:spacing w:after="0" w:line="5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6" w:lineRule="exact"/>
        <w:rPr>
          <w:rFonts w:ascii="Times New Roman" w:cs="Times New Roman" w:eastAsia="Times New Roman" w:hAnsi="Times New Roman"/>
          <w:sz w:val="14"/>
          <w:szCs w:val="14"/>
          <w:color w:val="auto"/>
        </w:rPr>
      </w:pPr>
    </w:p>
    <w:p>
      <w:pPr>
        <w:ind w:left="240" w:right="6640" w:hanging="238"/>
        <w:spacing w:after="0" w:line="530" w:lineRule="auto"/>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Intersegment revenues reflect licensing and service fees charged between segments. Long-lived assets by geographic region were as follows (amounts in millions):</w:t>
      </w:r>
    </w:p>
    <w:tbl>
      <w:tblPr>
        <w:tblLayout w:type="fixed"/>
        <w:tblInd w:w="0" w:type="dxa"/>
        <w:tblCellMar>
          <w:top w:w="0" w:type="dxa"/>
          <w:left w:w="0" w:type="dxa"/>
          <w:bottom w:w="0" w:type="dxa"/>
          <w:right w:w="0" w:type="dxa"/>
        </w:tblCellMar>
      </w:tblPr>
      <w:tr>
        <w:trPr>
          <w:trHeight w:val="179"/>
        </w:trPr>
        <w:tc>
          <w:tcPr>
            <w:tcW w:w="6540" w:type="dxa"/>
            <w:vAlign w:val="bottom"/>
          </w:tcPr>
          <w:p>
            <w:pPr>
              <w:spacing w:after="0"/>
              <w:rPr>
                <w:sz w:val="15"/>
                <w:szCs w:val="15"/>
                <w:color w:val="auto"/>
              </w:rPr>
            </w:pPr>
          </w:p>
        </w:tc>
        <w:tc>
          <w:tcPr>
            <w:tcW w:w="1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(1) by geographic region:</w:t>
            </w:r>
          </w:p>
        </w:tc>
        <w:tc>
          <w:tcPr>
            <w:tcW w:w="1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r>
      <w:tr>
        <w:trPr>
          <w:trHeight w:val="183"/>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Americas</w:t>
            </w:r>
          </w:p>
        </w:tc>
        <w:tc>
          <w:tcPr>
            <w:tcW w:w="1920" w:type="dxa"/>
            <w:vAlign w:val="bottom"/>
          </w:tcPr>
          <w:p>
            <w:pPr>
              <w:jc w:val="right"/>
              <w:ind w:right="1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203</w:t>
            </w:r>
          </w:p>
        </w:tc>
      </w:tr>
      <w:tr>
        <w:trPr>
          <w:trHeight w:val="21"/>
        </w:trPr>
        <w:tc>
          <w:tcPr>
            <w:tcW w:w="6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5"/>
        </w:trPr>
        <w:tc>
          <w:tcPr>
            <w:tcW w:w="6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EMEA</w:t>
            </w:r>
          </w:p>
        </w:tc>
        <w:tc>
          <w:tcPr>
            <w:tcW w:w="19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62</w:t>
            </w:r>
          </w:p>
        </w:tc>
      </w:tr>
      <w:tr>
        <w:trPr>
          <w:trHeight w:val="183"/>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192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long-lived assets by geographic region</w:t>
            </w:r>
          </w:p>
        </w:tc>
        <w:tc>
          <w:tcPr>
            <w:tcW w:w="1920" w:type="dxa"/>
            <w:vAlign w:val="bottom"/>
            <w:tcBorders>
              <w:bottom w:val="single" w:sz="8" w:color="auto"/>
            </w:tcBorders>
            <w:shd w:val="clear" w:color="auto" w:fill="CCEEFF"/>
          </w:tcPr>
          <w:p>
            <w:pPr>
              <w:jc w:val="right"/>
              <w:ind w:right="17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282</w:t>
            </w:r>
          </w:p>
        </w:tc>
      </w:tr>
      <w:tr>
        <w:trPr>
          <w:trHeight w:val="20"/>
        </w:trPr>
        <w:tc>
          <w:tcPr>
            <w:tcW w:w="65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hanging="238"/>
        <w:spacing w:after="0"/>
        <w:tabs>
          <w:tab w:leader="none" w:pos="2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only long-lived assets that we classify by region are our long-term tangible fixed assets, which consist of property, plant, and equipment assets; all other long-term assets are not allocated by location.</w:t>
      </w:r>
    </w:p>
    <w:p>
      <w:pPr>
        <w:spacing w:after="0" w:line="373" w:lineRule="exact"/>
        <w:rPr>
          <w:rFonts w:ascii="Times New Roman" w:cs="Times New Roman" w:eastAsia="Times New Roman" w:hAnsi="Times New Roman"/>
          <w:sz w:val="12"/>
          <w:szCs w:val="12"/>
          <w:color w:val="auto"/>
        </w:rPr>
      </w:pPr>
    </w:p>
    <w:p>
      <w:pPr>
        <w:ind w:left="56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26</w:t>
      </w:r>
    </w:p>
    <w:p>
      <w:pPr>
        <w:sectPr>
          <w:pgSz w:w="11900" w:h="16838" w:orient="portrait"/>
          <w:cols w:equalWidth="0" w:num="1">
            <w:col w:w="11460"/>
          </w:cols>
          <w:pgMar w:left="220" w:top="111" w:right="21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Restructuring</w:t>
      </w:r>
    </w:p>
    <w:p>
      <w:pPr>
        <w:spacing w:after="0" w:line="201" w:lineRule="exact"/>
        <w:rPr>
          <w:sz w:val="20"/>
          <w:szCs w:val="20"/>
          <w:color w:val="auto"/>
        </w:rPr>
      </w:pPr>
    </w:p>
    <w:p>
      <w:pPr>
        <w:ind w:right="30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the Company committed to a Board-authorized restructuring plan under which the Company plans to refocus its resources on its largest opportunities and to remove unnecessary levels of complexity and duplication from certain parts of the business. More specifically, we are:</w:t>
      </w:r>
    </w:p>
    <w:p>
      <w:pPr>
        <w:spacing w:after="0" w:line="135" w:lineRule="exact"/>
        <w:rPr>
          <w:sz w:val="20"/>
          <w:szCs w:val="20"/>
          <w:color w:val="auto"/>
        </w:rPr>
      </w:pPr>
    </w:p>
    <w:p>
      <w:pPr>
        <w:ind w:left="740" w:hanging="247"/>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investment in development for our largest, internally-owned franchises—across upfront releases, in-game content, mobile, and geographic expansion;</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certain non-development and administrative-related costs across our business; and</w:t>
      </w:r>
    </w:p>
    <w:p>
      <w:pPr>
        <w:spacing w:after="0" w:line="166" w:lineRule="exact"/>
        <w:rPr>
          <w:rFonts w:ascii="Times New Roman" w:cs="Times New Roman" w:eastAsia="Times New Roman" w:hAnsi="Times New Roman"/>
          <w:sz w:val="14"/>
          <w:szCs w:val="14"/>
          <w:color w:val="auto"/>
        </w:rPr>
      </w:pPr>
    </w:p>
    <w:p>
      <w:pPr>
        <w:ind w:left="740" w:right="280" w:hanging="247"/>
        <w:spacing w:after="0" w:line="265" w:lineRule="auto"/>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restructuring actions are in process and are largely expected to be completed by the end of 2019, although the timing of cash payments may continue into 2020.</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accrued restructuring and related costs included in “Accrued expenses and other liabilities” in our condensed consolidated balance sheet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Severance &amp; employee related costs</w:t>
            </w: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15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charged to expense</w:t>
            </w:r>
          </w:p>
        </w:tc>
        <w:tc>
          <w:tcPr>
            <w:tcW w:w="100" w:type="dxa"/>
            <w:vAlign w:val="bottom"/>
          </w:tcPr>
          <w:p>
            <w:pPr>
              <w:spacing w:after="0"/>
              <w:rPr>
                <w:sz w:val="15"/>
                <w:szCs w:val="15"/>
                <w:color w:val="auto"/>
              </w:rPr>
            </w:pPr>
          </w:p>
        </w:tc>
        <w:tc>
          <w:tcPr>
            <w:tcW w:w="2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57</w:t>
            </w:r>
          </w:p>
        </w:tc>
      </w:tr>
      <w:tr>
        <w:trPr>
          <w:trHeight w:val="21"/>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5"/>
        </w:trPr>
        <w:tc>
          <w:tcPr>
            <w:tcW w:w="4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payments</w:t>
            </w: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charge adjustment (1)</w:t>
            </w:r>
          </w:p>
        </w:tc>
        <w:tc>
          <w:tcPr>
            <w:tcW w:w="100" w:type="dxa"/>
            <w:vAlign w:val="bottom"/>
          </w:tcPr>
          <w:p>
            <w:pPr>
              <w:spacing w:after="0"/>
              <w:rPr>
                <w:sz w:val="15"/>
                <w:szCs w:val="15"/>
                <w:color w:val="auto"/>
              </w:rPr>
            </w:pP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9"/>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15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3620" w:hanging="238"/>
        <w:spacing w:after="0" w:line="454"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non-cash charges included in “Costs charged to expense” related to the write-downs of assets from canceled projects. Total restructuring and related costs by segment are (amounts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8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2019</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060" w:type="dxa"/>
            <w:vAlign w:val="bottom"/>
            <w:tcBorders>
              <w:bottom w:val="single" w:sz="8" w:color="CCEEFF"/>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0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w:t>
            </w:r>
          </w:p>
        </w:tc>
      </w:tr>
      <w:tr>
        <w:trPr>
          <w:trHeight w:val="21"/>
        </w:trPr>
        <w:tc>
          <w:tcPr>
            <w:tcW w:w="9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0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segments (1)</w:t>
            </w:r>
          </w:p>
        </w:tc>
        <w:tc>
          <w:tcPr>
            <w:tcW w:w="10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9"/>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w:t>
            </w:r>
          </w:p>
        </w:tc>
      </w:tr>
      <w:tr>
        <w:trPr>
          <w:trHeight w:val="20"/>
        </w:trPr>
        <w:tc>
          <w:tcPr>
            <w:tcW w:w="9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480" w:hanging="238"/>
        <w:spacing w:after="0" w:line="265"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135" w:lineRule="exact"/>
        <w:rPr>
          <w:sz w:val="20"/>
          <w:szCs w:val="20"/>
          <w:color w:val="auto"/>
        </w:rPr>
      </w:pPr>
    </w:p>
    <w:p>
      <w:pPr>
        <w:ind w:right="260" w:firstLine="245"/>
        <w:spacing w:after="0" w:line="251" w:lineRule="auto"/>
        <w:rPr>
          <w:sz w:val="20"/>
          <w:szCs w:val="20"/>
          <w:color w:val="auto"/>
        </w:rPr>
      </w:pPr>
      <w:r>
        <w:rPr>
          <w:rFonts w:ascii="Times New Roman" w:cs="Times New Roman" w:eastAsia="Times New Roman" w:hAnsi="Times New Roman"/>
          <w:sz w:val="14"/>
          <w:szCs w:val="14"/>
          <w:color w:val="auto"/>
        </w:rPr>
        <w:t>We expect to incur aggregate pre-tax restructuring charges of approximately $150 million in 2019 associated with the restructuring plan. These charges will primarily relate to severance (approximately 60% of the aggregate charge), including, in many cases, amounts above those that are legally required, facilities costs (approximately 15% of the aggregate charge), and asset write-downs and other costs (approximately 25% of the aggregate charge). A majority of the total pre-tax charge associated with the restructuring will be paid in cash using amounts on hand and the outlays are expected to be largely incurred throughout 2019.</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60"/>
          </w:cols>
          <w:pgMar w:left="220" w:top="127" w:right="21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total expected pre-tax restructuring charges related to the restructuring plan by segment, inclusive of amounts already incurred, are presented below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Year Ending December 31, 2019</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r>
      <w:tr>
        <w:trPr>
          <w:trHeight w:val="21"/>
        </w:trPr>
        <w:tc>
          <w:tcPr>
            <w:tcW w:w="9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w:t>
            </w:r>
          </w:p>
        </w:tc>
      </w:tr>
      <w:tr>
        <w:trPr>
          <w:trHeight w:val="183"/>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segments (1)</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39</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89"/>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150</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480" w:hanging="238"/>
        <w:spacing w:after="0" w:line="265"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131" w:lineRule="exact"/>
        <w:rPr>
          <w:sz w:val="20"/>
          <w:szCs w:val="20"/>
          <w:color w:val="auto"/>
        </w:rPr>
      </w:pPr>
    </w:p>
    <w:p>
      <w:pPr>
        <w:ind w:left="500" w:hanging="498"/>
        <w:spacing w:after="0"/>
        <w:tabs>
          <w:tab w:leader="none" w:pos="50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and Other Expense (Income), Net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and other expense (income), net is comprised of the following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80" w:type="dxa"/>
            <w:vAlign w:val="bottom"/>
          </w:tcPr>
          <w:p>
            <w:pPr>
              <w:spacing w:after="0"/>
              <w:rPr>
                <w:sz w:val="15"/>
                <w:szCs w:val="15"/>
                <w:color w:val="auto"/>
              </w:rPr>
            </w:pPr>
          </w:p>
        </w:tc>
        <w:tc>
          <w:tcPr>
            <w:tcW w:w="40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Pr>
          <w:p>
            <w:pPr>
              <w:spacing w:after="0"/>
              <w:rPr>
                <w:sz w:val="15"/>
                <w:szCs w:val="15"/>
                <w:color w:val="auto"/>
              </w:rPr>
            </w:pPr>
          </w:p>
        </w:tc>
      </w:tr>
      <w:tr>
        <w:trPr>
          <w:trHeight w:val="21"/>
        </w:trPr>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3"/>
        </w:trPr>
        <w:tc>
          <w:tcPr>
            <w:tcW w:w="6780" w:type="dxa"/>
            <w:vAlign w:val="bottom"/>
          </w:tcPr>
          <w:p>
            <w:pPr>
              <w:spacing w:after="0"/>
              <w:rPr>
                <w:sz w:val="15"/>
                <w:szCs w:val="15"/>
                <w:color w:val="auto"/>
              </w:rPr>
            </w:pP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5"/>
                <w:szCs w:val="15"/>
                <w:color w:val="auto"/>
              </w:rPr>
            </w:pP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40" w:type="dxa"/>
            <w:vAlign w:val="bottom"/>
            <w:tcBorders>
              <w:bottom w:val="single" w:sz="8" w:color="CCEEFF"/>
            </w:tcBorders>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147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from debt and amortization of debt discount and deferred financing costs</w:t>
            </w:r>
          </w:p>
        </w:tc>
        <w:tc>
          <w:tcPr>
            <w:tcW w:w="16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w:t>
            </w:r>
          </w:p>
        </w:tc>
      </w:tr>
      <w:tr>
        <w:trPr>
          <w:trHeight w:val="21"/>
        </w:trPr>
        <w:tc>
          <w:tcPr>
            <w:tcW w:w="6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1640" w:type="dxa"/>
            <w:vAlign w:val="bottom"/>
            <w:tcBorders>
              <w:top w:val="single" w:sz="8" w:color="auto"/>
              <w:bottom w:val="single" w:sz="8" w:color="auto"/>
            </w:tcBorders>
          </w:tcPr>
          <w:p>
            <w:pPr>
              <w:jc w:val="right"/>
              <w:ind w:right="147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40" w:type="dxa"/>
            <w:vAlign w:val="bottom"/>
            <w:tcBorders>
              <w:top w:val="single" w:sz="8" w:color="auto"/>
              <w:bottom w:val="single" w:sz="8" w:color="auto"/>
            </w:tcBorders>
          </w:tcPr>
          <w:p>
            <w:pPr>
              <w:jc w:val="right"/>
              <w:ind w:right="147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99" w:lineRule="exact"/>
        <w:rPr>
          <w:sz w:val="20"/>
          <w:szCs w:val="20"/>
          <w:color w:val="auto"/>
        </w:rPr>
      </w:pPr>
    </w:p>
    <w:p>
      <w:pPr>
        <w:ind w:right="40" w:firstLine="245"/>
        <w:spacing w:after="0" w:line="296" w:lineRule="auto"/>
        <w:rPr>
          <w:sz w:val="20"/>
          <w:szCs w:val="20"/>
          <w:color w:val="auto"/>
        </w:rPr>
      </w:pPr>
      <w:r>
        <w:rPr>
          <w:rFonts w:ascii="Times New Roman" w:cs="Times New Roman" w:eastAsia="Times New Roman" w:hAnsi="Times New Roman"/>
          <w:sz w:val="12"/>
          <w:szCs w:val="12"/>
          <w:color w:val="auto"/>
        </w:rPr>
        <w:t xml:space="preserve">We account for our provision for income taxes in accordance with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20" w:lineRule="exact"/>
        <w:rPr>
          <w:sz w:val="20"/>
          <w:szCs w:val="20"/>
          <w:color w:val="auto"/>
        </w:rPr>
      </w:pPr>
    </w:p>
    <w:p>
      <w:pPr>
        <w:jc w:val="both"/>
        <w:ind w:right="340" w:firstLine="245"/>
        <w:spacing w:after="0" w:line="349" w:lineRule="auto"/>
        <w:rPr>
          <w:sz w:val="20"/>
          <w:szCs w:val="20"/>
          <w:color w:val="auto"/>
        </w:rPr>
      </w:pPr>
      <w:r>
        <w:rPr>
          <w:rFonts w:ascii="Times New Roman" w:cs="Times New Roman" w:eastAsia="Times New Roman" w:hAnsi="Times New Roman"/>
          <w:sz w:val="12"/>
          <w:szCs w:val="12"/>
          <w:color w:val="auto"/>
        </w:rPr>
        <w:t>The income tax expense of $120 million for the three months ended March 31, 2019, reflects an effective tax rate of 21%, which is higher than the effective tax rate of 12% for the three months ended March 31, 2018. The increase is primarily due to lower excess tax benefits from share-based payments and higher foreign earnings subject to U.S. tax, partially offset by changes in uncertain tax positions.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effective tax rate of 21% for the three months ended March 31, 2019, is consistent with the U.S. statutory rate of 21%. This reflects the impact of our foreign earnings being taxed below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statutory rate, offset by changes in uncertain tax positions.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460"/>
          </w:cols>
          <w:pgMar w:left="220" w:top="127" w:right="2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20" w:firstLine="245"/>
        <w:spacing w:after="0" w:line="249" w:lineRule="auto"/>
        <w:rPr>
          <w:sz w:val="20"/>
          <w:szCs w:val="20"/>
          <w:color w:val="auto"/>
        </w:rPr>
      </w:pPr>
      <w:r>
        <w:rPr>
          <w:rFonts w:ascii="Times New Roman" w:cs="Times New Roman" w:eastAsia="Times New Roman" w:hAnsi="Times New Roman"/>
          <w:sz w:val="14"/>
          <w:szCs w:val="14"/>
          <w:color w:val="auto"/>
        </w:rPr>
        <w:t>Activision Blizzard’s 2009 through 2018 tax years remain open to examination by certain major taxing jurisdictions to which we are subject. The IRS is currently examining our federal tax returns for the 2012 through 2016 tax years. We also have several state and non-U.S. audits pending, including the French and Swedish audits discussed below. In addition, we are currently in negotiations with the tax authorities in the UK, Sweden and other relevant jurisdictions, with respect to King’s transfer pricing for tax years dating back to 2013. While the outcome of these negotiations remains uncertain, they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47"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In December 2018, we received a decision from the Swedish Tax Agency (“STA”) informing us of an audit assessment to a Swedish subsidiary of King for the 2016 tax year. The STA decision described the basis for issuing a transfer pricing assessment of approximately 3.5kr billion (approximately $400 million), primarily concerning an alleged intercompany asset transfer. We disagree with the STA’s decision and intend to vigorously contest it. We plan to pursue all remedies available to us to successfully resolve the matter, including administrative remedies with the STA, multilateral procedures with other relevant taxing jurisdictions, and, if necessary, judicial remedies. Further, we may be required to pay the full assessment to the STA in advance of the final resolution of the matter. While we believe our tax provisions at March 31, 2019, are appropriate, until such time as this matter is ultimately resolved we could be subject to significant additional tax liabilities.</w:t>
      </w:r>
    </w:p>
    <w:p>
      <w:pPr>
        <w:spacing w:after="0" w:line="147"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In December 2017, we received a Notice of Reassessment from the French Tax Authority (“FTA”) related to transfer pricing for intercompany transactions involving one of our French subsidiaries for the 2011 through 2013 tax years. The total assessment, including penalties and interest, was approximately €571 million (approximately $640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March 31, 2019,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47" w:lineRule="exact"/>
        <w:rPr>
          <w:sz w:val="20"/>
          <w:szCs w:val="20"/>
          <w:color w:val="auto"/>
        </w:rPr>
      </w:pPr>
    </w:p>
    <w:p>
      <w:pPr>
        <w:ind w:right="120" w:firstLine="245"/>
        <w:spacing w:after="0" w:line="306" w:lineRule="auto"/>
        <w:rPr>
          <w:sz w:val="20"/>
          <w:szCs w:val="20"/>
          <w:color w:val="auto"/>
        </w:rPr>
      </w:pPr>
      <w:r>
        <w:rPr>
          <w:rFonts w:ascii="Times New Roman" w:cs="Times New Roman" w:eastAsia="Times New Roman" w:hAnsi="Times New Roman"/>
          <w:sz w:val="12"/>
          <w:szCs w:val="12"/>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14"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20"/>
          </w:cols>
          <w:pgMar w:left="220" w:top="127" w:right="2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Computation of Basic/Diluted Earnings Per Common Share</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common share (amounts in millions, except per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3400" w:type="dxa"/>
            <w:vAlign w:val="bottom"/>
            <w:gridSpan w:val="4"/>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600" w:type="dxa"/>
            <w:vAlign w:val="bottom"/>
          </w:tcPr>
          <w:p>
            <w:pPr>
              <w:spacing w:after="0"/>
              <w:rPr>
                <w:sz w:val="14"/>
                <w:szCs w:val="14"/>
                <w:color w:val="auto"/>
              </w:rPr>
            </w:pPr>
          </w:p>
        </w:tc>
      </w:tr>
      <w:tr>
        <w:trPr>
          <w:trHeight w:val="25"/>
        </w:trPr>
        <w:tc>
          <w:tcPr>
            <w:tcW w:w="74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9"/>
        </w:trPr>
        <w:tc>
          <w:tcPr>
            <w:tcW w:w="7460" w:type="dxa"/>
            <w:vAlign w:val="bottom"/>
          </w:tcPr>
          <w:p>
            <w:pPr>
              <w:spacing w:after="0"/>
              <w:rPr>
                <w:sz w:val="14"/>
                <w:szCs w:val="14"/>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2019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0" w:type="dxa"/>
            <w:vAlign w:val="bottom"/>
          </w:tcPr>
          <w:p>
            <w:pPr>
              <w:spacing w:after="0"/>
              <w:rPr>
                <w:sz w:val="14"/>
                <w:szCs w:val="14"/>
                <w:color w:val="auto"/>
              </w:rPr>
            </w:pPr>
          </w:p>
        </w:tc>
      </w:tr>
      <w:tr>
        <w:trPr>
          <w:trHeight w:val="25"/>
        </w:trPr>
        <w:tc>
          <w:tcPr>
            <w:tcW w:w="7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13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83"/>
        </w:trPr>
        <w:tc>
          <w:tcPr>
            <w:tcW w:w="7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Consolidated net income</w:t>
            </w:r>
          </w:p>
        </w:tc>
        <w:tc>
          <w:tcPr>
            <w:tcW w:w="1340" w:type="dxa"/>
            <w:vAlign w:val="bottom"/>
          </w:tcPr>
          <w:p>
            <w:pPr>
              <w:jc w:val="right"/>
              <w:ind w:right="119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1340" w:type="dxa"/>
            <w:vAlign w:val="bottom"/>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500</w:t>
            </w:r>
          </w:p>
        </w:tc>
      </w:tr>
      <w:tr>
        <w:trPr>
          <w:trHeight w:val="21"/>
        </w:trPr>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183"/>
        </w:trPr>
        <w:tc>
          <w:tcPr>
            <w:tcW w:w="7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Denominator for basic earnings per common share—weighted-average common shares outstanding</w:t>
            </w:r>
          </w:p>
        </w:tc>
        <w:tc>
          <w:tcPr>
            <w:tcW w:w="13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759</w:t>
            </w:r>
          </w:p>
        </w:tc>
      </w:tr>
      <w:tr>
        <w:trPr>
          <w:trHeight w:val="21"/>
        </w:trPr>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5"/>
        </w:trPr>
        <w:tc>
          <w:tcPr>
            <w:tcW w:w="7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potential dilutive common shares under the treasury stock method—employee stock options and awards</w:t>
            </w:r>
          </w:p>
        </w:tc>
        <w:tc>
          <w:tcPr>
            <w:tcW w:w="1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Denominator for basic earnings per common share—weighted-average dilutive common shares outstanding</w:t>
            </w:r>
          </w:p>
        </w:tc>
        <w:tc>
          <w:tcPr>
            <w:tcW w:w="1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770</w:t>
            </w:r>
          </w:p>
        </w:tc>
      </w:tr>
      <w:tr>
        <w:trPr>
          <w:trHeight w:val="222"/>
        </w:trPr>
        <w:tc>
          <w:tcPr>
            <w:tcW w:w="7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83"/>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1340" w:type="dxa"/>
            <w:vAlign w:val="bottom"/>
          </w:tcPr>
          <w:p>
            <w:pPr>
              <w:jc w:val="right"/>
              <w:ind w:right="119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5"/>
                <w:szCs w:val="15"/>
                <w:color w:val="auto"/>
              </w:rPr>
            </w:pPr>
          </w:p>
        </w:tc>
        <w:tc>
          <w:tcPr>
            <w:tcW w:w="1340" w:type="dxa"/>
            <w:vAlign w:val="bottom"/>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0.66</w:t>
            </w:r>
          </w:p>
        </w:tc>
      </w:tr>
      <w:tr>
        <w:trPr>
          <w:trHeight w:val="21"/>
        </w:trPr>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134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0.65</w:t>
            </w:r>
          </w:p>
        </w:tc>
      </w:tr>
      <w:tr>
        <w:trPr>
          <w:trHeight w:val="21"/>
        </w:trPr>
        <w:tc>
          <w:tcPr>
            <w:tcW w:w="74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right="200" w:firstLine="245"/>
        <w:spacing w:after="0" w:line="254" w:lineRule="auto"/>
        <w:rPr>
          <w:sz w:val="20"/>
          <w:szCs w:val="20"/>
          <w:color w:val="auto"/>
        </w:rPr>
      </w:pPr>
      <w:r>
        <w:rPr>
          <w:rFonts w:ascii="Times New Roman" w:cs="Times New Roman" w:eastAsia="Times New Roman" w:hAnsi="Times New Roman"/>
          <w:sz w:val="14"/>
          <w:szCs w:val="14"/>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Approximately 3 million and 6 million shares are not included in the computation of diluted earnings per share for the three months ended March 31, 2019 and 2018, respectively, as their underlying performance measures had not yet been met.</w:t>
      </w:r>
    </w:p>
    <w:p>
      <w:pPr>
        <w:spacing w:after="0" w:line="143"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color w:val="auto"/>
        </w:rPr>
        <w:t>Potential common shares are not included in the denominator of the diluted earnings per common share calculation when the inclusion of such shares would be anti-dilutive. Therefore, approximately 6 million and 2 million options to purchase shares of common stock were not included in the calculation of diluted earnings per common share for the three months ended March 31, 2019 and 2018, respectively, as the effect of their inclusion would be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Capital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Repurchase Program</w:t>
      </w:r>
    </w:p>
    <w:p>
      <w:pPr>
        <w:spacing w:after="0" w:line="170" w:lineRule="exact"/>
        <w:rPr>
          <w:sz w:val="20"/>
          <w:szCs w:val="20"/>
          <w:color w:val="auto"/>
        </w:rPr>
      </w:pPr>
    </w:p>
    <w:p>
      <w:pPr>
        <w:ind w:right="120" w:firstLine="245"/>
        <w:spacing w:after="0" w:line="349" w:lineRule="auto"/>
        <w:rPr>
          <w:sz w:val="20"/>
          <w:szCs w:val="20"/>
          <w:color w:val="auto"/>
        </w:rPr>
      </w:pPr>
      <w:r>
        <w:rPr>
          <w:rFonts w:ascii="Times New Roman" w:cs="Times New Roman" w:eastAsia="Times New Roman" w:hAnsi="Times New Roman"/>
          <w:sz w:val="12"/>
          <w:szCs w:val="12"/>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 As of March 31, 2019, we have not repurchased any shares under this program.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0" w:lineRule="exact"/>
        <w:rPr>
          <w:sz w:val="20"/>
          <w:szCs w:val="20"/>
          <w:color w:val="auto"/>
        </w:rPr>
      </w:pPr>
    </w:p>
    <w:p>
      <w:pPr>
        <w:ind w:right="58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our Board of Directors declared a cash dividend of $0.37 per common share. Such dividend is payable on May 9, 2019, to shareholders of record at the close of business on March 28, 2019. We have recorded $283 million of dividends payable in “Accrued expenses and other liabilities” on our condensed consolidated balance sheet as of March 31, 2019.</w:t>
      </w:r>
    </w:p>
    <w:p>
      <w:pPr>
        <w:spacing w:after="0" w:line="135" w:lineRule="exact"/>
        <w:rPr>
          <w:sz w:val="20"/>
          <w:szCs w:val="20"/>
          <w:color w:val="auto"/>
        </w:rPr>
      </w:pPr>
    </w:p>
    <w:p>
      <w:pPr>
        <w:ind w:right="60" w:firstLine="245"/>
        <w:spacing w:after="0" w:line="265" w:lineRule="auto"/>
        <w:rPr>
          <w:sz w:val="20"/>
          <w:szCs w:val="20"/>
          <w:color w:val="auto"/>
        </w:rPr>
      </w:pPr>
      <w:r>
        <w:rPr>
          <w:rFonts w:ascii="Times New Roman" w:cs="Times New Roman" w:eastAsia="Times New Roman" w:hAnsi="Times New Roman"/>
          <w:sz w:val="14"/>
          <w:szCs w:val="14"/>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60"/>
          </w:cols>
          <w:pgMar w:left="220" w:top="127" w:right="2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Commitments and Contingencies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70"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40"/>
          </w:cols>
          <w:pgMar w:left="220" w:top="127"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70" w:lineRule="exact"/>
        <w:rPr>
          <w:sz w:val="20"/>
          <w:szCs w:val="20"/>
          <w:color w:val="auto"/>
        </w:rPr>
      </w:pPr>
    </w:p>
    <w:p>
      <w:pPr>
        <w:ind w:right="140" w:firstLine="245"/>
        <w:spacing w:after="0" w:line="254" w:lineRule="auto"/>
        <w:rPr>
          <w:sz w:val="20"/>
          <w:szCs w:val="20"/>
          <w:color w:val="auto"/>
        </w:rPr>
      </w:pPr>
      <w:r>
        <w:rPr>
          <w:rFonts w:ascii="Times New Roman" w:cs="Times New Roman" w:eastAsia="Times New Roman" w:hAnsi="Times New Roman"/>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3"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Segments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Based on our organizational structure, we conduct our business through three reportable segments, as follows: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 Activision Publishing, Inc.</w:t>
      </w:r>
    </w:p>
    <w:p>
      <w:pPr>
        <w:spacing w:after="0" w:line="168" w:lineRule="exact"/>
        <w:rPr>
          <w:sz w:val="20"/>
          <w:szCs w:val="20"/>
          <w:color w:val="auto"/>
        </w:rPr>
      </w:pPr>
    </w:p>
    <w:p>
      <w:pPr>
        <w:ind w:right="60" w:firstLine="245"/>
        <w:spacing w:after="0" w:line="227" w:lineRule="auto"/>
        <w:rPr>
          <w:sz w:val="20"/>
          <w:szCs w:val="20"/>
          <w:color w:val="auto"/>
        </w:rPr>
      </w:pPr>
      <w:r>
        <w:rPr>
          <w:rFonts w:ascii="Times New Roman" w:cs="Times New Roman" w:eastAsia="Times New Roman" w:hAnsi="Times New Roman"/>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first-person shooter for the console and PC platforms.</w:t>
      </w:r>
    </w:p>
    <w:p>
      <w:pPr>
        <w:spacing w:after="0" w:line="165" w:lineRule="exact"/>
        <w:rPr>
          <w:sz w:val="20"/>
          <w:szCs w:val="20"/>
          <w:color w:val="auto"/>
        </w:rPr>
      </w:pPr>
    </w:p>
    <w:p>
      <w:pPr>
        <w:ind w:firstLine="245"/>
        <w:spacing w:after="0" w:line="269" w:lineRule="auto"/>
        <w:rPr>
          <w:sz w:val="20"/>
          <w:szCs w:val="20"/>
          <w:color w:val="auto"/>
        </w:rPr>
      </w:pPr>
      <w:r>
        <w:rPr>
          <w:rFonts w:ascii="Times New Roman" w:cs="Times New Roman" w:eastAsia="Times New Roman" w:hAnsi="Times New Roman"/>
          <w:sz w:val="14"/>
          <w:szCs w:val="14"/>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 Blizzard Entertainment, Inc.</w:t>
      </w:r>
    </w:p>
    <w:p>
      <w:pPr>
        <w:spacing w:after="0" w:line="168" w:lineRule="exact"/>
        <w:rPr>
          <w:sz w:val="20"/>
          <w:szCs w:val="20"/>
          <w:color w:val="auto"/>
        </w:rPr>
      </w:pPr>
    </w:p>
    <w:p>
      <w:pPr>
        <w:ind w:firstLine="245"/>
        <w:spacing w:after="0" w:line="216" w:lineRule="auto"/>
        <w:rPr>
          <w:sz w:val="20"/>
          <w:szCs w:val="20"/>
          <w:color w:val="auto"/>
        </w:rPr>
      </w:pPr>
      <w:r>
        <w:rPr>
          <w:rFonts w:ascii="Times New Roman" w:cs="Times New Roman" w:eastAsia="Times New Roman" w:hAnsi="Times New Roman"/>
          <w:sz w:val="14"/>
          <w:szCs w:val="14"/>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which facilitates digital distribution of Blizzard content and selected Activision content, online social connectivity, and the creation of user-generated content. Blizzard also includes the activities of the Overwatch League</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3" w:lineRule="exact"/>
        <w:rPr>
          <w:sz w:val="20"/>
          <w:szCs w:val="20"/>
          <w:color w:val="auto"/>
        </w:rPr>
      </w:pPr>
    </w:p>
    <w:p>
      <w:pPr>
        <w:ind w:right="20" w:firstLine="245"/>
        <w:spacing w:after="0" w:line="201" w:lineRule="auto"/>
        <w:rPr>
          <w:sz w:val="20"/>
          <w:szCs w:val="20"/>
          <w:color w:val="auto"/>
        </w:rPr>
      </w:pPr>
      <w:r>
        <w:rPr>
          <w:rFonts w:ascii="Times New Roman" w:cs="Times New Roman" w:eastAsia="Times New Roman" w:hAnsi="Times New Roman"/>
          <w:sz w:val="14"/>
          <w:szCs w:val="14"/>
          <w:color w:val="auto"/>
        </w:rPr>
        <w:t>Blizzard’s key product franchises include: World of Warcraft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subscription-based massive multi-player online role-playing game for the PC platform; StarCraft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real-time strategy franchise for the PC platform; Diablo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action role-playing franchise for the PC and console platforms; Hearthstone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an online collectible card franchise for the PC and mobile platforms; and Overwatch</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a team-based first-person shooter for the PC and console platforms.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(iii) King Digital Entertainment</w:t>
      </w:r>
    </w:p>
    <w:p>
      <w:pPr>
        <w:spacing w:after="0" w:line="168" w:lineRule="exact"/>
        <w:rPr>
          <w:sz w:val="20"/>
          <w:szCs w:val="20"/>
          <w:color w:val="auto"/>
        </w:rPr>
      </w:pPr>
    </w:p>
    <w:p>
      <w:pPr>
        <w:ind w:right="140" w:firstLine="245"/>
        <w:spacing w:after="0" w:line="254" w:lineRule="auto"/>
        <w:rPr>
          <w:sz w:val="20"/>
          <w:szCs w:val="20"/>
          <w:color w:val="auto"/>
        </w:rPr>
      </w:pPr>
      <w:r>
        <w:rPr>
          <w:rFonts w:ascii="Times New Roman" w:cs="Times New Roman" w:eastAsia="Times New Roman" w:hAnsi="Times New Roman"/>
          <w:sz w:val="14"/>
          <w:szCs w:val="14"/>
          <w:color w:val="auto"/>
        </w:rPr>
        <w:t>King Digital Entertainment (“King”) is a leading global developer and publisher of interactive entertainment content and services, particularly on the mobile platform, including for Google Inc.’s (“Google”) Android and Apple Inc.’s (“Apple”)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20"/>
          </w:cols>
          <w:pgMar w:left="220" w:top="127" w:right="2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40" w:firstLine="245"/>
        <w:spacing w:after="0" w:line="265" w:lineRule="auto"/>
        <w:rPr>
          <w:sz w:val="20"/>
          <w:szCs w:val="20"/>
          <w:color w:val="auto"/>
        </w:rPr>
      </w:pPr>
      <w:r>
        <w:rPr>
          <w:rFonts w:ascii="Times New Roman" w:cs="Times New Roman" w:eastAsia="Times New Roman" w:hAnsi="Times New Roman"/>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also engage in other businesses that do not represent reportable segments, including:</w:t>
      </w:r>
    </w:p>
    <w:p>
      <w:pPr>
        <w:spacing w:after="0" w:line="166" w:lineRule="exact"/>
        <w:rPr>
          <w:sz w:val="20"/>
          <w:szCs w:val="20"/>
          <w:color w:val="auto"/>
        </w:rPr>
      </w:pPr>
    </w:p>
    <w:p>
      <w:pPr>
        <w:ind w:left="740" w:hanging="247"/>
        <w:spacing w:after="0" w:line="265"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4"/>
          <w:szCs w:val="14"/>
          <w:i w:val="1"/>
          <w:iCs w:val="1"/>
          <w:color w:val="auto"/>
        </w:rPr>
        <w:t>Skylanders™ Academy</w:t>
      </w:r>
      <w:r>
        <w:rPr>
          <w:rFonts w:ascii="Times New Roman" w:cs="Times New Roman" w:eastAsia="Times New Roman" w:hAnsi="Times New Roman"/>
          <w:sz w:val="14"/>
          <w:szCs w:val="14"/>
          <w:color w:val="auto"/>
        </w:rPr>
        <w:t xml:space="preserve"> on Netflix; and</w:t>
      </w:r>
    </w:p>
    <w:p>
      <w:pPr>
        <w:spacing w:after="0" w:line="135" w:lineRule="exact"/>
        <w:rPr>
          <w:rFonts w:ascii="Times New Roman" w:cs="Times New Roman" w:eastAsia="Times New Roman" w:hAnsi="Times New Roman"/>
          <w:sz w:val="14"/>
          <w:szCs w:val="14"/>
          <w:color w:val="auto"/>
        </w:rPr>
      </w:pPr>
    </w:p>
    <w:p>
      <w:pPr>
        <w:ind w:left="740" w:hanging="247"/>
        <w:spacing w:after="0" w:line="265"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Results and Highlights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Results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months ended March 31, 2019:</w:t>
      </w:r>
    </w:p>
    <w:p>
      <w:pPr>
        <w:spacing w:after="0" w:line="166" w:lineRule="exact"/>
        <w:rPr>
          <w:sz w:val="20"/>
          <w:szCs w:val="20"/>
          <w:color w:val="auto"/>
        </w:rPr>
      </w:pPr>
    </w:p>
    <w:p>
      <w:pPr>
        <w:ind w:left="740" w:right="540" w:hanging="247"/>
        <w:spacing w:after="0" w:line="265"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revenues decreased 7% to $1.83 billion, and consolidated operating income decreased 4% to $570 million, as compared to consolidated net revenues of $1.97 billion and consolidated operating income of $595 million for the three months ended March 31, 2018;</w:t>
      </w:r>
    </w:p>
    <w:p>
      <w:pPr>
        <w:spacing w:after="0" w:line="135" w:lineRule="exact"/>
        <w:rPr>
          <w:rFonts w:ascii="Times New Roman" w:cs="Times New Roman" w:eastAsia="Times New Roman" w:hAnsi="Times New Roman"/>
          <w:sz w:val="14"/>
          <w:szCs w:val="14"/>
          <w:color w:val="auto"/>
        </w:rPr>
      </w:pPr>
    </w:p>
    <w:p>
      <w:pPr>
        <w:ind w:left="740" w:right="340" w:hanging="247"/>
        <w:spacing w:after="0" w:line="265"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digital online channels were $1.39 billion, or 76% of consolidated net revenues, as compared to $1.46 billion, or 74% of consolidated net revenues, for the three months ended March 31, 2018;</w:t>
      </w:r>
    </w:p>
    <w:p>
      <w:pPr>
        <w:spacing w:after="0" w:line="135"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 was 31.2%, which includes $57 million in restructuring and related costs, as compared to 30.3% for the three months ended March 31, 2018;</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flows from operating activities were $450 million, a decrease of 15%, as compared to $529 million for the three months ended March 31, 2018;</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11% to $447 million, as compared to $500 million for the three months ended March 31, 2018;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common share decreased 11% to $0.58, as compared to $0.65 for the three months ended March 31, 2018.</w:t>
      </w:r>
    </w:p>
    <w:p>
      <w:pPr>
        <w:spacing w:after="0" w:line="166" w:lineRule="exact"/>
        <w:rPr>
          <w:sz w:val="20"/>
          <w:szCs w:val="20"/>
          <w:color w:val="auto"/>
        </w:rPr>
      </w:pPr>
    </w:p>
    <w:p>
      <w:pPr>
        <w:ind w:right="100" w:firstLine="245"/>
        <w:spacing w:after="0" w:line="254" w:lineRule="auto"/>
        <w:rPr>
          <w:sz w:val="20"/>
          <w:szCs w:val="20"/>
          <w:color w:val="auto"/>
        </w:rPr>
      </w:pPr>
      <w:r>
        <w:rPr>
          <w:rFonts w:ascii="Times New Roman" w:cs="Times New Roman" w:eastAsia="Times New Roman" w:hAnsi="Times New Roman"/>
          <w:sz w:val="14"/>
          <w:szCs w:val="14"/>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March 31, 2019, include a net effect of $567 million and $441 million, respectively, from the recognition of deferred net revenues and related cost of revenues.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Content Release and Event Highlights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During the three months ended March 31, 2019, Activision released </w:t>
      </w:r>
      <w:r>
        <w:rPr>
          <w:rFonts w:ascii="Times New Roman" w:cs="Times New Roman" w:eastAsia="Times New Roman" w:hAnsi="Times New Roman"/>
          <w:sz w:val="13"/>
          <w:szCs w:val="13"/>
          <w:i w:val="1"/>
          <w:iCs w:val="1"/>
          <w:color w:val="auto"/>
        </w:rPr>
        <w:t>Sekiro</w:t>
      </w:r>
      <w:r>
        <w:rPr>
          <w:rFonts w:ascii="Times New Roman" w:cs="Times New Roman" w:eastAsia="Times New Roman" w:hAnsi="Times New Roman"/>
          <w:sz w:val="18"/>
          <w:szCs w:val="18"/>
          <w:i w:val="1"/>
          <w:iCs w:val="1"/>
          <w:color w:val="auto"/>
          <w:vertAlign w:val="superscript"/>
        </w:rPr>
        <w:t>TM</w:t>
      </w:r>
      <w:r>
        <w:rPr>
          <w:rFonts w:ascii="Times New Roman" w:cs="Times New Roman" w:eastAsia="Times New Roman" w:hAnsi="Times New Roman"/>
          <w:sz w:val="13"/>
          <w:szCs w:val="13"/>
          <w:i w:val="1"/>
          <w:iCs w:val="1"/>
          <w:color w:val="auto"/>
        </w:rPr>
        <w:t>: Shadows Die Twice</w:t>
      </w:r>
      <w:r>
        <w:rPr>
          <w:rFonts w:ascii="Times New Roman" w:cs="Times New Roman" w:eastAsia="Times New Roman" w:hAnsi="Times New Roman"/>
          <w:sz w:val="13"/>
          <w:szCs w:val="13"/>
          <w:color w:val="auto"/>
        </w:rPr>
        <w:t>, a new intellectual property developed in collaboration with FromSoftware, a third-party game developer.</w:t>
      </w:r>
    </w:p>
    <w:p>
      <w:pPr>
        <w:spacing w:after="0"/>
        <w:rPr>
          <w:sz w:val="20"/>
          <w:szCs w:val="20"/>
          <w:color w:val="auto"/>
        </w:rPr>
      </w:pPr>
      <w:r>
        <w:rPr>
          <w:rFonts w:ascii="Times New Roman" w:cs="Times New Roman" w:eastAsia="Times New Roman" w:hAnsi="Times New Roman"/>
          <w:sz w:val="14"/>
          <w:szCs w:val="14"/>
          <w:color w:val="auto"/>
        </w:rPr>
        <w:t>Additionally, Blizzard commenced the second season of the Overwatch League, which included eight new teams now competing in the league, bringing the total to 20 teams.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20"/>
          </w:cols>
          <w:pgMar w:left="220" w:top="127" w:right="2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Metrics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operating metrics are key performance indicators that we use to evaluate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Bookings</w:t>
      </w:r>
    </w:p>
    <w:p>
      <w:pPr>
        <w:spacing w:after="0" w:line="168" w:lineRule="exact"/>
        <w:rPr>
          <w:sz w:val="20"/>
          <w:szCs w:val="20"/>
          <w:color w:val="auto"/>
        </w:rPr>
      </w:pPr>
    </w:p>
    <w:p>
      <w:pPr>
        <w:ind w:right="120" w:firstLine="245"/>
        <w:spacing w:after="0" w:line="265" w:lineRule="auto"/>
        <w:rPr>
          <w:sz w:val="20"/>
          <w:szCs w:val="20"/>
          <w:color w:val="auto"/>
        </w:rPr>
      </w:pPr>
      <w:r>
        <w:rPr>
          <w:rFonts w:ascii="Times New Roman" w:cs="Times New Roman" w:eastAsia="Times New Roman" w:hAnsi="Times New Roman"/>
          <w:sz w:val="14"/>
          <w:szCs w:val="14"/>
          <w:color w:val="auto"/>
        </w:rPr>
        <w:t>We monitor net bookings as a key operating metric in evaluating the performance of our business.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bookings was as follows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60" w:type="dxa"/>
            <w:vAlign w:val="bottom"/>
          </w:tcPr>
          <w:p>
            <w:pPr>
              <w:spacing w:after="0"/>
              <w:rPr>
                <w:sz w:val="15"/>
                <w:szCs w:val="15"/>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300" w:type="dxa"/>
            <w:vAlign w:val="bottom"/>
          </w:tcPr>
          <w:p>
            <w:pPr>
              <w:spacing w:after="0"/>
              <w:rPr>
                <w:sz w:val="15"/>
                <w:szCs w:val="15"/>
                <w:color w:val="auto"/>
              </w:rPr>
            </w:pPr>
          </w:p>
        </w:tc>
        <w:tc>
          <w:tcPr>
            <w:tcW w:w="1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bookings</w:t>
            </w:r>
          </w:p>
        </w:tc>
        <w:tc>
          <w:tcPr>
            <w:tcW w:w="3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1,384</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bl>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bookings for the three months ended March 31, 2019, as compared to the three months ended March 31, 2018, was primarily due to:</w:t>
      </w:r>
    </w:p>
    <w:p>
      <w:pPr>
        <w:spacing w:after="0" w:line="164" w:lineRule="exact"/>
        <w:rPr>
          <w:sz w:val="20"/>
          <w:szCs w:val="20"/>
          <w:color w:val="auto"/>
        </w:rPr>
      </w:pPr>
    </w:p>
    <w:p>
      <w:pPr>
        <w:ind w:left="740" w:right="60" w:hanging="247"/>
        <w:spacing w:after="0" w:line="282" w:lineRule="auto"/>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net bookings from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primarily due to the prior year including net bookings associated with in-game content delivered to customers upon pre-purchase of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Battle for Azeroth</w:t>
      </w:r>
      <w:r>
        <w:rPr>
          <w:rFonts w:ascii="Times New Roman" w:cs="Times New Roman" w:eastAsia="Times New Roman" w:hAnsi="Times New Roman"/>
          <w:sz w:val="14"/>
          <w:szCs w:val="14"/>
          <w:i w:val="1"/>
          <w:iCs w:val="1"/>
          <w:color w:val="auto"/>
          <w:vertAlign w:val="superscript"/>
        </w:rPr>
        <w:t>TM</w:t>
      </w:r>
      <w:r>
        <w:rPr>
          <w:rFonts w:ascii="Times New Roman" w:cs="Times New Roman" w:eastAsia="Times New Roman" w:hAnsi="Times New Roman"/>
          <w:sz w:val="14"/>
          <w:szCs w:val="14"/>
          <w:color w:val="auto"/>
        </w:rPr>
        <w:t>, with no comparable net bookings in the current period; and</w:t>
      </w:r>
    </w:p>
    <w:p>
      <w:pPr>
        <w:spacing w:after="0" w:line="112"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net bookings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net bookings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Monthly Active Users</w:t>
      </w:r>
    </w:p>
    <w:p>
      <w:pPr>
        <w:spacing w:after="0" w:line="168" w:lineRule="exact"/>
        <w:rPr>
          <w:sz w:val="20"/>
          <w:szCs w:val="20"/>
          <w:color w:val="auto"/>
        </w:rPr>
      </w:pPr>
    </w:p>
    <w:p>
      <w:pPr>
        <w:ind w:right="140" w:firstLine="245"/>
        <w:spacing w:after="0" w:line="251" w:lineRule="auto"/>
        <w:rPr>
          <w:sz w:val="20"/>
          <w:szCs w:val="20"/>
          <w:color w:val="auto"/>
        </w:rPr>
      </w:pPr>
      <w:r>
        <w:rPr>
          <w:rFonts w:ascii="Times New Roman" w:cs="Times New Roman" w:eastAsia="Times New Roman" w:hAnsi="Times New Roman"/>
          <w:sz w:val="14"/>
          <w:szCs w:val="14"/>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45" w:lineRule="exact"/>
        <w:rPr>
          <w:sz w:val="20"/>
          <w:szCs w:val="20"/>
          <w:color w:val="auto"/>
        </w:rPr>
      </w:pPr>
    </w:p>
    <w:p>
      <w:pPr>
        <w:jc w:val="both"/>
        <w:ind w:right="120" w:firstLine="245"/>
        <w:spacing w:after="0" w:line="254" w:lineRule="auto"/>
        <w:rPr>
          <w:sz w:val="20"/>
          <w:szCs w:val="20"/>
          <w:color w:val="auto"/>
        </w:rPr>
      </w:pPr>
      <w:r>
        <w:rPr>
          <w:rFonts w:ascii="Times New Roman" w:cs="Times New Roman" w:eastAsia="Times New Roman" w:hAnsi="Times New Roman"/>
          <w:sz w:val="14"/>
          <w:szCs w:val="14"/>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60" w:type="dxa"/>
            <w:vAlign w:val="bottom"/>
          </w:tcPr>
          <w:p>
            <w:pPr>
              <w:spacing w:after="0"/>
              <w:rPr>
                <w:sz w:val="15"/>
                <w:szCs w:val="15"/>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4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1"/>
        </w:trPr>
        <w:tc>
          <w:tcPr>
            <w:tcW w:w="2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5"/>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Activision</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55</w:t>
            </w:r>
          </w:p>
        </w:tc>
      </w:tr>
      <w:tr>
        <w:trPr>
          <w:trHeight w:val="18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Blizzard</w:t>
            </w:r>
          </w:p>
        </w:tc>
        <w:tc>
          <w:tcPr>
            <w:tcW w:w="1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w:t>
            </w:r>
          </w:p>
        </w:tc>
      </w:tr>
      <w:tr>
        <w:trPr>
          <w:trHeight w:val="21"/>
        </w:trPr>
        <w:tc>
          <w:tcPr>
            <w:tcW w:w="2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5"/>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King</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290</w:t>
            </w:r>
          </w:p>
        </w:tc>
      </w:tr>
      <w:tr>
        <w:trPr>
          <w:trHeight w:val="189"/>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385</w:t>
            </w:r>
          </w:p>
        </w:tc>
      </w:tr>
      <w:tr>
        <w:trPr>
          <w:trHeight w:val="20"/>
        </w:trPr>
        <w:tc>
          <w:tcPr>
            <w:tcW w:w="2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23"/>
        </w:trPr>
        <w:tc>
          <w:tcPr>
            <w:tcW w:w="2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Average MAUs decreased by 11 million, or 3%, for the three months ended March 31, 2019, as compared to the three months ended December 31, 2018 primarily driven by a decrease in average MAUs for Activision. The decrease in Activision’s average MAUs is primarily due to (1) the Destiny franchise, as Destiny MAUs are no longer included in our average MAU metric since we sold our publishing rights in the Destiny franchise to Bungie in December 2018, and (2) decreases in the Call of Duty franchise. The decrease is partially offset by an increase in average MAUs for King, driven by the Candy Crush franchise.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Average MAUs decreased by 29 million, or 8%, for the three months ended March 31, 2019, as compared to the three months ended March 31, 2018. The year-over-year decrease in average MAUs is due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54" w:lineRule="exact"/>
        <w:rPr>
          <w:sz w:val="20"/>
          <w:szCs w:val="20"/>
          <w:color w:val="auto"/>
        </w:rPr>
      </w:pPr>
    </w:p>
    <w:p>
      <w:pPr>
        <w:ind w:left="740" w:hanging="24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across King’s various franchises, primarily from less engaged users leaving the network, partially offset by an increase in average MAUs for the Candy Crush franchise;</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average MAUs for Activision, primarily due to lower average MAUs from the Call of Duty franchise and the absence of Destiny MAUs in our operating metric;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average MAUs for Blizzard, primarily due to lower average MAUs for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King MAUs were also negatively impacted by a King network outage in the second quarter of 2018, resulting from changes made by a third-party partner which inadvertently impacted some users’ ability to play and spend money in King games.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Overview of Business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Interactive Entertainment and Mobile Gaming Growth</w:t>
      </w:r>
    </w:p>
    <w:p>
      <w:pPr>
        <w:spacing w:after="0" w:line="170"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Our business participates in the global interactive entertainment industry. Games have become an increasingly popular form of entertainment, and we estimate the total industry has grown, on average, 18% annually from 2015 to 2018. The industry continues to benefit from additional players entering the market as interactive entertainment becomes more commonplace across age groups and as more developing regions gain access to this form of entertainment.</w:t>
      </w:r>
    </w:p>
    <w:p>
      <w:pPr>
        <w:spacing w:after="0" w:line="143" w:lineRule="exact"/>
        <w:rPr>
          <w:sz w:val="20"/>
          <w:szCs w:val="20"/>
          <w:color w:val="auto"/>
        </w:rPr>
      </w:pPr>
    </w:p>
    <w:p>
      <w:pPr>
        <w:jc w:val="both"/>
        <w:ind w:right="80" w:firstLine="245"/>
        <w:spacing w:after="0" w:line="251" w:lineRule="auto"/>
        <w:rPr>
          <w:sz w:val="20"/>
          <w:szCs w:val="20"/>
          <w:color w:val="auto"/>
        </w:rPr>
      </w:pPr>
      <w:r>
        <w:rPr>
          <w:rFonts w:ascii="Times New Roman" w:cs="Times New Roman" w:eastAsia="Times New Roman" w:hAnsi="Times New Roman"/>
          <w:sz w:val="14"/>
          <w:szCs w:val="14"/>
          <w:color w:val="auto"/>
        </w:rPr>
        <w:t>The wide adoption of smart 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from, our franchises.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Opportunities to Expand Franchises Outside of Games</w:t>
      </w:r>
    </w:p>
    <w:p>
      <w:pPr>
        <w:spacing w:after="0" w:line="170" w:lineRule="exact"/>
        <w:rPr>
          <w:sz w:val="20"/>
          <w:szCs w:val="20"/>
          <w:color w:val="auto"/>
        </w:rPr>
      </w:pPr>
    </w:p>
    <w:p>
      <w:pPr>
        <w:jc w:val="both"/>
        <w:ind w:right="240" w:firstLine="245"/>
        <w:spacing w:after="0" w:line="254" w:lineRule="auto"/>
        <w:rPr>
          <w:sz w:val="20"/>
          <w:szCs w:val="20"/>
          <w:color w:val="auto"/>
        </w:rPr>
      </w:pPr>
      <w:r>
        <w:rPr>
          <w:rFonts w:ascii="Times New Roman" w:cs="Times New Roman" w:eastAsia="Times New Roman" w:hAnsi="Times New Roman"/>
          <w:sz w:val="14"/>
          <w:szCs w:val="14"/>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Our efforts to build these adjacent opportunities are still relatively nascent, but we view them as potentially significant sources of future revenues.</w:t>
      </w:r>
    </w:p>
    <w:p>
      <w:pPr>
        <w:spacing w:after="0" w:line="143" w:lineRule="exact"/>
        <w:rPr>
          <w:sz w:val="20"/>
          <w:szCs w:val="20"/>
          <w:color w:val="auto"/>
        </w:rPr>
      </w:pPr>
    </w:p>
    <w:p>
      <w:pPr>
        <w:ind w:right="60" w:firstLine="245"/>
        <w:spacing w:after="0" w:line="254" w:lineRule="auto"/>
        <w:rPr>
          <w:sz w:val="20"/>
          <w:szCs w:val="20"/>
          <w:color w:val="auto"/>
        </w:rPr>
      </w:pPr>
      <w:r>
        <w:rPr>
          <w:rFonts w:ascii="Times New Roman" w:cs="Times New Roman" w:eastAsia="Times New Roman" w:hAnsi="Times New Roman"/>
          <w:sz w:val="14"/>
          <w:szCs w:val="14"/>
          <w:color w:val="auto"/>
        </w:rPr>
        <w:t>For example, as part of our efforts to take advantage of esports opportunities, during 2017, we completed the sale of 12 teams for the Overwatch League, which concluded its inaugural season in July 2018. During 2018, we also completed the sale of eight additional teams for the Overwatch League, which are competing in the league’s second season that began in February 2019. Additionally, as recently announced, we have sold the first five teams for our professional Call of Duty city-based league.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Sales Among the Most Popular Franchises</w:t>
      </w:r>
    </w:p>
    <w:p>
      <w:pPr>
        <w:spacing w:after="0" w:line="170" w:lineRule="exact"/>
        <w:rPr>
          <w:sz w:val="20"/>
          <w:szCs w:val="20"/>
          <w:color w:val="auto"/>
        </w:rPr>
      </w:pPr>
    </w:p>
    <w:p>
      <w:pPr>
        <w:ind w:right="40" w:firstLine="245"/>
        <w:spacing w:after="0" w:line="251" w:lineRule="auto"/>
        <w:rPr>
          <w:sz w:val="20"/>
          <w:szCs w:val="20"/>
          <w:color w:val="auto"/>
        </w:rPr>
      </w:pPr>
      <w:r>
        <w:rPr>
          <w:rFonts w:ascii="Times New Roman" w:cs="Times New Roman" w:eastAsia="Times New Roman" w:hAnsi="Times New Roman"/>
          <w:sz w:val="14"/>
          <w:szCs w:val="14"/>
          <w:color w:val="auto"/>
        </w:rPr>
        <w:t>The concentration of retail revenues among key titles has continued as a trend in the overall interactive entertainment industry. According to The NPD Group, the top 10 titles accounted for 38% of the retail sales in the U.S. interactive entertainment industry in 2018. Similarly, a significant portion of our revenues historically has been derived from video games based on a few popular franchises, and these video games have been responsible for a disproportionately high percentage of our profits. For example, the Call of Duty, Candy Crush, and World of Warcraft franchises, collectively, accounted for 58% of our consolidated net revenues—and a significantly higher percentage of our operating income—for 2018.</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127"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0"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 xml:space="preserve">In addition to investing in, and developing sequels and content for, our top franchises, we are continually exploring additional ways to expand those franchises. Further, while there is no guarantee of success, we invest in new properties in an effort to develop future top franchises. For example, in 2014, we released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 xml:space="preserve">, and in 2016, we released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Additionally, to diversify our portfolio of key franchises and increase our presence on the mobile platform, in 2016, we acquired King.</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Overall, we do expect that a limited number of popular franchises will continue to produce a disproportionately high percentage of our, and the industry’s, revenues and profits in the near future.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our ability to maintain our top franchises and our ability to successfully compete against our competitors’ top franchises can significantly impact our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Revenue Business Models</w:t>
      </w:r>
    </w:p>
    <w:p>
      <w:pPr>
        <w:spacing w:after="0" w:line="170" w:lineRule="exact"/>
        <w:rPr>
          <w:sz w:val="20"/>
          <w:szCs w:val="20"/>
          <w:color w:val="auto"/>
        </w:rPr>
      </w:pPr>
    </w:p>
    <w:p>
      <w:pPr>
        <w:ind w:firstLine="245"/>
        <w:spacing w:after="0" w:line="317" w:lineRule="auto"/>
        <w:rPr>
          <w:sz w:val="20"/>
          <w:szCs w:val="20"/>
          <w:color w:val="auto"/>
        </w:rPr>
      </w:pPr>
      <w:r>
        <w:rPr>
          <w:rFonts w:ascii="Times New Roman" w:cs="Times New Roman" w:eastAsia="Times New Roman" w:hAnsi="Times New Roman"/>
          <w:sz w:val="12"/>
          <w:szCs w:val="12"/>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 than games developed primarily for the console or PC platforms.</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00"/>
          </w:cols>
          <w:pgMar w:left="220" w:top="127" w:right="27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p>
      <w:pPr>
        <w:spacing w:after="0" w:line="170"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20" w:type="dxa"/>
            <w:vAlign w:val="bottom"/>
          </w:tcPr>
          <w:p>
            <w:pPr>
              <w:spacing w:after="0"/>
              <w:rPr>
                <w:sz w:val="15"/>
                <w:szCs w:val="15"/>
                <w:color w:val="auto"/>
              </w:rPr>
            </w:pPr>
          </w:p>
        </w:tc>
      </w:tr>
      <w:tr>
        <w:trPr>
          <w:trHeight w:val="21"/>
        </w:trPr>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3"/>
        </w:trPr>
        <w:tc>
          <w:tcPr>
            <w:tcW w:w="5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5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83"/>
        </w:trPr>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 sales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656</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5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5"/>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licensing, and other revenues</w:t>
            </w:r>
          </w:p>
        </w:tc>
        <w:tc>
          <w:tcPr>
            <w:tcW w:w="5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1,169</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63</w:t>
            </w:r>
          </w:p>
        </w:tc>
      </w:tr>
      <w:tr>
        <w:trPr>
          <w:trHeight w:val="17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5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1,825</w:t>
            </w:r>
          </w:p>
        </w:tc>
        <w:tc>
          <w:tcPr>
            <w:tcW w:w="12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6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5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5"/>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183"/>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152</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23</w:t>
            </w: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5"/>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 licenses</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111</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5"/>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239</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5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 licenses</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61</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5"/>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development</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249</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207</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13</w:t>
            </w:r>
          </w:p>
        </w:tc>
      </w:tr>
      <w:tr>
        <w:trPr>
          <w:trHeight w:val="21"/>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5"/>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179</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w:t>
            </w:r>
          </w:p>
        </w:tc>
      </w:tr>
      <w:tr>
        <w:trPr>
          <w:trHeight w:val="183"/>
        </w:trPr>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related costs</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1,255</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70</w:t>
            </w:r>
          </w:p>
        </w:tc>
      </w:tr>
      <w:tr>
        <w:trPr>
          <w:trHeight w:val="164"/>
        </w:trPr>
        <w:tc>
          <w:tcPr>
            <w:tcW w:w="53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18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570</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w:t>
            </w:r>
          </w:p>
        </w:tc>
      </w:tr>
      <w:tr>
        <w:trPr>
          <w:trHeight w:val="18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(income), net</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5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567</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580" w:type="dxa"/>
            <w:vAlign w:val="bottom"/>
          </w:tcPr>
          <w:p>
            <w:pPr>
              <w:spacing w:after="0"/>
              <w:rPr>
                <w:sz w:val="15"/>
                <w:szCs w:val="15"/>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120</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w:t>
            </w: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9"/>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447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Revenues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our consolidated net revenues and the increase (decrease) in deferred net revenues recognized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20" w:type="dxa"/>
            <w:vAlign w:val="bottom"/>
          </w:tcPr>
          <w:p>
            <w:pPr>
              <w:spacing w:after="0"/>
              <w:rPr>
                <w:sz w:val="15"/>
                <w:szCs w:val="15"/>
                <w:color w:val="auto"/>
              </w:rPr>
            </w:pPr>
          </w:p>
        </w:tc>
      </w:tr>
      <w:tr>
        <w:trPr>
          <w:trHeight w:val="21"/>
        </w:trPr>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4540" w:type="dxa"/>
            <w:vAlign w:val="bottom"/>
          </w:tcPr>
          <w:p>
            <w:pPr>
              <w:spacing w:after="0"/>
              <w:rPr>
                <w:sz w:val="15"/>
                <w:szCs w:val="15"/>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5"/>
                <w:szCs w:val="15"/>
                <w:color w:val="auto"/>
              </w:rPr>
            </w:pPr>
          </w:p>
        </w:tc>
        <w:tc>
          <w:tcPr>
            <w:tcW w:w="15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23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1,825</w:t>
            </w:r>
          </w:p>
        </w:tc>
        <w:tc>
          <w:tcPr>
            <w:tcW w:w="900" w:type="dxa"/>
            <w:vAlign w:val="bottom"/>
            <w:tcBorders>
              <w:bottom w:val="single" w:sz="8" w:color="CCEEFF"/>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1,965</w:t>
            </w:r>
          </w:p>
        </w:tc>
        <w:tc>
          <w:tcPr>
            <w:tcW w:w="58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(140)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effect from recognition (deferral) of deferred net revenues</w:t>
            </w:r>
          </w:p>
        </w:tc>
        <w:tc>
          <w:tcPr>
            <w:tcW w:w="1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567</w:t>
            </w:r>
          </w:p>
        </w:tc>
        <w:tc>
          <w:tcPr>
            <w:tcW w:w="9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581</w:t>
            </w:r>
          </w:p>
        </w:tc>
        <w:tc>
          <w:tcPr>
            <w:tcW w:w="58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(14)</w:t>
            </w:r>
          </w:p>
        </w:tc>
        <w:tc>
          <w:tcPr>
            <w:tcW w:w="1220" w:type="dxa"/>
            <w:vAlign w:val="bottom"/>
          </w:tcPr>
          <w:p>
            <w:pPr>
              <w:spacing w:after="0"/>
              <w:rPr>
                <w:sz w:val="15"/>
                <w:szCs w:val="15"/>
                <w:color w:val="auto"/>
              </w:rPr>
            </w:pPr>
          </w:p>
        </w:tc>
      </w:tr>
      <w:tr>
        <w:trPr>
          <w:trHeight w:val="368"/>
        </w:trPr>
        <w:tc>
          <w:tcPr>
            <w:tcW w:w="4540" w:type="dxa"/>
            <w:vAlign w:val="bottom"/>
          </w:tcPr>
          <w:p>
            <w:pPr>
              <w:spacing w:after="0"/>
              <w:rPr>
                <w:sz w:val="24"/>
                <w:szCs w:val="24"/>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37</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Net Revenues</w:t>
      </w:r>
    </w:p>
    <w:p>
      <w:pPr>
        <w:spacing w:after="0" w:line="170"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 xml:space="preserve">The decrease in consolidated net revenues for the three months ended March 31, 2019, as compared to the three months ended March 31, 2018, was primarily due to a decrease of $109 million in revenues recognized from Activision, primarily due to lower revenues recognized from the Destiny franchise, the publishing rights to which we sold to Bungie in December 2018, as previously disclosed. The decrease in revenues recognized from the Destiny franchise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Deferred Revenues Recognized</w:t>
      </w:r>
    </w:p>
    <w:p>
      <w:pPr>
        <w:spacing w:after="0" w:line="170" w:lineRule="exact"/>
        <w:rPr>
          <w:sz w:val="20"/>
          <w:szCs w:val="20"/>
          <w:color w:val="auto"/>
        </w:rPr>
      </w:pPr>
    </w:p>
    <w:p>
      <w:pPr>
        <w:jc w:val="both"/>
        <w:ind w:right="20" w:firstLine="245"/>
        <w:spacing w:after="0" w:line="254" w:lineRule="auto"/>
        <w:rPr>
          <w:sz w:val="20"/>
          <w:szCs w:val="20"/>
          <w:color w:val="auto"/>
        </w:rPr>
      </w:pPr>
      <w:r>
        <w:rPr>
          <w:rFonts w:ascii="Times New Roman" w:cs="Times New Roman" w:eastAsia="Times New Roman" w:hAnsi="Times New Roman"/>
          <w:sz w:val="14"/>
          <w:szCs w:val="14"/>
          <w:color w:val="auto"/>
        </w:rPr>
        <w:t xml:space="preserve">The decrease in net deferred revenues recognized for the three months ended March 31, 2019, as compared to the three months ended March 31, 2018, was primarily due to a decrease of $114 million in net deferred revenues recognized from Activision, primarily due to lower net deferred revenues recognized from the Destiny franchise, partially offset by higher net deferred revenues recognized from </w:t>
      </w:r>
      <w:r>
        <w:rPr>
          <w:rFonts w:ascii="Times New Roman" w:cs="Times New Roman" w:eastAsia="Times New Roman" w:hAnsi="Times New Roman"/>
          <w:sz w:val="14"/>
          <w:szCs w:val="14"/>
          <w:i w:val="1"/>
          <w:iCs w:val="1"/>
          <w:color w:val="auto"/>
        </w:rPr>
        <w:t>Call of Duty: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Black Ops 4</w:t>
      </w:r>
      <w:r>
        <w:rPr>
          <w:rFonts w:ascii="Times New Roman" w:cs="Times New Roman" w:eastAsia="Times New Roman" w:hAnsi="Times New Roman"/>
          <w:sz w:val="14"/>
          <w:szCs w:val="14"/>
          <w:color w:val="auto"/>
        </w:rPr>
        <w:t>, which was released in October 2018, as compared to</w:t>
      </w:r>
      <w:r>
        <w:rPr>
          <w:rFonts w:ascii="Times New Roman" w:cs="Times New Roman" w:eastAsia="Times New Roman" w:hAnsi="Times New Roman"/>
          <w:sz w:val="14"/>
          <w:szCs w:val="14"/>
          <w:i w:val="1"/>
          <w:iCs w:val="1"/>
          <w:color w:val="auto"/>
        </w:rPr>
        <w:t xml:space="preserve"> Call of Duty: WWII</w:t>
      </w:r>
      <w:r>
        <w:rPr>
          <w:rFonts w:ascii="Times New Roman" w:cs="Times New Roman" w:eastAsia="Times New Roman" w:hAnsi="Times New Roman"/>
          <w:sz w:val="14"/>
          <w:szCs w:val="14"/>
          <w:color w:val="auto"/>
        </w:rPr>
        <w:t>, which was released in November 2017.</w:t>
      </w:r>
    </w:p>
    <w:p>
      <w:pPr>
        <w:spacing w:after="0" w:line="141" w:lineRule="exact"/>
        <w:rPr>
          <w:sz w:val="20"/>
          <w:szCs w:val="20"/>
          <w:color w:val="auto"/>
        </w:rPr>
      </w:pPr>
    </w:p>
    <w:p>
      <w:pPr>
        <w:ind w:right="260" w:firstLine="245"/>
        <w:spacing w:after="0" w:line="268" w:lineRule="auto"/>
        <w:rPr>
          <w:sz w:val="20"/>
          <w:szCs w:val="20"/>
          <w:color w:val="auto"/>
        </w:rPr>
      </w:pPr>
      <w:r>
        <w:rPr>
          <w:rFonts w:ascii="Times New Roman" w:cs="Times New Roman" w:eastAsia="Times New Roman" w:hAnsi="Times New Roman"/>
          <w:sz w:val="14"/>
          <w:szCs w:val="14"/>
          <w:color w:val="auto"/>
        </w:rPr>
        <w:t xml:space="preserve">The decrease from Activision was partially offset by an increase of $89 million in net deferred revenues recognized from Blizzard, due to higher net deferred revenues recognized for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driven by </w:t>
      </w:r>
      <w:r>
        <w:rPr>
          <w:rFonts w:ascii="Times New Roman" w:cs="Times New Roman" w:eastAsia="Times New Roman" w:hAnsi="Times New Roman"/>
          <w:sz w:val="14"/>
          <w:szCs w:val="14"/>
          <w:i w:val="1"/>
          <w:iCs w:val="1"/>
          <w:color w:val="auto"/>
        </w:rPr>
        <w:t>World of Warcraft: Battle for Azeroth</w:t>
      </w:r>
      <w:r>
        <w:rPr>
          <w:rFonts w:ascii="Times New Roman" w:cs="Times New Roman" w:eastAsia="Times New Roman" w:hAnsi="Times New Roman"/>
          <w:sz w:val="14"/>
          <w:szCs w:val="14"/>
          <w:color w:val="auto"/>
        </w:rPr>
        <w:t>, which was released in August 2018, with no comparable release in 2017.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Impact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Changes in foreign exchange rates had a negative impact of $66 million on our consolidated net revenues for the three months ended March 31, 2019, as compared to the same period in the previous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are primarily due to changes in the value of the U.S. dollar relative to the euro and the British pound.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Segment Results</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aggregate operating segments.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60"/>
          </w:cols>
          <w:pgMar w:left="220" w:top="127" w:right="21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Information on reportable segment net revenues and operating income for the three months ended March 31, 2019 and 2018, are presented below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March 31, 2019</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 Increase / (Decrease)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9"/>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King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317</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339</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529</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1,185</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15"/>
                <w:szCs w:val="15"/>
                <w:color w:val="auto"/>
              </w:rPr>
            </w:pPr>
          </w:p>
        </w:tc>
        <w:tc>
          <w:tcPr>
            <w:tcW w:w="600" w:type="dxa"/>
            <w:vAlign w:val="bottom"/>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w:t>
            </w:r>
          </w:p>
        </w:tc>
      </w:tr>
      <w:tr>
        <w:trPr>
          <w:trHeight w:val="217"/>
        </w:trPr>
        <w:tc>
          <w:tcPr>
            <w:tcW w:w="3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317</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344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529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1,190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62"/>
        </w:trPr>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73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306</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(67)</w:t>
            </w:r>
          </w:p>
        </w:tc>
        <w:tc>
          <w:tcPr>
            <w:tcW w:w="120" w:type="dxa"/>
            <w:vAlign w:val="bottom"/>
          </w:tcPr>
          <w:p>
            <w:pPr>
              <w:spacing w:after="0"/>
              <w:rPr>
                <w:sz w:val="15"/>
                <w:szCs w:val="15"/>
                <w:color w:val="auto"/>
              </w:rPr>
            </w:pPr>
          </w:p>
        </w:tc>
        <w:tc>
          <w:tcPr>
            <w:tcW w:w="600" w:type="dxa"/>
            <w:vAlign w:val="bottom"/>
          </w:tcPr>
          <w:p>
            <w:pPr>
              <w:jc w:val="right"/>
              <w:ind w:right="459"/>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02"/>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shd w:val="clear" w:color="auto" w:fill="CCEEFF"/>
          </w:tcPr>
          <w:p>
            <w:pPr>
              <w:spacing w:after="0"/>
              <w:rPr>
                <w:sz w:val="8"/>
                <w:szCs w:val="8"/>
                <w:color w:val="auto"/>
              </w:rPr>
            </w:pPr>
          </w:p>
        </w:tc>
        <w:tc>
          <w:tcPr>
            <w:tcW w:w="102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9"/>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March 31, 2018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5"/>
        </w:trPr>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Activision</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Blizzard</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King</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69"/>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Segment Net Revenues</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revenues from external customers</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312</w:t>
            </w: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479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534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1,325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79"/>
        </w:trPr>
        <w:tc>
          <w:tcPr>
            <w:tcW w:w="3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Intersegment net revenues (1)</w:t>
            </w:r>
          </w:p>
        </w:tc>
        <w:tc>
          <w:tcPr>
            <w:tcW w:w="18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77"/>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Segment net revenues</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312</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480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Segment operating income</w:t>
            </w: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92</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191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5"/>
        </w:trPr>
        <w:tc>
          <w:tcPr>
            <w:tcW w:w="3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Intersegment revenues reflect licensing and service fees charged between segments.</w:t>
      </w:r>
    </w:p>
    <w:p>
      <w:pPr>
        <w:spacing w:after="0" w:line="166" w:lineRule="exact"/>
        <w:rPr>
          <w:sz w:val="20"/>
          <w:szCs w:val="20"/>
          <w:color w:val="auto"/>
        </w:r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3380" w:type="dxa"/>
            <w:vAlign w:val="bottom"/>
            <w:gridSpan w:val="4"/>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620" w:type="dxa"/>
            <w:vAlign w:val="bottom"/>
          </w:tcPr>
          <w:p>
            <w:pPr>
              <w:spacing w:after="0"/>
              <w:rPr>
                <w:sz w:val="14"/>
                <w:szCs w:val="14"/>
                <w:color w:val="auto"/>
              </w:rPr>
            </w:pPr>
          </w:p>
        </w:tc>
      </w:tr>
      <w:tr>
        <w:trPr>
          <w:trHeight w:val="25"/>
        </w:trPr>
        <w:tc>
          <w:tcPr>
            <w:tcW w:w="74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9"/>
        </w:trPr>
        <w:tc>
          <w:tcPr>
            <w:tcW w:w="7460" w:type="dxa"/>
            <w:vAlign w:val="bottom"/>
          </w:tcPr>
          <w:p>
            <w:pPr>
              <w:spacing w:after="0"/>
              <w:rPr>
                <w:sz w:val="14"/>
                <w:szCs w:val="14"/>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2019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2018</w:t>
            </w:r>
          </w:p>
        </w:tc>
        <w:tc>
          <w:tcPr>
            <w:tcW w:w="620" w:type="dxa"/>
            <w:vAlign w:val="bottom"/>
          </w:tcPr>
          <w:p>
            <w:pPr>
              <w:spacing w:after="0"/>
              <w:rPr>
                <w:sz w:val="14"/>
                <w:szCs w:val="14"/>
                <w:color w:val="auto"/>
              </w:rPr>
            </w:pPr>
          </w:p>
        </w:tc>
      </w:tr>
      <w:tr>
        <w:trPr>
          <w:trHeight w:val="25"/>
        </w:trPr>
        <w:tc>
          <w:tcPr>
            <w:tcW w:w="7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to consolidated net revenues:</w:t>
            </w:r>
          </w:p>
        </w:tc>
        <w:tc>
          <w:tcPr>
            <w:tcW w:w="1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Segment net revenues</w:t>
            </w:r>
          </w:p>
        </w:tc>
        <w:tc>
          <w:tcPr>
            <w:tcW w:w="1320" w:type="dxa"/>
            <w:vAlign w:val="bottom"/>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1,190</w:t>
            </w:r>
          </w:p>
        </w:tc>
        <w:tc>
          <w:tcPr>
            <w:tcW w:w="100" w:type="dxa"/>
            <w:vAlign w:val="bottom"/>
          </w:tcPr>
          <w:p>
            <w:pPr>
              <w:spacing w:after="0"/>
              <w:rPr>
                <w:sz w:val="15"/>
                <w:szCs w:val="15"/>
                <w:color w:val="auto"/>
              </w:rPr>
            </w:pPr>
          </w:p>
        </w:tc>
        <w:tc>
          <w:tcPr>
            <w:tcW w:w="1320" w:type="dxa"/>
            <w:vAlign w:val="bottom"/>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1,326</w:t>
            </w:r>
          </w:p>
        </w:tc>
      </w:tr>
      <w:tr>
        <w:trPr>
          <w:trHeight w:val="25"/>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 from non-reportable segments (1)</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59</w:t>
            </w: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effect from recognition (deferral) of deferred net revenues</w:t>
            </w:r>
          </w:p>
        </w:tc>
        <w:tc>
          <w:tcPr>
            <w:tcW w:w="1320" w:type="dxa"/>
            <w:vAlign w:val="bottom"/>
          </w:tcPr>
          <w:p>
            <w:pPr>
              <w:spacing w:after="0"/>
              <w:rPr>
                <w:sz w:val="15"/>
                <w:szCs w:val="15"/>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567</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581</w:t>
            </w:r>
          </w:p>
        </w:tc>
      </w:tr>
      <w:tr>
        <w:trPr>
          <w:trHeight w:val="25"/>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intersegment revenues (2)</w:t>
            </w: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21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Consolidated net revenues</w:t>
            </w:r>
          </w:p>
        </w:tc>
        <w:tc>
          <w:tcPr>
            <w:tcW w:w="132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1,825</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1,965</w:t>
            </w:r>
          </w:p>
        </w:tc>
      </w:tr>
      <w:tr>
        <w:trPr>
          <w:trHeight w:val="81"/>
        </w:trPr>
        <w:tc>
          <w:tcPr>
            <w:tcW w:w="74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to consolidated income before income tax expense:</w:t>
            </w: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5"/>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Segment operating income</w:t>
            </w:r>
          </w:p>
        </w:tc>
        <w:tc>
          <w:tcPr>
            <w:tcW w:w="132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405</w:t>
            </w: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Operating income (loss) from non-reportable segments (1)</w:t>
            </w:r>
          </w:p>
        </w:tc>
        <w:tc>
          <w:tcPr>
            <w:tcW w:w="132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25"/>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effect from recognition (deferral) of deferred net revenues and related cost of revenues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441</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373</w:t>
            </w: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32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25"/>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Restructuring and related costs (3)</w:t>
            </w:r>
          </w:p>
        </w:tc>
        <w:tc>
          <w:tcPr>
            <w:tcW w:w="132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r>
      <w:tr>
        <w:trPr>
          <w:trHeight w:val="25"/>
        </w:trPr>
        <w:tc>
          <w:tcPr>
            <w:tcW w:w="7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Consolidated operating income</w:t>
            </w:r>
          </w:p>
        </w:tc>
        <w:tc>
          <w:tcPr>
            <w:tcW w:w="13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595</w:t>
            </w:r>
          </w:p>
        </w:tc>
      </w:tr>
      <w:tr>
        <w:trPr>
          <w:trHeight w:val="179"/>
        </w:trPr>
        <w:tc>
          <w:tcPr>
            <w:tcW w:w="7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and other expense (income), net</w:t>
            </w:r>
          </w:p>
        </w:tc>
        <w:tc>
          <w:tcPr>
            <w:tcW w:w="1320" w:type="dxa"/>
            <w:vAlign w:val="bottom"/>
          </w:tcPr>
          <w:p>
            <w:pPr>
              <w:spacing w:after="0"/>
              <w:rPr>
                <w:sz w:val="15"/>
                <w:szCs w:val="15"/>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28</w:t>
            </w:r>
          </w:p>
        </w:tc>
      </w:tr>
      <w:tr>
        <w:trPr>
          <w:trHeight w:val="25"/>
        </w:trPr>
        <w:tc>
          <w:tcPr>
            <w:tcW w:w="7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Consolidated income before income tax expense</w:t>
            </w:r>
          </w:p>
        </w:tc>
        <w:tc>
          <w:tcPr>
            <w:tcW w:w="132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567</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567</w:t>
            </w:r>
          </w:p>
        </w:tc>
      </w:tr>
      <w:tr>
        <w:trPr>
          <w:trHeight w:val="20"/>
        </w:trPr>
        <w:tc>
          <w:tcPr>
            <w:tcW w:w="7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right="100" w:hanging="238"/>
        <w:spacing w:after="0" w:line="265" w:lineRule="auto"/>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7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reflect licensing and service fees charged between segments.</w:t>
      </w:r>
    </w:p>
    <w:p>
      <w:pPr>
        <w:spacing w:after="0" w:line="20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restructuring initiatives, primarily severance and other restructuring-related costs.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60"/>
          </w:cols>
          <w:pgMar w:left="220" w:top="127" w:right="2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Net 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Activision</w:t>
      </w:r>
    </w:p>
    <w:p>
      <w:pPr>
        <w:spacing w:after="0" w:line="166" w:lineRule="exact"/>
        <w:rPr>
          <w:sz w:val="20"/>
          <w:szCs w:val="20"/>
          <w:color w:val="auto"/>
        </w:rPr>
      </w:pPr>
    </w:p>
    <w:p>
      <w:pPr>
        <w:ind w:right="20" w:firstLine="245"/>
        <w:spacing w:after="0" w:line="268" w:lineRule="auto"/>
        <w:rPr>
          <w:sz w:val="20"/>
          <w:szCs w:val="20"/>
          <w:color w:val="auto"/>
        </w:rPr>
      </w:pPr>
      <w:r>
        <w:rPr>
          <w:rFonts w:ascii="Times New Roman" w:cs="Times New Roman" w:eastAsia="Times New Roman" w:hAnsi="Times New Roman"/>
          <w:sz w:val="14"/>
          <w:szCs w:val="14"/>
          <w:color w:val="auto"/>
        </w:rPr>
        <w:t xml:space="preserve">Activision’s net revenues for the three months ended March 31, 2019, were roughly equal to net revenues for the three months ended March 31, 2018, reflecting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 which were offset by:</w:t>
      </w:r>
    </w:p>
    <w:p>
      <w:pPr>
        <w:spacing w:after="0" w:line="131" w:lineRule="exact"/>
        <w:rPr>
          <w:sz w:val="20"/>
          <w:szCs w:val="20"/>
          <w:color w:val="auto"/>
        </w:rPr>
      </w:pPr>
    </w:p>
    <w:p>
      <w:pPr>
        <w:ind w:left="740" w:hanging="247"/>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and</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from Call of Duty franchise catalog titles.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Blizzard</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Blizzard’s net revenues for the three months ended March 31, 2019, as compared to the three months ended March 31, 2018, was primarily due to:</w:t>
      </w:r>
    </w:p>
    <w:p>
      <w:pPr>
        <w:spacing w:after="0" w:line="164" w:lineRule="exact"/>
        <w:rPr>
          <w:sz w:val="20"/>
          <w:szCs w:val="20"/>
          <w:color w:val="auto"/>
        </w:rPr>
      </w:pPr>
    </w:p>
    <w:p>
      <w:pPr>
        <w:ind w:left="740" w:right="60" w:hanging="247"/>
        <w:spacing w:after="0" w:line="268" w:lineRule="auto"/>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World of Warcraft</w:t>
      </w:r>
      <w:r>
        <w:rPr>
          <w:rFonts w:ascii="Times New Roman" w:cs="Times New Roman" w:eastAsia="Times New Roman" w:hAnsi="Times New Roman"/>
          <w:sz w:val="14"/>
          <w:szCs w:val="14"/>
          <w:color w:val="auto"/>
        </w:rPr>
        <w:t xml:space="preserve">, primarily due to the prior year including revenues associated with in-game content delivered to customers upon pre-purchase of </w:t>
      </w:r>
      <w:r>
        <w:rPr>
          <w:rFonts w:ascii="Times New Roman" w:cs="Times New Roman" w:eastAsia="Times New Roman" w:hAnsi="Times New Roman"/>
          <w:sz w:val="14"/>
          <w:szCs w:val="14"/>
          <w:i w:val="1"/>
          <w:iCs w:val="1"/>
          <w:color w:val="auto"/>
        </w:rPr>
        <w:t>World of Warcraft: Battle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Azeroth</w:t>
      </w:r>
      <w:r>
        <w:rPr>
          <w:rFonts w:ascii="Times New Roman" w:cs="Times New Roman" w:eastAsia="Times New Roman" w:hAnsi="Times New Roman"/>
          <w:sz w:val="14"/>
          <w:szCs w:val="14"/>
          <w:color w:val="auto"/>
        </w:rPr>
        <w:t>, with no comparable revenues in the current period;</w:t>
      </w:r>
    </w:p>
    <w:p>
      <w:pPr>
        <w:spacing w:after="0" w:line="131"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xml:space="preserve"> primarily driven by lower in-game purchases;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from </w:t>
      </w:r>
      <w:r>
        <w:rPr>
          <w:rFonts w:ascii="Times New Roman" w:cs="Times New Roman" w:eastAsia="Times New Roman" w:hAnsi="Times New Roman"/>
          <w:sz w:val="14"/>
          <w:szCs w:val="14"/>
          <w:i w:val="1"/>
          <w:iCs w:val="1"/>
          <w:color w:val="auto"/>
        </w:rPr>
        <w:t>Hearthstone</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King</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King’s net revenues for the three months ended March 31, 2019, were roughly equal to net revenues for the three months ended March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Income from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Activision</w:t>
      </w:r>
    </w:p>
    <w:p>
      <w:pPr>
        <w:spacing w:after="0" w:line="168"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The decrease in Activision’s operating income for the three months ended March 31, 2019, as compared to the three months ended March 31, 2018, despite revenues being comparable, as discussed above, was primarily due to:</w:t>
      </w:r>
    </w:p>
    <w:p>
      <w:pPr>
        <w:spacing w:after="0" w:line="133" w:lineRule="exact"/>
        <w:rPr>
          <w:sz w:val="20"/>
          <w:szCs w:val="20"/>
          <w:color w:val="auto"/>
        </w:rPr>
      </w:pPr>
    </w:p>
    <w:p>
      <w:pPr>
        <w:ind w:left="740" w:hanging="24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higher cost of revenues, primarily driven by the March 2019 release of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with no comparable release in 2018; and</w:t>
      </w:r>
    </w:p>
    <w:p>
      <w:pPr>
        <w:spacing w:after="0" w:line="168"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bad debt provisions.</w:t>
      </w:r>
    </w:p>
    <w:p>
      <w:pPr>
        <w:spacing w:after="0" w:line="166" w:lineRule="exact"/>
        <w:rPr>
          <w:sz w:val="20"/>
          <w:szCs w:val="20"/>
          <w:color w:val="auto"/>
        </w:rPr>
      </w:pPr>
    </w:p>
    <w:p>
      <w:pPr>
        <w:ind w:right="900" w:firstLine="245"/>
        <w:spacing w:after="0" w:line="487" w:lineRule="auto"/>
        <w:rPr>
          <w:sz w:val="20"/>
          <w:szCs w:val="20"/>
          <w:color w:val="auto"/>
        </w:rPr>
      </w:pPr>
      <w:r>
        <w:rPr>
          <w:rFonts w:ascii="Times New Roman" w:cs="Times New Roman" w:eastAsia="Times New Roman" w:hAnsi="Times New Roman"/>
          <w:sz w:val="14"/>
          <w:szCs w:val="14"/>
          <w:color w:val="auto"/>
        </w:rPr>
        <w:t xml:space="preserve">The decrease is partially offset by lower operating costs associated with the Destiny franchise, the publishing rights to which we sold to Bungie in December 2018, as previously disclosed. </w:t>
      </w:r>
      <w:r>
        <w:rPr>
          <w:rFonts w:ascii="Times New Roman" w:cs="Times New Roman" w:eastAsia="Times New Roman" w:hAnsi="Times New Roman"/>
          <w:sz w:val="14"/>
          <w:szCs w:val="14"/>
          <w:i w:val="1"/>
          <w:iCs w:val="1"/>
          <w:color w:val="auto"/>
        </w:rPr>
        <w:t>Blizzard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decrease in Blizzard’s operating income for the three months ended March 31, 2019, as compared to the three months ended March 31, 2018, was primarily due to lower revenues, as discussed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is partially offset by:</w:t>
      </w:r>
    </w:p>
    <w:p>
      <w:pPr>
        <w:spacing w:after="0" w:line="154" w:lineRule="exact"/>
        <w:rPr>
          <w:sz w:val="20"/>
          <w:szCs w:val="20"/>
          <w:color w:val="auto"/>
        </w:rPr>
      </w:pPr>
    </w:p>
    <w:p>
      <w:pPr>
        <w:ind w:left="740" w:hanging="247"/>
        <w:spacing w:after="0"/>
        <w:tabs>
          <w:tab w:leader="none" w:pos="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sales and marketing spend, primarily driven by the Overwatch League;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personnel costs.</w:t>
      </w: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80"/>
          </w:cols>
          <w:pgMar w:left="220" w:top="127" w:right="29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King</w:t>
      </w:r>
    </w:p>
    <w:p>
      <w:pPr>
        <w:spacing w:after="0" w:line="168"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The decrease in King’s operating income for the three months ended March 31, 2019, as compared to the three months ended March 31, 2018, was primarily due to higher sales and marketing costs driven by the Candy Crush franchise.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Impact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Changes in foreign exchange rates had a negative impact of $42 million on reportable segment net revenues for the three months ended March 31, 2019, as compared to the same period in the previous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are primarily due to changes in the value of the U.S. dollar relative to the euro and the British pound.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Distribution Channel</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distribution channel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80" w:type="dxa"/>
            <w:vAlign w:val="bottom"/>
            <w:gridSpan w:val="6"/>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1380" w:type="dxa"/>
            <w:vAlign w:val="bottom"/>
          </w:tcPr>
          <w:p>
            <w:pPr>
              <w:spacing w:after="0"/>
              <w:rPr>
                <w:sz w:val="14"/>
                <w:szCs w:val="14"/>
                <w:color w:val="auto"/>
              </w:rPr>
            </w:pPr>
          </w:p>
        </w:tc>
      </w:tr>
      <w:tr>
        <w:trPr>
          <w:trHeight w:val="25"/>
        </w:trPr>
        <w:tc>
          <w:tcPr>
            <w:tcW w:w="6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6420" w:type="dxa"/>
            <w:vAlign w:val="bottom"/>
          </w:tcPr>
          <w:p>
            <w:pPr>
              <w:spacing w:after="0"/>
              <w:rPr>
                <w:sz w:val="14"/>
                <w:szCs w:val="14"/>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1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distribution channel:</w:t>
            </w:r>
          </w:p>
        </w:tc>
        <w:tc>
          <w:tcPr>
            <w:tcW w:w="10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Digital online channels (1)</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1"/>
        </w:trPr>
        <w:tc>
          <w:tcPr>
            <w:tcW w:w="6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Retail channels</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(2)</w:t>
            </w:r>
          </w:p>
        </w:tc>
        <w:tc>
          <w:tcPr>
            <w:tcW w:w="108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26</w:t>
            </w:r>
          </w:p>
        </w:tc>
      </w:tr>
      <w:tr>
        <w:trPr>
          <w:trHeight w:val="21"/>
        </w:trPr>
        <w:tc>
          <w:tcPr>
            <w:tcW w:w="6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6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hanging="238"/>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“Digital online channels” include revenues from digitally-distributed subscriptions, downloadable content, microtransactions, and products, as well as licensing royalties.</w:t>
      </w:r>
    </w:p>
    <w:p>
      <w:pPr>
        <w:spacing w:after="0" w:line="166"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Online Channel Net Revenues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digital online channels for the three months ended March 31, 2019, as compared to the three months ended March 31, 2018, was primarily due to:</w:t>
      </w:r>
    </w:p>
    <w:p>
      <w:pPr>
        <w:spacing w:after="0" w:line="166" w:lineRule="exact"/>
        <w:rPr>
          <w:sz w:val="20"/>
          <w:szCs w:val="20"/>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the publishing rights to which we sold to Bungie in December 2018, as previously disclosed;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Overwatch,</w:t>
      </w:r>
      <w:r>
        <w:rPr>
          <w:rFonts w:ascii="Times New Roman" w:cs="Times New Roman" w:eastAsia="Times New Roman" w:hAnsi="Times New Roman"/>
          <w:sz w:val="14"/>
          <w:szCs w:val="14"/>
          <w:color w:val="auto"/>
        </w:rPr>
        <w:t xml:space="preserve"> primarily driven by lower in-game purchases.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decrease was partially offset by:</w:t>
      </w:r>
    </w:p>
    <w:p>
      <w:pPr>
        <w:spacing w:after="0" w:line="164" w:lineRule="exact"/>
        <w:rPr>
          <w:sz w:val="20"/>
          <w:szCs w:val="20"/>
          <w:color w:val="auto"/>
        </w:rPr>
      </w:pPr>
    </w:p>
    <w:p>
      <w:pPr>
        <w:ind w:left="740" w:hanging="247"/>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higher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60"/>
          </w:cols>
          <w:pgMar w:left="220" w:top="127" w:right="2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Retail Channel Net Revenues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retail channels for the three months ended March 31, 2019, as compared to the three months ended March 31, 2018, was primarily due to:</w:t>
      </w:r>
    </w:p>
    <w:p>
      <w:pPr>
        <w:spacing w:after="0" w:line="166" w:lineRule="exact"/>
        <w:rPr>
          <w:sz w:val="20"/>
          <w:szCs w:val="20"/>
          <w:color w:val="auto"/>
        </w:rPr>
      </w:pPr>
    </w:p>
    <w:p>
      <w:pPr>
        <w:ind w:left="740" w:hanging="247"/>
        <w:spacing w:after="0"/>
        <w:tabs>
          <w:tab w:leader="none" w:pos="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and</w:t>
      </w:r>
    </w:p>
    <w:p>
      <w:pPr>
        <w:spacing w:after="0" w:line="164" w:lineRule="exact"/>
        <w:rPr>
          <w:rFonts w:ascii="Times New Roman" w:cs="Times New Roman" w:eastAsia="Times New Roman" w:hAnsi="Times New Roman"/>
          <w:sz w:val="14"/>
          <w:szCs w:val="14"/>
          <w:color w:val="auto"/>
        </w:rPr>
      </w:pPr>
    </w:p>
    <w:p>
      <w:pPr>
        <w:ind w:left="240" w:right="1240" w:firstLine="253"/>
        <w:spacing w:after="0" w:line="486" w:lineRule="auto"/>
        <w:tabs>
          <w:tab w:leader="none" w:pos="73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xml:space="preserve">, which was released in November 2017. The decrease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Geographic Region</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geographic region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80" w:type="dxa"/>
            <w:vAlign w:val="bottom"/>
            <w:gridSpan w:val="6"/>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1380" w:type="dxa"/>
            <w:vAlign w:val="bottom"/>
          </w:tcPr>
          <w:p>
            <w:pPr>
              <w:spacing w:after="0"/>
              <w:rPr>
                <w:sz w:val="14"/>
                <w:szCs w:val="14"/>
                <w:color w:val="auto"/>
              </w:rPr>
            </w:pPr>
          </w:p>
        </w:tc>
      </w:tr>
      <w:tr>
        <w:trPr>
          <w:trHeight w:val="25"/>
        </w:trPr>
        <w:tc>
          <w:tcPr>
            <w:tcW w:w="6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6420" w:type="dxa"/>
            <w:vAlign w:val="bottom"/>
          </w:tcPr>
          <w:p>
            <w:pPr>
              <w:spacing w:after="0"/>
              <w:rPr>
                <w:sz w:val="14"/>
                <w:szCs w:val="14"/>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1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geographic region:</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Americas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1,065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
        </w:trPr>
        <w:tc>
          <w:tcPr>
            <w:tcW w:w="6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EMEA (1)</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Asia Pacific</w:t>
            </w:r>
          </w:p>
        </w:tc>
        <w:tc>
          <w:tcPr>
            <w:tcW w:w="108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6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6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“EMEA” consists of the Europe, Middle East, and Africa geographic regions.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Americas</w:t>
      </w:r>
    </w:p>
    <w:p>
      <w:pPr>
        <w:spacing w:after="0" w:line="168" w:lineRule="exact"/>
        <w:rPr>
          <w:sz w:val="20"/>
          <w:szCs w:val="20"/>
          <w:color w:val="auto"/>
        </w:rPr>
      </w:pPr>
    </w:p>
    <w:p>
      <w:pPr>
        <w:jc w:val="both"/>
        <w:ind w:right="20" w:firstLine="245"/>
        <w:spacing w:after="0" w:line="265" w:lineRule="auto"/>
        <w:rPr>
          <w:sz w:val="20"/>
          <w:szCs w:val="20"/>
          <w:color w:val="auto"/>
        </w:rPr>
      </w:pPr>
      <w:r>
        <w:rPr>
          <w:rFonts w:ascii="Times New Roman" w:cs="Times New Roman" w:eastAsia="Times New Roman" w:hAnsi="Times New Roman"/>
          <w:sz w:val="14"/>
          <w:szCs w:val="14"/>
          <w:color w:val="auto"/>
        </w:rPr>
        <w:t>The decrease in net revenues from the Americas region for the three months ended March 31, 2019, as compared to the three months ended March 31, 2018, was primarily due to lower revenues recognized from the Destiny franchise, the publishing rights to which we sold to Bungie in December 2018, as previously disclosed. The decrease was partially offset by:</w:t>
      </w:r>
    </w:p>
    <w:p>
      <w:pPr>
        <w:spacing w:after="0" w:line="133" w:lineRule="exact"/>
        <w:rPr>
          <w:sz w:val="20"/>
          <w:szCs w:val="20"/>
          <w:color w:val="auto"/>
        </w:rPr>
      </w:pPr>
    </w:p>
    <w:p>
      <w:pPr>
        <w:ind w:left="740" w:hanging="247"/>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higher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EMEA</w:t>
      </w:r>
    </w:p>
    <w:p>
      <w:pPr>
        <w:spacing w:after="0" w:line="168" w:lineRule="exact"/>
        <w:rPr>
          <w:sz w:val="20"/>
          <w:szCs w:val="20"/>
          <w:color w:val="auto"/>
        </w:rPr>
      </w:pPr>
    </w:p>
    <w:p>
      <w:pPr>
        <w:ind w:right="160" w:firstLine="245"/>
        <w:spacing w:after="0" w:line="265" w:lineRule="auto"/>
        <w:rPr>
          <w:sz w:val="20"/>
          <w:szCs w:val="20"/>
          <w:color w:val="auto"/>
        </w:rPr>
      </w:pPr>
      <w:r>
        <w:rPr>
          <w:rFonts w:ascii="Times New Roman" w:cs="Times New Roman" w:eastAsia="Times New Roman" w:hAnsi="Times New Roman"/>
          <w:sz w:val="14"/>
          <w:szCs w:val="14"/>
          <w:color w:val="auto"/>
        </w:rPr>
        <w:t xml:space="preserve">The decrease in net revenues from the EMEA region for the three months ended March 31, 2019, as compared to the three months ended March 31, 2018, was primarily due to lower revenues recognized from the Destiny franchise. The decrease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Asia Pacific</w:t>
      </w:r>
    </w:p>
    <w:p>
      <w:pPr>
        <w:spacing w:after="0" w:line="168"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 xml:space="preserve">The increase in net revenues from the Asia Pacific region for the three months ended March 31, 2019, as compared to the three months ended March 31, 2018, was primarily due to higher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partially offset by lower revenues recognized from the Destiny franchise.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60"/>
          </w:cols>
          <w:pgMar w:left="220" w:top="127" w:right="21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 by Platform</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our consolidated net revenues by platform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80" w:type="dxa"/>
            <w:vAlign w:val="bottom"/>
            <w:gridSpan w:val="6"/>
          </w:tcPr>
          <w:p>
            <w:pPr>
              <w:jc w:val="right"/>
              <w:ind w:right="12"/>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1380" w:type="dxa"/>
            <w:vAlign w:val="bottom"/>
          </w:tcPr>
          <w:p>
            <w:pPr>
              <w:spacing w:after="0"/>
              <w:rPr>
                <w:sz w:val="14"/>
                <w:szCs w:val="14"/>
                <w:color w:val="auto"/>
              </w:rPr>
            </w:pPr>
          </w:p>
        </w:tc>
      </w:tr>
      <w:tr>
        <w:trPr>
          <w:trHeight w:val="25"/>
        </w:trPr>
        <w:tc>
          <w:tcPr>
            <w:tcW w:w="6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6420" w:type="dxa"/>
            <w:vAlign w:val="bottom"/>
          </w:tcPr>
          <w:p>
            <w:pPr>
              <w:spacing w:after="0"/>
              <w:rPr>
                <w:sz w:val="14"/>
                <w:szCs w:val="14"/>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13"/>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6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revenues by platform:</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Console</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5"/>
                <w:szCs w:val="15"/>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
        </w:trPr>
        <w:tc>
          <w:tcPr>
            <w:tcW w:w="6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PC</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3"/>
        </w:trPr>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Mobile and ancillary (1)</w:t>
            </w:r>
          </w:p>
        </w:tc>
        <w:tc>
          <w:tcPr>
            <w:tcW w:w="108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6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5"/>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(2)</w:t>
            </w:r>
          </w:p>
        </w:tc>
        <w:tc>
          <w:tcPr>
            <w:tcW w:w="10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w:t>
            </w:r>
          </w:p>
        </w:tc>
      </w:tr>
      <w:tr>
        <w:trPr>
          <w:trHeight w:val="189"/>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consolidated net revenues</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0"/>
        </w:trPr>
        <w:tc>
          <w:tcPr>
            <w:tcW w:w="6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right="540" w:hanging="238"/>
        <w:spacing w:after="0" w:line="277" w:lineRule="auto"/>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“Mobile and ancillary” include revenues from mobile devices, as well as non-platform-specific game-related revenues, such as standalone sales of toys and accessories from our Skylanders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franchise and other physical merchandise and accessories.</w:t>
      </w:r>
    </w:p>
    <w:p>
      <w:pPr>
        <w:spacing w:after="0" w:line="5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from “Other” include revenues from our Studios and Distribution businesses, as well as revenues from MLG and the Overwatch League.</w:t>
      </w:r>
    </w:p>
    <w:p>
      <w:pPr>
        <w:spacing w:after="0" w:line="200" w:lineRule="exact"/>
        <w:rPr>
          <w:sz w:val="20"/>
          <w:szCs w:val="20"/>
          <w:color w:val="auto"/>
        </w:rPr>
      </w:pP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console platform for the three months ended March 31, 2019, as compared to the three months ended March 31, 2018, was primarily due to:</w:t>
      </w:r>
    </w:p>
    <w:p>
      <w:pPr>
        <w:spacing w:after="0" w:line="166" w:lineRule="exact"/>
        <w:rPr>
          <w:sz w:val="20"/>
          <w:szCs w:val="20"/>
          <w:color w:val="auto"/>
        </w:rPr>
      </w:pPr>
    </w:p>
    <w:p>
      <w:pPr>
        <w:ind w:left="740" w:hanging="247"/>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the publishing rights to which we sold to Bungie in December 2018, as previously disclosed;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Call of Duty franchise catalog titles.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The decrease was partially offset by 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PC</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net revenues from the PC platform for the three months ended March 31, 2019, as compared to the three months ended March 31, 2018, was primarily due to:</w:t>
      </w:r>
    </w:p>
    <w:p>
      <w:pPr>
        <w:spacing w:after="0" w:line="166" w:lineRule="exact"/>
        <w:rPr>
          <w:sz w:val="20"/>
          <w:szCs w:val="20"/>
          <w:color w:val="auto"/>
        </w:rPr>
      </w:pPr>
    </w:p>
    <w:p>
      <w:pPr>
        <w:ind w:left="740" w:hanging="247"/>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revenues recognized from the Destiny franchise; and</w:t>
      </w:r>
    </w:p>
    <w:p>
      <w:pPr>
        <w:spacing w:after="0" w:line="164"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lower revenues recognized from </w:t>
      </w:r>
      <w:r>
        <w:rPr>
          <w:rFonts w:ascii="Times New Roman" w:cs="Times New Roman" w:eastAsia="Times New Roman" w:hAnsi="Times New Roman"/>
          <w:sz w:val="14"/>
          <w:szCs w:val="14"/>
          <w:i w:val="1"/>
          <w:iCs w:val="1"/>
          <w:color w:val="auto"/>
        </w:rPr>
        <w:t>Overwatch.</w:t>
      </w:r>
    </w:p>
    <w:p>
      <w:pPr>
        <w:spacing w:after="0" w:line="200" w:lineRule="exact"/>
        <w:rPr>
          <w:sz w:val="20"/>
          <w:szCs w:val="20"/>
          <w:color w:val="auto"/>
        </w:rPr>
      </w:pPr>
    </w:p>
    <w:p>
      <w:pPr>
        <w:spacing w:after="0" w:line="294" w:lineRule="exact"/>
        <w:rPr>
          <w:sz w:val="20"/>
          <w:szCs w:val="20"/>
          <w:color w:val="auto"/>
        </w:rPr>
      </w:pPr>
    </w:p>
    <w:p>
      <w:pPr>
        <w:ind w:left="740" w:hanging="247"/>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higher revenues recognized from </w:t>
      </w:r>
      <w:r>
        <w:rPr>
          <w:rFonts w:ascii="Times New Roman" w:cs="Times New Roman" w:eastAsia="Times New Roman" w:hAnsi="Times New Roman"/>
          <w:sz w:val="14"/>
          <w:szCs w:val="14"/>
          <w:i w:val="1"/>
          <w:iCs w:val="1"/>
          <w:color w:val="auto"/>
        </w:rPr>
        <w:t>Call of Duty: Black Ops 4</w:t>
      </w:r>
      <w:r>
        <w:rPr>
          <w:rFonts w:ascii="Times New Roman" w:cs="Times New Roman" w:eastAsia="Times New Roman" w:hAnsi="Times New Roman"/>
          <w:sz w:val="14"/>
          <w:szCs w:val="14"/>
          <w:color w:val="auto"/>
        </w:rPr>
        <w:t xml:space="preserve">, which was released in October 2018, as compared to </w:t>
      </w:r>
      <w:r>
        <w:rPr>
          <w:rFonts w:ascii="Times New Roman" w:cs="Times New Roman" w:eastAsia="Times New Roman" w:hAnsi="Times New Roman"/>
          <w:sz w:val="14"/>
          <w:szCs w:val="14"/>
          <w:i w:val="1"/>
          <w:iCs w:val="1"/>
          <w:color w:val="auto"/>
        </w:rPr>
        <w:t>Call of Duty: WWII</w:t>
      </w:r>
      <w:r>
        <w:rPr>
          <w:rFonts w:ascii="Times New Roman" w:cs="Times New Roman" w:eastAsia="Times New Roman" w:hAnsi="Times New Roman"/>
          <w:sz w:val="14"/>
          <w:szCs w:val="14"/>
          <w:color w:val="auto"/>
        </w:rPr>
        <w:t>, which was released in November 2017; and</w:t>
      </w:r>
    </w:p>
    <w:p>
      <w:pPr>
        <w:spacing w:after="0" w:line="166" w:lineRule="exact"/>
        <w:rPr>
          <w:rFonts w:ascii="Times New Roman" w:cs="Times New Roman" w:eastAsia="Times New Roman" w:hAnsi="Times New Roman"/>
          <w:sz w:val="14"/>
          <w:szCs w:val="14"/>
          <w:color w:val="auto"/>
        </w:rPr>
      </w:pPr>
    </w:p>
    <w:p>
      <w:pPr>
        <w:ind w:left="740" w:hanging="247"/>
        <w:spacing w:after="0"/>
        <w:tabs>
          <w:tab w:leader="none" w:pos="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revenues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Mobile and Ancillary</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revenues from mobile and ancillary for the three months ended March 31, 2019, were roughly equal to net revenues for the three months ended March 31, 2018.</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60"/>
          </w:cols>
          <w:pgMar w:left="220" w:top="127" w:right="21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details the components of cost of revenues in dollars (amounts in millions) and as a percentage of associated net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 of associated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31, 2019</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340" w:type="dxa"/>
            <w:vAlign w:val="bottom"/>
          </w:tcPr>
          <w:p>
            <w:pPr>
              <w:spacing w:after="0"/>
              <w:rPr>
                <w:sz w:val="14"/>
                <w:szCs w:val="14"/>
                <w:color w:val="auto"/>
              </w:rPr>
            </w:pPr>
          </w:p>
        </w:tc>
        <w:tc>
          <w:tcPr>
            <w:tcW w:w="1260" w:type="dxa"/>
            <w:vAlign w:val="bottom"/>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31, 2018</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revenues—product sales:</w:t>
            </w: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Product costs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152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162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
        </w:trPr>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1"/>
        </w:trPr>
        <w:tc>
          <w:tcPr>
            <w:tcW w:w="3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7"/>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111</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146</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revenues—subscription, licensing, and other revenues:</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Game operations and distribution costs</w:t>
            </w: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239</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270</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1"/>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royalties, amortization, and intellectual property</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licenses</w:t>
            </w:r>
          </w:p>
        </w:tc>
        <w:tc>
          <w:tcPr>
            <w:tcW w:w="34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61</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84</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revenues</w:t>
            </w: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563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662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0"/>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Revenues—Product Sales: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product costs for the three months ended March 31, 2019, as compared to the three months ended March 31, 2018, was in line with the decrease in product sales.</w:t>
      </w:r>
    </w:p>
    <w:p>
      <w:pPr>
        <w:spacing w:after="0" w:line="166" w:lineRule="exact"/>
        <w:rPr>
          <w:sz w:val="20"/>
          <w:szCs w:val="20"/>
          <w:color w:val="auto"/>
        </w:rPr>
      </w:pPr>
    </w:p>
    <w:p>
      <w:pPr>
        <w:ind w:firstLine="245"/>
        <w:spacing w:after="0" w:line="254" w:lineRule="auto"/>
        <w:rPr>
          <w:sz w:val="20"/>
          <w:szCs w:val="20"/>
          <w:color w:val="auto"/>
        </w:rPr>
      </w:pPr>
      <w:r>
        <w:rPr>
          <w:rFonts w:ascii="Times New Roman" w:cs="Times New Roman" w:eastAsia="Times New Roman" w:hAnsi="Times New Roman"/>
          <w:sz w:val="14"/>
          <w:szCs w:val="14"/>
          <w:color w:val="auto"/>
        </w:rPr>
        <w:t>The decrease in software royalties, amortization, and intellectual property licenses related to product sales for the three months ended March 31, 2019, as compared to the three months ended March 31, 2018, was primarily due to a decrease of $42 million in software amortization and royalties from Activision, driven by the Destiny franchise, the publishing rights to which we sold to Bungie in December 2018, as previously disclosed. The decrease in software amortization and royalties from the Destiny franchise was partially offset by:</w:t>
      </w:r>
    </w:p>
    <w:p>
      <w:pPr>
        <w:spacing w:after="0" w:line="141" w:lineRule="exact"/>
        <w:rPr>
          <w:sz w:val="20"/>
          <w:szCs w:val="20"/>
          <w:color w:val="auto"/>
        </w:rPr>
      </w:pPr>
    </w:p>
    <w:p>
      <w:pPr>
        <w:ind w:left="740" w:hanging="247"/>
        <w:spacing w:after="0"/>
        <w:tabs>
          <w:tab w:leader="none" w:pos="7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higher software amortization and royalties for </w:t>
      </w:r>
      <w:r>
        <w:rPr>
          <w:rFonts w:ascii="Times New Roman" w:cs="Times New Roman" w:eastAsia="Times New Roman" w:hAnsi="Times New Roman"/>
          <w:sz w:val="12"/>
          <w:szCs w:val="12"/>
          <w:i w:val="1"/>
          <w:iCs w:val="1"/>
          <w:color w:val="auto"/>
        </w:rPr>
        <w:t>Call of Duty: Black Ops 4</w:t>
      </w:r>
      <w:r>
        <w:rPr>
          <w:rFonts w:ascii="Times New Roman" w:cs="Times New Roman" w:eastAsia="Times New Roman" w:hAnsi="Times New Roman"/>
          <w:sz w:val="12"/>
          <w:szCs w:val="12"/>
          <w:color w:val="auto"/>
        </w:rPr>
        <w:t xml:space="preserve">, which was released in October 2018, as compared to </w:t>
      </w:r>
      <w:r>
        <w:rPr>
          <w:rFonts w:ascii="Times New Roman" w:cs="Times New Roman" w:eastAsia="Times New Roman" w:hAnsi="Times New Roman"/>
          <w:sz w:val="12"/>
          <w:szCs w:val="12"/>
          <w:i w:val="1"/>
          <w:iCs w:val="1"/>
          <w:color w:val="auto"/>
        </w:rPr>
        <w:t>Call of Duty: WWII</w:t>
      </w:r>
      <w:r>
        <w:rPr>
          <w:rFonts w:ascii="Times New Roman" w:cs="Times New Roman" w:eastAsia="Times New Roman" w:hAnsi="Times New Roman"/>
          <w:sz w:val="12"/>
          <w:szCs w:val="12"/>
          <w:color w:val="auto"/>
        </w:rPr>
        <w:t>, which was released in November 2017; and</w:t>
      </w:r>
    </w:p>
    <w:p>
      <w:pPr>
        <w:spacing w:after="0" w:line="189" w:lineRule="exact"/>
        <w:rPr>
          <w:rFonts w:ascii="Times New Roman" w:cs="Times New Roman" w:eastAsia="Times New Roman" w:hAnsi="Times New Roman"/>
          <w:sz w:val="12"/>
          <w:szCs w:val="12"/>
          <w:color w:val="auto"/>
        </w:rPr>
      </w:pPr>
    </w:p>
    <w:p>
      <w:pPr>
        <w:ind w:left="740" w:hanging="247"/>
        <w:spacing w:after="0"/>
        <w:tabs>
          <w:tab w:leader="none" w:pos="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software amortization and royalties from </w:t>
      </w:r>
      <w:r>
        <w:rPr>
          <w:rFonts w:ascii="Times New Roman" w:cs="Times New Roman" w:eastAsia="Times New Roman" w:hAnsi="Times New Roman"/>
          <w:sz w:val="14"/>
          <w:szCs w:val="14"/>
          <w:i w:val="1"/>
          <w:iCs w:val="1"/>
          <w:color w:val="auto"/>
        </w:rPr>
        <w:t>Sekiro: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Revenues—Subscription, Licensing, and Other Revenues:</w:t>
      </w:r>
    </w:p>
    <w:p>
      <w:pPr>
        <w:spacing w:after="0" w:line="168" w:lineRule="exact"/>
        <w:rPr>
          <w:sz w:val="20"/>
          <w:szCs w:val="20"/>
          <w:color w:val="auto"/>
        </w:rPr>
      </w:pPr>
    </w:p>
    <w:p>
      <w:pPr>
        <w:ind w:right="140" w:firstLine="245"/>
        <w:spacing w:after="0" w:line="265" w:lineRule="auto"/>
        <w:rPr>
          <w:sz w:val="20"/>
          <w:szCs w:val="20"/>
          <w:color w:val="auto"/>
        </w:rPr>
      </w:pPr>
      <w:r>
        <w:rPr>
          <w:rFonts w:ascii="Times New Roman" w:cs="Times New Roman" w:eastAsia="Times New Roman" w:hAnsi="Times New Roman"/>
          <w:sz w:val="14"/>
          <w:szCs w:val="14"/>
          <w:color w:val="auto"/>
        </w:rPr>
        <w:t>The decrease in game operations and distribution costs for the three months ended March 31, 2019, as compared to the three months ended March 31, 2018, was primarily due to a decrease of $19 million in digital storefront fees (e.g. fees retained by Apple and Google for our sales on their platforms) and payment processor fees.</w:t>
      </w:r>
    </w:p>
    <w:p>
      <w:pPr>
        <w:spacing w:after="0" w:line="135"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The decrease in software royalties, amortization, and intellectual property licenses related to subscription, licensing, and other revenues for the three months ended March 31, 2019, as compared to the three months ended March 31, 2018, was primarily due to a decrease of $20 million in amortization of internally-developed franchise intangible assets acquired as part of our acquisition of King.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Development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   $</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(10)</w:t>
            </w:r>
          </w:p>
        </w:tc>
      </w:tr>
      <w:tr>
        <w:trPr>
          <w:trHeight w:val="510"/>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995"/>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40" w:firstLine="245"/>
        <w:spacing w:after="0" w:line="265" w:lineRule="auto"/>
        <w:rPr>
          <w:sz w:val="20"/>
          <w:szCs w:val="20"/>
          <w:color w:val="auto"/>
        </w:rPr>
      </w:pPr>
      <w:r>
        <w:rPr>
          <w:rFonts w:ascii="Times New Roman" w:cs="Times New Roman" w:eastAsia="Times New Roman" w:hAnsi="Times New Roman"/>
          <w:sz w:val="14"/>
          <w:szCs w:val="14"/>
          <w:color w:val="auto"/>
        </w:rPr>
        <w:t>The decrease in product development costs for the three months ended March 31, 2019, as compared to the three months ended March 31, 2018, was primarily driven by lower product development costs from the Destiny franchise, the publishing rights to which we sold to Bungie in December 2018, as previously disclosed.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11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207</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   $</w:t>
            </w: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(44)</w:t>
            </w:r>
          </w:p>
        </w:tc>
      </w:tr>
      <w:tr>
        <w:trPr>
          <w:trHeight w:val="21"/>
        </w:trPr>
        <w:tc>
          <w:tcPr>
            <w:tcW w:w="37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in sales and marketing expenses for the three months ended March 31, 2019, as compared to the three months ended March 31, 2018, was primarily due to:</w:t>
      </w:r>
    </w:p>
    <w:p>
      <w:pPr>
        <w:spacing w:after="0" w:line="166" w:lineRule="exact"/>
        <w:rPr>
          <w:sz w:val="20"/>
          <w:szCs w:val="20"/>
          <w:color w:val="auto"/>
        </w:rPr>
      </w:pPr>
    </w:p>
    <w:p>
      <w:pPr>
        <w:ind w:left="740" w:hanging="247"/>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$44 million in amortization of the customer base intangible asset acquired as part of our acquisition of King, as the asset was fully amortized during the first quarter of 2018; and</w:t>
      </w:r>
    </w:p>
    <w:p>
      <w:pPr>
        <w:spacing w:after="0" w:line="166" w:lineRule="exact"/>
        <w:rPr>
          <w:rFonts w:ascii="Times New Roman" w:cs="Times New Roman" w:eastAsia="Times New Roman" w:hAnsi="Times New Roman"/>
          <w:sz w:val="14"/>
          <w:szCs w:val="14"/>
          <w:color w:val="auto"/>
        </w:rPr>
      </w:pPr>
    </w:p>
    <w:p>
      <w:pPr>
        <w:ind w:left="740" w:right="120" w:hanging="247"/>
        <w:spacing w:after="0" w:line="265" w:lineRule="auto"/>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$12 million in marketing spending and personnel costs, primarily associated with lower marketing costs for the Overwatch League, partially offset by higher marketing costs for the Candy Crush franchise and for S</w:t>
      </w:r>
      <w:r>
        <w:rPr>
          <w:rFonts w:ascii="Times New Roman" w:cs="Times New Roman" w:eastAsia="Times New Roman" w:hAnsi="Times New Roman"/>
          <w:sz w:val="14"/>
          <w:szCs w:val="14"/>
          <w:i w:val="1"/>
          <w:iCs w:val="1"/>
          <w:color w:val="auto"/>
        </w:rPr>
        <w:t>ekiro: Shadows Die Twice</w:t>
      </w:r>
      <w:r>
        <w:rPr>
          <w:rFonts w:ascii="Times New Roman" w:cs="Times New Roman" w:eastAsia="Times New Roman" w:hAnsi="Times New Roman"/>
          <w:sz w:val="14"/>
          <w:szCs w:val="14"/>
          <w:color w:val="auto"/>
        </w:rPr>
        <w:t>, which was released in March 2019, with no comparable release in 2018.</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decrease was partially offset by an increase in bad debt provisions.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5"/>
                <w:szCs w:val="15"/>
                <w:color w:val="auto"/>
              </w:rPr>
            </w:pP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   $</w:t>
            </w: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(19)</w:t>
            </w:r>
          </w:p>
        </w:tc>
      </w:tr>
      <w:tr>
        <w:trPr>
          <w:trHeight w:val="21"/>
        </w:trPr>
        <w:tc>
          <w:tcPr>
            <w:tcW w:w="3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right="240" w:firstLine="245"/>
        <w:spacing w:after="0" w:line="265" w:lineRule="auto"/>
        <w:rPr>
          <w:sz w:val="20"/>
          <w:szCs w:val="20"/>
          <w:color w:val="auto"/>
        </w:rPr>
      </w:pPr>
      <w:r>
        <w:rPr>
          <w:rFonts w:ascii="Times New Roman" w:cs="Times New Roman" w:eastAsia="Times New Roman" w:hAnsi="Times New Roman"/>
          <w:sz w:val="14"/>
          <w:szCs w:val="14"/>
          <w:color w:val="auto"/>
        </w:rPr>
        <w:t>The decrease in general and administrative expenses for the three months ended March 31, 2019, as compared to the three months ended March 31, 2018, was primarily due to a $15 million decrease in personnel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and related costs (amounts in millions)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14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179"/>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w w:val="9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   $</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57</w:t>
            </w:r>
          </w:p>
        </w:tc>
      </w:tr>
      <w:tr>
        <w:trPr>
          <w:trHeight w:val="21"/>
        </w:trPr>
        <w:tc>
          <w:tcPr>
            <w:tcW w:w="37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On February 12, 2019, the Company committed to a Board-authorized restructuring plan under which we are refocusing our resources on our largest opportunities and removing unnecessary levels of complexity and duplication from certain parts of our business. The costs incurred during the three months ended March 31, 2019, relate primarily to severance costs and the write-downs of assets from canceled projects. Refer to Note 14 of the notes to condensed consolidated financial statements included in Item 1 of this Quarterly Report on Form 10-Q for further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Expense (Income), Net (amounts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 of consolidated</w:t>
            </w:r>
          </w:p>
        </w:tc>
        <w:tc>
          <w:tcPr>
            <w:tcW w:w="1160" w:type="dxa"/>
            <w:vAlign w:val="bottom"/>
          </w:tcPr>
          <w:p>
            <w:pPr>
              <w:spacing w:after="0"/>
              <w:rPr>
                <w:sz w:val="13"/>
                <w:szCs w:val="13"/>
                <w:color w:val="auto"/>
              </w:rPr>
            </w:pPr>
          </w:p>
        </w:tc>
      </w:t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net revenues</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3"/>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(25)</w:t>
            </w:r>
          </w:p>
        </w:tc>
      </w:tr>
      <w:tr>
        <w:trPr>
          <w:trHeight w:val="510"/>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995"/>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40"/>
          </w:cols>
          <w:pgMar w:left="220" w:top="127"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7" w:lineRule="exact"/>
        <w:rPr>
          <w:sz w:val="20"/>
          <w:szCs w:val="20"/>
          <w:color w:val="auto"/>
        </w:rPr>
      </w:pPr>
    </w:p>
    <w:p>
      <w:pPr>
        <w:ind w:right="100" w:firstLine="245"/>
        <w:spacing w:after="0" w:line="254" w:lineRule="auto"/>
        <w:rPr>
          <w:sz w:val="20"/>
          <w:szCs w:val="20"/>
          <w:color w:val="auto"/>
        </w:rPr>
      </w:pPr>
      <w:r>
        <w:rPr>
          <w:rFonts w:ascii="Times New Roman" w:cs="Times New Roman" w:eastAsia="Times New Roman" w:hAnsi="Times New Roman"/>
          <w:sz w:val="14"/>
          <w:szCs w:val="14"/>
          <w:color w:val="auto"/>
        </w:rPr>
        <w:t>The decrease in interest and other expense (income), net, for the three months ended March 31, 2019, as compared to the three months ended March 31, 2018, was primarily due to an $18 million decrease in interest expense and amortization of deferred financing costs associated with our debt obligations due to our lower total debt outstanding as a result of our debt redemptions and repayment activities during 2018.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 Expense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of pretax income</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 31, 2018</w:t>
            </w:r>
          </w:p>
        </w:tc>
        <w:tc>
          <w:tcPr>
            <w:tcW w:w="1720" w:type="dxa"/>
            <w:vAlign w:val="bottom"/>
            <w:gridSpan w:val="3"/>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 of pretax income</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5"/>
                <w:szCs w:val="15"/>
                <w:color w:val="auto"/>
              </w:rPr>
            </w:pP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   $</w:t>
            </w: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53</w:t>
            </w:r>
          </w:p>
        </w:tc>
      </w:tr>
      <w:tr>
        <w:trPr>
          <w:trHeight w:val="21"/>
        </w:trPr>
        <w:tc>
          <w:tcPr>
            <w:tcW w:w="3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jc w:val="both"/>
        <w:ind w:right="340" w:firstLine="245"/>
        <w:spacing w:after="0" w:line="349" w:lineRule="auto"/>
        <w:rPr>
          <w:sz w:val="20"/>
          <w:szCs w:val="20"/>
          <w:color w:val="auto"/>
        </w:rPr>
      </w:pPr>
      <w:r>
        <w:rPr>
          <w:rFonts w:ascii="Times New Roman" w:cs="Times New Roman" w:eastAsia="Times New Roman" w:hAnsi="Times New Roman"/>
          <w:sz w:val="12"/>
          <w:szCs w:val="12"/>
          <w:color w:val="auto"/>
        </w:rPr>
        <w:t>The income tax expense of $120 million for the three months ended March 31, 2019, reflects an effective tax rate of 21%, which is higher than the effective tax rate of 12% for the three months ended March 31, 2018. The increase is primarily due to lower excess tax benefits from share-based payments and higher foreign earnings subject to U.S. tax, partially offset by changes in uncertain tax positions.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effective tax rate of 21% for the three months ended March 31, 2019 is consistent with the U.S. statutory rate of 21%. This reflects the impact of our foreign earnings being taxed below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statutory rate, offset by changes in uncertain tax positions.</w:t>
      </w:r>
    </w:p>
    <w:p>
      <w:pPr>
        <w:spacing w:after="0" w:line="154"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Further information about our income taxes is provided in Note 16 of the notes to condensed consolidated financial statements included in Item 1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ind w:right="60" w:firstLine="245"/>
        <w:spacing w:after="0" w:line="249" w:lineRule="auto"/>
        <w:rPr>
          <w:sz w:val="20"/>
          <w:szCs w:val="20"/>
          <w:color w:val="auto"/>
        </w:rPr>
      </w:pPr>
      <w:r>
        <w:rPr>
          <w:rFonts w:ascii="Times New Roman" w:cs="Times New Roman" w:eastAsia="Times New Roman" w:hAnsi="Times New Roman"/>
          <w:sz w:val="14"/>
          <w:szCs w:val="14"/>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$4.8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our anticipated dividend payments, share repurchases, and scheduled debt maturities, include our cash and cash equivalents, short-term investments, and cash flows provided by operating activities.</w:t>
      </w:r>
    </w:p>
    <w:p>
      <w:pPr>
        <w:spacing w:after="0" w:line="147" w:lineRule="exact"/>
        <w:rPr>
          <w:sz w:val="20"/>
          <w:szCs w:val="20"/>
          <w:color w:val="auto"/>
        </w:rPr>
      </w:pPr>
    </w:p>
    <w:p>
      <w:pPr>
        <w:ind w:right="400" w:firstLine="245"/>
        <w:spacing w:after="0" w:line="265" w:lineRule="auto"/>
        <w:rPr>
          <w:sz w:val="20"/>
          <w:szCs w:val="20"/>
          <w:color w:val="auto"/>
        </w:rPr>
      </w:pPr>
      <w:r>
        <w:rPr>
          <w:rFonts w:ascii="Times New Roman" w:cs="Times New Roman" w:eastAsia="Times New Roman" w:hAnsi="Times New Roman"/>
          <w:sz w:val="14"/>
          <w:szCs w:val="14"/>
          <w:color w:val="auto"/>
        </w:rPr>
        <w:t>As of March 31, 2019, the amount of cash and cash equivalents held outside of the U.S. by our foreign subsidiaries was $1.7 billion, as compared to $1.4 billion as of December 31, 2018. These cash balances are generally available for use in the U.S., subject in some cases to certain restrictions.</w:t>
      </w:r>
    </w:p>
    <w:p>
      <w:pPr>
        <w:spacing w:after="0" w:line="135" w:lineRule="exact"/>
        <w:rPr>
          <w:sz w:val="20"/>
          <w:szCs w:val="20"/>
          <w:color w:val="auto"/>
        </w:rPr>
      </w:pPr>
    </w:p>
    <w:p>
      <w:pPr>
        <w:ind w:right="80" w:firstLine="245"/>
        <w:spacing w:after="0" w:line="254" w:lineRule="auto"/>
        <w:rPr>
          <w:sz w:val="20"/>
          <w:szCs w:val="20"/>
          <w:color w:val="auto"/>
        </w:rPr>
      </w:pPr>
      <w:r>
        <w:rPr>
          <w:rFonts w:ascii="Times New Roman" w:cs="Times New Roman" w:eastAsia="Times New Roman" w:hAnsi="Times New Roman"/>
          <w:sz w:val="14"/>
          <w:szCs w:val="14"/>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127" w:right="2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 (amounts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March 31, 2019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jc w:val="center"/>
              <w:ind w:left="419"/>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4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4,696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4,225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471</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4,839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4,380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459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502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Percentage of total assets</w:t>
            </w: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456"/>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69"/>
        </w:trPr>
        <w:tc>
          <w:tcPr>
            <w:tcW w:w="5020" w:type="dxa"/>
            <w:vAlign w:val="bottom"/>
          </w:tcPr>
          <w:p>
            <w:pPr>
              <w:spacing w:after="0"/>
              <w:rPr>
                <w:sz w:val="14"/>
                <w:szCs w:val="14"/>
                <w:color w:val="auto"/>
              </w:rPr>
            </w:pPr>
          </w:p>
        </w:tc>
        <w:tc>
          <w:tcPr>
            <w:tcW w:w="1540" w:type="dxa"/>
            <w:vAlign w:val="bottom"/>
            <w:gridSpan w:val="2"/>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cash provided by operating activities</w:t>
            </w:r>
          </w:p>
        </w:tc>
        <w:tc>
          <w:tcPr>
            <w:tcW w:w="1540" w:type="dxa"/>
            <w:vAlign w:val="bottom"/>
            <w:tcBorders>
              <w:bottom w:val="single" w:sz="8" w:color="CCEEFF"/>
            </w:tcBorders>
            <w:gridSpan w:val="2"/>
            <w:shd w:val="clear" w:color="auto" w:fill="CCEEFF"/>
          </w:tcPr>
          <w:p>
            <w:pPr>
              <w:jc w:val="right"/>
              <w:ind w:right="13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46</w:t>
            </w:r>
          </w:p>
        </w:tc>
      </w:tr>
      <w:tr>
        <w:trPr>
          <w:trHeight w:val="21"/>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cash provided by financing activities</w:t>
            </w:r>
          </w:p>
        </w:tc>
        <w:tc>
          <w:tcPr>
            <w:tcW w:w="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Net increase in cash and cash equivalents and restricted cash</w:t>
            </w:r>
          </w:p>
        </w:tc>
        <w:tc>
          <w:tcPr>
            <w:tcW w:w="1540" w:type="dxa"/>
            <w:vAlign w:val="bottom"/>
            <w:tcBorders>
              <w:bottom w:val="single" w:sz="8" w:color="CCEEFF"/>
            </w:tcBorders>
            <w:gridSpan w:val="2"/>
            <w:shd w:val="clear" w:color="auto" w:fill="CCEEFF"/>
          </w:tcPr>
          <w:p>
            <w:pPr>
              <w:jc w:val="right"/>
              <w:ind w:right="135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471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Operating Activities</w:t>
      </w:r>
    </w:p>
    <w:p>
      <w:pPr>
        <w:spacing w:after="0" w:line="168" w:lineRule="exact"/>
        <w:rPr>
          <w:sz w:val="20"/>
          <w:szCs w:val="20"/>
          <w:color w:val="auto"/>
        </w:rPr>
      </w:pPr>
    </w:p>
    <w:p>
      <w:pPr>
        <w:jc w:val="both"/>
        <w:ind w:right="220" w:firstLine="245"/>
        <w:spacing w:after="0" w:line="254" w:lineRule="auto"/>
        <w:rPr>
          <w:sz w:val="20"/>
          <w:szCs w:val="20"/>
          <w:color w:val="auto"/>
        </w:rPr>
      </w:pPr>
      <w:r>
        <w:rPr>
          <w:rFonts w:ascii="Times New Roman" w:cs="Times New Roman" w:eastAsia="Times New Roman" w:hAnsi="Times New Roman"/>
          <w:sz w:val="14"/>
          <w:szCs w:val="14"/>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43" w:lineRule="exact"/>
        <w:rPr>
          <w:sz w:val="20"/>
          <w:szCs w:val="20"/>
          <w:color w:val="auto"/>
        </w:rPr>
      </w:pPr>
    </w:p>
    <w:p>
      <w:pPr>
        <w:ind w:right="520" w:firstLine="245"/>
        <w:spacing w:after="0" w:line="265" w:lineRule="auto"/>
        <w:rPr>
          <w:sz w:val="20"/>
          <w:szCs w:val="20"/>
          <w:color w:val="auto"/>
        </w:rPr>
      </w:pPr>
      <w:r>
        <w:rPr>
          <w:rFonts w:ascii="Times New Roman" w:cs="Times New Roman" w:eastAsia="Times New Roman" w:hAnsi="Times New Roman"/>
          <w:sz w:val="14"/>
          <w:szCs w:val="14"/>
          <w:color w:val="auto"/>
        </w:rPr>
        <w:t>Net cash provided by operating activities for the three months ended March 31, 2019, was $450 million, as compared to $529 million for the three months ended March 31, 2018. The decrease was primarily due to lower net income and a decrease in non-cash adjustments to net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Investing Activities</w:t>
      </w:r>
    </w:p>
    <w:p>
      <w:pPr>
        <w:spacing w:after="0" w:line="168" w:lineRule="exact"/>
        <w:rPr>
          <w:sz w:val="20"/>
          <w:szCs w:val="20"/>
          <w:color w:val="auto"/>
        </w:rPr>
      </w:pPr>
    </w:p>
    <w:p>
      <w:pPr>
        <w:ind w:right="200" w:firstLine="245"/>
        <w:spacing w:after="0" w:line="265" w:lineRule="auto"/>
        <w:rPr>
          <w:sz w:val="20"/>
          <w:szCs w:val="20"/>
          <w:color w:val="auto"/>
        </w:rPr>
      </w:pPr>
      <w:r>
        <w:rPr>
          <w:rFonts w:ascii="Times New Roman" w:cs="Times New Roman" w:eastAsia="Times New Roman" w:hAnsi="Times New Roman"/>
          <w:sz w:val="14"/>
          <w:szCs w:val="14"/>
          <w:color w:val="auto"/>
        </w:rPr>
        <w:t>The primary drivers of net cash flows associated with investing activities typically include capital expenditures, purchases and sales of investments, changes in restricted cash balances, and cash used for acquisitions.</w:t>
      </w:r>
    </w:p>
    <w:p>
      <w:pPr>
        <w:spacing w:after="0" w:line="135" w:lineRule="exact"/>
        <w:rPr>
          <w:sz w:val="20"/>
          <w:szCs w:val="20"/>
          <w:color w:val="auto"/>
        </w:rPr>
      </w:pPr>
    </w:p>
    <w:p>
      <w:pPr>
        <w:ind w:right="80" w:firstLine="245"/>
        <w:spacing w:after="0" w:line="251"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2019, was $5 million, as compared to $51 million for the three months ended March 31, 2018. The decrease was primarily due to cash flow activities associated with available-for-sale investments, for which, in the three months ended March 31, 2019, there were $13 million of cash proceeds from the maturities of available-for-sale investments as compared to purchases of available-for-sale investments of $20 million in the prior-year period. Additionally, we had lower capital expenditures of $18 million for the three months ended March 31, 2019, as compared to $31 million in the prior-year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Financing Activities</w:t>
      </w:r>
    </w:p>
    <w:p>
      <w:pPr>
        <w:spacing w:after="0" w:line="168" w:lineRule="exact"/>
        <w:rPr>
          <w:sz w:val="20"/>
          <w:szCs w:val="20"/>
          <w:color w:val="auto"/>
        </w:rPr>
      </w:pPr>
    </w:p>
    <w:p>
      <w:pPr>
        <w:ind w:right="540" w:firstLine="245"/>
        <w:spacing w:after="0" w:line="265" w:lineRule="auto"/>
        <w:rPr>
          <w:sz w:val="20"/>
          <w:szCs w:val="20"/>
          <w:color w:val="auto"/>
        </w:rPr>
      </w:pPr>
      <w:r>
        <w:rPr>
          <w:rFonts w:ascii="Times New Roman" w:cs="Times New Roman" w:eastAsia="Times New Roman" w:hAnsi="Times New Roman"/>
          <w:sz w:val="14"/>
          <w:szCs w:val="14"/>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35" w:lineRule="exact"/>
        <w:rPr>
          <w:sz w:val="20"/>
          <w:szCs w:val="20"/>
          <w:color w:val="auto"/>
        </w:rPr>
      </w:pPr>
    </w:p>
    <w:p>
      <w:pPr>
        <w:jc w:val="both"/>
        <w:ind w:right="20" w:firstLine="245"/>
        <w:spacing w:after="0" w:line="254" w:lineRule="auto"/>
        <w:rPr>
          <w:sz w:val="20"/>
          <w:szCs w:val="20"/>
          <w:color w:val="auto"/>
        </w:rPr>
      </w:pPr>
      <w:r>
        <w:rPr>
          <w:rFonts w:ascii="Times New Roman" w:cs="Times New Roman" w:eastAsia="Times New Roman" w:hAnsi="Times New Roman"/>
          <w:sz w:val="14"/>
          <w:szCs w:val="14"/>
          <w:color w:val="auto"/>
        </w:rPr>
        <w:t>Net cash provided by financing activities for the three months ended March 31, 2019, was $24 million, as compared to $8 million for the three months ended March 31, 2018. The increase was due to lower tax payments made for net share settlements on restricted stock units of $6 million for the three months ended March 31, 2019, as compared to $39 million for the three months ended March 31, 2018, partially offset by lower proceeds from stock option exercises of $30 million for the three months ended March 31, 2019, as compared to $47 million for the three months ended March 31, 2018.</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127" w:right="21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 of Foreign Exchange Rate Changes</w:t>
      </w:r>
    </w:p>
    <w:p>
      <w:pPr>
        <w:spacing w:after="0" w:line="168" w:lineRule="exact"/>
        <w:rPr>
          <w:sz w:val="20"/>
          <w:szCs w:val="20"/>
          <w:color w:val="auto"/>
        </w:rPr>
      </w:pPr>
    </w:p>
    <w:p>
      <w:pPr>
        <w:ind w:right="120" w:firstLine="245"/>
        <w:spacing w:after="0" w:line="265" w:lineRule="auto"/>
        <w:rPr>
          <w:sz w:val="20"/>
          <w:szCs w:val="20"/>
          <w:color w:val="auto"/>
        </w:rPr>
      </w:pPr>
      <w:r>
        <w:rPr>
          <w:rFonts w:ascii="Times New Roman" w:cs="Times New Roman" w:eastAsia="Times New Roman" w:hAnsi="Times New Roman"/>
          <w:sz w:val="14"/>
          <w:szCs w:val="14"/>
          <w:color w:val="auto"/>
        </w:rPr>
        <w:t>Changes in foreign exchange rates had a positive impact of $2 million on our cash and cash equivalents and restricted cash for the three months ended March 31, 2019, as compared to a positive impact of $18 million for the three months ended March 31, 2018. The change was primarily due to changes in the value of the U.S. dollar relative to the euro and the British pound.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of March 31, 2019 and December 31, 2018, our total outstanding debt was $2.7 billion, bearing interest at a weighted average rate of 3.18%.</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summary of our outstanding debt is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 March 31, 2019</w:t>
            </w: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1"/>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Financing Costs</w:t>
            </w:r>
          </w:p>
        </w:tc>
        <w:tc>
          <w:tcPr>
            <w:tcW w:w="300" w:type="dxa"/>
            <w:vAlign w:val="bottom"/>
          </w:tcPr>
          <w:p>
            <w:pPr>
              <w:spacing w:after="0"/>
              <w:rPr>
                <w:sz w:val="14"/>
                <w:szCs w:val="14"/>
                <w:color w:val="auto"/>
              </w:rPr>
            </w:pPr>
          </w:p>
        </w:tc>
        <w:tc>
          <w:tcPr>
            <w:tcW w:w="186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396</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2,672</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411"/>
        </w:trPr>
        <w:tc>
          <w:tcPr>
            <w:tcW w:w="4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 December 31, 2018</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1"/>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Gross Carrying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Financing Costs</w:t>
            </w:r>
          </w:p>
        </w:tc>
        <w:tc>
          <w:tcPr>
            <w:tcW w:w="300" w:type="dxa"/>
            <w:vAlign w:val="bottom"/>
          </w:tcPr>
          <w:p>
            <w:pPr>
              <w:spacing w:after="0"/>
              <w:rPr>
                <w:sz w:val="14"/>
                <w:szCs w:val="14"/>
                <w:color w:val="auto"/>
              </w:rPr>
            </w:pPr>
          </w:p>
        </w:tc>
        <w:tc>
          <w:tcPr>
            <w:tcW w:w="1860" w:type="dxa"/>
            <w:vAlign w:val="bottom"/>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647</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842</w:t>
            </w:r>
          </w:p>
        </w:tc>
      </w:tr>
      <w:tr>
        <w:trPr>
          <w:trHeight w:val="18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Refer to Note 11 of the notes to condensed consolidated financial statements included in Item 1 of this Quarterly Report on Form 10-Q for further disclosures regarding our debt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70" w:lineRule="exact"/>
        <w:rPr>
          <w:sz w:val="20"/>
          <w:szCs w:val="20"/>
          <w:color w:val="auto"/>
        </w:rPr>
      </w:pPr>
    </w:p>
    <w:p>
      <w:pPr>
        <w:ind w:right="580" w:firstLine="245"/>
        <w:spacing w:after="0" w:line="265" w:lineRule="auto"/>
        <w:rPr>
          <w:sz w:val="20"/>
          <w:szCs w:val="20"/>
          <w:color w:val="auto"/>
        </w:rPr>
      </w:pPr>
      <w:r>
        <w:rPr>
          <w:rFonts w:ascii="Times New Roman" w:cs="Times New Roman" w:eastAsia="Times New Roman" w:hAnsi="Times New Roman"/>
          <w:sz w:val="14"/>
          <w:szCs w:val="14"/>
          <w:color w:val="auto"/>
        </w:rPr>
        <w:t>On February 12, 2019, our Board of Directors declared a cash dividend of $0.37 per common share. Such dividend is payable on May 9, 2019, to shareholders of record at the close of business on March 28, 2019. We have recorded $283 million of dividends payable in “Accrued expenses and other liabilities” on our condensed consolidated balance sheet as of March 31,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70" w:lineRule="exact"/>
        <w:rPr>
          <w:sz w:val="20"/>
          <w:szCs w:val="20"/>
          <w:color w:val="auto"/>
        </w:rPr>
      </w:pPr>
    </w:p>
    <w:p>
      <w:pPr>
        <w:ind w:right="100" w:firstLine="245"/>
        <w:spacing w:after="0" w:line="265" w:lineRule="auto"/>
        <w:rPr>
          <w:sz w:val="20"/>
          <w:szCs w:val="20"/>
          <w:color w:val="auto"/>
        </w:rPr>
      </w:pPr>
      <w:r>
        <w:rPr>
          <w:rFonts w:ascii="Times New Roman" w:cs="Times New Roman" w:eastAsia="Times New Roman" w:hAnsi="Times New Roman"/>
          <w:sz w:val="14"/>
          <w:szCs w:val="14"/>
          <w:color w:val="auto"/>
        </w:rPr>
        <w:t>For the year ending December 31, 2019, we anticipate total capital expenditures of approximately $135 million, primarily for leasehold improvements, computer hardware, and software purchases. During the three months ended March 31, 2019, capital expenditures were $18 million.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60"/>
          </w:cols>
          <w:pgMar w:left="220" w:top="127" w:right="21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0" w:lineRule="exact"/>
        <w:rPr>
          <w:sz w:val="20"/>
          <w:szCs w:val="20"/>
          <w:color w:val="auto"/>
        </w:rPr>
      </w:pPr>
    </w:p>
    <w:p>
      <w:pPr>
        <w:ind w:right="40" w:firstLine="245"/>
        <w:spacing w:after="0" w:line="254" w:lineRule="auto"/>
        <w:rPr>
          <w:sz w:val="20"/>
          <w:szCs w:val="20"/>
          <w:color w:val="auto"/>
        </w:rPr>
      </w:pPr>
      <w:r>
        <w:rPr>
          <w:rFonts w:ascii="Times New Roman" w:cs="Times New Roman" w:eastAsia="Times New Roman" w:hAnsi="Times New Roman"/>
          <w:sz w:val="14"/>
          <w:szCs w:val="14"/>
          <w:color w:val="auto"/>
        </w:rPr>
        <w:t>At each of March 31, 2019 and December 31, 2018,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0" w:lineRule="exact"/>
        <w:rPr>
          <w:sz w:val="20"/>
          <w:szCs w:val="20"/>
          <w:color w:val="auto"/>
        </w:rPr>
      </w:pPr>
    </w:p>
    <w:p>
      <w:pPr>
        <w:ind w:right="20" w:firstLine="245"/>
        <w:spacing w:after="0" w:line="248" w:lineRule="auto"/>
        <w:rPr>
          <w:sz w:val="20"/>
          <w:szCs w:val="20"/>
          <w:color w:val="auto"/>
        </w:rPr>
      </w:pPr>
      <w:r>
        <w:rPr>
          <w:rFonts w:ascii="Times New Roman" w:cs="Times New Roman" w:eastAsia="Times New Roman" w:hAnsi="Times New Roman"/>
          <w:sz w:val="14"/>
          <w:szCs w:val="14"/>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68" w:lineRule="exact"/>
        <w:rPr>
          <w:sz w:val="20"/>
          <w:szCs w:val="20"/>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Recognition;</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Allowances for Returns and Price Protection;</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Development Costs;</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Estimates (including Business Combinations and Assessment of Impairment of Assets); and</w:t>
      </w:r>
    </w:p>
    <w:p>
      <w:pPr>
        <w:spacing w:after="0" w:line="33" w:lineRule="exact"/>
        <w:rPr>
          <w:rFonts w:ascii="Times New Roman" w:cs="Times New Roman" w:eastAsia="Times New Roman" w:hAnsi="Times New Roman"/>
          <w:sz w:val="14"/>
          <w:szCs w:val="14"/>
          <w:color w:val="auto"/>
        </w:rPr>
      </w:pPr>
    </w:p>
    <w:p>
      <w:pPr>
        <w:ind w:left="780" w:hanging="287"/>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Payments.</w:t>
      </w:r>
    </w:p>
    <w:p>
      <w:pPr>
        <w:spacing w:after="0" w:line="177" w:lineRule="exact"/>
        <w:rPr>
          <w:sz w:val="20"/>
          <w:szCs w:val="20"/>
          <w:color w:val="auto"/>
        </w:rPr>
      </w:pPr>
    </w:p>
    <w:p>
      <w:pPr>
        <w:ind w:right="160" w:firstLine="245"/>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2019, there were no significant changes to the above critical accounting policies and estimates.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70" w:lineRule="exact"/>
        <w:rPr>
          <w:sz w:val="20"/>
          <w:szCs w:val="20"/>
          <w:color w:val="auto"/>
        </w:rPr>
      </w:pPr>
    </w:p>
    <w:p>
      <w:pPr>
        <w:ind w:right="20" w:firstLine="245"/>
        <w:spacing w:after="0" w:line="265" w:lineRule="auto"/>
        <w:rPr>
          <w:sz w:val="20"/>
          <w:szCs w:val="20"/>
          <w:color w:val="auto"/>
        </w:rPr>
      </w:pPr>
      <w:r>
        <w:rPr>
          <w:rFonts w:ascii="Times New Roman" w:cs="Times New Roman" w:eastAsia="Times New Roman" w:hAnsi="Times New Roman"/>
          <w:sz w:val="14"/>
          <w:szCs w:val="14"/>
          <w:color w:val="auto"/>
        </w:rPr>
        <w:t>Below are recently issued accounting pronouncements that were most significant to our accounting policy activities. For a detailed discussion of all relevant recently issued accounting pronouncements, see Note 3 of the notes to condensed consolidated financial statements included in Item 1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8" w:lineRule="exact"/>
        <w:rPr>
          <w:sz w:val="20"/>
          <w:szCs w:val="20"/>
          <w:color w:val="auto"/>
        </w:rPr>
      </w:pPr>
    </w:p>
    <w:p>
      <w:pPr>
        <w:ind w:firstLine="245"/>
        <w:spacing w:after="0" w:line="251" w:lineRule="auto"/>
        <w:rPr>
          <w:sz w:val="20"/>
          <w:szCs w:val="20"/>
          <w:color w:val="auto"/>
        </w:rPr>
      </w:pPr>
      <w:r>
        <w:rPr>
          <w:rFonts w:ascii="Times New Roman" w:cs="Times New Roman" w:eastAsia="Times New Roman" w:hAnsi="Times New Roman"/>
          <w:sz w:val="14"/>
          <w:szCs w:val="14"/>
          <w:color w:val="auto"/>
        </w:rPr>
        <w:t>As noted in Note 2 of the notes to the condensed consolidated financial statements included in Item 1 of this Quarterly Report on Form 10-Q,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145" w:lineRule="exact"/>
        <w:rPr>
          <w:sz w:val="20"/>
          <w:szCs w:val="20"/>
          <w:color w:val="auto"/>
        </w:rPr>
      </w:pPr>
    </w:p>
    <w:p>
      <w:pPr>
        <w:ind w:firstLine="245"/>
        <w:spacing w:after="0" w:line="265" w:lineRule="auto"/>
        <w:rPr>
          <w:sz w:val="20"/>
          <w:szCs w:val="20"/>
          <w:color w:val="auto"/>
        </w:rPr>
      </w:pPr>
      <w:r>
        <w:rPr>
          <w:rFonts w:ascii="Times New Roman" w:cs="Times New Roman" w:eastAsia="Times New Roman" w:hAnsi="Times New Roman"/>
          <w:sz w:val="14"/>
          <w:szCs w:val="14"/>
          <w:color w:val="auto"/>
        </w:rPr>
        <w:t>For additional discussion regarding the impact of our adoption of the new lease accounting standard to our condensed consolidated balance sheet, see Note 3 of the notes to condensed consolidated financial statements included in Item 1 of this Quarterly Report on Form 10-Q.</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440"/>
          </w:cols>
          <w:pgMar w:left="220" w:top="127"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Market risk is the potential loss arising from fluctuations in market rates and prices. Our market risk exposures primarily include fluctuations in foreign currency exchange rates and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170" w:lineRule="exact"/>
        <w:rPr>
          <w:sz w:val="20"/>
          <w:szCs w:val="20"/>
          <w:color w:val="auto"/>
        </w:rPr>
      </w:pPr>
    </w:p>
    <w:p>
      <w:pPr>
        <w:ind w:firstLine="245"/>
        <w:spacing w:after="0" w:line="248" w:lineRule="auto"/>
        <w:rPr>
          <w:sz w:val="20"/>
          <w:szCs w:val="20"/>
          <w:color w:val="auto"/>
        </w:rPr>
      </w:pPr>
      <w:r>
        <w:rPr>
          <w:rFonts w:ascii="Times New Roman" w:cs="Times New Roman" w:eastAsia="Times New Roman" w:hAnsi="Times New Roman"/>
          <w:sz w:val="14"/>
          <w:szCs w:val="14"/>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47" w:lineRule="exact"/>
        <w:rPr>
          <w:sz w:val="20"/>
          <w:szCs w:val="20"/>
          <w:color w:val="auto"/>
        </w:rPr>
      </w:pPr>
    </w:p>
    <w:p>
      <w:pPr>
        <w:ind w:right="100" w:firstLine="245"/>
        <w:spacing w:after="0" w:line="254" w:lineRule="auto"/>
        <w:rPr>
          <w:sz w:val="20"/>
          <w:szCs w:val="20"/>
          <w:color w:val="auto"/>
        </w:rPr>
      </w:pPr>
      <w:r>
        <w:rPr>
          <w:rFonts w:ascii="Times New Roman" w:cs="Times New Roman" w:eastAsia="Times New Roman" w:hAnsi="Times New Roman"/>
          <w:sz w:val="14"/>
          <w:szCs w:val="14"/>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fair values of our foreign currency contracts are estimated based on the prevailing exchange rates of the various hedged currencies as of the end of the period.</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do not hold or purchase any foreign currency forward contracts for trading 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 Designated as Hedges (“Cash Flow Hedges”)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total gross notional amounts and fair values of our Cash Flow Hedges are as follows (amounts in millions):</w:t>
      </w:r>
    </w:p>
    <w:p>
      <w:pPr>
        <w:sectPr>
          <w:pgSz w:w="11900" w:h="16838" w:orient="portrait"/>
          <w:cols w:equalWidth="0" w:num="1">
            <w:col w:w="11460"/>
          </w:cols>
          <w:pgMar w:left="220" w:top="127" w:right="219" w:bottom="1440" w:gutter="0" w:footer="0" w:header="0"/>
        </w:sectPr>
      </w:pPr>
    </w:p>
    <w:p>
      <w:pPr>
        <w:spacing w:after="0" w:line="29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279640"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63"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48"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Times New Roman" w:cs="Times New Roman" w:eastAsia="Times New Roman" w:hAnsi="Times New Roman"/>
          <w:sz w:val="14"/>
          <w:szCs w:val="14"/>
          <w:color w:val="auto"/>
        </w:rPr>
        <w:t>Buy USD, Sell Euro</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530</w:t>
        <w:tab/>
        <w:t>$</w:t>
      </w:r>
      <w:r>
        <w:rPr>
          <w:sz w:val="20"/>
          <w:szCs w:val="20"/>
          <w:color w:val="auto"/>
        </w:rPr>
        <w:tab/>
      </w: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723</w:t>
        <w:tab/>
        <w:t>$</w:t>
      </w:r>
      <w:r>
        <w:rPr>
          <w:sz w:val="20"/>
          <w:szCs w:val="20"/>
          <w:color w:val="auto"/>
        </w:rPr>
        <w:tab/>
      </w:r>
      <w:r>
        <w:rPr>
          <w:rFonts w:ascii="Times New Roman" w:cs="Times New Roman" w:eastAsia="Times New Roman" w:hAnsi="Times New Roman"/>
          <w:sz w:val="14"/>
          <w:szCs w:val="14"/>
          <w:color w:val="auto"/>
        </w:rPr>
        <w:t>12</w:t>
      </w:r>
    </w:p>
    <w:p>
      <w:pPr>
        <w:spacing w:after="0" w:line="187" w:lineRule="exact"/>
        <w:rPr>
          <w:sz w:val="20"/>
          <w:szCs w:val="20"/>
          <w:color w:val="auto"/>
        </w:rPr>
      </w:pPr>
    </w:p>
    <w:p>
      <w:pPr>
        <w:ind w:right="60" w:firstLine="245"/>
        <w:spacing w:after="0" w:line="254" w:lineRule="auto"/>
        <w:rPr>
          <w:sz w:val="20"/>
          <w:szCs w:val="20"/>
          <w:color w:val="auto"/>
        </w:rPr>
      </w:pPr>
      <w:r>
        <w:rPr>
          <w:rFonts w:ascii="Times New Roman" w:cs="Times New Roman" w:eastAsia="Times New Roman" w:hAnsi="Times New Roman"/>
          <w:sz w:val="14"/>
          <w:szCs w:val="14"/>
          <w:color w:val="auto"/>
        </w:rPr>
        <w:t>At March 31, 2019, our Cash Flow Hedges have remaining maturities of nine months or less. Additionally, $4 million of net realized but unrecognized gains are recorded within “Accumulated other comprehensive income (loss)” at March 31, 2019 for Cash Flow Hedges that had settled but were deferred and will be amortized into earnings, along with the associated hedged revenues. Such amounts will be reclassified into earnings within the next 12 months.</w:t>
      </w:r>
    </w:p>
    <w:p>
      <w:pPr>
        <w:spacing w:after="0" w:line="143" w:lineRule="exact"/>
        <w:rPr>
          <w:sz w:val="20"/>
          <w:szCs w:val="20"/>
          <w:color w:val="auto"/>
        </w:rPr>
      </w:pPr>
    </w:p>
    <w:p>
      <w:pPr>
        <w:ind w:right="220" w:firstLine="245"/>
        <w:spacing w:after="0" w:line="265" w:lineRule="auto"/>
        <w:rPr>
          <w:sz w:val="20"/>
          <w:szCs w:val="20"/>
          <w:color w:val="auto"/>
        </w:rPr>
      </w:pPr>
      <w:r>
        <w:rPr>
          <w:rFonts w:ascii="Times New Roman" w:cs="Times New Roman" w:eastAsia="Times New Roman" w:hAnsi="Times New Roman"/>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520" w:type="dxa"/>
            <w:vAlign w:val="bottom"/>
            <w:gridSpan w:val="3"/>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25"/>
        </w:trPr>
        <w:tc>
          <w:tcPr>
            <w:tcW w:w="36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59"/>
        </w:trPr>
        <w:tc>
          <w:tcPr>
            <w:tcW w:w="3680" w:type="dxa"/>
            <w:vAlign w:val="bottom"/>
          </w:tcPr>
          <w:p>
            <w:pPr>
              <w:spacing w:after="0"/>
              <w:rPr>
                <w:sz w:val="13"/>
                <w:szCs w:val="13"/>
                <w:color w:val="auto"/>
              </w:rPr>
            </w:pPr>
          </w:p>
        </w:tc>
        <w:tc>
          <w:tcPr>
            <w:tcW w:w="1480" w:type="dxa"/>
            <w:vAlign w:val="bottom"/>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2019</w:t>
            </w:r>
          </w:p>
        </w:tc>
        <w:tc>
          <w:tcPr>
            <w:tcW w:w="540" w:type="dxa"/>
            <w:vAlign w:val="bottom"/>
          </w:tcPr>
          <w:p>
            <w:pPr>
              <w:spacing w:after="0"/>
              <w:rPr>
                <w:sz w:val="13"/>
                <w:szCs w:val="13"/>
                <w:color w:val="auto"/>
              </w:rPr>
            </w:pP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Statement of Operations Classification</w:t>
            </w:r>
          </w:p>
        </w:tc>
      </w:tr>
      <w:tr>
        <w:trPr>
          <w:trHeight w:val="25"/>
        </w:trPr>
        <w:tc>
          <w:tcPr>
            <w:tcW w:w="3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7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Net revenues</w:t>
            </w:r>
          </w:p>
        </w:tc>
      </w:tr>
      <w:tr>
        <w:trPr>
          <w:trHeight w:val="21"/>
        </w:trPr>
        <w:tc>
          <w:tcPr>
            <w:tcW w:w="36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460"/>
          </w:cols>
          <w:pgMar w:left="220" w:top="127" w:right="219" w:bottom="1440" w:gutter="0" w:footer="0" w:header="0"/>
          <w:type w:val="continuous"/>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 Contracts Not Designated as Hedges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total gross notional amounts and fair values of our foreign currency forward contracts not designated as hedges are as follows (amounts in millions):</w:t>
      </w:r>
    </w:p>
    <w:p>
      <w:pPr>
        <w:sectPr>
          <w:pgSz w:w="11900" w:h="16838" w:orient="portrait"/>
          <w:cols w:equalWidth="0" w:num="1">
            <w:col w:w="11460"/>
          </w:cols>
          <w:pgMar w:left="220" w:top="127" w:right="219" w:bottom="1440" w:gutter="0" w:footer="0" w:header="0"/>
        </w:sectPr>
      </w:pPr>
    </w:p>
    <w:p>
      <w:pPr>
        <w:spacing w:after="0" w:line="32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2"/>
          <w:szCs w:val="12"/>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31115</wp:posOffset>
            </wp:positionV>
            <wp:extent cx="248094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31115</wp:posOffset>
            </wp:positionV>
            <wp:extent cx="246761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2"/>
          <w:szCs w:val="12"/>
          <w:b w:val="1"/>
          <w:bCs w:val="1"/>
          <w:color w:val="auto"/>
        </w:rPr>
        <w:t>Notional amount</w:t>
      </w:r>
      <w:r>
        <w:rPr>
          <w:sz w:val="20"/>
          <w:szCs w:val="20"/>
          <w:color w:val="auto"/>
        </w:rPr>
        <w:tab/>
      </w:r>
      <w:r>
        <w:rPr>
          <w:rFonts w:ascii="Times New Roman" w:cs="Times New Roman" w:eastAsia="Times New Roman" w:hAnsi="Times New Roman"/>
          <w:sz w:val="12"/>
          <w:szCs w:val="12"/>
          <w:b w:val="1"/>
          <w:bCs w:val="1"/>
          <w:color w:val="auto"/>
        </w:rPr>
        <w:t>Fair value gain (loss)</w:t>
      </w:r>
    </w:p>
    <w:p>
      <w:pPr>
        <w:spacing w:after="0" w:line="29" w:lineRule="exact"/>
        <w:rPr>
          <w:sz w:val="20"/>
          <w:szCs w:val="20"/>
          <w:color w:val="auto"/>
        </w:rPr>
      </w:pPr>
    </w:p>
    <w:p>
      <w:pPr>
        <w:sectPr>
          <w:pgSz w:w="11900" w:h="16838" w:orient="portrait"/>
          <w:cols w:equalWidth="0" w:num="2">
            <w:col w:w="7400" w:space="720"/>
            <w:col w:w="3340"/>
          </w:cols>
          <w:pgMar w:left="220" w:top="127"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USD, Sell SEK</w:t>
            </w:r>
          </w:p>
        </w:tc>
        <w:tc>
          <w:tcPr>
            <w:tcW w:w="8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EUR</w:t>
            </w:r>
          </w:p>
        </w:tc>
        <w:tc>
          <w:tcPr>
            <w:tcW w:w="8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Buy EUR, Sell USD</w:t>
            </w:r>
          </w:p>
        </w:tc>
        <w:tc>
          <w:tcPr>
            <w:tcW w:w="8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3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 USD, Sell GBP</w:t>
            </w:r>
          </w:p>
        </w:tc>
        <w:tc>
          <w:tcPr>
            <w:tcW w:w="8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55</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r>
      <w:tr>
        <w:trPr>
          <w:trHeight w:val="21"/>
        </w:trPr>
        <w:tc>
          <w:tcPr>
            <w:tcW w:w="35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months ended March 31, 2019 and 2018, pre-tax net gains (losses) associated with these forward contracts were recorded in “General and administrative expenses” and were not material.</w:t>
      </w:r>
    </w:p>
    <w:p>
      <w:pPr>
        <w:spacing w:after="0" w:line="166" w:lineRule="exact"/>
        <w:rPr>
          <w:sz w:val="20"/>
          <w:szCs w:val="20"/>
          <w:color w:val="auto"/>
        </w:rPr>
      </w:pPr>
    </w:p>
    <w:p>
      <w:pPr>
        <w:jc w:val="both"/>
        <w:ind w:right="60" w:firstLine="245"/>
        <w:spacing w:after="0" w:line="254" w:lineRule="auto"/>
        <w:rPr>
          <w:sz w:val="20"/>
          <w:szCs w:val="20"/>
          <w:color w:val="auto"/>
        </w:rPr>
      </w:pPr>
      <w:r>
        <w:rPr>
          <w:rFonts w:ascii="Times New Roman" w:cs="Times New Roman" w:eastAsia="Times New Roman" w:hAnsi="Times New Roman"/>
          <w:sz w:val="14"/>
          <w:szCs w:val="14"/>
          <w:color w:val="auto"/>
        </w:rPr>
        <w:t>In the absence of hedging activities for the three months ended March 31, 2019, a hypothetical adverse foreign currency exchange rate movement of 10% would have resulted in a theoretical decline of our net income of approximately $41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70" w:lineRule="exact"/>
        <w:rPr>
          <w:sz w:val="20"/>
          <w:szCs w:val="20"/>
          <w:color w:val="auto"/>
        </w:rPr>
      </w:pPr>
    </w:p>
    <w:p>
      <w:pPr>
        <w:ind w:right="120" w:firstLine="245"/>
        <w:spacing w:after="0" w:line="306" w:lineRule="auto"/>
        <w:rPr>
          <w:sz w:val="20"/>
          <w:szCs w:val="20"/>
          <w:color w:val="auto"/>
        </w:rPr>
      </w:pPr>
      <w:r>
        <w:rPr>
          <w:rFonts w:ascii="Times New Roman" w:cs="Times New Roman" w:eastAsia="Times New Roman" w:hAnsi="Times New Roman"/>
          <w:sz w:val="12"/>
          <w:szCs w:val="12"/>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March 31, 2019, our $4.7 billion of cash and cash equivalents was comprised primarily of money market funds.</w:t>
      </w:r>
    </w:p>
    <w:p>
      <w:pPr>
        <w:spacing w:after="0" w:line="114" w:lineRule="exact"/>
        <w:rPr>
          <w:sz w:val="20"/>
          <w:szCs w:val="20"/>
          <w:color w:val="auto"/>
        </w:rPr>
      </w:pPr>
    </w:p>
    <w:p>
      <w:pPr>
        <w:ind w:right="260" w:firstLine="245"/>
        <w:spacing w:after="0" w:line="265" w:lineRule="auto"/>
        <w:rPr>
          <w:sz w:val="20"/>
          <w:szCs w:val="20"/>
          <w:color w:val="auto"/>
        </w:rPr>
      </w:pPr>
      <w:r>
        <w:rPr>
          <w:rFonts w:ascii="Times New Roman" w:cs="Times New Roman" w:eastAsia="Times New Roman" w:hAnsi="Times New Roman"/>
          <w:sz w:val="14"/>
          <w:szCs w:val="14"/>
          <w:color w:val="auto"/>
        </w:rPr>
        <w:t>The Company has determined that, based on the composition of our investment portfolio as of March 31, 2019, there was no material interest rate risk exposure to the Company’s consolidated financial condition, results of operations, or liquidity as of that date.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460"/>
          </w:cols>
          <w:pgMar w:left="220" w:top="127" w:right="21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Disclosure Controls and Procedures</w:t>
      </w:r>
    </w:p>
    <w:p>
      <w:pPr>
        <w:spacing w:after="0" w:line="170" w:lineRule="exact"/>
        <w:rPr>
          <w:sz w:val="20"/>
          <w:szCs w:val="20"/>
          <w:color w:val="auto"/>
        </w:rPr>
      </w:pPr>
    </w:p>
    <w:p>
      <w:pPr>
        <w:ind w:firstLine="245"/>
        <w:spacing w:after="0" w:line="247" w:lineRule="auto"/>
        <w:rPr>
          <w:sz w:val="20"/>
          <w:szCs w:val="20"/>
          <w:color w:val="auto"/>
        </w:rPr>
      </w:pPr>
      <w:r>
        <w:rPr>
          <w:rFonts w:ascii="Times New Roman" w:cs="Times New Roman" w:eastAsia="Times New Roman" w:hAnsi="Times New Roman"/>
          <w:sz w:val="14"/>
          <w:szCs w:val="14"/>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70" w:lineRule="exact"/>
        <w:rPr>
          <w:sz w:val="20"/>
          <w:szCs w:val="20"/>
          <w:color w:val="auto"/>
        </w:rPr>
      </w:pPr>
    </w:p>
    <w:p>
      <w:pPr>
        <w:ind w:firstLine="245"/>
        <w:spacing w:after="0" w:line="249"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at March 31, 2019, the end of the period covered by this report. Based on this evaluation, the principal executive officer and principal financial officer concluded that, at March 31, 2019,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our management, including our principal executive officer and principal financial officer, as appropriate to allow timely decisions regarding required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0" w:lineRule="exact"/>
        <w:rPr>
          <w:sz w:val="20"/>
          <w:szCs w:val="20"/>
          <w:color w:val="auto"/>
        </w:rPr>
      </w:pPr>
    </w:p>
    <w:p>
      <w:pPr>
        <w:ind w:right="160" w:firstLine="245"/>
        <w:spacing w:after="0" w:line="251"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any changes in our internal control over financial reporting that occurred during the fiscal quarter ended March 31, 2019. Based on this evaluation, the principal executive officer and principal financial officer concluded that, at March 31, 2019, there have not been any changes in our internal control over financial reporting during the most recent fiscal quarter that have materially affected, or are reasonably likely to materially affect, our internal control over financial reporting. There were no significant changes to our internal control over financial reporting due to the adoption of the new lease accounting standard.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3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70" w:lineRule="exact"/>
        <w:rPr>
          <w:sz w:val="20"/>
          <w:szCs w:val="20"/>
          <w:color w:val="auto"/>
        </w:rPr>
      </w:pPr>
    </w:p>
    <w:p>
      <w:pPr>
        <w:ind w:right="20" w:firstLine="245"/>
        <w:spacing w:after="0" w:line="254" w:lineRule="auto"/>
        <w:rPr>
          <w:sz w:val="20"/>
          <w:szCs w:val="20"/>
          <w:color w:val="auto"/>
        </w:rPr>
      </w:pPr>
      <w:r>
        <w:rPr>
          <w:rFonts w:ascii="Times New Roman" w:cs="Times New Roman" w:eastAsia="Times New Roman" w:hAnsi="Times New Roman"/>
          <w:sz w:val="14"/>
          <w:szCs w:val="14"/>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Various risks associated with our business are described in Part I, Item 1A, “Risk Factors,” of our Annual Report on Form 10-K for the year ended December 31, 2018.</w:t>
      </w:r>
    </w:p>
    <w:p>
      <w:pPr>
        <w:spacing w:after="0" w:line="1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exhibits listed on the accompanying Exhibit Index are hereby incorporated by reference into this Quarterly Report on Form 10-Q.</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460"/>
          </w:cols>
          <w:pgMar w:left="220" w:top="127"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960" w:type="dxa"/>
            <w:vAlign w:val="bottom"/>
            <w:gridSpan w:val="3"/>
          </w:tcPr>
          <w:p>
            <w:pPr>
              <w:jc w:val="right"/>
              <w:ind w:right="1000"/>
              <w:spacing w:after="0"/>
              <w:rPr>
                <w:rFonts w:ascii="Times New Roman" w:cs="Times New Roman" w:eastAsia="Times New Roman" w:hAnsi="Times New Roman"/>
                <w:sz w:val="14"/>
                <w:szCs w:val="14"/>
                <w:color w:val="0000EE"/>
                <w:w w:val="93"/>
              </w:rPr>
            </w:pPr>
            <w:hyperlink w:anchor="page2">
              <w:r>
                <w:rPr>
                  <w:rFonts w:ascii="Times New Roman" w:cs="Times New Roman" w:eastAsia="Times New Roman" w:hAnsi="Times New Roman"/>
                  <w:sz w:val="14"/>
                  <w:szCs w:val="14"/>
                  <w:color w:val="0000EE"/>
                  <w:w w:val="93"/>
                </w:rPr>
                <w:t>Table of Contents</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3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50"/>
        </w:trPr>
        <w:tc>
          <w:tcPr>
            <w:tcW w:w="19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360" w:type="dxa"/>
            <w:vAlign w:val="bottom"/>
            <w:gridSpan w:val="8"/>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8"/>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w w:val="97"/>
              </w:rPr>
            </w:pPr>
            <w:hyperlink r:id="rId44">
              <w:r>
                <w:rPr>
                  <w:rFonts w:ascii="Times New Roman" w:cs="Times New Roman" w:eastAsia="Times New Roman" w:hAnsi="Times New Roman"/>
                  <w:sz w:val="14"/>
                  <w:szCs w:val="14"/>
                  <w:color w:val="0000FF"/>
                  <w:w w:val="97"/>
                </w:rPr>
                <w:t>Third Amended and Restated Certificate of Incorporation of Activision Blizzard, Inc., dated June 5, 2014 (incorporated by reference to Exhibit 3.1 of the Company’s Form</w:t>
              </w:r>
            </w:hyperlink>
          </w:p>
        </w:tc>
        <w:tc>
          <w:tcPr>
            <w:tcW w:w="140" w:type="dxa"/>
            <w:vAlign w:val="bottom"/>
            <w:gridSpan w:val="4"/>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0000FF"/>
            </w:tcBorders>
            <w:gridSpan w:val="4"/>
          </w:tcPr>
          <w:p>
            <w:pPr>
              <w:spacing w:after="0" w:line="144" w:lineRule="exact"/>
              <w:rPr>
                <w:rFonts w:ascii="Times New Roman" w:cs="Times New Roman" w:eastAsia="Times New Roman" w:hAnsi="Times New Roman"/>
                <w:sz w:val="14"/>
                <w:szCs w:val="14"/>
                <w:color w:val="0000FF"/>
                <w:w w:val="96"/>
              </w:rPr>
            </w:pPr>
            <w:hyperlink r:id="rId44">
              <w:r>
                <w:rPr>
                  <w:rFonts w:ascii="Times New Roman" w:cs="Times New Roman" w:eastAsia="Times New Roman" w:hAnsi="Times New Roman"/>
                  <w:sz w:val="14"/>
                  <w:szCs w:val="14"/>
                  <w:color w:val="0000FF"/>
                  <w:w w:val="96"/>
                </w:rPr>
                <w:t>8-K, filed June 6, 2014).</w:t>
              </w:r>
            </w:hyperlink>
          </w:p>
        </w:tc>
        <w:tc>
          <w:tcPr>
            <w:tcW w:w="8140" w:type="dxa"/>
            <w:vAlign w:val="bottom"/>
            <w:gridSpan w:val="9"/>
          </w:tcPr>
          <w:p>
            <w:pPr>
              <w:spacing w:after="0"/>
              <w:rPr>
                <w:sz w:val="12"/>
                <w:szCs w:val="12"/>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7"/>
              </w:rPr>
            </w:pPr>
            <w:hyperlink r:id="rId45">
              <w:r>
                <w:rPr>
                  <w:rFonts w:ascii="Times New Roman" w:cs="Times New Roman" w:eastAsia="Times New Roman" w:hAnsi="Times New Roman"/>
                  <w:sz w:val="14"/>
                  <w:szCs w:val="14"/>
                  <w:color w:val="0000FF"/>
                  <w:w w:val="97"/>
                </w:rPr>
                <w:t>Fourth Amended and Restated Bylaws of Activision Blizzard, Inc., adopted as of February 1, 2018 (incorporated by reference to Exhibit 3.1 of the Company’s Form 8-K/A,</w:t>
              </w:r>
            </w:hyperlink>
          </w:p>
        </w:tc>
        <w:tc>
          <w:tcPr>
            <w:tcW w:w="80" w:type="dxa"/>
            <w:vAlign w:val="bottom"/>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13"/>
          </w:tcPr>
          <w:p>
            <w:pPr>
              <w:spacing w:after="0" w:line="144" w:lineRule="exact"/>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filed March 21, 2018).</w:t>
              </w:r>
            </w:hyperlink>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rPr>
            </w:pPr>
            <w:hyperlink w:anchor="page55">
              <w:r>
                <w:rPr>
                  <w:rFonts w:ascii="Times New Roman" w:cs="Times New Roman" w:eastAsia="Times New Roman" w:hAnsi="Times New Roman"/>
                  <w:sz w:val="14"/>
                  <w:szCs w:val="14"/>
                  <w:color w:val="0000FF"/>
                </w:rPr>
                <w:t>Employment Agreement, dated as of May 18, 2016, between Brian Stolz and the Company.</w:t>
              </w:r>
            </w:hyperlink>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rPr>
            </w:pPr>
            <w:hyperlink w:anchor="page76">
              <w:r>
                <w:rPr>
                  <w:rFonts w:ascii="Times New Roman" w:cs="Times New Roman" w:eastAsia="Times New Roman" w:hAnsi="Times New Roman"/>
                  <w:sz w:val="14"/>
                  <w:szCs w:val="14"/>
                  <w:color w:val="0000FF"/>
                </w:rPr>
                <w:t>Employment Agreement, dated as of November 1, 2016, between Chris B. Walther and the Company.</w:t>
              </w:r>
            </w:hyperlink>
          </w:p>
        </w:tc>
      </w:tr>
      <w:tr>
        <w:trPr>
          <w:trHeight w:val="430"/>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3"/>
              </w:rPr>
              <w:t>10.3*†</w:t>
            </w:r>
          </w:p>
        </w:tc>
        <w:tc>
          <w:tcPr>
            <w:tcW w:w="20" w:type="dxa"/>
            <w:vAlign w:val="bottom"/>
          </w:tcPr>
          <w:p>
            <w:pPr>
              <w:spacing w:after="0"/>
              <w:rPr>
                <w:sz w:val="24"/>
                <w:szCs w:val="24"/>
                <w:color w:val="auto"/>
              </w:rPr>
            </w:pPr>
          </w:p>
        </w:tc>
        <w:tc>
          <w:tcPr>
            <w:tcW w:w="31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w w:val="96"/>
              </w:rPr>
            </w:pPr>
            <w:hyperlink w:anchor="page97">
              <w:r>
                <w:rPr>
                  <w:rFonts w:ascii="Times New Roman" w:cs="Times New Roman" w:eastAsia="Times New Roman" w:hAnsi="Times New Roman"/>
                  <w:sz w:val="14"/>
                  <w:szCs w:val="14"/>
                  <w:color w:val="0000FF"/>
                  <w:w w:val="96"/>
                </w:rPr>
                <w:t>King Profit Sharing Plan, effective as of January 1, 2019.</w:t>
              </w:r>
            </w:hyperlink>
          </w:p>
        </w:tc>
        <w:tc>
          <w:tcPr>
            <w:tcW w:w="2420" w:type="dxa"/>
            <w:vAlign w:val="bottom"/>
            <w:tcBorders>
              <w:top w:val="single" w:sz="8" w:color="0000FF"/>
            </w:tcBorders>
            <w:gridSpan w:val="3"/>
          </w:tcPr>
          <w:p>
            <w:pPr>
              <w:spacing w:after="0"/>
              <w:rPr>
                <w:sz w:val="24"/>
                <w:szCs w:val="24"/>
                <w:color w:val="auto"/>
              </w:rPr>
            </w:pPr>
          </w:p>
        </w:tc>
        <w:tc>
          <w:tcPr>
            <w:tcW w:w="3940" w:type="dxa"/>
            <w:vAlign w:val="bottom"/>
            <w:gridSpan w:val="5"/>
          </w:tcPr>
          <w:p>
            <w:pPr>
              <w:spacing w:after="0"/>
              <w:rPr>
                <w:sz w:val="24"/>
                <w:szCs w:val="24"/>
                <w:color w:val="auto"/>
              </w:rPr>
            </w:pPr>
          </w:p>
        </w:tc>
      </w:tr>
      <w:tr>
        <w:trPr>
          <w:trHeight w:val="430"/>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w w:val="98"/>
              </w:rPr>
            </w:pPr>
            <w:hyperlink w:anchor="page102">
              <w:r>
                <w:rPr>
                  <w:rFonts w:ascii="Times New Roman" w:cs="Times New Roman" w:eastAsia="Times New Roman" w:hAnsi="Times New Roman"/>
                  <w:sz w:val="14"/>
                  <w:szCs w:val="14"/>
                  <w:color w:val="0000FF"/>
                  <w:w w:val="98"/>
                </w:rPr>
                <w:t>Certification of Robert A. Kotick pursuant to Rule 13a-14(a) under the Securities and Exchange Act of 1934, as adopted pursuant to Section 302 of the Sarbanes-Oxley Act</w:t>
              </w:r>
            </w:hyperlink>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4"/>
                <w:szCs w:val="14"/>
                <w:color w:val="0000FF"/>
                <w:w w:val="94"/>
              </w:rPr>
            </w:pPr>
            <w:hyperlink w:anchor="page102">
              <w:r>
                <w:rPr>
                  <w:rFonts w:ascii="Times New Roman" w:cs="Times New Roman" w:eastAsia="Times New Roman" w:hAnsi="Times New Roman"/>
                  <w:sz w:val="14"/>
                  <w:szCs w:val="14"/>
                  <w:color w:val="0000FF"/>
                  <w:w w:val="94"/>
                </w:rPr>
                <w:t>of 2002.</w:t>
              </w:r>
            </w:hyperlink>
          </w:p>
        </w:tc>
        <w:tc>
          <w:tcPr>
            <w:tcW w:w="8900" w:type="dxa"/>
            <w:vAlign w:val="bottom"/>
            <w:tcBorders>
              <w:top w:val="single" w:sz="8" w:color="0000FF"/>
            </w:tcBorders>
            <w:gridSpan w:val="8"/>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7"/>
              </w:rPr>
            </w:pPr>
            <w:hyperlink w:anchor="page103">
              <w:r>
                <w:rPr>
                  <w:rFonts w:ascii="Times New Roman" w:cs="Times New Roman" w:eastAsia="Times New Roman" w:hAnsi="Times New Roman"/>
                  <w:sz w:val="14"/>
                  <w:szCs w:val="14"/>
                  <w:color w:val="0000FF"/>
                  <w:w w:val="97"/>
                </w:rPr>
                <w:t>Certification of Dennis Durkin pursuant to Rule 13a-14(a) under the Securities and Exchange Act of 1934, as adopted pursuant to Section 302 of the Sarbanes-Oxley Act of</w:t>
              </w:r>
            </w:hyperlink>
          </w:p>
        </w:tc>
        <w:tc>
          <w:tcPr>
            <w:tcW w:w="100" w:type="dxa"/>
            <w:vAlign w:val="bottom"/>
            <w:gridSpan w:val="2"/>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ind w:left="20"/>
              <w:spacing w:after="0" w:line="144" w:lineRule="exact"/>
              <w:rPr>
                <w:rFonts w:ascii="Times New Roman" w:cs="Times New Roman" w:eastAsia="Times New Roman" w:hAnsi="Times New Roman"/>
                <w:sz w:val="14"/>
                <w:szCs w:val="14"/>
                <w:color w:val="0000FF"/>
                <w:w w:val="88"/>
              </w:rPr>
            </w:pPr>
            <w:hyperlink w:anchor="page103">
              <w:r>
                <w:rPr>
                  <w:rFonts w:ascii="Times New Roman" w:cs="Times New Roman" w:eastAsia="Times New Roman" w:hAnsi="Times New Roman"/>
                  <w:sz w:val="14"/>
                  <w:szCs w:val="14"/>
                  <w:color w:val="0000FF"/>
                  <w:w w:val="88"/>
                </w:rPr>
                <w:t>2002.</w:t>
              </w:r>
            </w:hyperlink>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3"/>
          </w:tcPr>
          <w:p>
            <w:pPr>
              <w:spacing w:after="0"/>
              <w:rPr>
                <w:rFonts w:ascii="Times New Roman" w:cs="Times New Roman" w:eastAsia="Times New Roman" w:hAnsi="Times New Roman"/>
                <w:sz w:val="14"/>
                <w:szCs w:val="14"/>
                <w:color w:val="0000FF"/>
              </w:rPr>
            </w:pPr>
            <w:hyperlink w:anchor="page104">
              <w:r>
                <w:rPr>
                  <w:rFonts w:ascii="Times New Roman" w:cs="Times New Roman" w:eastAsia="Times New Roman" w:hAnsi="Times New Roman"/>
                  <w:sz w:val="14"/>
                  <w:szCs w:val="14"/>
                  <w:color w:val="0000FF"/>
                </w:rPr>
                <w:t>Certification of Robert A. Kotick pursuant to Section 906 of the Sarbanes-Oxley Act of 2002.</w:t>
              </w:r>
            </w:hyperlink>
          </w:p>
        </w:tc>
      </w:tr>
      <w:tr>
        <w:trPr>
          <w:trHeight w:val="389"/>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FF"/>
            </w:tcBorders>
            <w:gridSpan w:val="7"/>
          </w:tcPr>
          <w:p>
            <w:pPr>
              <w:spacing w:after="0"/>
              <w:rPr>
                <w:rFonts w:ascii="Times New Roman" w:cs="Times New Roman" w:eastAsia="Times New Roman" w:hAnsi="Times New Roman"/>
                <w:sz w:val="14"/>
                <w:szCs w:val="14"/>
                <w:color w:val="0000FF"/>
                <w:w w:val="99"/>
              </w:rPr>
            </w:pPr>
            <w:hyperlink w:anchor="page105">
              <w:r>
                <w:rPr>
                  <w:rFonts w:ascii="Times New Roman" w:cs="Times New Roman" w:eastAsia="Times New Roman" w:hAnsi="Times New Roman"/>
                  <w:sz w:val="14"/>
                  <w:szCs w:val="14"/>
                  <w:color w:val="0000FF"/>
                  <w:w w:val="99"/>
                </w:rPr>
                <w:t>Certification of Dennis Durkin pursuant to Section 906 of the Sarbanes-Oxley Act of 2002.</w:t>
              </w:r>
            </w:hyperlink>
          </w:p>
        </w:tc>
        <w:tc>
          <w:tcPr>
            <w:tcW w:w="4380" w:type="dxa"/>
            <w:vAlign w:val="bottom"/>
            <w:gridSpan w:val="6"/>
          </w:tcPr>
          <w:p>
            <w:pPr>
              <w:spacing w:after="0"/>
              <w:rPr>
                <w:sz w:val="24"/>
                <w:szCs w:val="24"/>
                <w:color w:val="auto"/>
              </w:rPr>
            </w:pPr>
          </w:p>
        </w:tc>
      </w:tr>
      <w:tr>
        <w:trPr>
          <w:trHeight w:val="20"/>
        </w:trPr>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6"/>
            <w:shd w:val="clear" w:color="auto" w:fill="0000FF"/>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r>
      <w:tr>
        <w:trPr>
          <w:trHeight w:val="460"/>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409"/>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6"/>
              </w:rPr>
              <w:t>101.SCH</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r>
      <w:tr>
        <w:trPr>
          <w:trHeight w:val="409"/>
        </w:trPr>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409"/>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24"/>
                <w:szCs w:val="24"/>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bl>
    <w:p>
      <w:pPr>
        <w:spacing w:after="0" w:line="172" w:lineRule="exact"/>
        <w:rPr>
          <w:sz w:val="20"/>
          <w:szCs w:val="20"/>
          <w:color w:val="auto"/>
        </w:rPr>
      </w:pPr>
    </w:p>
    <w:p>
      <w:pPr>
        <w:ind w:left="240" w:hanging="238"/>
        <w:spacing w:after="0"/>
        <w:tabs>
          <w:tab w:leader="none" w:pos="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contract or arrangement in which a director or executive officer of the Company participates.</w:t>
      </w:r>
    </w:p>
    <w:p>
      <w:pPr>
        <w:spacing w:after="0" w:line="166" w:lineRule="exact"/>
        <w:rPr>
          <w:sz w:val="20"/>
          <w:szCs w:val="20"/>
          <w:color w:val="auto"/>
        </w:rPr>
      </w:pPr>
    </w:p>
    <w:p>
      <w:pPr>
        <w:ind w:left="5660" w:right="2460" w:hanging="5658"/>
        <w:spacing w:after="0" w:line="783" w:lineRule="auto"/>
        <w:tabs>
          <w:tab w:leader="none" w:pos="24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requested as to portions of the exhibit. Confidential materials omitted and filed separately with the Securities and Exchange Commission. 53</w:t>
      </w:r>
    </w:p>
    <w:p>
      <w:pPr>
        <w:sectPr>
          <w:pgSz w:w="11900" w:h="16838" w:orient="portrait"/>
          <w:cols w:equalWidth="0" w:num="1">
            <w:col w:w="11460"/>
          </w:cols>
          <w:pgMar w:left="220" w:top="112" w:right="21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2,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ACTIVISION BLIZZARD,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DENNIS DURKIN</w:t>
            </w:r>
          </w:p>
        </w:tc>
        <w:tc>
          <w:tcPr>
            <w:tcW w:w="24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STEPHEN WEREB</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7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Dennis Durkin</w:t>
            </w:r>
          </w:p>
        </w:tc>
        <w:tc>
          <w:tcPr>
            <w:tcW w:w="24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Wereb</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Deputy Chief Financial Officer, Chief Accounting Officer,</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and Principal Accounting Officer of</w:t>
            </w:r>
          </w:p>
        </w:tc>
      </w:tr>
      <w:tr>
        <w:trPr>
          <w:trHeight w:val="20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Activision Blizzard, Inc.</w:t>
            </w:r>
          </w:p>
        </w:tc>
        <w:tc>
          <w:tcPr>
            <w:tcW w:w="24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Activision Blizzard, Inc.</w:t>
            </w:r>
          </w:p>
        </w:tc>
      </w:tr>
      <w:tr>
        <w:trPr>
          <w:trHeight w:val="368"/>
        </w:trPr>
        <w:tc>
          <w:tcPr>
            <w:tcW w:w="56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5600" w:type="dxa"/>
            <w:vAlign w:val="bottom"/>
          </w:tcPr>
          <w:p>
            <w:pPr>
              <w:spacing w:after="0"/>
              <w:rPr>
                <w:sz w:val="24"/>
                <w:szCs w:val="24"/>
                <w:color w:val="auto"/>
              </w:rPr>
            </w:pPr>
          </w:p>
        </w:tc>
      </w:tr>
    </w:tbl>
    <w:p>
      <w:pPr>
        <w:sectPr>
          <w:pgSz w:w="11900" w:h="16838" w:orient="portrait"/>
          <w:cols w:equalWidth="0" w:num="1">
            <w:col w:w="11460"/>
          </w:cols>
          <w:pgMar w:left="220" w:top="127" w:right="219" w:bottom="1440" w:gutter="0" w:footer="0" w:header="0"/>
        </w:sectPr>
      </w:pPr>
    </w:p>
    <w:bookmarkStart w:id="54" w:name="page55"/>
    <w:bookmarkEnd w:id="54"/>
    <w:p>
      <w:pPr>
        <w:ind w:left="1062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174" w:lineRule="exact"/>
        <w:rPr>
          <w:sz w:val="20"/>
          <w:szCs w:val="20"/>
          <w:color w:val="auto"/>
        </w:rPr>
      </w:pPr>
    </w:p>
    <w:p>
      <w:pPr>
        <w:ind w:firstLine="491"/>
        <w:spacing w:after="0" w:line="297" w:lineRule="auto"/>
        <w:rPr>
          <w:sz w:val="20"/>
          <w:szCs w:val="20"/>
          <w:color w:val="auto"/>
        </w:rPr>
      </w:pPr>
      <w:r>
        <w:rPr>
          <w:rFonts w:ascii="Times New Roman" w:cs="Times New Roman" w:eastAsia="Times New Roman" w:hAnsi="Times New Roman"/>
          <w:sz w:val="16"/>
          <w:szCs w:val="16"/>
          <w:color w:val="auto"/>
        </w:rPr>
        <w:t>THIS EMPLOYMENT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entered into effective as of the date signed by the Employer, between Activision Blizzard, Inc. (the “</w:t>
      </w:r>
      <w:r>
        <w:rPr>
          <w:rFonts w:ascii="Times New Roman" w:cs="Times New Roman" w:eastAsia="Times New Roman" w:hAnsi="Times New Roman"/>
          <w:sz w:val="16"/>
          <w:szCs w:val="16"/>
          <w:b w:val="1"/>
          <w:bCs w:val="1"/>
          <w:i w:val="1"/>
          <w:iCs w:val="1"/>
          <w:color w:val="auto"/>
        </w:rPr>
        <w:t>Employer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Activision Blizzard</w:t>
      </w:r>
      <w:r>
        <w:rPr>
          <w:rFonts w:ascii="Times New Roman" w:cs="Times New Roman" w:eastAsia="Times New Roman" w:hAnsi="Times New Roman"/>
          <w:sz w:val="16"/>
          <w:szCs w:val="16"/>
          <w:color w:val="auto"/>
        </w:rPr>
        <w:t>” and, together with its subsidiaries, the “</w:t>
      </w:r>
      <w:r>
        <w:rPr>
          <w:rFonts w:ascii="Times New Roman" w:cs="Times New Roman" w:eastAsia="Times New Roman" w:hAnsi="Times New Roman"/>
          <w:sz w:val="16"/>
          <w:szCs w:val="16"/>
          <w:b w:val="1"/>
          <w:bCs w:val="1"/>
          <w:i w:val="1"/>
          <w:iCs w:val="1"/>
          <w:color w:val="auto"/>
        </w:rPr>
        <w:t>Activision Blizzard Group</w:t>
      </w:r>
      <w:r>
        <w:rPr>
          <w:rFonts w:ascii="Times New Roman" w:cs="Times New Roman" w:eastAsia="Times New Roman" w:hAnsi="Times New Roman"/>
          <w:sz w:val="16"/>
          <w:szCs w:val="16"/>
          <w:color w:val="auto"/>
        </w:rPr>
        <w:t>”), and Brian Stolz (“</w:t>
      </w:r>
      <w:r>
        <w:rPr>
          <w:rFonts w:ascii="Times New Roman" w:cs="Times New Roman" w:eastAsia="Times New Roman" w:hAnsi="Times New Roman"/>
          <w:sz w:val="16"/>
          <w:szCs w:val="16"/>
          <w:b w:val="1"/>
          <w:bCs w:val="1"/>
          <w:i w:val="1"/>
          <w:iCs w:val="1"/>
          <w:color w:val="auto"/>
        </w:rPr>
        <w:t>you</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RECITAL</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Employer desires to employ you, and you desire to be so employed by the Employer, on the terms and subject to the conditions set forth in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AGREEMENT</w:t>
      </w:r>
    </w:p>
    <w:p>
      <w:pPr>
        <w:spacing w:after="0" w:line="1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promises set forth in this Agreement, the Employer and you hereby agree as follows:</w:t>
      </w:r>
    </w:p>
    <w:p>
      <w:pPr>
        <w:spacing w:after="0" w:line="170" w:lineRule="exact"/>
        <w:rPr>
          <w:sz w:val="20"/>
          <w:szCs w:val="20"/>
          <w:color w:val="auto"/>
        </w:rPr>
      </w:pPr>
    </w:p>
    <w:p>
      <w:pPr>
        <w:ind w:left="620" w:hanging="618"/>
        <w:spacing w:after="0"/>
        <w:tabs>
          <w:tab w:leader="none" w:pos="62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 of Employment</w:t>
      </w:r>
    </w:p>
    <w:p>
      <w:pPr>
        <w:spacing w:after="0" w:line="173" w:lineRule="exact"/>
        <w:rPr>
          <w:rFonts w:ascii="Times New Roman" w:cs="Times New Roman" w:eastAsia="Times New Roman" w:hAnsi="Times New Roman"/>
          <w:sz w:val="16"/>
          <w:szCs w:val="16"/>
          <w:b w:val="1"/>
          <w:bCs w:val="1"/>
          <w:color w:val="auto"/>
        </w:rPr>
      </w:pPr>
    </w:p>
    <w:p>
      <w:pPr>
        <w:jc w:val="both"/>
        <w:ind w:left="60" w:firstLine="494"/>
        <w:spacing w:after="0" w:line="265" w:lineRule="auto"/>
        <w:tabs>
          <w:tab w:leader="none" w:pos="889"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your employment under this Agreement (the “</w:t>
      </w:r>
      <w:r>
        <w:rPr>
          <w:rFonts w:ascii="Times New Roman" w:cs="Times New Roman" w:eastAsia="Times New Roman" w:hAnsi="Times New Roman"/>
          <w:sz w:val="16"/>
          <w:szCs w:val="16"/>
          <w:b w:val="1"/>
          <w:bCs w:val="1"/>
          <w:i w:val="1"/>
          <w:iCs w:val="1"/>
          <w:color w:val="auto"/>
        </w:rPr>
        <w:t>Term</w:t>
      </w:r>
      <w:r>
        <w:rPr>
          <w:rFonts w:ascii="Times New Roman" w:cs="Times New Roman" w:eastAsia="Times New Roman" w:hAnsi="Times New Roman"/>
          <w:sz w:val="16"/>
          <w:szCs w:val="16"/>
          <w:color w:val="auto"/>
        </w:rPr>
        <w:t>”) shall commence on May 30, 2016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and shall end on May 31, 2019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(or such earlier date on which your employment is terminated under Section 9). The Employer shall have the option to extend the Term by up to one year by notifying you in writing of its intent to do so at least six (6) months prior to the original Expiration Date. The final date of any such extended Term shall thereafter be referred to as the “Expiration Date” for purposes of this Agreement and the Term shall end on such date (or such earlier date on which your employment is terminated). Except as set forth in Section 11(s), upon the Expiration Date (or such earlier date on which your employment is terminated) all obligations and rights under this Agreement shall immediately lapse.</w:t>
      </w:r>
    </w:p>
    <w:p>
      <w:pPr>
        <w:spacing w:after="0" w:line="327" w:lineRule="exact"/>
        <w:rPr>
          <w:rFonts w:ascii="Times New Roman" w:cs="Times New Roman" w:eastAsia="Times New Roman" w:hAnsi="Times New Roman"/>
          <w:sz w:val="16"/>
          <w:szCs w:val="16"/>
          <w:color w:val="auto"/>
        </w:rPr>
      </w:pPr>
    </w:p>
    <w:p>
      <w:pPr>
        <w:jc w:val="both"/>
        <w:ind w:left="60" w:firstLine="494"/>
        <w:spacing w:after="0" w:line="279" w:lineRule="auto"/>
        <w:tabs>
          <w:tab w:leader="none" w:pos="87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and the Employer each agree to provide the other with at least six (6) months’ notice of any intent not to continue your employment following the Expiration Date. If your employment continues beyond the Expiration Date, you shall be an at-will employee whose employment may be terminated by either party to this Agreement at any time for any reason.</w:t>
      </w:r>
    </w:p>
    <w:p>
      <w:pPr>
        <w:spacing w:after="0" w:line="111"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Compensation</w:t>
      </w:r>
    </w:p>
    <w:p>
      <w:pPr>
        <w:spacing w:after="0" w:line="188" w:lineRule="exact"/>
        <w:rPr>
          <w:rFonts w:ascii="Times New Roman" w:cs="Times New Roman" w:eastAsia="Times New Roman" w:hAnsi="Times New Roman"/>
          <w:sz w:val="16"/>
          <w:szCs w:val="16"/>
          <w:b w:val="1"/>
          <w:bCs w:val="1"/>
          <w:color w:val="auto"/>
        </w:rPr>
      </w:pPr>
    </w:p>
    <w:p>
      <w:pPr>
        <w:ind w:left="60" w:firstLine="494"/>
        <w:spacing w:after="0" w:line="305" w:lineRule="auto"/>
        <w:tabs>
          <w:tab w:leader="none" w:pos="91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in full consideration for all rights and services provided by you under this Agreement, during the Term you shall receive only the compensation set forth in this Section 2.</w:t>
      </w:r>
    </w:p>
    <w:p>
      <w:pPr>
        <w:spacing w:after="0" w:line="90" w:lineRule="exact"/>
        <w:rPr>
          <w:rFonts w:ascii="Times New Roman" w:cs="Times New Roman" w:eastAsia="Times New Roman" w:hAnsi="Times New Roman"/>
          <w:sz w:val="16"/>
          <w:szCs w:val="16"/>
          <w:color w:val="auto"/>
        </w:rPr>
      </w:pPr>
    </w:p>
    <w:p>
      <w:pPr>
        <w:ind w:left="60" w:firstLine="494"/>
        <w:spacing w:after="0" w:line="310" w:lineRule="auto"/>
        <w:tabs>
          <w:tab w:leader="none" w:pos="878"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on the Effective Date, you shall receive an annual base salary (“</w:t>
      </w:r>
      <w:r>
        <w:rPr>
          <w:rFonts w:ascii="Times New Roman" w:cs="Times New Roman" w:eastAsia="Times New Roman" w:hAnsi="Times New Roman"/>
          <w:sz w:val="16"/>
          <w:szCs w:val="16"/>
          <w:b w:val="1"/>
          <w:bCs w:val="1"/>
          <w:i w:val="1"/>
          <w:iCs w:val="1"/>
          <w:color w:val="auto"/>
        </w:rPr>
        <w:t>Base Salary</w:t>
      </w:r>
      <w:r>
        <w:rPr>
          <w:rFonts w:ascii="Times New Roman" w:cs="Times New Roman" w:eastAsia="Times New Roman" w:hAnsi="Times New Roman"/>
          <w:sz w:val="16"/>
          <w:szCs w:val="16"/>
          <w:color w:val="auto"/>
        </w:rPr>
        <w:t>”) of $650,000, which shall be paid in accordance with the Employer’s payroll policies. Your Base Salary shall be reviewed periodically and may be increased by an amount determined by the Employer, in its sole and absolute discretion.</w:t>
      </w:r>
    </w:p>
    <w:p>
      <w:pPr>
        <w:spacing w:after="0" w:line="27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460"/>
          </w:cols>
          <w:pgMar w:left="220" w:top="831" w:right="219" w:bottom="1440" w:gutter="0" w:footer="0" w:header="0"/>
        </w:sectPr>
      </w:pPr>
    </w:p>
    <w:bookmarkStart w:id="55" w:name="page56"/>
    <w:bookmarkEnd w:id="55"/>
    <w:p>
      <w:pPr>
        <w:jc w:val="both"/>
        <w:ind w:left="-494" w:firstLine="494"/>
        <w:spacing w:after="0" w:line="248" w:lineRule="auto"/>
        <w:tabs>
          <w:tab w:leader="none" w:pos="37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eligible to receive an annual discretionary bonus (the “</w:t>
      </w:r>
      <w:r>
        <w:rPr>
          <w:rFonts w:ascii="Times New Roman" w:cs="Times New Roman" w:eastAsia="Times New Roman" w:hAnsi="Times New Roman"/>
          <w:sz w:val="16"/>
          <w:szCs w:val="16"/>
          <w:b w:val="1"/>
          <w:bCs w:val="1"/>
          <w:i w:val="1"/>
          <w:iCs w:val="1"/>
          <w:color w:val="auto"/>
        </w:rPr>
        <w:t>Annual Bonus</w:t>
      </w:r>
      <w:r>
        <w:rPr>
          <w:rFonts w:ascii="Times New Roman" w:cs="Times New Roman" w:eastAsia="Times New Roman" w:hAnsi="Times New Roman"/>
          <w:sz w:val="16"/>
          <w:szCs w:val="16"/>
          <w:color w:val="auto"/>
        </w:rPr>
        <w:t>”). Your target Annual Bonus for each calendar year will be seventy-five percent (75%) of your Base Salary. In all instances, the actual amount of the Annual Bonus, if any, shall be determined by the Employer, in its sole and absolute discretion, and may be based on, among other things, the portion of the year falling in the Term, your overall performance and the performance of the Employer, Activision Blizzard and the Activision Blizzard Group. The Annual Bonus, if any, will be paid at the same time bonuses for that year are generally paid to other executives, but in no event earlier than the first day of the first month, or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Annual Bonus relates. Except as otherwise set forth herein, you must remain continuously employed by the Activision Blizzard Group through the date on which an Annual Bonus, if any, is paid to be eligible to receive such Annual Bonus.</w:t>
      </w:r>
    </w:p>
    <w:p>
      <w:pPr>
        <w:spacing w:after="0" w:line="333"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3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approval of the Compensation Committee of the Board of Directors of Activision Blizzard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Activision Blizzard will grant to you equity awards with a total target grant value of $6,500,000 (and a total grant value of $7,475,000 if the 2016 Maximum PSU Grant Value (as defined below) were achieved) as follows:</w:t>
      </w:r>
    </w:p>
    <w:p>
      <w:pPr>
        <w:spacing w:after="0" w:line="112" w:lineRule="exact"/>
        <w:rPr>
          <w:rFonts w:ascii="Times New Roman" w:cs="Times New Roman" w:eastAsia="Times New Roman" w:hAnsi="Times New Roman"/>
          <w:sz w:val="16"/>
          <w:szCs w:val="16"/>
          <w:color w:val="auto"/>
        </w:rPr>
      </w:pPr>
    </w:p>
    <w:p>
      <w:pPr>
        <w:jc w:val="both"/>
        <w:ind w:left="926" w:hanging="496"/>
        <w:spacing w:after="0" w:line="259" w:lineRule="auto"/>
        <w:tabs>
          <w:tab w:leader="none" w:pos="926"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Activision Blizzard shall grant to you non-qualified stock options to purchase shares of Activision Blizzard’s common stock with a total grant value of approximately $2,600,000 (the “</w:t>
      </w:r>
      <w:r>
        <w:rPr>
          <w:rFonts w:ascii="Times New Roman" w:cs="Times New Roman" w:eastAsia="Times New Roman" w:hAnsi="Times New Roman"/>
          <w:sz w:val="16"/>
          <w:szCs w:val="16"/>
          <w:b w:val="1"/>
          <w:bCs w:val="1"/>
          <w:i w:val="1"/>
          <w:iCs w:val="1"/>
          <w:color w:val="auto"/>
        </w:rPr>
        <w:t>2016 Options</w:t>
      </w:r>
      <w:r>
        <w:rPr>
          <w:rFonts w:ascii="Times New Roman" w:cs="Times New Roman" w:eastAsia="Times New Roman" w:hAnsi="Times New Roman"/>
          <w:sz w:val="16"/>
          <w:szCs w:val="16"/>
          <w:color w:val="auto"/>
        </w:rPr>
        <w:t>”). The actual number of stock options awarded to you on the grant date shall be determined based on the official closing price of Activision Blizzard’s common stock on the effective date of the grant, as reported by NASDAQ (the “</w:t>
      </w:r>
      <w:r>
        <w:rPr>
          <w:rFonts w:ascii="Times New Roman" w:cs="Times New Roman" w:eastAsia="Times New Roman" w:hAnsi="Times New Roman"/>
          <w:sz w:val="16"/>
          <w:szCs w:val="16"/>
          <w:b w:val="1"/>
          <w:bCs w:val="1"/>
          <w:i w:val="1"/>
          <w:iCs w:val="1"/>
          <w:color w:val="auto"/>
        </w:rPr>
        <w:t>Grant Date Price</w:t>
      </w:r>
      <w:r>
        <w:rPr>
          <w:rFonts w:ascii="Times New Roman" w:cs="Times New Roman" w:eastAsia="Times New Roman" w:hAnsi="Times New Roman"/>
          <w:sz w:val="16"/>
          <w:szCs w:val="16"/>
          <w:color w:val="auto"/>
        </w:rPr>
        <w:t>”), and an applicable binomial factor selected by Activision Blizzard. The number of stock options awarded shall be rounded to the nearest whole number, and Activision Blizzard retains the discretion to modify the methodology for such calculations as needed. The 2016 Options shall be awarded with an exercise price that is equal to the Grant Date Price. Finally, three-quarters of the 2016 Options shall vest on May 30, 2019, and one-quarter of the 2016 Options shall vest on May 30, 2020, in each case, subject to your remaining employed by the Activision Blizzard Group through the applicable vesting date.</w:t>
      </w:r>
    </w:p>
    <w:p>
      <w:pPr>
        <w:spacing w:after="0" w:line="328" w:lineRule="exact"/>
        <w:rPr>
          <w:rFonts w:ascii="Times New Roman" w:cs="Times New Roman" w:eastAsia="Times New Roman" w:hAnsi="Times New Roman"/>
          <w:sz w:val="16"/>
          <w:szCs w:val="16"/>
          <w:color w:val="auto"/>
        </w:rPr>
      </w:pPr>
    </w:p>
    <w:p>
      <w:pPr>
        <w:jc w:val="both"/>
        <w:ind w:left="926" w:hanging="496"/>
        <w:spacing w:after="0" w:line="258" w:lineRule="auto"/>
        <w:tabs>
          <w:tab w:leader="none" w:pos="926"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Activision Blizzard shall grant to you performance-vesting restricted share units which represent the conditional right to receive shares of Activision Blizzard’s common stock (the “</w:t>
      </w:r>
      <w:r>
        <w:rPr>
          <w:rFonts w:ascii="Times New Roman" w:cs="Times New Roman" w:eastAsia="Times New Roman" w:hAnsi="Times New Roman"/>
          <w:sz w:val="16"/>
          <w:szCs w:val="16"/>
          <w:b w:val="1"/>
          <w:bCs w:val="1"/>
          <w:i w:val="1"/>
          <w:iCs w:val="1"/>
          <w:color w:val="auto"/>
        </w:rPr>
        <w:t>2016 Performance Share Units</w:t>
      </w:r>
      <w:r>
        <w:rPr>
          <w:rFonts w:ascii="Times New Roman" w:cs="Times New Roman" w:eastAsia="Times New Roman" w:hAnsi="Times New Roman"/>
          <w:sz w:val="16"/>
          <w:szCs w:val="16"/>
          <w:color w:val="auto"/>
        </w:rPr>
        <w:t xml:space="preserve">”), with a target value at the time of grant of approximately $3,900,000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Target PSU Grant Value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The actual number of 2016 Performance Share Units awarded to you on the grant date shall be equal to the 2016 Target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PSU Grant Value divided by the Grant Date Price (it being recognized that if the maximum performance objectives are met for all of the 2016 Performance Share Units, the value of the shares received upon vesting for all of the 2016 Performance Share Units would have been $4,875,000 at the time of grant of the 2016 Performance Share Units, representing 125% of the 2016 Target PSU Grant Value (the “</w:t>
      </w:r>
      <w:r>
        <w:rPr>
          <w:rFonts w:ascii="Times New Roman" w:cs="Times New Roman" w:eastAsia="Times New Roman" w:hAnsi="Times New Roman"/>
          <w:sz w:val="16"/>
          <w:szCs w:val="16"/>
          <w:b w:val="1"/>
          <w:bCs w:val="1"/>
          <w:i w:val="1"/>
          <w:iCs w:val="1"/>
          <w:color w:val="auto"/>
        </w:rPr>
        <w:t>2016 Maximum PSU Grant Value</w:t>
      </w:r>
      <w:r>
        <w:rPr>
          <w:rFonts w:ascii="Times New Roman" w:cs="Times New Roman" w:eastAsia="Times New Roman" w:hAnsi="Times New Roman"/>
          <w:sz w:val="16"/>
          <w:szCs w:val="16"/>
          <w:color w:val="auto"/>
        </w:rPr>
        <w:t>”). The number of 2016 Performance Share Units awarded shall be rounded to the nearest whole number and shall be determined by the Compensation Committee in its sole discretion, and Activision Blizzard retains the discretion to modify the methodology for such calculations as needed. Subject to your remaining</w:t>
      </w:r>
    </w:p>
    <w:p>
      <w:pPr>
        <w:spacing w:after="0" w:line="200" w:lineRule="exact"/>
        <w:rPr>
          <w:sz w:val="20"/>
          <w:szCs w:val="20"/>
          <w:color w:val="auto"/>
        </w:rPr>
      </w:pPr>
    </w:p>
    <w:p>
      <w:pPr>
        <w:spacing w:after="0" w:line="312"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0906"/>
          </w:cols>
          <w:pgMar w:left="774" w:top="504" w:right="219" w:bottom="1440" w:gutter="0" w:footer="0" w:header="0"/>
        </w:sectPr>
      </w:pPr>
    </w:p>
    <w:bookmarkStart w:id="56" w:name="page57"/>
    <w:bookmarkEnd w:id="56"/>
    <w:p>
      <w:pPr>
        <w:ind w:left="260"/>
        <w:spacing w:after="0" w:line="292" w:lineRule="auto"/>
        <w:rPr>
          <w:sz w:val="20"/>
          <w:szCs w:val="20"/>
          <w:color w:val="auto"/>
        </w:rPr>
      </w:pPr>
      <w:r>
        <w:rPr>
          <w:rFonts w:ascii="Times New Roman" w:cs="Times New Roman" w:eastAsia="Times New Roman" w:hAnsi="Times New Roman"/>
          <w:sz w:val="16"/>
          <w:szCs w:val="16"/>
          <w:color w:val="auto"/>
        </w:rPr>
        <w:t>employed by the Activision Blizzard Group through the applicable vesting dates, the actual number of shares of Activision Blizzard’s common stock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that shall be received on each of the applicable vesting dates is determined as follows:</w:t>
      </w:r>
    </w:p>
    <w:p>
      <w:pPr>
        <w:spacing w:after="0" w:line="101" w:lineRule="exact"/>
        <w:rPr>
          <w:sz w:val="20"/>
          <w:szCs w:val="20"/>
          <w:color w:val="auto"/>
        </w:rPr>
      </w:pPr>
    </w:p>
    <w:p>
      <w:pPr>
        <w:jc w:val="both"/>
        <w:ind w:left="740" w:hanging="240"/>
        <w:spacing w:after="0" w:line="260" w:lineRule="auto"/>
        <w:tabs>
          <w:tab w:leader="none" w:pos="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First Tranche 2016 Performance Share Units</w:t>
      </w:r>
      <w:r>
        <w:rPr>
          <w:rFonts w:ascii="Times New Roman" w:cs="Times New Roman" w:eastAsia="Times New Roman" w:hAnsi="Times New Roman"/>
          <w:sz w:val="16"/>
          <w:szCs w:val="16"/>
          <w:color w:val="auto"/>
        </w:rPr>
        <w:t>”) shall vest on May 30, 2019, if, and only if, the Compensation Committee determines that non-GAAP operating income for 2016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2016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2016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2016 AOP OI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2016 OI is less than 85% of the 2016 AOP OI Objective, then the First Tranche 2016 Performance Share Units will not vest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shall be forfeited. If the 2016 OI is 85% or more of the 2016 AOP OI Objective, the number of Shares that shall be received with regard to the First Tranche 2016 Performance Share Units on the applicable vesting date shall be equal to the product of: (1) the number of First Tranche 2016 Performance Share Units; and (2) the ratio of the 2016 OI to the 2016 AOP OI Objective, up to a maximum of 125%.</w:t>
      </w:r>
    </w:p>
    <w:p>
      <w:pPr>
        <w:spacing w:after="0" w:line="128" w:lineRule="exact"/>
        <w:rPr>
          <w:rFonts w:ascii="Times New Roman" w:cs="Times New Roman" w:eastAsia="Times New Roman" w:hAnsi="Times New Roman"/>
          <w:sz w:val="16"/>
          <w:szCs w:val="16"/>
          <w:color w:val="auto"/>
        </w:rPr>
      </w:pPr>
    </w:p>
    <w:p>
      <w:pPr>
        <w:jc w:val="both"/>
        <w:ind w:left="740" w:hanging="240"/>
        <w:spacing w:after="0" w:line="260" w:lineRule="auto"/>
        <w:tabs>
          <w:tab w:leader="none" w:pos="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Second Tranche 2016 Performance Share Units</w:t>
      </w:r>
      <w:r>
        <w:rPr>
          <w:rFonts w:ascii="Times New Roman" w:cs="Times New Roman" w:eastAsia="Times New Roman" w:hAnsi="Times New Roman"/>
          <w:sz w:val="16"/>
          <w:szCs w:val="16"/>
          <w:color w:val="auto"/>
        </w:rPr>
        <w:t>”) shall vest on May 30, 2019, if, and only if, the Compensation Committee determines that non-GAAP operating income for 2017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2017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2017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2017 OI is less than 85% of the 2017 AOP OI Objective, then the Second Tranche 2016 Performance Share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not vest and shall be forfeited. If the 2017 OI is 85% or more of the 2017 AOP OI Objective, the number of Shares that shall be received with regard to the Second Tranche 2016 Performance Share Units on the applicable vesting date shall be equal to the product of: (1) the number of Second Tranche 2016 Performance Share Units; and (2) the ratio of the 2017 OI to the 2017 AOP OI Objective, up to a maximum of 125%.</w:t>
      </w:r>
    </w:p>
    <w:p>
      <w:pPr>
        <w:spacing w:after="0" w:line="128" w:lineRule="exact"/>
        <w:rPr>
          <w:rFonts w:ascii="Times New Roman" w:cs="Times New Roman" w:eastAsia="Times New Roman" w:hAnsi="Times New Roman"/>
          <w:sz w:val="16"/>
          <w:szCs w:val="16"/>
          <w:color w:val="auto"/>
        </w:rPr>
      </w:pPr>
    </w:p>
    <w:p>
      <w:pPr>
        <w:jc w:val="both"/>
        <w:ind w:left="740" w:hanging="240"/>
        <w:spacing w:after="0" w:line="262" w:lineRule="auto"/>
        <w:tabs>
          <w:tab w:leader="none" w:pos="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Third Tranche 2016 Performance Share Units</w:t>
      </w:r>
      <w:r>
        <w:rPr>
          <w:rFonts w:ascii="Times New Roman" w:cs="Times New Roman" w:eastAsia="Times New Roman" w:hAnsi="Times New Roman"/>
          <w:sz w:val="16"/>
          <w:szCs w:val="16"/>
          <w:color w:val="auto"/>
        </w:rPr>
        <w:t>”) shall vest on May 30, 2019, if, and only if, the Compensation Committee determines that non-GAAP operating income for 2018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2018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2018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2018 OI is less than 85% of the 2018 AOP OI Objective, then the Third Tranche 2016 Performance Share Units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vest and shall be forfeited. If the 2018 OI is 85% or more of the 2018 AOP OI Objective, the number of Shares that shall be received with regard to the Third Tranche 2016</w:t>
      </w:r>
    </w:p>
    <w:p>
      <w:pPr>
        <w:spacing w:after="0" w:line="3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0240"/>
          </w:cols>
          <w:pgMar w:left="1440" w:top="508" w:right="219" w:bottom="1440" w:gutter="0" w:footer="0" w:header="0"/>
        </w:sectPr>
      </w:pPr>
    </w:p>
    <w:bookmarkStart w:id="57" w:name="page58"/>
    <w:bookmarkEnd w:id="57"/>
    <w:p>
      <w:pPr>
        <w:ind w:left="1960"/>
        <w:spacing w:after="0" w:line="292" w:lineRule="auto"/>
        <w:rPr>
          <w:sz w:val="20"/>
          <w:szCs w:val="20"/>
          <w:color w:val="auto"/>
        </w:rPr>
      </w:pPr>
      <w:r>
        <w:rPr>
          <w:rFonts w:ascii="Times New Roman" w:cs="Times New Roman" w:eastAsia="Times New Roman" w:hAnsi="Times New Roman"/>
          <w:sz w:val="16"/>
          <w:szCs w:val="16"/>
          <w:color w:val="auto"/>
        </w:rPr>
        <w:t>Performance Share Units on the applicable vesting date shall be equal to the product of: (1) the number of Third Tranche 2016 Performance Share Units; and (2) the ratio of the 2018 OI to the 2018 AOP OI Objective, up to a maximum of 125%.</w:t>
      </w:r>
    </w:p>
    <w:p>
      <w:pPr>
        <w:spacing w:after="0" w:line="101" w:lineRule="exact"/>
        <w:rPr>
          <w:sz w:val="20"/>
          <w:szCs w:val="20"/>
          <w:color w:val="auto"/>
        </w:rPr>
      </w:pPr>
    </w:p>
    <w:p>
      <w:pPr>
        <w:jc w:val="both"/>
        <w:ind w:left="1960" w:hanging="240"/>
        <w:spacing w:after="0" w:line="260" w:lineRule="auto"/>
        <w:tabs>
          <w:tab w:leader="none" w:pos="1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Fourth Tranche 2016 Performance Share Units</w:t>
      </w:r>
      <w:r>
        <w:rPr>
          <w:rFonts w:ascii="Times New Roman" w:cs="Times New Roman" w:eastAsia="Times New Roman" w:hAnsi="Times New Roman"/>
          <w:sz w:val="16"/>
          <w:szCs w:val="16"/>
          <w:color w:val="auto"/>
        </w:rPr>
        <w:t>”) shall vest on May 30, 2020, if, and only if, the Compensation Committee determines that non-GAAP operating income for 2019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2019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2019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2019 OI is less than 85% of the 2019 AOP OI Objective, then the Fourth Tranche 2016 Performance Share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not vest and shall be forfeited. If the 2019 OI is 85% or more of the 2019 AOP OI Objective, the number of Shares that shall be received with regard to the Fourth Tranche 2016 Performance Share Units on the applicable vesting date shall be equal to the product of: (1) the number of Fourth Tranche 2016 Performance Share Units; and (2) the ratio of the 2019 OI to the 2019 AOP OI Objective, up to a maximum of 125%.</w:t>
      </w:r>
    </w:p>
    <w:p>
      <w:pPr>
        <w:spacing w:after="0" w:line="133" w:lineRule="exact"/>
        <w:rPr>
          <w:sz w:val="20"/>
          <w:szCs w:val="20"/>
          <w:color w:val="auto"/>
        </w:rPr>
      </w:pPr>
    </w:p>
    <w:p>
      <w:pPr>
        <w:jc w:val="both"/>
        <w:ind w:left="500"/>
        <w:spacing w:after="0" w:line="263" w:lineRule="auto"/>
        <w:rPr>
          <w:sz w:val="20"/>
          <w:szCs w:val="20"/>
          <w:color w:val="auto"/>
        </w:rPr>
      </w:pPr>
      <w:r>
        <w:rPr>
          <w:rFonts w:ascii="Times New Roman" w:cs="Times New Roman" w:eastAsia="Times New Roman" w:hAnsi="Times New Roman"/>
          <w:sz w:val="16"/>
          <w:szCs w:val="16"/>
          <w:color w:val="auto"/>
        </w:rPr>
        <w:t>If, prior to the vesting of any portion of the 2016 Performance Share Units, as provided for in this provision, your job responsibilities are changed to include a different or additional business unit, then Activision Blizzard, in its sole discretion, acting through the Compensation Committee or Activision Blizzard’s management, as applicable, may adjust the performance objective for the relevant fiscal year(s) by substituting the OI and AOP OI Objective of your new or additional business unit for that of your original business unit or by prorating or otherwise combining the OI and AOP OI Objective of the applicable business units, in each case for purposes of determining whether or not the conditions of the unvested 2016 Performance Share Units have been satisfied.</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Collectively, the 2016 Options and the 2016 Performance Share Units shall be referred to as the “</w:t>
      </w:r>
      <w:r>
        <w:rPr>
          <w:rFonts w:ascii="Times New Roman" w:cs="Times New Roman" w:eastAsia="Times New Roman" w:hAnsi="Times New Roman"/>
          <w:sz w:val="16"/>
          <w:szCs w:val="16"/>
          <w:b w:val="1"/>
          <w:bCs w:val="1"/>
          <w:i w:val="1"/>
          <w:iCs w:val="1"/>
          <w:color w:val="auto"/>
        </w:rPr>
        <w:t>2016 Equity Awards</w:t>
      </w:r>
      <w:r>
        <w:rPr>
          <w:rFonts w:ascii="Times New Roman" w:cs="Times New Roman" w:eastAsia="Times New Roman" w:hAnsi="Times New Roman"/>
          <w:sz w:val="16"/>
          <w:szCs w:val="16"/>
          <w:color w:val="auto"/>
        </w:rPr>
        <w:t>”. You acknowledge that the grant of 2016 Equity Awards pursuant to this Section 2(d) is expressly conditioned upon approval by the Compensation Committee and that the Compensation Committee has discretion to approve or disapprove the grants and/or to determine and make modifications to the terms of the grants. The 2016 Equity Awards shall be subject to all terms of the equity incentive plan pursuant to which they are granted (the “</w:t>
      </w:r>
      <w:r>
        <w:rPr>
          <w:rFonts w:ascii="Times New Roman" w:cs="Times New Roman" w:eastAsia="Times New Roman" w:hAnsi="Times New Roman"/>
          <w:sz w:val="16"/>
          <w:szCs w:val="16"/>
          <w:b w:val="1"/>
          <w:bCs w:val="1"/>
          <w:i w:val="1"/>
          <w:iCs w:val="1"/>
          <w:color w:val="auto"/>
        </w:rPr>
        <w:t>Incentive Plan</w:t>
      </w:r>
      <w:r>
        <w:rPr>
          <w:rFonts w:ascii="Times New Roman" w:cs="Times New Roman" w:eastAsia="Times New Roman" w:hAnsi="Times New Roman"/>
          <w:sz w:val="16"/>
          <w:szCs w:val="16"/>
          <w:color w:val="auto"/>
        </w:rPr>
        <w:t xml:space="preserve">”),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which are attached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In the event of a conflict between this Agreement and the terms of the Incentive Plan or award agreements, the Incentive Plan or the award agreements, as applicable, shall govern. These Equity Awards, if and when approved by the Compensation Committee, shall be in addition to any previous equity incentive awards made to you.</w:t>
      </w:r>
    </w:p>
    <w:p>
      <w:pPr>
        <w:spacing w:after="0" w:line="134" w:lineRule="exact"/>
        <w:rPr>
          <w:sz w:val="20"/>
          <w:szCs w:val="20"/>
          <w:color w:val="auto"/>
        </w:rPr>
      </w:pPr>
    </w:p>
    <w:p>
      <w:pPr>
        <w:ind w:left="60" w:firstLine="494"/>
        <w:spacing w:after="0" w:line="305" w:lineRule="auto"/>
        <w:tabs>
          <w:tab w:leader="none" w:pos="95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approval of the Compensation Committee, beginning in 2016, you will be eligible to receive an annual equity grant of performance-vesting restricted share units with</w:t>
      </w:r>
    </w:p>
    <w:p>
      <w:pPr>
        <w:spacing w:after="0" w:line="27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1460"/>
          </w:cols>
          <w:pgMar w:left="220" w:top="508" w:right="219" w:bottom="1440" w:gutter="0" w:footer="0" w:header="0"/>
        </w:sectPr>
      </w:pPr>
    </w:p>
    <w:bookmarkStart w:id="58" w:name="page59"/>
    <w:bookmarkEnd w:id="58"/>
    <w:p>
      <w:pPr>
        <w:jc w:val="both"/>
        <w:ind w:left="58" w:firstLine="3"/>
        <w:spacing w:after="0" w:line="257" w:lineRule="auto"/>
        <w:tabs>
          <w:tab w:leader="none" w:pos="266"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objectives based upon non-GAAP operating income for Activision Blizzard, (ii) a vesting date which will be no later than the last day of the third month following the third fiscal year from grant (i.e. if granted in November 2016, the vesting will be no later than March 31, 2020), (iii) the formula for vesting of the total number of performance-vesting restricted shares being equal to product of: (a) the number of performance-vesting restricted share units and (b) the percentage of achievement, which shall be calculated by dividing the operating income achieved by the operating income performance objective, with a minimum ratio of 85% (provided that achievement is equal to or greater than 85%, otherwise no vesting shall occur at all) and a maximum ratio of 125%, and (iv) a target value of $500,000 (with the actual amount, performance objectives, and vesting schedule, to be determined by the Compensation Committee, which has discretion to approve or disapprove all equity incentive awards and to determine and/or make modification to the terms of such awards). Such annual awards, if and when approved by the Compensation Committee, shall be subject to all terms of the Incentive Plan,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in the event of a conflict between this Agreement and the terms of the Incentive Plan or award agreements, the Incentive Plan or the award agreements, as applicable, shall govern. In addition, such annual awards, if and when approved by the Compensation Committee, shall be in addition to any previous equity incentive awards made to you.</w:t>
      </w:r>
    </w:p>
    <w:p>
      <w:pPr>
        <w:spacing w:after="0" w:line="131" w:lineRule="exact"/>
        <w:rPr>
          <w:rFonts w:ascii="Times New Roman" w:cs="Times New Roman" w:eastAsia="Times New Roman" w:hAnsi="Times New Roman"/>
          <w:sz w:val="16"/>
          <w:szCs w:val="16"/>
          <w:color w:val="auto"/>
        </w:rPr>
      </w:pPr>
    </w:p>
    <w:p>
      <w:pPr>
        <w:jc w:val="both"/>
        <w:ind w:left="58" w:firstLine="494"/>
        <w:spacing w:after="0" w:line="260" w:lineRule="auto"/>
        <w:tabs>
          <w:tab w:leader="none" w:pos="880"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upon your beginning employment on or before June 1, 2016 and your remaining continuously employed by the Activision Blizzard Group through each payment date, the Employer will provide you with a sign on bonus in the amount of $2,100,000 (less applicable taxes), which shall be paid in two parts: (i) $1,000,000 shall be paid within three (3) weeks of your signing this Agreement and (ii) $1,100,000 will be paid on or about May 30, 2017. This bonus will not be fully earned by you unless you have been employed continuously by the Activision Blizzard Group through the third anniversary of the Effective Date. Specifically, should your employment with the Employer terminate other than pursuant to Section 9(b), 9(c), 9(d) or 9(e) prior to the third anniversary of the Effective Date, you agree to repay this bonus, prorated based on a fraction, with the numerator being equal to 1095 less the number of days of completed service with Activision Blizzard Group from the Effective Date and the denominator being 1095. You further agree that repayment shall occur within 60 days of termination of your employment. The fact that you are receiving this bonus and the terms under which you will be required to repay the bonus in no way affect your other obligations under this Agreement.</w:t>
      </w:r>
    </w:p>
    <w:p>
      <w:pPr>
        <w:spacing w:after="0" w:line="133" w:lineRule="exact"/>
        <w:rPr>
          <w:rFonts w:ascii="Times New Roman" w:cs="Times New Roman" w:eastAsia="Times New Roman" w:hAnsi="Times New Roman"/>
          <w:sz w:val="16"/>
          <w:szCs w:val="16"/>
          <w:color w:val="auto"/>
        </w:rPr>
      </w:pPr>
    </w:p>
    <w:p>
      <w:pPr>
        <w:jc w:val="both"/>
        <w:ind w:left="58" w:firstLine="494"/>
        <w:spacing w:after="0" w:line="266" w:lineRule="auto"/>
        <w:tabs>
          <w:tab w:leader="none" w:pos="907"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your relocation to the Los Angeles area, you shall be entitled to the relocation benefits set forth in, and determined in accordance with and otherwise subject to the terms and conditions of, the “Relocation Summary”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hereto. Notwithstanding anything to the contrary in this Agreement or in the Relocation Summary, should your employment with the Employer terminate other than pursuant to Section 9(b), 9(c), 9(d) or 9(e) prior to the first anniversary of the Effective Date, you agree to repay the Employer 100% of any relocation expenses for which you were reimbursed by the Employer within 60 days of the termination of your employment.</w:t>
      </w:r>
    </w:p>
    <w:p>
      <w:pPr>
        <w:spacing w:after="0" w:line="121" w:lineRule="exact"/>
        <w:rPr>
          <w:rFonts w:ascii="Times New Roman" w:cs="Times New Roman" w:eastAsia="Times New Roman" w:hAnsi="Times New Roman"/>
          <w:sz w:val="16"/>
          <w:szCs w:val="16"/>
          <w:color w:val="auto"/>
        </w:rPr>
      </w:pPr>
    </w:p>
    <w:p>
      <w:pPr>
        <w:ind w:left="258" w:hanging="258"/>
        <w:spacing w:after="0"/>
        <w:tabs>
          <w:tab w:leader="none" w:pos="258"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Title; Location</w:t>
      </w:r>
    </w:p>
    <w:p>
      <w:pPr>
        <w:spacing w:after="0" w:line="370"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11458"/>
          </w:cols>
          <w:pgMar w:left="222" w:top="508" w:right="219" w:bottom="1440" w:gutter="0" w:footer="0" w:header="0"/>
        </w:sectPr>
      </w:pPr>
    </w:p>
    <w:bookmarkStart w:id="59" w:name="page60"/>
    <w:bookmarkEnd w:id="59"/>
    <w:p>
      <w:pPr>
        <w:ind w:firstLine="491"/>
        <w:spacing w:after="0" w:line="292" w:lineRule="auto"/>
        <w:rPr>
          <w:sz w:val="20"/>
          <w:szCs w:val="20"/>
          <w:color w:val="auto"/>
        </w:rPr>
      </w:pPr>
      <w:r>
        <w:rPr>
          <w:rFonts w:ascii="Times New Roman" w:cs="Times New Roman" w:eastAsia="Times New Roman" w:hAnsi="Times New Roman"/>
          <w:sz w:val="16"/>
          <w:szCs w:val="16"/>
          <w:color w:val="auto"/>
        </w:rPr>
        <w:t xml:space="preserve">You shall serve as Chief People Officer. Your principal place of business initially shall be the Employer’s headquarters in Santa Monica, California;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acknowledge and agree that you may be required to travel from time to time for business reasons.</w:t>
      </w:r>
    </w:p>
    <w:p>
      <w:pPr>
        <w:spacing w:after="0" w:line="101" w:lineRule="exact"/>
        <w:rPr>
          <w:sz w:val="20"/>
          <w:szCs w:val="20"/>
          <w:color w:val="auto"/>
        </w:rPr>
      </w:pPr>
    </w:p>
    <w:p>
      <w:pPr>
        <w:ind w:left="260" w:hanging="258"/>
        <w:spacing w:after="0"/>
        <w:tabs>
          <w:tab w:leader="none" w:pos="26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Duties</w:t>
      </w:r>
    </w:p>
    <w:p>
      <w:pPr>
        <w:spacing w:after="0" w:line="188" w:lineRule="exact"/>
        <w:rPr>
          <w:sz w:val="20"/>
          <w:szCs w:val="20"/>
          <w:color w:val="auto"/>
        </w:rPr>
      </w:pPr>
    </w:p>
    <w:p>
      <w:pPr>
        <w:jc w:val="both"/>
        <w:ind w:firstLine="491"/>
        <w:spacing w:after="0" w:line="257" w:lineRule="auto"/>
        <w:rPr>
          <w:sz w:val="20"/>
          <w:szCs w:val="20"/>
          <w:color w:val="auto"/>
        </w:rPr>
      </w:pPr>
      <w:r>
        <w:rPr>
          <w:rFonts w:ascii="Times New Roman" w:cs="Times New Roman" w:eastAsia="Times New Roman" w:hAnsi="Times New Roman"/>
          <w:sz w:val="16"/>
          <w:szCs w:val="16"/>
          <w:color w:val="auto"/>
        </w:rPr>
        <w:t xml:space="preserve">You shall report directly to the President and Chief Executive Officer (or such other executive of the Activision Blizzard Group as may be determined from time to time by it in its sole and absolute discretion) and shall have such duties commensurate with your position as may be assigned to you from time to time by the President and Chief Executive Officer (or, as applicable, such other executive designated by the Employer). You are also required to read, review and observe all of the Activision Blizzard Group’s policies, procedures, rules and regulations in effect from time to time during the Term that apply to employees of the Employer, including, without limitation, the Code of Business Conduct and Ethics, as amended from time to time. You shall devote your full-time working time to the performance of your duties hereunder, shall faithfully serve the Employer, shall in all respects conform to and comply with the lawful directions and instructions given to you by the President and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consent of the President and Chief Executive Officer or otherwise engage in activities that would interfere with your faithful and diligent performance of your duties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may serve on civic or charitable boards or engage in charitable activities without remuneration if doing so is not inconsistent with, or adverse to, your employment hereunder.</w:t>
      </w:r>
    </w:p>
    <w:p>
      <w:pPr>
        <w:spacing w:after="0" w:line="127" w:lineRule="exact"/>
        <w:rPr>
          <w:sz w:val="20"/>
          <w:szCs w:val="20"/>
          <w:color w:val="auto"/>
        </w:rPr>
      </w:pPr>
    </w:p>
    <w:p>
      <w:pPr>
        <w:ind w:left="260" w:hanging="258"/>
        <w:spacing w:after="0"/>
        <w:tabs>
          <w:tab w:leader="none" w:pos="26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Expenses</w:t>
      </w:r>
    </w:p>
    <w:p>
      <w:pPr>
        <w:spacing w:after="0" w:line="188"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101" w:lineRule="exact"/>
        <w:rPr>
          <w:sz w:val="20"/>
          <w:szCs w:val="20"/>
          <w:color w:val="auto"/>
        </w:rPr>
      </w:pPr>
    </w:p>
    <w:p>
      <w:pPr>
        <w:ind w:left="260" w:hanging="258"/>
        <w:spacing w:after="0"/>
        <w:tabs>
          <w:tab w:leader="none" w:pos="2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Benefits</w:t>
      </w:r>
    </w:p>
    <w:p>
      <w:pPr>
        <w:spacing w:after="0" w:line="188" w:lineRule="exact"/>
        <w:rPr>
          <w:rFonts w:ascii="Times New Roman" w:cs="Times New Roman" w:eastAsia="Times New Roman" w:hAnsi="Times New Roman"/>
          <w:sz w:val="16"/>
          <w:szCs w:val="16"/>
          <w:b w:val="1"/>
          <w:bCs w:val="1"/>
          <w:color w:val="auto"/>
        </w:rPr>
      </w:pPr>
    </w:p>
    <w:p>
      <w:pPr>
        <w:jc w:val="both"/>
        <w:ind w:left="60" w:firstLine="494"/>
        <w:spacing w:after="0" w:line="279" w:lineRule="auto"/>
        <w:tabs>
          <w:tab w:leader="none" w:pos="88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w:t>
      </w:r>
    </w:p>
    <w:p>
      <w:pPr>
        <w:spacing w:after="0" w:line="115" w:lineRule="exact"/>
        <w:rPr>
          <w:rFonts w:ascii="Times New Roman" w:cs="Times New Roman" w:eastAsia="Times New Roman" w:hAnsi="Times New Roman"/>
          <w:sz w:val="16"/>
          <w:szCs w:val="16"/>
          <w:color w:val="auto"/>
        </w:rPr>
      </w:pPr>
    </w:p>
    <w:p>
      <w:pPr>
        <w:jc w:val="both"/>
        <w:ind w:left="60" w:firstLine="494"/>
        <w:spacing w:after="0" w:line="279" w:lineRule="auto"/>
        <w:tabs>
          <w:tab w:leader="none" w:pos="88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then-prevailing terms and conditions of each such plan.</w:t>
      </w:r>
    </w:p>
    <w:p>
      <w:pPr>
        <w:spacing w:after="0" w:line="111"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Vacation and Paid Holidays</w:t>
      </w:r>
    </w:p>
    <w:p>
      <w:pPr>
        <w:spacing w:after="0" w:line="37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6</w:t>
      </w:r>
    </w:p>
    <w:p>
      <w:pPr>
        <w:sectPr>
          <w:pgSz w:w="11900" w:h="16838" w:orient="portrait"/>
          <w:cols w:equalWidth="0" w:num="1">
            <w:col w:w="11460"/>
          </w:cols>
          <w:pgMar w:left="220" w:top="508" w:right="219" w:bottom="1440" w:gutter="0" w:footer="0" w:header="0"/>
        </w:sectPr>
      </w:pPr>
    </w:p>
    <w:bookmarkStart w:id="60" w:name="page61"/>
    <w:bookmarkEnd w:id="60"/>
    <w:p>
      <w:pPr>
        <w:jc w:val="both"/>
        <w:ind w:left="58" w:firstLine="494"/>
        <w:spacing w:after="0" w:line="305" w:lineRule="auto"/>
        <w:tabs>
          <w:tab w:leader="none" w:pos="92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 will generally be entitled to paid vacation days in accordance with the normal vacation policies of the Employer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will be entitled to accrue no less than twenty (20) paid vacation days per year unless your vacation balance exceeds the Employer’s then-current maximum.</w:t>
      </w:r>
    </w:p>
    <w:p>
      <w:pPr>
        <w:spacing w:after="0" w:line="94" w:lineRule="exact"/>
        <w:rPr>
          <w:rFonts w:ascii="Times New Roman" w:cs="Times New Roman" w:eastAsia="Times New Roman" w:hAnsi="Times New Roman"/>
          <w:sz w:val="16"/>
          <w:szCs w:val="16"/>
          <w:color w:val="auto"/>
        </w:rPr>
      </w:pPr>
    </w:p>
    <w:p>
      <w:pPr>
        <w:ind w:left="878" w:hanging="326"/>
        <w:spacing w:after="0"/>
        <w:tabs>
          <w:tab w:leader="none" w:pos="87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shall be entitled to all paid holidays allowed by the Employer to its full-time employees in the United States.</w:t>
      </w:r>
    </w:p>
    <w:p>
      <w:pPr>
        <w:spacing w:after="0" w:line="180" w:lineRule="exact"/>
        <w:rPr>
          <w:rFonts w:ascii="Times New Roman" w:cs="Times New Roman" w:eastAsia="Times New Roman" w:hAnsi="Times New Roman"/>
          <w:sz w:val="16"/>
          <w:szCs w:val="16"/>
          <w:color w:val="auto"/>
        </w:rPr>
      </w:pPr>
    </w:p>
    <w:p>
      <w:pPr>
        <w:ind w:left="258" w:hanging="258"/>
        <w:spacing w:after="0"/>
        <w:tabs>
          <w:tab w:leader="none" w:pos="258"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Protection of the Employer’s Interests</w:t>
      </w:r>
    </w:p>
    <w:p>
      <w:pPr>
        <w:spacing w:after="0" w:line="347" w:lineRule="exact"/>
        <w:rPr>
          <w:rFonts w:ascii="Times New Roman" w:cs="Times New Roman" w:eastAsia="Times New Roman" w:hAnsi="Times New Roman"/>
          <w:sz w:val="16"/>
          <w:szCs w:val="16"/>
          <w:b w:val="1"/>
          <w:bCs w:val="1"/>
          <w:color w:val="auto"/>
        </w:rPr>
      </w:pPr>
    </w:p>
    <w:p>
      <w:pPr>
        <w:jc w:val="both"/>
        <w:ind w:left="58" w:firstLine="494"/>
        <w:spacing w:after="0" w:line="272" w:lineRule="auto"/>
        <w:tabs>
          <w:tab w:leader="none" w:pos="88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Duty of Loyalty. </w:t>
      </w:r>
      <w:r>
        <w:rPr>
          <w:rFonts w:ascii="Times New Roman" w:cs="Times New Roman" w:eastAsia="Times New Roman" w:hAnsi="Times New Roman"/>
          <w:sz w:val="16"/>
          <w:szCs w:val="16"/>
          <w:color w:val="auto"/>
        </w:rPr>
        <w:t>During the Term, you will owe a “</w:t>
      </w:r>
      <w:r>
        <w:rPr>
          <w:rFonts w:ascii="Times New Roman" w:cs="Times New Roman" w:eastAsia="Times New Roman" w:hAnsi="Times New Roman"/>
          <w:sz w:val="16"/>
          <w:szCs w:val="16"/>
          <w:b w:val="1"/>
          <w:bCs w:val="1"/>
          <w:i w:val="1"/>
          <w:iCs w:val="1"/>
          <w:color w:val="auto"/>
        </w:rPr>
        <w:t>Duty of Loyalty</w:t>
      </w:r>
      <w:r>
        <w:rPr>
          <w:rFonts w:ascii="Times New Roman" w:cs="Times New Roman" w:eastAsia="Times New Roman" w:hAnsi="Times New Roman"/>
          <w:sz w:val="16"/>
          <w:szCs w:val="16"/>
          <w:color w:val="auto"/>
        </w:rPr>
        <w:t>” to the Employer, which includes, but is not limited to, you not competing in any manner,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whether directly or indirectly, as a principal, employee, agent, owner, or otherwise, with any entity in the Activision Blizzard Group;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17" w:lineRule="exact"/>
        <w:rPr>
          <w:rFonts w:ascii="Times New Roman" w:cs="Times New Roman" w:eastAsia="Times New Roman" w:hAnsi="Times New Roman"/>
          <w:sz w:val="16"/>
          <w:szCs w:val="16"/>
          <w:color w:val="auto"/>
        </w:rPr>
      </w:pPr>
    </w:p>
    <w:p>
      <w:pPr>
        <w:jc w:val="both"/>
        <w:ind w:left="58" w:firstLine="494"/>
        <w:spacing w:after="0" w:line="259" w:lineRule="auto"/>
        <w:tabs>
          <w:tab w:leader="none" w:pos="90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Property of the Activision Blizzard Group. </w:t>
      </w:r>
      <w:r>
        <w:rPr>
          <w:rFonts w:ascii="Times New Roman" w:cs="Times New Roman" w:eastAsia="Times New Roman" w:hAnsi="Times New Roman"/>
          <w:sz w:val="16"/>
          <w:szCs w:val="16"/>
          <w:color w:val="auto"/>
        </w:rPr>
        <w:t>All rights worldwide with respect to any and all intellectual or other property of any nature produced, created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27" w:lineRule="exact"/>
        <w:rPr>
          <w:rFonts w:ascii="Times New Roman" w:cs="Times New Roman" w:eastAsia="Times New Roman" w:hAnsi="Times New Roman"/>
          <w:sz w:val="16"/>
          <w:szCs w:val="16"/>
          <w:color w:val="auto"/>
        </w:rPr>
      </w:pPr>
    </w:p>
    <w:p>
      <w:pPr>
        <w:jc w:val="both"/>
        <w:ind w:left="58" w:firstLine="494"/>
        <w:spacing w:after="0" w:line="282" w:lineRule="auto"/>
        <w:tabs>
          <w:tab w:leader="none" w:pos="88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Covenant Not to Shop. </w:t>
      </w:r>
      <w:r>
        <w:rPr>
          <w:rFonts w:ascii="Times New Roman" w:cs="Times New Roman" w:eastAsia="Times New Roman" w:hAnsi="Times New Roman"/>
          <w:sz w:val="16"/>
          <w:szCs w:val="16"/>
          <w:color w:val="auto"/>
        </w:rPr>
        <w:t>Other than during the final six (6) months of the Term, you shall not negotiate for employment with any entity or person outside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Activision Blizzard Group. During the search process and thereafter you shall remain strictly subject to your continuing obligations under this Agreement, including, without limitation, your Duty of Loyalty, compliance with the Activision Blizzard Group’s policies and your confidentiality obligations.</w:t>
      </w:r>
    </w:p>
    <w:p>
      <w:pPr>
        <w:spacing w:after="0" w:line="108" w:lineRule="exact"/>
        <w:rPr>
          <w:rFonts w:ascii="Times New Roman" w:cs="Times New Roman" w:eastAsia="Times New Roman" w:hAnsi="Times New Roman"/>
          <w:sz w:val="16"/>
          <w:szCs w:val="16"/>
          <w:color w:val="auto"/>
        </w:rPr>
      </w:pPr>
    </w:p>
    <w:p>
      <w:pPr>
        <w:jc w:val="both"/>
        <w:ind w:left="58" w:firstLine="494"/>
        <w:spacing w:after="0" w:line="282" w:lineRule="auto"/>
        <w:tabs>
          <w:tab w:leader="none" w:pos="91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Confidentiality. </w:t>
      </w:r>
      <w:r>
        <w:rPr>
          <w:rFonts w:ascii="Times New Roman" w:cs="Times New Roman" w:eastAsia="Times New Roman" w:hAnsi="Times New Roman"/>
          <w:sz w:val="16"/>
          <w:szCs w:val="16"/>
          <w:color w:val="auto"/>
        </w:rPr>
        <w:t>You acknowledge, and the Employer agrees, that during your employment you will have access to and become informed of confidential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information concerning the Activision Blizzard Group. During your employment and at all times following the termination of your employment, confidential or proprietary information of any entity in the Activision Blizzard Group shall not be used by you or disclosed or made available by</w:t>
      </w:r>
    </w:p>
    <w:p>
      <w:pPr>
        <w:spacing w:after="0" w:line="294"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7</w:t>
      </w:r>
    </w:p>
    <w:p>
      <w:pPr>
        <w:sectPr>
          <w:pgSz w:w="11900" w:h="16838" w:orient="portrait"/>
          <w:cols w:equalWidth="0" w:num="1">
            <w:col w:w="11458"/>
          </w:cols>
          <w:pgMar w:left="222" w:top="508" w:right="21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you to any person except as required in the course of your employment with the Activision Blizzard Group or as otherwise provided for in the Employee Confidential Information Agreement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b w:val="1"/>
          <w:bCs w:val="1"/>
          <w:i w:val="1"/>
          <w:iCs w:val="1"/>
          <w:color w:val="auto"/>
        </w:rPr>
        <w:t>Confidential Information Agreement</w:t>
      </w:r>
      <w:r>
        <w:rPr>
          <w:rFonts w:ascii="Times New Roman" w:cs="Times New Roman" w:eastAsia="Times New Roman" w:hAnsi="Times New Roman"/>
          <w:sz w:val="16"/>
          <w:szCs w:val="16"/>
          <w:color w:val="auto"/>
        </w:rPr>
        <w:t>”). Upon the termination of your employment (or at any time on the Employer’s request), you shall return to the Activision Blizzard Group all such information that exists, whether in electronic, written, or other form (and all copies or extracts thereof) under your control and shall not retain such information in any form, including without limitation on any devices, disks or other media.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30" w:lineRule="exact"/>
        <w:rPr>
          <w:sz w:val="20"/>
          <w:szCs w:val="20"/>
          <w:color w:val="auto"/>
        </w:rPr>
      </w:pPr>
    </w:p>
    <w:p>
      <w:pPr>
        <w:jc w:val="both"/>
        <w:ind w:firstLine="494"/>
        <w:spacing w:after="0" w:line="260" w:lineRule="auto"/>
        <w:tabs>
          <w:tab w:leader="none" w:pos="82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Return of Property and Resignation from Office. </w:t>
      </w:r>
      <w:r>
        <w:rPr>
          <w:rFonts w:ascii="Times New Roman" w:cs="Times New Roman" w:eastAsia="Times New Roman" w:hAnsi="Times New Roman"/>
          <w:sz w:val="16"/>
          <w:szCs w:val="16"/>
          <w:color w:val="auto"/>
        </w:rPr>
        <w:t>You acknowledge that, upon termination of your employment for any reason whatsoever (or at any time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entity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and you irrevocably appoint any person designated as the Activision Blizzard Group’s representative at that time as your delegate to effect such resignation.</w:t>
      </w:r>
    </w:p>
    <w:p>
      <w:pPr>
        <w:spacing w:after="0" w:line="128"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Covenant Not to Solicit</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color w:val="auto"/>
        </w:rPr>
      </w:pPr>
    </w:p>
    <w:p>
      <w:pPr>
        <w:jc w:val="both"/>
        <w:ind w:left="1420" w:hanging="496"/>
        <w:spacing w:after="0" w:line="259" w:lineRule="auto"/>
        <w:tabs>
          <w:tab w:leader="none" w:pos="14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the Activision Blizzard Group,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 or (b)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33" w:lineRule="exact"/>
        <w:rPr>
          <w:rFonts w:ascii="Times New Roman" w:cs="Times New Roman" w:eastAsia="Times New Roman" w:hAnsi="Times New Roman"/>
          <w:sz w:val="16"/>
          <w:szCs w:val="16"/>
          <w:color w:val="auto"/>
        </w:rPr>
      </w:pPr>
    </w:p>
    <w:p>
      <w:pPr>
        <w:ind w:left="1420" w:hanging="496"/>
        <w:spacing w:after="0" w:line="266" w:lineRule="auto"/>
        <w:tabs>
          <w:tab w:leader="none" w:pos="14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two (2) years following the termination of your employment for any reason whatsoever, you shall not, at any time or for any reason, either</w:t>
      </w:r>
    </w:p>
    <w:p>
      <w:pPr>
        <w:spacing w:after="0" w:line="200" w:lineRule="exact"/>
        <w:rPr>
          <w:sz w:val="20"/>
          <w:szCs w:val="20"/>
          <w:color w:val="auto"/>
        </w:rPr>
      </w:pPr>
    </w:p>
    <w:p>
      <w:pPr>
        <w:spacing w:after="0" w:line="3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Page 8</w:t>
      </w:r>
    </w:p>
    <w:p>
      <w:pPr>
        <w:sectPr>
          <w:pgSz w:w="11900" w:h="16838" w:orient="portrait"/>
          <w:cols w:equalWidth="0" w:num="1">
            <w:col w:w="11400"/>
          </w:cols>
          <w:pgMar w:left="280" w:top="508" w:right="219" w:bottom="1440" w:gutter="0" w:footer="0" w:header="0"/>
        </w:sectPr>
      </w:pPr>
    </w:p>
    <w:bookmarkStart w:id="62" w:name="page63"/>
    <w:bookmarkEnd w:id="62"/>
    <w:p>
      <w:pPr>
        <w:jc w:val="both"/>
        <w:ind w:left="1478"/>
        <w:spacing w:after="0" w:line="263" w:lineRule="auto"/>
        <w:rPr>
          <w:sz w:val="20"/>
          <w:szCs w:val="20"/>
          <w:color w:val="auto"/>
        </w:rPr>
      </w:pPr>
      <w:r>
        <w:rPr>
          <w:rFonts w:ascii="Times New Roman" w:cs="Times New Roman" w:eastAsia="Times New Roman" w:hAnsi="Times New Roman"/>
          <w:sz w:val="16"/>
          <w:szCs w:val="16"/>
          <w:color w:val="auto"/>
        </w:rPr>
        <w:t>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person employed or otherwise engaged by any entity in the Activision Blizzard Group (or any person who was employed or otherwise engaged by the Activision Blizzard Group during your final ninety (90) days of employment), whether or not such person would commit any breach of a contract by reason of his or her leaving the service of the Activision Blizzard Group.</w:t>
      </w:r>
    </w:p>
    <w:p>
      <w:pPr>
        <w:spacing w:after="0" w:line="127" w:lineRule="exact"/>
        <w:rPr>
          <w:sz w:val="20"/>
          <w:szCs w:val="20"/>
          <w:color w:val="auto"/>
        </w:rPr>
      </w:pPr>
    </w:p>
    <w:p>
      <w:pPr>
        <w:jc w:val="both"/>
        <w:ind w:left="1478" w:hanging="496"/>
        <w:spacing w:after="0" w:line="266" w:lineRule="auto"/>
        <w:tabs>
          <w:tab w:leader="none" w:pos="1478"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your employment and at all times following the termination of your employment for any reason whatsoever, you shall not, at any time or for any reason, use the confidential, trade secret information of the Activision Blizzard Group or any other unlawful means to directly or indirectly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25" w:lineRule="exact"/>
        <w:rPr>
          <w:rFonts w:ascii="Times New Roman" w:cs="Times New Roman" w:eastAsia="Times New Roman" w:hAnsi="Times New Roman"/>
          <w:sz w:val="16"/>
          <w:szCs w:val="16"/>
          <w:color w:val="auto"/>
        </w:rPr>
      </w:pPr>
    </w:p>
    <w:p>
      <w:pPr>
        <w:jc w:val="both"/>
        <w:ind w:left="1478" w:hanging="496"/>
        <w:spacing w:after="0" w:line="266" w:lineRule="auto"/>
        <w:tabs>
          <w:tab w:leader="none" w:pos="1478"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expressly acknowledge and agree that the restrictions contained in this Section 8(f) are reasonably tailored to protect the Activision Blizzard Group’s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w:t>
      </w:r>
    </w:p>
    <w:p>
      <w:pPr>
        <w:spacing w:after="0" w:line="121" w:lineRule="exact"/>
        <w:rPr>
          <w:rFonts w:ascii="Times New Roman" w:cs="Times New Roman" w:eastAsia="Times New Roman" w:hAnsi="Times New Roman"/>
          <w:sz w:val="16"/>
          <w:szCs w:val="16"/>
          <w:color w:val="auto"/>
        </w:rPr>
      </w:pPr>
    </w:p>
    <w:p>
      <w:pPr>
        <w:ind w:left="258" w:hanging="258"/>
        <w:spacing w:after="0"/>
        <w:tabs>
          <w:tab w:leader="none" w:pos="258"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 of Employment</w:t>
      </w:r>
    </w:p>
    <w:p>
      <w:pPr>
        <w:spacing w:after="0" w:line="184" w:lineRule="exact"/>
        <w:rPr>
          <w:rFonts w:ascii="Times New Roman" w:cs="Times New Roman" w:eastAsia="Times New Roman" w:hAnsi="Times New Roman"/>
          <w:sz w:val="16"/>
          <w:szCs w:val="16"/>
          <w:b w:val="1"/>
          <w:bCs w:val="1"/>
          <w:color w:val="auto"/>
        </w:rPr>
      </w:pPr>
    </w:p>
    <w:p>
      <w:pPr>
        <w:ind w:left="878" w:hanging="326"/>
        <w:spacing w:after="0"/>
        <w:tabs>
          <w:tab w:leader="none" w:pos="878"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the Employer for Cause.</w:t>
      </w:r>
    </w:p>
    <w:p>
      <w:pPr>
        <w:spacing w:after="0" w:line="184" w:lineRule="exact"/>
        <w:rPr>
          <w:rFonts w:ascii="Times New Roman" w:cs="Times New Roman" w:eastAsia="Times New Roman" w:hAnsi="Times New Roman"/>
          <w:sz w:val="16"/>
          <w:szCs w:val="16"/>
          <w:color w:val="auto"/>
        </w:rPr>
      </w:pPr>
    </w:p>
    <w:p>
      <w:pPr>
        <w:jc w:val="both"/>
        <w:ind w:left="1478" w:hanging="496"/>
        <w:spacing w:after="0" w:line="260" w:lineRule="auto"/>
        <w:tabs>
          <w:tab w:leader="none" w:pos="1478"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during the Term, the Employer may terminate your employment for “</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which shall mean a good-faith determination by the Employer that you (i) engaged in misconduct or gross negligence in the performance of your duties or willfully and continuously failed or refused to perform any duties reasonably requested in the course of your employment; (ii) engaged in fraud, dishonesty, or any other conduct that causes or has the potential to cause, harm to any entity in the Activision Blizzard Group, including its business or reputation; (iii) violated any lawful directives or policies of the Activision Blizzard Group or any applicable laws, rules or regulations; (iv) materially breached this Agreement; (v) materially breached any proprietary information or confidentiality agreement with any entity in the Activision Blizzard Group; (vi) were convicted of, or pled guilty or no contest to, a felony or crime involving dishonesty or moral turpitude; or (vii) breached your fiduciary duties to the Activision Blizzard Group.</w:t>
      </w:r>
    </w:p>
    <w:p>
      <w:pPr>
        <w:spacing w:after="0" w:line="132" w:lineRule="exact"/>
        <w:rPr>
          <w:rFonts w:ascii="Times New Roman" w:cs="Times New Roman" w:eastAsia="Times New Roman" w:hAnsi="Times New Roman"/>
          <w:sz w:val="16"/>
          <w:szCs w:val="16"/>
          <w:color w:val="auto"/>
        </w:rPr>
      </w:pPr>
    </w:p>
    <w:p>
      <w:pPr>
        <w:ind w:left="1478" w:hanging="496"/>
        <w:spacing w:after="0"/>
        <w:tabs>
          <w:tab w:leader="none" w:pos="1478"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termination for Cause pursuant to clause (iii) of the definition thereof, the Employer shall give you at least thirty (30) days written</w:t>
      </w:r>
    </w:p>
    <w:p>
      <w:pPr>
        <w:spacing w:after="0" w:line="356"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9</w:t>
      </w:r>
    </w:p>
    <w:p>
      <w:pPr>
        <w:sectPr>
          <w:pgSz w:w="11900" w:h="16838" w:orient="portrait"/>
          <w:cols w:equalWidth="0" w:num="1">
            <w:col w:w="11458"/>
          </w:cols>
          <w:pgMar w:left="222" w:top="508" w:right="219" w:bottom="1440" w:gutter="0" w:footer="0" w:header="0"/>
        </w:sectPr>
      </w:pPr>
    </w:p>
    <w:bookmarkStart w:id="63" w:name="page64"/>
    <w:bookmarkEnd w:id="63"/>
    <w:p>
      <w:pPr>
        <w:jc w:val="both"/>
        <w:ind w:left="926"/>
        <w:spacing w:after="0" w:line="261" w:lineRule="auto"/>
        <w:rPr>
          <w:sz w:val="20"/>
          <w:szCs w:val="20"/>
          <w:color w:val="auto"/>
        </w:rPr>
      </w:pPr>
      <w:r>
        <w:rPr>
          <w:rFonts w:ascii="Times New Roman" w:cs="Times New Roman" w:eastAsia="Times New Roman" w:hAnsi="Times New Roman"/>
          <w:sz w:val="16"/>
          <w:szCs w:val="16"/>
          <w:color w:val="auto"/>
        </w:rPr>
        <w:t>notice of its intent to terminate your employment.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29" w:lineRule="exact"/>
        <w:rPr>
          <w:sz w:val="20"/>
          <w:szCs w:val="20"/>
          <w:color w:val="auto"/>
        </w:rPr>
      </w:pPr>
    </w:p>
    <w:p>
      <w:pPr>
        <w:jc w:val="both"/>
        <w:ind w:left="926" w:hanging="496"/>
        <w:spacing w:after="0" w:line="272" w:lineRule="auto"/>
        <w:tabs>
          <w:tab w:leader="none" w:pos="926"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employment terminates for any reason other than a termination by the Employer for Cause, at a time when the Employer had Cause to terminate you (or would have had Cause if it then knew all relevant facts) under clauses (i), (ii), (v), (vi) or (vii) of the definition of Cause, your termination shall be treated as a termination by the Employer for Cause.</w:t>
      </w:r>
    </w:p>
    <w:p>
      <w:pPr>
        <w:spacing w:after="0" w:line="117"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2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the Employer Without Cause. </w:t>
      </w:r>
      <w:r>
        <w:rPr>
          <w:rFonts w:ascii="Times New Roman" w:cs="Times New Roman" w:eastAsia="Times New Roman" w:hAnsi="Times New Roman"/>
          <w:sz w:val="16"/>
          <w:szCs w:val="16"/>
          <w:color w:val="auto"/>
        </w:rPr>
        <w:t>The Employer may terminate your employment without Cause at any time during the Term and such termination shall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deemed a breach by the Employer of any term of this Agreement or any other duty or obligation, expressed or implied, which the Employer may owe to you pursuant to any principle or provision of law.</w:t>
      </w:r>
    </w:p>
    <w:p>
      <w:pPr>
        <w:spacing w:after="0" w:line="108" w:lineRule="exact"/>
        <w:rPr>
          <w:rFonts w:ascii="Times New Roman" w:cs="Times New Roman" w:eastAsia="Times New Roman" w:hAnsi="Times New Roman"/>
          <w:sz w:val="16"/>
          <w:szCs w:val="16"/>
          <w:color w:val="auto"/>
        </w:rPr>
      </w:pPr>
    </w:p>
    <w:p>
      <w:pPr>
        <w:jc w:val="both"/>
        <w:ind w:left="-494" w:firstLine="494"/>
        <w:spacing w:after="0" w:line="263" w:lineRule="auto"/>
        <w:tabs>
          <w:tab w:leader="none" w:pos="37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You If Your Principal Place of Business Is Relocated Without Your Consent. </w:t>
      </w:r>
      <w:r>
        <w:rPr>
          <w:rFonts w:ascii="Times New Roman" w:cs="Times New Roman" w:eastAsia="Times New Roman" w:hAnsi="Times New Roman"/>
          <w:sz w:val="16"/>
          <w:szCs w:val="16"/>
          <w:color w:val="auto"/>
        </w:rPr>
        <w:t>At any time during the Term, you may terminate your employment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without your written agreement or other voluntary action on your part, the Employer reassigns your principal place of business to a location that is more than fifty (50) miles from your principal place of business as of the Effective Date and that materially and adversely affects your commute;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Times New Roman" w:cs="Times New Roman" w:eastAsia="Times New Roman" w:hAnsi="Times New Roman"/>
          <w:sz w:val="16"/>
          <w:szCs w:val="16"/>
          <w:b w:val="1"/>
          <w:bCs w:val="1"/>
          <w:i w:val="1"/>
          <w:iCs w:val="1"/>
          <w:color w:val="auto"/>
        </w:rPr>
        <w:t>Cure Period</w:t>
      </w:r>
      <w:r>
        <w:rPr>
          <w:rFonts w:ascii="Times New Roman" w:cs="Times New Roman" w:eastAsia="Times New Roman" w:hAnsi="Times New Roman"/>
          <w:sz w:val="16"/>
          <w:szCs w:val="16"/>
          <w:color w:val="auto"/>
        </w:rPr>
        <w:t>”). You will have five (5) days following the end of the Cure Period to terminate your employment, after which your ability to terminate your employment under this Section 9(c) will no longer exist.</w:t>
      </w:r>
    </w:p>
    <w:p>
      <w:pPr>
        <w:spacing w:after="0" w:line="122" w:lineRule="exact"/>
        <w:rPr>
          <w:rFonts w:ascii="Times New Roman" w:cs="Times New Roman" w:eastAsia="Times New Roman" w:hAnsi="Times New Roman"/>
          <w:sz w:val="16"/>
          <w:szCs w:val="16"/>
          <w:color w:val="auto"/>
        </w:rPr>
      </w:pPr>
    </w:p>
    <w:p>
      <w:pPr>
        <w:ind w:left="326" w:hanging="326"/>
        <w:spacing w:after="0"/>
        <w:tabs>
          <w:tab w:leader="none" w:pos="32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Death. </w:t>
      </w:r>
      <w:r>
        <w:rPr>
          <w:rFonts w:ascii="Times New Roman" w:cs="Times New Roman" w:eastAsia="Times New Roman" w:hAnsi="Times New Roman"/>
          <w:sz w:val="16"/>
          <w:szCs w:val="16"/>
          <w:color w:val="auto"/>
        </w:rPr>
        <w:t>In the event of your death during the Term, your employment shall terminate immediately as of the date of your death.</w:t>
      </w:r>
    </w:p>
    <w:p>
      <w:pPr>
        <w:spacing w:after="0" w:line="184" w:lineRule="exact"/>
        <w:rPr>
          <w:rFonts w:ascii="Times New Roman" w:cs="Times New Roman" w:eastAsia="Times New Roman" w:hAnsi="Times New Roman"/>
          <w:sz w:val="16"/>
          <w:szCs w:val="16"/>
          <w:color w:val="auto"/>
        </w:rPr>
      </w:pPr>
    </w:p>
    <w:p>
      <w:pPr>
        <w:jc w:val="both"/>
        <w:ind w:left="-494" w:firstLine="494"/>
        <w:spacing w:after="0" w:line="264" w:lineRule="auto"/>
        <w:tabs>
          <w:tab w:leader="none" w:pos="38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Disability. </w:t>
      </w:r>
      <w:r>
        <w:rPr>
          <w:rFonts w:ascii="Times New Roman" w:cs="Times New Roman" w:eastAsia="Times New Roman" w:hAnsi="Times New Roman"/>
          <w:sz w:val="16"/>
          <w:szCs w:val="16"/>
          <w:color w:val="auto"/>
        </w:rPr>
        <w:t>In the event that you are or become “</w:t>
      </w:r>
      <w:r>
        <w:rPr>
          <w:rFonts w:ascii="Times New Roman" w:cs="Times New Roman" w:eastAsia="Times New Roman" w:hAnsi="Times New Roman"/>
          <w:sz w:val="16"/>
          <w:szCs w:val="16"/>
          <w:b w:val="1"/>
          <w:bCs w:val="1"/>
          <w:i w:val="1"/>
          <w:iCs w:val="1"/>
          <w:color w:val="auto"/>
        </w:rPr>
        <w:t>disabled</w:t>
      </w:r>
      <w:r>
        <w:rPr>
          <w:rFonts w:ascii="Times New Roman" w:cs="Times New Roman" w:eastAsia="Times New Roman" w:hAnsi="Times New Roman"/>
          <w:sz w:val="16"/>
          <w:szCs w:val="16"/>
          <w:color w:val="auto"/>
        </w:rPr>
        <w:t>,” the Employer shall, to the extent permitted by applicable law, have the right to terminate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For purposes of this Agreement, “disabled” shall mean that either (i) you have a physical or mental impairment that renders you unable to perform the duties required of you under this Agreement, even with the Employer providing you a reasonable accommodation, as determined by a physician selected by the Employer in its sole discretion or (ii) 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w:t>
      </w:r>
    </w:p>
    <w:p>
      <w:pPr>
        <w:spacing w:after="0" w:line="311"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10</w:t>
      </w:r>
    </w:p>
    <w:p>
      <w:pPr>
        <w:sectPr>
          <w:pgSz w:w="11900" w:h="16838" w:orient="portrait"/>
          <w:cols w:equalWidth="0" w:num="1">
            <w:col w:w="10906"/>
          </w:cols>
          <w:pgMar w:left="774" w:top="508" w:right="219" w:bottom="1440" w:gutter="0" w:footer="0" w:header="0"/>
        </w:sectPr>
      </w:pPr>
    </w:p>
    <w:bookmarkStart w:id="64" w:name="page65"/>
    <w:bookmarkEnd w:id="64"/>
    <w:p>
      <w:pPr>
        <w:ind w:left="60"/>
        <w:spacing w:after="0" w:line="292" w:lineRule="auto"/>
        <w:rPr>
          <w:sz w:val="20"/>
          <w:szCs w:val="20"/>
          <w:color w:val="auto"/>
        </w:rPr>
      </w:pPr>
      <w:r>
        <w:rPr>
          <w:rFonts w:ascii="Times New Roman" w:cs="Times New Roman" w:eastAsia="Times New Roman" w:hAnsi="Times New Roman"/>
          <w:sz w:val="16"/>
          <w:szCs w:val="16"/>
          <w:color w:val="auto"/>
        </w:rPr>
        <w:t>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01" w:lineRule="exact"/>
        <w:rPr>
          <w:sz w:val="20"/>
          <w:szCs w:val="20"/>
          <w:color w:val="auto"/>
        </w:rPr>
      </w:pPr>
    </w:p>
    <w:p>
      <w:pPr>
        <w:ind w:left="340" w:hanging="338"/>
        <w:spacing w:after="0"/>
        <w:tabs>
          <w:tab w:leader="none" w:pos="34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 of Obligations and Severance Payments</w:t>
      </w:r>
    </w:p>
    <w:p>
      <w:pPr>
        <w:spacing w:after="0" w:line="184" w:lineRule="exact"/>
        <w:rPr>
          <w:rFonts w:ascii="Times New Roman" w:cs="Times New Roman" w:eastAsia="Times New Roman" w:hAnsi="Times New Roman"/>
          <w:sz w:val="16"/>
          <w:szCs w:val="16"/>
          <w:b w:val="1"/>
          <w:bCs w:val="1"/>
          <w:color w:val="auto"/>
        </w:rPr>
      </w:pPr>
    </w:p>
    <w:p>
      <w:pPr>
        <w:jc w:val="both"/>
        <w:ind w:firstLine="493"/>
        <w:spacing w:after="0" w:line="264" w:lineRule="auto"/>
        <w:tabs>
          <w:tab w:leader="none" w:pos="901"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Upon the termination of your employment pursuant to Section 9, your rights and the Employer’s obligations to you under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immediately terminate except as provided in this Section 10 and Section 11(s), and you (or your heirs or estate, as applicable) shall be entitled to receive any amounts or benefits set forth below (subject in all cases to Sections 10(f),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the purposes of this Agreement, the following terms shall have the following meanings:</w:t>
      </w:r>
    </w:p>
    <w:p>
      <w:pPr>
        <w:spacing w:after="0" w:line="170" w:lineRule="exact"/>
        <w:rPr>
          <w:sz w:val="20"/>
          <w:szCs w:val="20"/>
          <w:color w:val="auto"/>
        </w:rPr>
      </w:pPr>
    </w:p>
    <w:p>
      <w:pPr>
        <w:ind w:firstLine="491"/>
        <w:spacing w:after="0" w:line="29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Basic Severance</w:t>
      </w:r>
      <w:r>
        <w:rPr>
          <w:rFonts w:ascii="Times New Roman" w:cs="Times New Roman" w:eastAsia="Times New Roman" w:hAnsi="Times New Roman"/>
          <w:sz w:val="16"/>
          <w:szCs w:val="16"/>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Bonus Severance</w:t>
      </w:r>
      <w:r>
        <w:rPr>
          <w:rFonts w:ascii="Times New Roman" w:cs="Times New Roman" w:eastAsia="Times New Roman" w:hAnsi="Times New Roman"/>
          <w:sz w:val="16"/>
          <w:szCs w:val="16"/>
          <w:color w:val="auto"/>
        </w:rPr>
        <w:t>” shall mean payment of:</w:t>
      </w:r>
    </w:p>
    <w:p>
      <w:pPr>
        <w:spacing w:after="0" w:line="178" w:lineRule="exact"/>
        <w:rPr>
          <w:sz w:val="20"/>
          <w:szCs w:val="20"/>
          <w:color w:val="auto"/>
        </w:rPr>
      </w:pPr>
    </w:p>
    <w:p>
      <w:pPr>
        <w:jc w:val="both"/>
        <w:ind w:left="1480" w:hanging="496"/>
        <w:spacing w:after="0" w:line="272" w:lineRule="auto"/>
        <w:tabs>
          <w:tab w:leader="none" w:pos="14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Annual Bonus that the Employer determines, in its sole discretion, you would have received in accordance with Section 2(c) for any year that ended prior to the Termination Date had you remained employed through the date such bonus would have been otherwise been paid (in the event that your Termination Date occurs before such bonus would have been paid); and</w:t>
      </w:r>
    </w:p>
    <w:p>
      <w:pPr>
        <w:spacing w:after="0" w:line="121" w:lineRule="exact"/>
        <w:rPr>
          <w:rFonts w:ascii="Times New Roman" w:cs="Times New Roman" w:eastAsia="Times New Roman" w:hAnsi="Times New Roman"/>
          <w:sz w:val="16"/>
          <w:szCs w:val="16"/>
          <w:color w:val="auto"/>
        </w:rPr>
      </w:pPr>
    </w:p>
    <w:p>
      <w:pPr>
        <w:jc w:val="both"/>
        <w:ind w:left="1480" w:hanging="496"/>
        <w:spacing w:after="0" w:line="266" w:lineRule="auto"/>
        <w:tabs>
          <w:tab w:leader="none" w:pos="14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Annual Bonus that the Employer determines, in its sole discretion, you would have received in accordance with Section 2(c) for the year in which your Termination Date occurs had you had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Termination Date</w:t>
      </w:r>
      <w:r>
        <w:rPr>
          <w:rFonts w:ascii="Times New Roman" w:cs="Times New Roman" w:eastAsia="Times New Roman" w:hAnsi="Times New Roman"/>
          <w:sz w:val="16"/>
          <w:szCs w:val="16"/>
          <w:color w:val="auto"/>
        </w:rPr>
        <w:t>” shall mean the effective date of your termination of employment pursuant to Sections 9(a)-(e).</w:t>
      </w:r>
    </w:p>
    <w:p>
      <w:pPr>
        <w:spacing w:after="0" w:line="174"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6"/>
          <w:szCs w:val="16"/>
          <w:b w:val="1"/>
          <w:bCs w:val="1"/>
          <w:color w:val="auto"/>
        </w:rPr>
        <w:t xml:space="preserve">Death. </w:t>
      </w:r>
      <w:r>
        <w:rPr>
          <w:rFonts w:ascii="Times New Roman" w:cs="Times New Roman" w:eastAsia="Times New Roman" w:hAnsi="Times New Roman"/>
          <w:sz w:val="16"/>
          <w:szCs w:val="16"/>
          <w:color w:val="auto"/>
        </w:rPr>
        <w:t>In the event your employment is terminated under Section 9(d):</w:t>
      </w:r>
    </w:p>
    <w:p>
      <w:pPr>
        <w:spacing w:after="0" w:line="37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11</w:t>
      </w:r>
    </w:p>
    <w:p>
      <w:pPr>
        <w:sectPr>
          <w:pgSz w:w="11900" w:h="16838" w:orient="portrait"/>
          <w:cols w:equalWidth="0" w:num="1">
            <w:col w:w="11460"/>
          </w:cols>
          <w:pgMar w:left="220" w:top="508" w:right="219" w:bottom="1440" w:gutter="0" w:footer="0" w:header="0"/>
        </w:sectPr>
      </w:pPr>
    </w:p>
    <w:bookmarkStart w:id="65" w:name="page66"/>
    <w:bookmarkEnd w:id="65"/>
    <w:p>
      <w:pPr>
        <w:jc w:val="both"/>
        <w:ind w:left="987" w:hanging="496"/>
        <w:spacing w:after="0" w:line="272" w:lineRule="auto"/>
        <w:tabs>
          <w:tab w:leader="none" w:pos="98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21"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Lump Sum Payment of Two Times Base Salary</w:t>
      </w:r>
      <w:r>
        <w:rPr>
          <w:rFonts w:ascii="Times New Roman" w:cs="Times New Roman" w:eastAsia="Times New Roman" w:hAnsi="Times New Roman"/>
          <w:sz w:val="16"/>
          <w:szCs w:val="16"/>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this amount shall be reduced by any payments to which you become entitled upon death under any Employer-sponsored plan;</w:t>
      </w:r>
    </w:p>
    <w:p>
      <w:pPr>
        <w:spacing w:after="0" w:line="114" w:lineRule="exact"/>
        <w:rPr>
          <w:rFonts w:ascii="Times New Roman" w:cs="Times New Roman" w:eastAsia="Times New Roman" w:hAnsi="Times New Roman"/>
          <w:sz w:val="16"/>
          <w:szCs w:val="16"/>
          <w:color w:val="auto"/>
        </w:rPr>
      </w:pPr>
    </w:p>
    <w:p>
      <w:pPr>
        <w:ind w:left="987" w:hanging="496"/>
        <w:spacing w:after="0" w:line="233" w:lineRule="auto"/>
        <w:tabs>
          <w:tab w:leader="none" w:pos="98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Your heirs or estate, as the case may be, shall receive payment of the Bonus Severance in a lump sum no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underlying amount relates; and</w:t>
      </w:r>
    </w:p>
    <w:p>
      <w:pPr>
        <w:spacing w:after="0" w:line="145"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 All outstanding Equity Awards shall cease to vest. All vested Performance Share Units shall be paid in accordance with their terms. Any vested portion of the Option shall remain exercisable until the earlier of (x) one (1) year after the Termination Date or (y) the original expiration date of the Option. Any Equity Awards that are not vested as of your Termination Date will be cancelled immediately.</w:t>
      </w:r>
    </w:p>
    <w:p>
      <w:pPr>
        <w:spacing w:after="0" w:line="117" w:lineRule="exact"/>
        <w:rPr>
          <w:rFonts w:ascii="Times New Roman" w:cs="Times New Roman" w:eastAsia="Times New Roman" w:hAnsi="Times New Roman"/>
          <w:sz w:val="16"/>
          <w:szCs w:val="16"/>
          <w:color w:val="auto"/>
        </w:rPr>
      </w:pPr>
    </w:p>
    <w:p>
      <w:pPr>
        <w:jc w:val="both"/>
        <w:ind w:left="-493" w:firstLine="493"/>
        <w:spacing w:after="0" w:line="282" w:lineRule="auto"/>
        <w:tabs>
          <w:tab w:leader="none" w:pos="32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by the Employer Without Cause, by You if Your Principal Place of Business Is Relocated Without Your Consent or by the Employer if You Become Disabled. </w:t>
      </w:r>
      <w:r>
        <w:rPr>
          <w:rFonts w:ascii="Times New Roman" w:cs="Times New Roman" w:eastAsia="Times New Roman" w:hAnsi="Times New Roman"/>
          <w:sz w:val="16"/>
          <w:szCs w:val="16"/>
          <w:color w:val="auto"/>
        </w:rPr>
        <w:t>In the event the Employer terminates your employment under Section 9(b), you terminate your employment under Section 9(c) or the Employer terminates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your employment under Section 9(e):</w:t>
      </w:r>
    </w:p>
    <w:p>
      <w:pPr>
        <w:spacing w:after="0" w:line="112"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21" w:lineRule="exact"/>
        <w:rPr>
          <w:rFonts w:ascii="Times New Roman" w:cs="Times New Roman" w:eastAsia="Times New Roman" w:hAnsi="Times New Roman"/>
          <w:sz w:val="16"/>
          <w:szCs w:val="16"/>
          <w:color w:val="auto"/>
        </w:rPr>
      </w:pPr>
    </w:p>
    <w:p>
      <w:pPr>
        <w:jc w:val="both"/>
        <w:ind w:left="987" w:hanging="496"/>
        <w:spacing w:after="0" w:line="245" w:lineRule="auto"/>
        <w:tabs>
          <w:tab w:leader="none" w:pos="987"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Salary Continuation</w:t>
      </w:r>
      <w:r>
        <w:rPr>
          <w:rFonts w:ascii="Times New Roman" w:cs="Times New Roman" w:eastAsia="Times New Roman" w:hAnsi="Times New Roman"/>
          <w:sz w:val="16"/>
          <w:szCs w:val="16"/>
          <w:color w:val="auto"/>
        </w:rPr>
        <w:t>.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following the Termination Date in accordance with the Employer’s payroll practices as in effect from time to time, provided that the first such payment shall include any installments relating to the 60 day period following the Termination Date; provided, however, that, to the extent doing so will not result in the imposition of additional taxes under Section 409A (“</w:t>
      </w:r>
      <w:r>
        <w:rPr>
          <w:rFonts w:ascii="Times New Roman" w:cs="Times New Roman" w:eastAsia="Times New Roman" w:hAnsi="Times New Roman"/>
          <w:sz w:val="16"/>
          <w:szCs w:val="16"/>
          <w:i w:val="1"/>
          <w:iCs w:val="1"/>
          <w:color w:val="auto"/>
        </w:rPr>
        <w:t>Section 409A</w:t>
      </w:r>
      <w:r>
        <w:rPr>
          <w:rFonts w:ascii="Times New Roman" w:cs="Times New Roman" w:eastAsia="Times New Roman" w:hAnsi="Times New Roman"/>
          <w:sz w:val="16"/>
          <w:szCs w:val="16"/>
          <w:color w:val="auto"/>
        </w:rPr>
        <w:t>”) of the Internal Revenue Code of 1986, as amended and the rules and regulations promulgated thereunder (the “</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this amount shall be</w:t>
      </w:r>
    </w:p>
    <w:p>
      <w:pPr>
        <w:spacing w:after="0" w:line="200" w:lineRule="exact"/>
        <w:rPr>
          <w:sz w:val="20"/>
          <w:szCs w:val="20"/>
          <w:color w:val="auto"/>
        </w:rPr>
      </w:pPr>
    </w:p>
    <w:p>
      <w:pPr>
        <w:spacing w:after="0" w:line="320" w:lineRule="exact"/>
        <w:rPr>
          <w:sz w:val="20"/>
          <w:szCs w:val="20"/>
          <w:color w:val="auto"/>
        </w:rPr>
      </w:pPr>
    </w:p>
    <w:p>
      <w:pPr>
        <w:ind w:left="2567"/>
        <w:spacing w:after="0"/>
        <w:rPr>
          <w:sz w:val="20"/>
          <w:szCs w:val="20"/>
          <w:color w:val="auto"/>
        </w:rPr>
      </w:pPr>
      <w:r>
        <w:rPr>
          <w:rFonts w:ascii="Times New Roman" w:cs="Times New Roman" w:eastAsia="Times New Roman" w:hAnsi="Times New Roman"/>
          <w:sz w:val="14"/>
          <w:szCs w:val="14"/>
          <w:color w:val="auto"/>
        </w:rPr>
        <w:t>Page 12</w:t>
      </w:r>
    </w:p>
    <w:p>
      <w:pPr>
        <w:sectPr>
          <w:pgSz w:w="11900" w:h="16838" w:orient="portrait"/>
          <w:cols w:equalWidth="0" w:num="1">
            <w:col w:w="10967"/>
          </w:cols>
          <w:pgMar w:left="713" w:top="508" w:right="219" w:bottom="1440" w:gutter="0" w:footer="0" w:header="0"/>
        </w:sectPr>
      </w:pPr>
    </w:p>
    <w:bookmarkStart w:id="66" w:name="page67"/>
    <w:bookmarkEnd w:id="66"/>
    <w:p>
      <w:pPr>
        <w:ind w:left="496"/>
        <w:spacing w:after="0"/>
        <w:rPr>
          <w:sz w:val="20"/>
          <w:szCs w:val="20"/>
          <w:color w:val="auto"/>
        </w:rPr>
      </w:pPr>
      <w:r>
        <w:rPr>
          <w:rFonts w:ascii="Times New Roman" w:cs="Times New Roman" w:eastAsia="Times New Roman" w:hAnsi="Times New Roman"/>
          <w:sz w:val="16"/>
          <w:szCs w:val="16"/>
          <w:color w:val="auto"/>
        </w:rPr>
        <w:t>reduced by any payments which you have received or to which you become entitled under any Employer-sponsored long-term disability plan;</w:t>
      </w:r>
    </w:p>
    <w:p>
      <w:pPr>
        <w:spacing w:after="0" w:line="174" w:lineRule="exact"/>
        <w:rPr>
          <w:sz w:val="20"/>
          <w:szCs w:val="20"/>
          <w:color w:val="auto"/>
        </w:rPr>
      </w:pPr>
    </w:p>
    <w:p>
      <w:pPr>
        <w:ind w:left="496" w:hanging="496"/>
        <w:spacing w:after="0" w:line="303" w:lineRule="auto"/>
        <w:tabs>
          <w:tab w:leader="none" w:pos="49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You or your legal representative, as the case may be, shall receive payment of the Bonus Severance in a lump sum no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underlying amount relates;</w:t>
      </w:r>
    </w:p>
    <w:p>
      <w:pPr>
        <w:spacing w:after="0" w:line="15" w:lineRule="exact"/>
        <w:rPr>
          <w:rFonts w:ascii="Times New Roman" w:cs="Times New Roman" w:eastAsia="Times New Roman" w:hAnsi="Times New Roman"/>
          <w:sz w:val="16"/>
          <w:szCs w:val="16"/>
          <w:color w:val="auto"/>
        </w:rPr>
      </w:pPr>
    </w:p>
    <w:p>
      <w:pPr>
        <w:ind w:left="496" w:hanging="496"/>
        <w:spacing w:after="0"/>
        <w:tabs>
          <w:tab w:leader="none" w:pos="49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w:t>
      </w:r>
    </w:p>
    <w:p>
      <w:pPr>
        <w:spacing w:after="0" w:line="173" w:lineRule="exact"/>
        <w:rPr>
          <w:rFonts w:ascii="Times New Roman" w:cs="Times New Roman" w:eastAsia="Times New Roman" w:hAnsi="Times New Roman"/>
          <w:sz w:val="16"/>
          <w:szCs w:val="16"/>
          <w:color w:val="auto"/>
        </w:rPr>
      </w:pPr>
    </w:p>
    <w:p>
      <w:pPr>
        <w:jc w:val="both"/>
        <w:ind w:left="496" w:hanging="6"/>
        <w:spacing w:after="0" w:line="279" w:lineRule="auto"/>
        <w:tabs>
          <w:tab w:leader="none" w:pos="797"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outstanding Equity Awards shall cease to vest. All vested Performance Share Units shall be paid in accordance with their terms. Any vested portion of the Option shall remain exercisable until the earlier of (x) thirty (30) days after the Termination Date and (y) the original expiration date of the Option. Any Equity Awards that are not vested as of your Termination Date will be cancelled immediately; and</w:t>
      </w:r>
    </w:p>
    <w:p>
      <w:pPr>
        <w:spacing w:after="0" w:line="115" w:lineRule="exact"/>
        <w:rPr>
          <w:rFonts w:ascii="Times New Roman" w:cs="Times New Roman" w:eastAsia="Times New Roman" w:hAnsi="Times New Roman"/>
          <w:sz w:val="16"/>
          <w:szCs w:val="16"/>
          <w:color w:val="auto"/>
        </w:rPr>
      </w:pPr>
    </w:p>
    <w:p>
      <w:pPr>
        <w:jc w:val="both"/>
        <w:ind w:left="496" w:hanging="6"/>
        <w:spacing w:after="0" w:line="250" w:lineRule="auto"/>
        <w:tabs>
          <w:tab w:leader="none" w:pos="756"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Employer terminates your employment under Section 9(b) or you terminate your employment under Section 9(c), all unvested 2016 Performance Share Units will cease to vest and be cancelled immediately. Notwithstanding the foregoing, in the event that (i) your Termination Date </w:t>
      </w:r>
      <w:r>
        <w:rPr>
          <w:rFonts w:ascii="Times New Roman" w:cs="Times New Roman" w:eastAsia="Times New Roman" w:hAnsi="Times New Roman"/>
          <w:sz w:val="16"/>
          <w:szCs w:val="16"/>
          <w:color w:val="191919"/>
        </w:rPr>
        <w:t xml:space="preserve">occurs after the completion of one or more performance periods (i.e. fiscal years 2016, 2017, 2018 and/or 2019), (ii) your employment is terminated pursuant to Section 9(b) or 9(c)); and (iii) the Compensation Committee determines that the applicable performance objective(s) (i.e. 2016 Performance Objective, 2017 Performance Objective, 2018 Performance Objective and/or 2019 Performance Objective) have been achieved for each performance period completed prior to your Termination Date, then an amount to be calculated as provided for below in Paragraph 10(c)(iv)(b)[i] shall be paid to you, (the </w:t>
      </w:r>
      <w:r>
        <w:rPr>
          <w:rFonts w:ascii="Times New Roman" w:cs="Times New Roman" w:eastAsia="Times New Roman" w:hAnsi="Times New Roman"/>
          <w:sz w:val="16"/>
          <w:szCs w:val="16"/>
          <w:b w:val="1"/>
          <w:bCs w:val="1"/>
          <w:i w:val="1"/>
          <w:iCs w:val="1"/>
          <w:color w:val="191919"/>
        </w:rPr>
        <w:t>“PSU Termination Consideration”</w:t>
      </w:r>
      <w:r>
        <w:rPr>
          <w:rFonts w:ascii="Times New Roman" w:cs="Times New Roman" w:eastAsia="Times New Roman" w:hAnsi="Times New Roman"/>
          <w:sz w:val="16"/>
          <w:szCs w:val="16"/>
          <w:color w:val="191919"/>
        </w:rPr>
        <w:t>). This amount shall be paid no later than the later of the 60</w:t>
      </w:r>
      <w:r>
        <w:rPr>
          <w:rFonts w:ascii="Times New Roman" w:cs="Times New Roman" w:eastAsia="Times New Roman" w:hAnsi="Times New Roman"/>
          <w:sz w:val="21"/>
          <w:szCs w:val="21"/>
          <w:color w:val="191919"/>
          <w:vertAlign w:val="superscript"/>
        </w:rPr>
        <w:t>th</w:t>
      </w:r>
      <w:r>
        <w:rPr>
          <w:rFonts w:ascii="Times New Roman" w:cs="Times New Roman" w:eastAsia="Times New Roman" w:hAnsi="Times New Roman"/>
          <w:sz w:val="16"/>
          <w:szCs w:val="16"/>
          <w:color w:val="191919"/>
        </w:rPr>
        <w:t xml:space="preserve"> day following the Termination Date and 30 days after the date the Compensation Committee determines that the applicable performance objective(s) (i.e. 2016 Performance Objective, 2017 Performance Objective, 2018 Performance Objective and/or 2019 Performance Objective) have been achieved (if any), and will be subject to applicable taxes and withholdings.</w:t>
      </w:r>
    </w:p>
    <w:p>
      <w:pPr>
        <w:spacing w:after="0" w:line="334" w:lineRule="exact"/>
        <w:rPr>
          <w:rFonts w:ascii="Times New Roman" w:cs="Times New Roman" w:eastAsia="Times New Roman" w:hAnsi="Times New Roman"/>
          <w:sz w:val="16"/>
          <w:szCs w:val="16"/>
          <w:color w:val="auto"/>
        </w:rPr>
      </w:pPr>
    </w:p>
    <w:p>
      <w:pPr>
        <w:jc w:val="both"/>
        <w:ind w:left="-4" w:firstLine="985"/>
        <w:spacing w:after="0" w:line="261" w:lineRule="auto"/>
        <w:tabs>
          <w:tab w:leader="none" w:pos="1300" w:val="left"/>
        </w:tabs>
        <w:numPr>
          <w:ilvl w:val="2"/>
          <w:numId w:val="62"/>
        </w:numPr>
        <w:rPr>
          <w:rFonts w:ascii="Times New Roman" w:cs="Times New Roman" w:eastAsia="Times New Roman" w:hAnsi="Times New Roman"/>
          <w:sz w:val="16"/>
          <w:szCs w:val="16"/>
          <w:color w:val="191919"/>
        </w:rPr>
      </w:pPr>
      <w:r>
        <w:rPr>
          <w:rFonts w:ascii="Times New Roman" w:cs="Times New Roman" w:eastAsia="Times New Roman" w:hAnsi="Times New Roman"/>
          <w:sz w:val="16"/>
          <w:szCs w:val="16"/>
          <w:color w:val="191919"/>
        </w:rPr>
        <w:t xml:space="preserve">The formula for determining the PSU Termination Consideration </w:t>
      </w:r>
      <w:r>
        <w:rPr>
          <w:rFonts w:ascii="Times New Roman" w:cs="Times New Roman" w:eastAsia="Times New Roman" w:hAnsi="Times New Roman"/>
          <w:sz w:val="16"/>
          <w:szCs w:val="16"/>
          <w:color w:val="000000"/>
        </w:rPr>
        <w:t>for each applicable tranche of cancelled 2016 Performance Share Units, if</w:t>
      </w:r>
      <w:r>
        <w:rPr>
          <w:rFonts w:ascii="Times New Roman" w:cs="Times New Roman" w:eastAsia="Times New Roman" w:hAnsi="Times New Roman"/>
          <w:sz w:val="16"/>
          <w:szCs w:val="16"/>
          <w:color w:val="191919"/>
        </w:rPr>
        <w:t xml:space="preserve"> </w:t>
      </w:r>
      <w:r>
        <w:rPr>
          <w:rFonts w:ascii="Times New Roman" w:cs="Times New Roman" w:eastAsia="Times New Roman" w:hAnsi="Times New Roman"/>
          <w:sz w:val="16"/>
          <w:szCs w:val="16"/>
          <w:color w:val="000000"/>
        </w:rPr>
        <w:t>any, (i.e. the First Tranche 2016 Performance Share Units, the Second Tranche 2016 Performance Share Units, the Third Tranche 2016 Performance Share Units and/or the Fourth Tranche 2016 Performance Share Units) is as follows: multiply the Grant Date Price by the product of the number of performance share units for the applicable tranche by the ratio, as determined by the Compensation Committee, in its discretion, of the non-GAAP operating income (the “</w:t>
      </w:r>
      <w:r>
        <w:rPr>
          <w:rFonts w:ascii="Times New Roman" w:cs="Times New Roman" w:eastAsia="Times New Roman" w:hAnsi="Times New Roman"/>
          <w:sz w:val="16"/>
          <w:szCs w:val="16"/>
          <w:b w:val="1"/>
          <w:bCs w:val="1"/>
          <w:i w:val="1"/>
          <w:iCs w:val="1"/>
          <w:color w:val="000000"/>
        </w:rPr>
        <w:t>OI</w:t>
      </w:r>
      <w:r>
        <w:rPr>
          <w:rFonts w:ascii="Times New Roman" w:cs="Times New Roman" w:eastAsia="Times New Roman" w:hAnsi="Times New Roman"/>
          <w:sz w:val="16"/>
          <w:szCs w:val="16"/>
          <w:color w:val="000000"/>
        </w:rPr>
        <w:t>”) for the applicable fiscal year to the AOP OI Objective for the applicable fiscal year (e.g. the performance objective for the applicable fiscal year), up to a maximum of 125%.</w:t>
      </w:r>
    </w:p>
    <w:p>
      <w:pPr>
        <w:spacing w:after="0" w:line="341" w:lineRule="exact"/>
        <w:rPr>
          <w:sz w:val="20"/>
          <w:szCs w:val="20"/>
          <w:color w:val="auto"/>
        </w:rPr>
      </w:pPr>
    </w:p>
    <w:p>
      <w:pPr>
        <w:ind w:left="2076"/>
        <w:spacing w:after="0"/>
        <w:rPr>
          <w:sz w:val="20"/>
          <w:szCs w:val="20"/>
          <w:color w:val="auto"/>
        </w:rPr>
      </w:pPr>
      <w:r>
        <w:rPr>
          <w:rFonts w:ascii="Times New Roman" w:cs="Times New Roman" w:eastAsia="Times New Roman" w:hAnsi="Times New Roman"/>
          <w:sz w:val="14"/>
          <w:szCs w:val="14"/>
          <w:color w:val="auto"/>
        </w:rPr>
        <w:t>Page 13</w:t>
      </w:r>
    </w:p>
    <w:p>
      <w:pPr>
        <w:sectPr>
          <w:pgSz w:w="11900" w:h="16838" w:orient="portrait"/>
          <w:cols w:equalWidth="0" w:num="1">
            <w:col w:w="10476"/>
          </w:cols>
          <w:pgMar w:left="1204" w:top="508" w:right="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191919"/>
        </w:rPr>
        <w:t>For clarity, the following examples are provided as illustration, but not by way of limitation:</w:t>
      </w:r>
    </w:p>
    <w:p>
      <w:pPr>
        <w:spacing w:after="0" w:line="205" w:lineRule="exact"/>
        <w:rPr>
          <w:sz w:val="20"/>
          <w:szCs w:val="20"/>
          <w:color w:val="auto"/>
        </w:rPr>
      </w:pPr>
    </w:p>
    <w:p>
      <w:pPr>
        <w:jc w:val="both"/>
        <w:ind w:left="500" w:firstLine="485"/>
        <w:spacing w:after="0" w:line="264" w:lineRule="auto"/>
        <w:tabs>
          <w:tab w:leader="none" w:pos="1226" w:val="left"/>
        </w:tabs>
        <w:numPr>
          <w:ilvl w:val="2"/>
          <w:numId w:val="63"/>
        </w:numPr>
        <w:rPr>
          <w:rFonts w:ascii="Times New Roman" w:cs="Times New Roman" w:eastAsia="Times New Roman" w:hAnsi="Times New Roman"/>
          <w:sz w:val="16"/>
          <w:szCs w:val="16"/>
          <w:color w:val="191919"/>
        </w:rPr>
      </w:pPr>
      <w:r>
        <w:rPr>
          <w:rFonts w:ascii="Times New Roman" w:cs="Times New Roman" w:eastAsia="Times New Roman" w:hAnsi="Times New Roman"/>
          <w:sz w:val="16"/>
          <w:szCs w:val="16"/>
          <w:color w:val="191919"/>
        </w:rPr>
        <w:t>in the event that your employment terminates on January 1, 2017, pursuant to Section 9(b) or 9(c), the Compensation Committee determines that 86% of the 2016 Performance Objective is achieved, the number of performance share units granted for the First Tranche 2016 Performance Share Units is 26,351, and the Grant Date Price is $37, then $838,489 (less applicable taxes and withholdings) will be paid using the following calculation: $37 x [26,351 x .86] = $838,489. You will receive no payment with respect to the cancelled Second, Third, or Fourth Tranche 2016 Performance Share Units.</w:t>
      </w:r>
    </w:p>
    <w:p>
      <w:pPr>
        <w:spacing w:after="0" w:line="356" w:lineRule="exact"/>
        <w:rPr>
          <w:rFonts w:ascii="Times New Roman" w:cs="Times New Roman" w:eastAsia="Times New Roman" w:hAnsi="Times New Roman"/>
          <w:sz w:val="16"/>
          <w:szCs w:val="16"/>
          <w:color w:val="191919"/>
        </w:rPr>
      </w:pPr>
    </w:p>
    <w:p>
      <w:pPr>
        <w:jc w:val="both"/>
        <w:ind w:left="500" w:firstLine="485"/>
        <w:spacing w:after="0" w:line="263" w:lineRule="auto"/>
        <w:tabs>
          <w:tab w:leader="none" w:pos="1226" w:val="left"/>
        </w:tabs>
        <w:numPr>
          <w:ilvl w:val="2"/>
          <w:numId w:val="63"/>
        </w:numPr>
        <w:rPr>
          <w:rFonts w:ascii="Times New Roman" w:cs="Times New Roman" w:eastAsia="Times New Roman" w:hAnsi="Times New Roman"/>
          <w:sz w:val="16"/>
          <w:szCs w:val="16"/>
          <w:color w:val="191919"/>
        </w:rPr>
      </w:pPr>
      <w:r>
        <w:rPr>
          <w:rFonts w:ascii="Times New Roman" w:cs="Times New Roman" w:eastAsia="Times New Roman" w:hAnsi="Times New Roman"/>
          <w:sz w:val="16"/>
          <w:szCs w:val="16"/>
          <w:color w:val="191919"/>
        </w:rPr>
        <w:t>in the event that your employment terminates on January 1, 2018, pursuant to Section 9(b) or 9(c), the Compensation Committee determines that 80% of the 2016 Performance Objective is achieved, 135% of the 2017 Performance Objective is achieved, the Grant Date Price is $37 and the number of performance share units granted for each of the First Tranche 2016 Performance Share Units and the Second Tranche 2016 Performance Share Units is 26,351, then $1,218,734 (less applicable taxes and withholdings) will be paid using the following calculation: $37 x [26,351 x 1.25] = $1,218,734. You will receive no payment with respect to the cancelled Third or Fourth Tranche 2016 Performance Share Units.</w:t>
      </w:r>
    </w:p>
    <w:p>
      <w:pPr>
        <w:spacing w:after="0" w:line="127" w:lineRule="exact"/>
        <w:rPr>
          <w:rFonts w:ascii="Times New Roman" w:cs="Times New Roman" w:eastAsia="Times New Roman" w:hAnsi="Times New Roman"/>
          <w:sz w:val="16"/>
          <w:szCs w:val="16"/>
          <w:color w:val="191919"/>
        </w:rPr>
      </w:pPr>
    </w:p>
    <w:p>
      <w:pPr>
        <w:ind w:left="500" w:hanging="496"/>
        <w:spacing w:after="0"/>
        <w:tabs>
          <w:tab w:leader="none" w:pos="5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Severance</w:t>
      </w:r>
      <w:r>
        <w:rPr>
          <w:rFonts w:ascii="Times New Roman" w:cs="Times New Roman" w:eastAsia="Times New Roman" w:hAnsi="Times New Roman"/>
          <w:sz w:val="16"/>
          <w:szCs w:val="16"/>
          <w:color w:val="auto"/>
        </w:rPr>
        <w:t>.</w:t>
      </w:r>
    </w:p>
    <w:p>
      <w:pPr>
        <w:spacing w:after="0" w:line="173" w:lineRule="exact"/>
        <w:rPr>
          <w:rFonts w:ascii="Times New Roman" w:cs="Times New Roman" w:eastAsia="Times New Roman" w:hAnsi="Times New Roman"/>
          <w:sz w:val="16"/>
          <w:szCs w:val="16"/>
          <w:color w:val="auto"/>
        </w:rPr>
      </w:pPr>
    </w:p>
    <w:p>
      <w:pPr>
        <w:jc w:val="both"/>
        <w:ind w:left="500" w:hanging="6"/>
        <w:spacing w:after="0" w:line="279" w:lineRule="auto"/>
        <w:tabs>
          <w:tab w:leader="none" w:pos="76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$650,000, if and only if, (i) your employment is terminated pursuant to Section 9(b) or 9(c), (ii) your Termination Date is after December 31, 2016, and (iii) the Compensation Committee determines, in its sole discretion, that Activision Blizzard’s [i] 2016 OI is $1or greater and [ii] 2016 OI is 85% or greater than the 2016 AOP OI Objective;</w:t>
      </w:r>
    </w:p>
    <w:p>
      <w:pPr>
        <w:spacing w:after="0" w:line="115" w:lineRule="exact"/>
        <w:rPr>
          <w:rFonts w:ascii="Times New Roman" w:cs="Times New Roman" w:eastAsia="Times New Roman" w:hAnsi="Times New Roman"/>
          <w:sz w:val="16"/>
          <w:szCs w:val="16"/>
          <w:color w:val="auto"/>
        </w:rPr>
      </w:pPr>
    </w:p>
    <w:p>
      <w:pPr>
        <w:jc w:val="both"/>
        <w:ind w:left="500" w:hanging="6"/>
        <w:spacing w:after="0" w:line="279" w:lineRule="auto"/>
        <w:tabs>
          <w:tab w:leader="none" w:pos="75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$650,000, if an only if, (i) your employment is terminated pursuant to Section 9(b) or 9(c), (ii) your Termination Date is after December 31, 2017, and (iii) the Compensation Committee determines, in its sole discretion, that Activision Blizzard’s [i] 2017 OI is $1or greater and [ii] 2017 OI is 85% or greater than the 2017 AOP OI Objective;</w:t>
      </w:r>
    </w:p>
    <w:p>
      <w:pPr>
        <w:spacing w:after="0" w:line="115" w:lineRule="exact"/>
        <w:rPr>
          <w:rFonts w:ascii="Times New Roman" w:cs="Times New Roman" w:eastAsia="Times New Roman" w:hAnsi="Times New Roman"/>
          <w:sz w:val="16"/>
          <w:szCs w:val="16"/>
          <w:color w:val="auto"/>
        </w:rPr>
      </w:pPr>
    </w:p>
    <w:p>
      <w:pPr>
        <w:jc w:val="both"/>
        <w:ind w:left="500" w:hanging="6"/>
        <w:spacing w:after="0" w:line="279" w:lineRule="auto"/>
        <w:tabs>
          <w:tab w:leader="none" w:pos="75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$650,000, if an only if, (i) your employment is terminated pursuant to Section 9(b) or 9(c), (ii) your Termination Date is after December 31, 2018, and (iii) the Compensation Committee determines, in its sole discretion, that Activision Blizzard’s [i] 2018 OI is $1or greater and [ii] 2018 OI is 85% or greater than the 2018 AOP OI Objective; and</w:t>
      </w:r>
    </w:p>
    <w:p>
      <w:pPr>
        <w:spacing w:after="0" w:line="115" w:lineRule="exact"/>
        <w:rPr>
          <w:rFonts w:ascii="Times New Roman" w:cs="Times New Roman" w:eastAsia="Times New Roman" w:hAnsi="Times New Roman"/>
          <w:sz w:val="16"/>
          <w:szCs w:val="16"/>
          <w:color w:val="auto"/>
        </w:rPr>
      </w:pPr>
    </w:p>
    <w:p>
      <w:pPr>
        <w:ind w:left="760" w:hanging="266"/>
        <w:spacing w:after="0"/>
        <w:tabs>
          <w:tab w:leader="none" w:pos="76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$650,000, if an only if, (i) your employment is terminated</w:t>
      </w:r>
    </w:p>
    <w:p>
      <w:pPr>
        <w:spacing w:after="0" w:line="36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Page 14</w:t>
      </w:r>
    </w:p>
    <w:p>
      <w:pPr>
        <w:sectPr>
          <w:pgSz w:w="11900" w:h="16838" w:orient="portrait"/>
          <w:cols w:equalWidth="0" w:num="1">
            <w:col w:w="10480"/>
          </w:cols>
          <w:pgMar w:left="1200" w:top="508" w:right="219" w:bottom="1440" w:gutter="0" w:footer="0" w:header="0"/>
        </w:sectPr>
      </w:pPr>
    </w:p>
    <w:bookmarkStart w:id="68" w:name="page69"/>
    <w:bookmarkEnd w:id="68"/>
    <w:p>
      <w:pPr>
        <w:ind w:left="987"/>
        <w:spacing w:after="0" w:line="292" w:lineRule="auto"/>
        <w:rPr>
          <w:sz w:val="20"/>
          <w:szCs w:val="20"/>
          <w:color w:val="auto"/>
        </w:rPr>
      </w:pPr>
      <w:r>
        <w:rPr>
          <w:rFonts w:ascii="Times New Roman" w:cs="Times New Roman" w:eastAsia="Times New Roman" w:hAnsi="Times New Roman"/>
          <w:sz w:val="16"/>
          <w:szCs w:val="16"/>
          <w:color w:val="auto"/>
        </w:rPr>
        <w:t>pursuant to Section 9(b) or 9(c), (ii) your Termination Date is after December 31, 2019, and (iii) the Compensation Committee determines, in its sole discretion, that Activision Blizzard’s [i] 2019 OI is $1or greater and [ii] 2019 OI is 85% or greater than the 2019 AOP OI Objective.</w:t>
      </w:r>
    </w:p>
    <w:p>
      <w:pPr>
        <w:spacing w:after="0" w:line="105" w:lineRule="exact"/>
        <w:rPr>
          <w:sz w:val="20"/>
          <w:szCs w:val="20"/>
          <w:color w:val="auto"/>
        </w:rPr>
      </w:pPr>
    </w:p>
    <w:p>
      <w:pPr>
        <w:jc w:val="both"/>
        <w:ind w:left="487"/>
        <w:spacing w:after="0" w:line="266" w:lineRule="auto"/>
        <w:rPr>
          <w:sz w:val="20"/>
          <w:szCs w:val="20"/>
          <w:color w:val="auto"/>
        </w:rPr>
      </w:pPr>
      <w:r>
        <w:rPr>
          <w:rFonts w:ascii="Times New Roman" w:cs="Times New Roman" w:eastAsia="Times New Roman" w:hAnsi="Times New Roman"/>
          <w:sz w:val="16"/>
          <w:szCs w:val="16"/>
          <w:color w:val="auto"/>
        </w:rPr>
        <w:t>The amounts set forth in Sections 10(d)(v)a. through 10(d)(v)d. are intended to be cumulative to the extent the applicable conditions are satisfied; provided, however, no payment pursuant to Section 10(d)(v)a., 10(d)(v)b., or 10(d)(v)c. shall be due to you if your Termination Date is on or after May 31, 2019. All amounts owed pursuant to this Section 10(d)(v) will be paid to you no later than the later of the 60th day following the Termination Date and 30 days after the date the Compensation Committee determines that the applicable OI conditions have been achieved (if any), and will be subject to applicable taxes; and</w:t>
      </w:r>
    </w:p>
    <w:p>
      <w:pPr>
        <w:spacing w:after="0" w:line="156" w:lineRule="exact"/>
        <w:rPr>
          <w:sz w:val="20"/>
          <w:szCs w:val="20"/>
          <w:color w:val="auto"/>
        </w:rPr>
      </w:pPr>
    </w:p>
    <w:p>
      <w:pPr>
        <w:jc w:val="both"/>
        <w:ind w:left="987" w:hanging="496"/>
        <w:spacing w:after="0"/>
        <w:tabs>
          <w:tab w:leader="none" w:pos="987"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Severance Conditioned Upon Release</w:t>
      </w:r>
      <w:r>
        <w:rPr>
          <w:rFonts w:ascii="Times New Roman" w:cs="Times New Roman" w:eastAsia="Times New Roman" w:hAnsi="Times New Roman"/>
          <w:sz w:val="16"/>
          <w:szCs w:val="16"/>
          <w:color w:val="auto"/>
        </w:rPr>
        <w:t>. Payments and benefits described in Sections 10(c)(ii)-(v)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following the Termination Date, you shall not be entitled to any payments under this Section 10(c) other than the Basic Severance.</w:t>
      </w:r>
    </w:p>
    <w:p>
      <w:pPr>
        <w:spacing w:after="0" w:line="337" w:lineRule="exact"/>
        <w:rPr>
          <w:rFonts w:ascii="Times New Roman" w:cs="Times New Roman" w:eastAsia="Times New Roman" w:hAnsi="Times New Roman"/>
          <w:sz w:val="16"/>
          <w:szCs w:val="16"/>
          <w:color w:val="auto"/>
        </w:rPr>
      </w:pPr>
    </w:p>
    <w:p>
      <w:pPr>
        <w:ind w:left="327" w:hanging="327"/>
        <w:spacing w:after="0"/>
        <w:tabs>
          <w:tab w:leader="none" w:pos="32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by the Employer For Cause. </w:t>
      </w:r>
      <w:r>
        <w:rPr>
          <w:rFonts w:ascii="Times New Roman" w:cs="Times New Roman" w:eastAsia="Times New Roman" w:hAnsi="Times New Roman"/>
          <w:sz w:val="16"/>
          <w:szCs w:val="16"/>
          <w:color w:val="auto"/>
        </w:rPr>
        <w:t>In the event your employment is terminated by the Employer under Section 9(a), then:</w:t>
      </w:r>
    </w:p>
    <w:p>
      <w:pPr>
        <w:spacing w:after="0" w:line="188"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21" w:lineRule="exact"/>
        <w:rPr>
          <w:rFonts w:ascii="Times New Roman" w:cs="Times New Roman" w:eastAsia="Times New Roman" w:hAnsi="Times New Roman"/>
          <w:sz w:val="16"/>
          <w:szCs w:val="16"/>
          <w:color w:val="auto"/>
        </w:rPr>
      </w:pPr>
    </w:p>
    <w:p>
      <w:pPr>
        <w:ind w:left="987" w:hanging="496"/>
        <w:spacing w:after="0" w:line="292" w:lineRule="auto"/>
        <w:tabs>
          <w:tab w:leader="none" w:pos="98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 All outstanding Equity Awards shall cease to vest and, whether or not vested, shall no longer be exercisable and shall be cancelled immediately.</w:t>
      </w:r>
    </w:p>
    <w:p>
      <w:pPr>
        <w:spacing w:after="0" w:line="100" w:lineRule="exact"/>
        <w:rPr>
          <w:rFonts w:ascii="Times New Roman" w:cs="Times New Roman" w:eastAsia="Times New Roman" w:hAnsi="Times New Roman"/>
          <w:sz w:val="16"/>
          <w:szCs w:val="16"/>
          <w:color w:val="auto"/>
        </w:rPr>
      </w:pPr>
    </w:p>
    <w:p>
      <w:pPr>
        <w:ind w:left="327" w:hanging="327"/>
        <w:spacing w:after="0"/>
        <w:tabs>
          <w:tab w:leader="none" w:pos="32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on the Expiration Date. </w:t>
      </w:r>
      <w:r>
        <w:rPr>
          <w:rFonts w:ascii="Times New Roman" w:cs="Times New Roman" w:eastAsia="Times New Roman" w:hAnsi="Times New Roman"/>
          <w:sz w:val="16"/>
          <w:szCs w:val="16"/>
          <w:color w:val="auto"/>
        </w:rPr>
        <w:t>In the event your employment terminates on the Expiration Date, then:</w:t>
      </w:r>
    </w:p>
    <w:p>
      <w:pPr>
        <w:spacing w:after="0" w:line="188"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14" w:lineRule="exact"/>
        <w:rPr>
          <w:rFonts w:ascii="Times New Roman" w:cs="Times New Roman" w:eastAsia="Times New Roman" w:hAnsi="Times New Roman"/>
          <w:sz w:val="16"/>
          <w:szCs w:val="16"/>
          <w:color w:val="auto"/>
        </w:rPr>
      </w:pPr>
    </w:p>
    <w:p>
      <w:pPr>
        <w:ind w:left="987" w:hanging="496"/>
        <w:spacing w:after="0" w:line="233" w:lineRule="auto"/>
        <w:tabs>
          <w:tab w:leader="none" w:pos="98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You shall receive payment of the Bonus Severance in a lump sum no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underlying amount relates; and</w:t>
      </w:r>
    </w:p>
    <w:p>
      <w:pPr>
        <w:spacing w:after="0" w:line="328" w:lineRule="exact"/>
        <w:rPr>
          <w:sz w:val="20"/>
          <w:szCs w:val="20"/>
          <w:color w:val="auto"/>
        </w:rPr>
      </w:pPr>
    </w:p>
    <w:p>
      <w:pPr>
        <w:ind w:left="2567"/>
        <w:spacing w:after="0"/>
        <w:rPr>
          <w:sz w:val="20"/>
          <w:szCs w:val="20"/>
          <w:color w:val="auto"/>
        </w:rPr>
      </w:pPr>
      <w:r>
        <w:rPr>
          <w:rFonts w:ascii="Times New Roman" w:cs="Times New Roman" w:eastAsia="Times New Roman" w:hAnsi="Times New Roman"/>
          <w:sz w:val="14"/>
          <w:szCs w:val="14"/>
          <w:color w:val="auto"/>
        </w:rPr>
        <w:t>Page 15</w:t>
      </w:r>
    </w:p>
    <w:p>
      <w:pPr>
        <w:sectPr>
          <w:pgSz w:w="11900" w:h="16838" w:orient="portrait"/>
          <w:cols w:equalWidth="0" w:num="1">
            <w:col w:w="10967"/>
          </w:cols>
          <w:pgMar w:left="713" w:top="508" w:right="219" w:bottom="1440" w:gutter="0" w:footer="0" w:header="0"/>
        </w:sectPr>
      </w:pPr>
    </w:p>
    <w:bookmarkStart w:id="69" w:name="page70"/>
    <w:bookmarkEnd w:id="69"/>
    <w:p>
      <w:pPr>
        <w:jc w:val="both"/>
        <w:ind w:left="1478" w:hanging="496"/>
        <w:spacing w:after="0" w:line="272" w:lineRule="auto"/>
        <w:tabs>
          <w:tab w:leader="none" w:pos="147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 All outstanding Equity Awards shall cease to vest. All vested Performance Share Units shall be paid in accordance with their terms. Any vested portion of the Option shall remain exercisable until the earlier of (x) thirty (30) days after the Termination Date and (y) the original expiration date of the Option. Any Equity Awards that are not vested as of the Expiration Date will be cancelled immediately.</w:t>
      </w:r>
    </w:p>
    <w:p>
      <w:pPr>
        <w:spacing w:after="0" w:line="117" w:lineRule="exact"/>
        <w:rPr>
          <w:rFonts w:ascii="Times New Roman" w:cs="Times New Roman" w:eastAsia="Times New Roman" w:hAnsi="Times New Roman"/>
          <w:sz w:val="16"/>
          <w:szCs w:val="16"/>
          <w:color w:val="auto"/>
        </w:rPr>
      </w:pPr>
    </w:p>
    <w:p>
      <w:pPr>
        <w:ind w:left="858" w:hanging="306"/>
        <w:spacing w:after="0"/>
        <w:tabs>
          <w:tab w:leader="none" w:pos="85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Breach of Post-termination Obligations or Subsequent Employment.</w:t>
      </w:r>
    </w:p>
    <w:p>
      <w:pPr>
        <w:spacing w:after="0" w:line="188" w:lineRule="exact"/>
        <w:rPr>
          <w:rFonts w:ascii="Times New Roman" w:cs="Times New Roman" w:eastAsia="Times New Roman" w:hAnsi="Times New Roman"/>
          <w:sz w:val="16"/>
          <w:szCs w:val="16"/>
          <w:color w:val="auto"/>
        </w:rPr>
      </w:pPr>
    </w:p>
    <w:p>
      <w:pPr>
        <w:jc w:val="both"/>
        <w:ind w:left="1478" w:hanging="496"/>
        <w:spacing w:after="0" w:line="272" w:lineRule="auto"/>
        <w:tabs>
          <w:tab w:leader="none" w:pos="1478"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Breach of Post-termination Obligations</w:t>
      </w:r>
      <w:r>
        <w:rPr>
          <w:rFonts w:ascii="Times New Roman" w:cs="Times New Roman" w:eastAsia="Times New Roman" w:hAnsi="Times New Roman"/>
          <w:sz w:val="16"/>
          <w:szCs w:val="16"/>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21" w:lineRule="exact"/>
        <w:rPr>
          <w:sz w:val="20"/>
          <w:szCs w:val="20"/>
          <w:color w:val="auto"/>
        </w:rPr>
      </w:pPr>
    </w:p>
    <w:p>
      <w:pPr>
        <w:jc w:val="both"/>
        <w:ind w:left="1478" w:hanging="496"/>
        <w:spacing w:after="0" w:line="257" w:lineRule="auto"/>
        <w:tabs>
          <w:tab w:leader="none" w:pos="1478" w:val="left"/>
        </w:tabs>
        <w:numPr>
          <w:ilvl w:val="2"/>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Employment</w:t>
      </w:r>
      <w:r>
        <w:rPr>
          <w:rFonts w:ascii="Times New Roman" w:cs="Times New Roman" w:eastAsia="Times New Roman" w:hAnsi="Times New Roman"/>
          <w:sz w:val="16"/>
          <w:szCs w:val="16"/>
          <w:color w:val="auto"/>
        </w:rPr>
        <w:t xml:space="preserve">. Notwithstanding anything to the contrary contained herein, if, at any time during the Salary Continuation Period, you obtain subsequent employment and/or provide services of any kind for compensation, whether as principal, owner, partner, agent, shareholder, director, employee, consultant, advisor or otherwise, to any person, company, venture or other person or business entity, you must promptly notify the Employer and payments under Section 10(c)(ii), (iv)b. and (v) shall be refunded by you to the Employer (to the extent already paid) and shall be offset (to the extent payable in the future) by the amount of Base Compensation (as defined below) earned by, paid to, or granted to you during or with respect to the Salary Continuation Period.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Base Compensation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shall mean the amount of your base salary or, if applicable, wages you earn (or are paid or granted) during or with respect to any subsequent employment or services arrangement; provided, however, such base salary or wages shall be deemed, in all cases, to equal no less than 35% of the total compensation (including, without limitation, any and all amounts of salary, bonus and all other kinds of cash or in-kind or equity-based compensation) you earn, are paid, or are granted during or with respect to such subsequent employment or services arrangement and which are paid to you, vest or otherwise accrue with respect to services performed by you, during or with respect to the Salary Continuation Period.</w:t>
      </w:r>
    </w:p>
    <w:p>
      <w:pPr>
        <w:spacing w:after="0" w:line="326" w:lineRule="exact"/>
        <w:rPr>
          <w:rFonts w:ascii="Times New Roman" w:cs="Times New Roman" w:eastAsia="Times New Roman" w:hAnsi="Times New Roman"/>
          <w:sz w:val="16"/>
          <w:szCs w:val="16"/>
          <w:color w:val="auto"/>
        </w:rPr>
      </w:pPr>
    </w:p>
    <w:p>
      <w:pPr>
        <w:ind w:left="338" w:hanging="338"/>
        <w:spacing w:after="0"/>
        <w:tabs>
          <w:tab w:leader="none" w:pos="338"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General Provisions</w:t>
      </w:r>
    </w:p>
    <w:p>
      <w:pPr>
        <w:spacing w:after="0" w:line="184" w:lineRule="exact"/>
        <w:rPr>
          <w:rFonts w:ascii="Times New Roman" w:cs="Times New Roman" w:eastAsia="Times New Roman" w:hAnsi="Times New Roman"/>
          <w:sz w:val="16"/>
          <w:szCs w:val="16"/>
          <w:b w:val="1"/>
          <w:bCs w:val="1"/>
          <w:color w:val="auto"/>
        </w:rPr>
      </w:pPr>
    </w:p>
    <w:p>
      <w:pPr>
        <w:jc w:val="both"/>
        <w:ind w:left="58" w:firstLine="494"/>
        <w:spacing w:after="0" w:line="265" w:lineRule="auto"/>
        <w:tabs>
          <w:tab w:leader="none" w:pos="887"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Entire Agreement. </w:t>
      </w:r>
      <w:r>
        <w:rPr>
          <w:rFonts w:ascii="Times New Roman" w:cs="Times New Roman" w:eastAsia="Times New Roman" w:hAnsi="Times New Roman"/>
          <w:sz w:val="16"/>
          <w:szCs w:val="16"/>
          <w:color w:val="auto"/>
        </w:rPr>
        <w:t>This Agreement, together with the Confidential Information Agreement, the Activision Blizzard Group Dispute Resolution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“Dispute Resolution Agreement”</w:t>
      </w:r>
      <w:r>
        <w:rPr>
          <w:rFonts w:ascii="Times New Roman" w:cs="Times New Roman" w:eastAsia="Times New Roman" w:hAnsi="Times New Roman"/>
          <w:sz w:val="16"/>
          <w:szCs w:val="16"/>
          <w:color w:val="auto"/>
        </w:rPr>
        <w:t>, as referenced in Section 11(k) below), the New Employee Letter and Certification, and the Employer’s Executive Stock Ownership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Guidelines, supersede all prior or contemporaneous agreements and statements, whether written or oral, concerning the terms of your employment with the Activision Blizzard Group, and no amendment or modification of these agreements shall be binding unless it is set forth in a writing signed by both the Employer and you. To the extent that this Agreement conflicts with any of the Employer’s policies, procedures, rules or regulations, this Agreement shall supersede the other policies, procedures, rules or regulations.</w:t>
      </w:r>
    </w:p>
    <w:p>
      <w:pPr>
        <w:spacing w:after="0" w:line="200" w:lineRule="exact"/>
        <w:rPr>
          <w:sz w:val="20"/>
          <w:szCs w:val="20"/>
          <w:color w:val="auto"/>
        </w:rPr>
      </w:pPr>
    </w:p>
    <w:p>
      <w:pPr>
        <w:spacing w:after="0" w:line="310"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16</w:t>
      </w:r>
    </w:p>
    <w:p>
      <w:pPr>
        <w:sectPr>
          <w:pgSz w:w="11900" w:h="16838" w:orient="portrait"/>
          <w:cols w:equalWidth="0" w:num="1">
            <w:col w:w="11458"/>
          </w:cols>
          <w:pgMar w:left="222" w:top="508" w:right="219" w:bottom="1440" w:gutter="0" w:footer="0" w:header="0"/>
        </w:sectPr>
      </w:pPr>
    </w:p>
    <w:bookmarkStart w:id="70" w:name="page71"/>
    <w:bookmarkEnd w:id="70"/>
    <w:p>
      <w:pPr>
        <w:ind w:left="-494" w:firstLine="494"/>
        <w:spacing w:after="0" w:line="310" w:lineRule="auto"/>
        <w:tabs>
          <w:tab w:leader="none" w:pos="38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Use of Employee’s Name and Likeness. </w:t>
      </w:r>
      <w:r>
        <w:rPr>
          <w:rFonts w:ascii="Times New Roman" w:cs="Times New Roman" w:eastAsia="Times New Roman" w:hAnsi="Times New Roman"/>
          <w:sz w:val="16"/>
          <w:szCs w:val="16"/>
          <w:color w:val="auto"/>
        </w:rPr>
        <w:t>You hereby irrevocably grant the Activision Blizzard Group the right, but not the obligation, to use your name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likeness in any product made by the Activision Blizzard Group or for any publicity or advertising purpose in any medium now known or hereafter existing.</w:t>
      </w:r>
    </w:p>
    <w:p>
      <w:pPr>
        <w:spacing w:after="0" w:line="87"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6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Assignment. </w:t>
      </w:r>
      <w:r>
        <w:rPr>
          <w:rFonts w:ascii="Times New Roman" w:cs="Times New Roman" w:eastAsia="Times New Roman" w:hAnsi="Times New Roman"/>
          <w:sz w:val="16"/>
          <w:szCs w:val="16"/>
          <w:color w:val="auto"/>
        </w:rPr>
        <w:t>This Agreement and the rights and obligations hereunder shall not be assignable or transferable by you without the prior written consent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08" w:lineRule="exact"/>
        <w:rPr>
          <w:rFonts w:ascii="Times New Roman" w:cs="Times New Roman" w:eastAsia="Times New Roman" w:hAnsi="Times New Roman"/>
          <w:sz w:val="16"/>
          <w:szCs w:val="16"/>
          <w:color w:val="auto"/>
        </w:rPr>
      </w:pPr>
    </w:p>
    <w:p>
      <w:pPr>
        <w:jc w:val="both"/>
        <w:ind w:left="-494" w:firstLine="494"/>
        <w:spacing w:after="0" w:line="261" w:lineRule="auto"/>
        <w:tabs>
          <w:tab w:leader="none" w:pos="46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Conflict with Prior Agreements. </w:t>
      </w:r>
      <w:r>
        <w:rPr>
          <w:rFonts w:ascii="Times New Roman" w:cs="Times New Roman" w:eastAsia="Times New Roman" w:hAnsi="Times New Roman"/>
          <w:sz w:val="16"/>
          <w:szCs w:val="16"/>
          <w:color w:val="auto"/>
        </w:rPr>
        <w:t>You represent to the Employer that neither your commencement of employment under this Agreement nor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i w:val="1"/>
          <w:iCs w:val="1"/>
          <w:color w:val="auto"/>
        </w:rPr>
        <w:t>“New Employee Letter and Certification”)</w:t>
      </w:r>
      <w:r>
        <w:rPr>
          <w:rFonts w:ascii="Times New Roman" w:cs="Times New Roman" w:eastAsia="Times New Roman" w:hAnsi="Times New Roman"/>
          <w:sz w:val="16"/>
          <w:szCs w:val="16"/>
          <w:color w:val="auto"/>
        </w:rPr>
        <w:t xml:space="preserve">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27" w:lineRule="exact"/>
        <w:rPr>
          <w:rFonts w:ascii="Times New Roman" w:cs="Times New Roman" w:eastAsia="Times New Roman" w:hAnsi="Times New Roman"/>
          <w:sz w:val="16"/>
          <w:szCs w:val="16"/>
          <w:color w:val="auto"/>
        </w:rPr>
      </w:pPr>
    </w:p>
    <w:p>
      <w:pPr>
        <w:ind w:left="-494" w:firstLine="494"/>
        <w:spacing w:after="0" w:line="310" w:lineRule="auto"/>
        <w:tabs>
          <w:tab w:leader="none" w:pos="3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Successors. </w:t>
      </w:r>
      <w:r>
        <w:rPr>
          <w:rFonts w:ascii="Times New Roman" w:cs="Times New Roman" w:eastAsia="Times New Roman" w:hAnsi="Times New Roman"/>
          <w:sz w:val="16"/>
          <w:szCs w:val="16"/>
          <w:color w:val="auto"/>
        </w:rPr>
        <w:t>This Agreement shall be binding on and inure to the benefit of the Employer and its successors and assigns</w:t>
      </w:r>
      <w:r>
        <w:rPr>
          <w:rFonts w:ascii="Times New Roman" w:cs="Times New Roman" w:eastAsia="Times New Roman" w:hAnsi="Times New Roman"/>
          <w:sz w:val="14"/>
          <w:szCs w:val="14"/>
          <w:color w:val="auto"/>
        </w:rPr>
        <w:t>, including successors by merger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color w:val="auto"/>
        </w:rPr>
        <w:t>operation of law</w:t>
      </w:r>
      <w:r>
        <w:rPr>
          <w:rFonts w:ascii="Times New Roman" w:cs="Times New Roman" w:eastAsia="Times New Roman" w:hAnsi="Times New Roman"/>
          <w:sz w:val="16"/>
          <w:szCs w:val="16"/>
          <w:color w:val="auto"/>
        </w:rPr>
        <w:t>. This Agreement shall also be binding on and inure to the benefit of you and your heirs, executors, administrators and legal representatives.</w:t>
      </w:r>
    </w:p>
    <w:p>
      <w:pPr>
        <w:spacing w:after="0" w:line="97" w:lineRule="exact"/>
        <w:rPr>
          <w:rFonts w:ascii="Times New Roman" w:cs="Times New Roman" w:eastAsia="Times New Roman" w:hAnsi="Times New Roman"/>
          <w:sz w:val="16"/>
          <w:szCs w:val="16"/>
          <w:color w:val="auto"/>
        </w:rPr>
      </w:pPr>
    </w:p>
    <w:p>
      <w:pPr>
        <w:jc w:val="both"/>
        <w:ind w:left="-494" w:firstLine="494"/>
        <w:spacing w:after="0" w:line="272" w:lineRule="auto"/>
        <w:tabs>
          <w:tab w:leader="none" w:pos="30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Waiver. </w:t>
      </w:r>
      <w:r>
        <w:rPr>
          <w:rFonts w:ascii="Times New Roman" w:cs="Times New Roman" w:eastAsia="Times New Roman" w:hAnsi="Times New Roman"/>
          <w:sz w:val="16"/>
          <w:szCs w:val="16"/>
          <w:color w:val="auto"/>
        </w:rPr>
        <w:t>No waiver by you or the Employer at any time of any breach by the other party of, or compliance with, any condition or provision of this Agreement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17"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6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Expiration. </w:t>
      </w:r>
      <w:r>
        <w:rPr>
          <w:rFonts w:ascii="Times New Roman" w:cs="Times New Roman" w:eastAsia="Times New Roman" w:hAnsi="Times New Roman"/>
          <w:sz w:val="16"/>
          <w:szCs w:val="16"/>
          <w:color w:val="auto"/>
        </w:rPr>
        <w:t>This Agreement does not constitute a commitment of the Employer with regard to your employment, express or implied, other than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expressly provided for herein. Upon the Expiration Date, or, if earlier, the termination of this Agreement pursuant to Section 9, neither the Employer nor you shall have any obligation to the other with respect to your continued employment.</w:t>
      </w:r>
    </w:p>
    <w:p>
      <w:pPr>
        <w:spacing w:after="0" w:line="108" w:lineRule="exact"/>
        <w:rPr>
          <w:rFonts w:ascii="Times New Roman" w:cs="Times New Roman" w:eastAsia="Times New Roman" w:hAnsi="Times New Roman"/>
          <w:sz w:val="16"/>
          <w:szCs w:val="16"/>
          <w:color w:val="auto"/>
        </w:rPr>
      </w:pPr>
    </w:p>
    <w:p>
      <w:pPr>
        <w:ind w:left="-494" w:firstLine="494"/>
        <w:spacing w:after="0" w:line="310" w:lineRule="auto"/>
        <w:tabs>
          <w:tab w:leader="none" w:pos="36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Taxation. </w:t>
      </w:r>
      <w:r>
        <w:rPr>
          <w:rFonts w:ascii="Times New Roman" w:cs="Times New Roman" w:eastAsia="Times New Roman" w:hAnsi="Times New Roman"/>
          <w:sz w:val="16"/>
          <w:szCs w:val="16"/>
          <w:color w:val="auto"/>
        </w:rPr>
        <w:t>The Employer may withhold from any payments made under the Agreement all federal, state, city or other applicable taxes or amounts as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or permitted pursuant to any law, governmental regulation or ruling or agreement with you.</w:t>
      </w:r>
    </w:p>
    <w:p>
      <w:pPr>
        <w:spacing w:after="0" w:line="273"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17</w:t>
      </w:r>
    </w:p>
    <w:p>
      <w:pPr>
        <w:sectPr>
          <w:pgSz w:w="11900" w:h="16838" w:orient="portrait"/>
          <w:cols w:equalWidth="0" w:num="1">
            <w:col w:w="10906"/>
          </w:cols>
          <w:pgMar w:left="774" w:top="504" w:right="219" w:bottom="1440" w:gutter="0" w:footer="0" w:header="0"/>
        </w:sectPr>
      </w:pPr>
    </w:p>
    <w:bookmarkStart w:id="71" w:name="page72"/>
    <w:bookmarkEnd w:id="71"/>
    <w:p>
      <w:pPr>
        <w:ind w:left="-494" w:firstLine="494"/>
        <w:spacing w:after="0" w:line="310" w:lineRule="auto"/>
        <w:tabs>
          <w:tab w:leader="none" w:pos="29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Immigration. </w:t>
      </w:r>
      <w:r>
        <w:rPr>
          <w:rFonts w:ascii="Times New Roman" w:cs="Times New Roman" w:eastAsia="Times New Roman" w:hAnsi="Times New Roman"/>
          <w:sz w:val="16"/>
          <w:szCs w:val="16"/>
          <w:color w:val="auto"/>
        </w:rPr>
        <w:t>In accordance with the Immigration Reform and Control Act of 1986, employment under this Agreement is conditioned upon satisfactory proof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your identity and legal ability to work in the United States.</w:t>
      </w:r>
    </w:p>
    <w:p>
      <w:pPr>
        <w:spacing w:after="0" w:line="87" w:lineRule="exact"/>
        <w:rPr>
          <w:rFonts w:ascii="Times New Roman" w:cs="Times New Roman" w:eastAsia="Times New Roman" w:hAnsi="Times New Roman"/>
          <w:sz w:val="16"/>
          <w:szCs w:val="16"/>
          <w:color w:val="auto"/>
        </w:rPr>
      </w:pPr>
    </w:p>
    <w:p>
      <w:pPr>
        <w:ind w:left="-494" w:firstLine="494"/>
        <w:spacing w:after="0" w:line="310" w:lineRule="auto"/>
        <w:tabs>
          <w:tab w:leader="none" w:pos="32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Choice of Law. </w:t>
      </w:r>
      <w:r>
        <w:rPr>
          <w:rFonts w:ascii="Times New Roman" w:cs="Times New Roman" w:eastAsia="Times New Roman" w:hAnsi="Times New Roman"/>
          <w:sz w:val="16"/>
          <w:szCs w:val="16"/>
          <w:color w:val="auto"/>
        </w:rPr>
        <w:t>Except to the extent governed by federal law, this Agreement shall be governed by and construed in accordance with the laws of the State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California or whatever other state in which you were last employed by the Employer, without regard to conflict of law principles.</w:t>
      </w:r>
    </w:p>
    <w:p>
      <w:pPr>
        <w:spacing w:after="0" w:line="87" w:lineRule="exact"/>
        <w:rPr>
          <w:rFonts w:ascii="Times New Roman" w:cs="Times New Roman" w:eastAsia="Times New Roman" w:hAnsi="Times New Roman"/>
          <w:sz w:val="16"/>
          <w:szCs w:val="16"/>
          <w:color w:val="auto"/>
        </w:rPr>
      </w:pPr>
    </w:p>
    <w:p>
      <w:pPr>
        <w:ind w:left="-494" w:firstLine="494"/>
        <w:spacing w:after="0" w:line="310" w:lineRule="auto"/>
        <w:tabs>
          <w:tab w:leader="none" w:pos="39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Arbitration. </w:t>
      </w:r>
      <w:r>
        <w:rPr>
          <w:rFonts w:ascii="Times New Roman" w:cs="Times New Roman" w:eastAsia="Times New Roman" w:hAnsi="Times New Roman"/>
          <w:sz w:val="16"/>
          <w:szCs w:val="16"/>
          <w:color w:val="auto"/>
        </w:rPr>
        <w:t>Except as otherwise provided in this Agreement, both parties agree that any dispute or controversy between them will be settled by final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binding arbitration pursuant to the terms of the Dispute Resolution Agreement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w:t>
      </w:r>
    </w:p>
    <w:p>
      <w:pPr>
        <w:spacing w:after="0" w:line="87" w:lineRule="exact"/>
        <w:rPr>
          <w:rFonts w:ascii="Times New Roman" w:cs="Times New Roman" w:eastAsia="Times New Roman" w:hAnsi="Times New Roman"/>
          <w:sz w:val="16"/>
          <w:szCs w:val="16"/>
          <w:color w:val="auto"/>
        </w:rPr>
      </w:pPr>
    </w:p>
    <w:p>
      <w:pPr>
        <w:jc w:val="both"/>
        <w:ind w:left="-494" w:firstLine="494"/>
        <w:spacing w:after="0" w:line="262" w:lineRule="auto"/>
        <w:tabs>
          <w:tab w:leader="none" w:pos="35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Severability. </w:t>
      </w:r>
      <w:r>
        <w:rPr>
          <w:rFonts w:ascii="Times New Roman" w:cs="Times New Roman" w:eastAsia="Times New Roman" w:hAnsi="Times New Roman"/>
          <w:sz w:val="16"/>
          <w:szCs w:val="16"/>
          <w:color w:val="auto"/>
        </w:rPr>
        <w:t>It is expressly agreed by the parties that each of the provisions included in Section 8(f) is separate, distinct, and severable from the other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322" w:lineRule="exact"/>
        <w:rPr>
          <w:rFonts w:ascii="Times New Roman" w:cs="Times New Roman" w:eastAsia="Times New Roman" w:hAnsi="Times New Roman"/>
          <w:sz w:val="16"/>
          <w:szCs w:val="16"/>
          <w:color w:val="auto"/>
        </w:rPr>
      </w:pPr>
    </w:p>
    <w:p>
      <w:pPr>
        <w:ind w:left="-494" w:firstLine="494"/>
        <w:spacing w:after="0" w:line="310" w:lineRule="auto"/>
        <w:tabs>
          <w:tab w:leader="none" w:pos="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Services Unique. </w:t>
      </w:r>
      <w:r>
        <w:rPr>
          <w:rFonts w:ascii="Times New Roman" w:cs="Times New Roman" w:eastAsia="Times New Roman" w:hAnsi="Times New Roman"/>
          <w:sz w:val="16"/>
          <w:szCs w:val="16"/>
          <w:color w:val="auto"/>
        </w:rPr>
        <w:t>You recognize that the services being performed by you under this Agreement are of a special, unique, unusual, extraordinary and intellectual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character giving them a peculiar value, the loss of which cannot be reasonably or adequately compensated for in damages in the event of a breach of this Agreement by you.</w:t>
      </w:r>
    </w:p>
    <w:p>
      <w:pPr>
        <w:spacing w:after="0" w:line="87" w:lineRule="exact"/>
        <w:rPr>
          <w:rFonts w:ascii="Times New Roman" w:cs="Times New Roman" w:eastAsia="Times New Roman" w:hAnsi="Times New Roman"/>
          <w:sz w:val="16"/>
          <w:szCs w:val="16"/>
          <w:color w:val="auto"/>
        </w:rPr>
      </w:pPr>
    </w:p>
    <w:p>
      <w:pPr>
        <w:jc w:val="both"/>
        <w:ind w:left="-494" w:firstLine="494"/>
        <w:spacing w:after="0" w:line="267" w:lineRule="auto"/>
        <w:tabs>
          <w:tab w:leader="none" w:pos="40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Injunctive Relief. </w:t>
      </w:r>
      <w:r>
        <w:rPr>
          <w:rFonts w:ascii="Times New Roman" w:cs="Times New Roman" w:eastAsia="Times New Roman" w:hAnsi="Times New Roman"/>
          <w:sz w:val="16"/>
          <w:szCs w:val="16"/>
          <w:color w:val="auto"/>
        </w:rPr>
        <w:t>In the event of a breach of or threatened breach of the provisions of this Agreement regarding the exclusivity of your services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of Section 8, you agree that any remedy at law would be inadequate. Accordingly, you agree that the Employer is entitled to obtain injunctive relief for such breaches or threatened breaches in any court of competent jurisdiction. The injunctive relief provided for in Exhibit B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21" w:lineRule="exact"/>
        <w:rPr>
          <w:rFonts w:ascii="Times New Roman" w:cs="Times New Roman" w:eastAsia="Times New Roman" w:hAnsi="Times New Roman"/>
          <w:sz w:val="16"/>
          <w:szCs w:val="16"/>
          <w:color w:val="auto"/>
        </w:rPr>
      </w:pPr>
    </w:p>
    <w:p>
      <w:pPr>
        <w:ind w:left="-494" w:firstLine="494"/>
        <w:spacing w:after="0" w:line="310" w:lineRule="auto"/>
        <w:tabs>
          <w:tab w:leader="none" w:pos="33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Remedies Cumulative. </w:t>
      </w:r>
      <w:r>
        <w:rPr>
          <w:rFonts w:ascii="Times New Roman" w:cs="Times New Roman" w:eastAsia="Times New Roman" w:hAnsi="Times New Roman"/>
          <w:sz w:val="16"/>
          <w:szCs w:val="16"/>
          <w:color w:val="auto"/>
        </w:rPr>
        <w:t>The remedies in this Agreement are not exclusive, and the parties shall have the right to pursue any other legal or equitable remedies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 the terms of this Agreement.</w:t>
      </w:r>
    </w:p>
    <w:p>
      <w:pPr>
        <w:spacing w:after="0" w:line="87" w:lineRule="exact"/>
        <w:rPr>
          <w:rFonts w:ascii="Times New Roman" w:cs="Times New Roman" w:eastAsia="Times New Roman" w:hAnsi="Times New Roman"/>
          <w:sz w:val="16"/>
          <w:szCs w:val="16"/>
          <w:color w:val="auto"/>
        </w:rPr>
      </w:pPr>
    </w:p>
    <w:p>
      <w:pPr>
        <w:ind w:left="-494" w:firstLine="494"/>
        <w:spacing w:after="0" w:line="310" w:lineRule="auto"/>
        <w:tabs>
          <w:tab w:leader="none" w:pos="34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Headings. </w:t>
      </w:r>
      <w:r>
        <w:rPr>
          <w:rFonts w:ascii="Times New Roman" w:cs="Times New Roman" w:eastAsia="Times New Roman" w:hAnsi="Times New Roman"/>
          <w:sz w:val="16"/>
          <w:szCs w:val="16"/>
          <w:color w:val="auto"/>
        </w:rPr>
        <w:t>The headings set forth herein are included solely for the purpose of identification and shall not be used for the purpose of construing the meaning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provisions of this Agreement.</w:t>
      </w:r>
    </w:p>
    <w:p>
      <w:pPr>
        <w:spacing w:after="0" w:line="273"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18</w:t>
      </w:r>
    </w:p>
    <w:p>
      <w:pPr>
        <w:sectPr>
          <w:pgSz w:w="11900" w:h="16838" w:orient="portrait"/>
          <w:cols w:equalWidth="0" w:num="1">
            <w:col w:w="10906"/>
          </w:cols>
          <w:pgMar w:left="774" w:top="504" w:right="219" w:bottom="1440" w:gutter="0" w:footer="0" w:header="0"/>
        </w:sectPr>
      </w:pPr>
    </w:p>
    <w:bookmarkStart w:id="72" w:name="page73"/>
    <w:bookmarkEnd w:id="72"/>
    <w:p>
      <w:pPr>
        <w:jc w:val="both"/>
        <w:ind w:left="-494" w:firstLine="494"/>
        <w:spacing w:after="0" w:line="257" w:lineRule="auto"/>
        <w:tabs>
          <w:tab w:leader="none" w:pos="33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409A. </w:t>
      </w:r>
      <w:r>
        <w:rPr>
          <w:rFonts w:ascii="Times New Roman" w:cs="Times New Roman" w:eastAsia="Times New Roman" w:hAnsi="Times New Roman"/>
          <w:sz w:val="16"/>
          <w:szCs w:val="16"/>
          <w:color w:val="auto"/>
        </w:rPr>
        <w:t>To the extent applicable, it is intended that the Agreement comply with the provisions of Section 409A. The Agreement will be administered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Employment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33" w:lineRule="exact"/>
        <w:rPr>
          <w:rFonts w:ascii="Times New Roman" w:cs="Times New Roman" w:eastAsia="Times New Roman" w:hAnsi="Times New Roman"/>
          <w:sz w:val="16"/>
          <w:szCs w:val="16"/>
          <w:color w:val="auto"/>
        </w:rPr>
      </w:pPr>
    </w:p>
    <w:p>
      <w:pPr>
        <w:jc w:val="both"/>
        <w:ind w:left="-494" w:firstLine="494"/>
        <w:spacing w:after="0" w:line="259" w:lineRule="auto"/>
        <w:tabs>
          <w:tab w:leader="none" w:pos="37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280G and Section 162(m). </w:t>
      </w:r>
      <w:r>
        <w:rPr>
          <w:rFonts w:ascii="Times New Roman" w:cs="Times New Roman" w:eastAsia="Times New Roman" w:hAnsi="Times New Roman"/>
          <w:sz w:val="16"/>
          <w:szCs w:val="16"/>
          <w:color w:val="auto"/>
        </w:rPr>
        <w:t>Notwithstanding anything herein to the contrary, in the event that you receive any payments or distributions, whether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first reduced first;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all events the payments provided under Section 10 of this Agreement which are not subject to Section 409A shall be reduced first. 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 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313"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19</w:t>
      </w:r>
    </w:p>
    <w:p>
      <w:pPr>
        <w:sectPr>
          <w:pgSz w:w="11900" w:h="16838" w:orient="portrait"/>
          <w:cols w:equalWidth="0" w:num="1">
            <w:col w:w="10906"/>
          </w:cols>
          <w:pgMar w:left="774" w:top="504" w:right="219" w:bottom="1440" w:gutter="0" w:footer="0" w:header="0"/>
        </w:sectPr>
      </w:pPr>
    </w:p>
    <w:bookmarkStart w:id="73" w:name="page74"/>
    <w:bookmarkEnd w:id="73"/>
    <w:p>
      <w:pPr>
        <w:ind w:left="860" w:hanging="306"/>
        <w:spacing w:after="0"/>
        <w:tabs>
          <w:tab w:leader="none" w:pos="86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Survivability. </w:t>
      </w:r>
      <w:r>
        <w:rPr>
          <w:rFonts w:ascii="Times New Roman" w:cs="Times New Roman" w:eastAsia="Times New Roman" w:hAnsi="Times New Roman"/>
          <w:sz w:val="16"/>
          <w:szCs w:val="16"/>
          <w:color w:val="auto"/>
        </w:rPr>
        <w:t>The provisions of Sections 2(f), 2(g), 8, 10, 11, 12, and Exhibits A through E, shall survive the termination or expiration of this Agreement.</w:t>
      </w:r>
    </w:p>
    <w:p>
      <w:pPr>
        <w:spacing w:after="0" w:line="184" w:lineRule="exact"/>
        <w:rPr>
          <w:rFonts w:ascii="Times New Roman" w:cs="Times New Roman" w:eastAsia="Times New Roman" w:hAnsi="Times New Roman"/>
          <w:sz w:val="16"/>
          <w:szCs w:val="16"/>
          <w:color w:val="auto"/>
        </w:rPr>
      </w:pPr>
    </w:p>
    <w:p>
      <w:pPr>
        <w:ind w:left="60" w:firstLine="494"/>
        <w:spacing w:after="0" w:line="310" w:lineRule="auto"/>
        <w:tabs>
          <w:tab w:leader="none" w:pos="862"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Counterparts. </w:t>
      </w:r>
      <w:r>
        <w:rPr>
          <w:rFonts w:ascii="Times New Roman" w:cs="Times New Roman" w:eastAsia="Times New Roman" w:hAnsi="Times New Roman"/>
          <w:sz w:val="16"/>
          <w:szCs w:val="16"/>
          <w:color w:val="auto"/>
        </w:rPr>
        <w:t>This Agreement may be executed in counterparts, each of which shall be deemed an original and both of which together shall constitute one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same instrument.</w:t>
      </w:r>
    </w:p>
    <w:p>
      <w:pPr>
        <w:spacing w:after="0" w:line="87" w:lineRule="exact"/>
        <w:rPr>
          <w:rFonts w:ascii="Times New Roman" w:cs="Times New Roman" w:eastAsia="Times New Roman" w:hAnsi="Times New Roman"/>
          <w:sz w:val="16"/>
          <w:szCs w:val="16"/>
          <w:color w:val="auto"/>
        </w:rPr>
      </w:pPr>
    </w:p>
    <w:p>
      <w:pPr>
        <w:jc w:val="both"/>
        <w:ind w:left="60" w:firstLine="494"/>
        <w:spacing w:after="0" w:line="282" w:lineRule="auto"/>
        <w:tabs>
          <w:tab w:leader="none" w:pos="89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Legal Counsel. </w:t>
      </w:r>
      <w:r>
        <w:rPr>
          <w:rFonts w:ascii="Times New Roman" w:cs="Times New Roman" w:eastAsia="Times New Roman" w:hAnsi="Times New Roman"/>
          <w:sz w:val="16"/>
          <w:szCs w:val="16"/>
          <w:color w:val="auto"/>
        </w:rPr>
        <w:t>You acknowledge that you have been given the opportunity to consult with legal counsel or any other advisor of your own choosing regarding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08" w:lineRule="exact"/>
        <w:rPr>
          <w:rFonts w:ascii="Times New Roman" w:cs="Times New Roman" w:eastAsia="Times New Roman" w:hAnsi="Times New Roman"/>
          <w:sz w:val="16"/>
          <w:szCs w:val="16"/>
          <w:color w:val="auto"/>
        </w:rPr>
      </w:pPr>
    </w:p>
    <w:p>
      <w:pPr>
        <w:ind w:left="60" w:firstLine="494"/>
        <w:spacing w:after="0" w:line="310" w:lineRule="auto"/>
        <w:tabs>
          <w:tab w:leader="none" w:pos="929"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Right to Negotiate. </w:t>
      </w:r>
      <w:r>
        <w:rPr>
          <w:rFonts w:ascii="Times New Roman" w:cs="Times New Roman" w:eastAsia="Times New Roman" w:hAnsi="Times New Roman"/>
          <w:sz w:val="16"/>
          <w:szCs w:val="16"/>
          <w:color w:val="auto"/>
        </w:rPr>
        <w:t>You hereby acknowledge that you have been given the opportunity to participate in the negotiation of the terms of this Agreement. You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acknowledge and confirm that you have read this Agreement and fully understand its terms and contents.</w:t>
      </w:r>
    </w:p>
    <w:p>
      <w:pPr>
        <w:spacing w:after="0" w:line="87" w:lineRule="exact"/>
        <w:rPr>
          <w:rFonts w:ascii="Times New Roman" w:cs="Times New Roman" w:eastAsia="Times New Roman" w:hAnsi="Times New Roman"/>
          <w:sz w:val="16"/>
          <w:szCs w:val="16"/>
          <w:color w:val="auto"/>
        </w:rPr>
      </w:pPr>
    </w:p>
    <w:p>
      <w:pPr>
        <w:jc w:val="both"/>
        <w:ind w:left="60" w:firstLine="494"/>
        <w:spacing w:after="0" w:line="296" w:lineRule="auto"/>
        <w:tabs>
          <w:tab w:leader="none" w:pos="914"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Broker</w:t>
      </w:r>
      <w:r>
        <w:rPr>
          <w:rFonts w:ascii="Times New Roman" w:cs="Times New Roman" w:eastAsia="Times New Roman" w:hAnsi="Times New Roman"/>
          <w:sz w:val="16"/>
          <w:szCs w:val="16"/>
          <w:color w:val="auto"/>
        </w:rPr>
        <w:t>. You have given no indication, representation or commitment of any nature to any broker, finder, agent or other third party to the effect that any fees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commissions of any nature are, or under any circumstances might be, payable by the Activision Blizzard Group in connection with your employment under this Agreement.</w:t>
      </w:r>
    </w:p>
    <w:p>
      <w:pPr>
        <w:spacing w:after="0" w:line="302" w:lineRule="exact"/>
        <w:rPr>
          <w:rFonts w:ascii="Times New Roman" w:cs="Times New Roman" w:eastAsia="Times New Roman" w:hAnsi="Times New Roman"/>
          <w:sz w:val="16"/>
          <w:szCs w:val="16"/>
          <w:color w:val="auto"/>
        </w:rPr>
      </w:pPr>
    </w:p>
    <w:p>
      <w:pPr>
        <w:ind w:left="880" w:hanging="326"/>
        <w:spacing w:after="0"/>
        <w:tabs>
          <w:tab w:leader="none" w:pos="88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All Terms Material. </w:t>
      </w:r>
      <w:r>
        <w:rPr>
          <w:rFonts w:ascii="Times New Roman" w:cs="Times New Roman" w:eastAsia="Times New Roman" w:hAnsi="Times New Roman"/>
          <w:sz w:val="16"/>
          <w:szCs w:val="16"/>
          <w:color w:val="auto"/>
        </w:rPr>
        <w:t>Your failure to comply with any of the terms of this Agreement shall constitute a material breach of this Agreement.</w:t>
      </w:r>
    </w:p>
    <w:p>
      <w:pPr>
        <w:spacing w:after="0" w:line="184" w:lineRule="exact"/>
        <w:rPr>
          <w:rFonts w:ascii="Times New Roman" w:cs="Times New Roman" w:eastAsia="Times New Roman" w:hAnsi="Times New Roman"/>
          <w:sz w:val="16"/>
          <w:szCs w:val="16"/>
          <w:color w:val="auto"/>
        </w:rPr>
      </w:pPr>
    </w:p>
    <w:p>
      <w:pPr>
        <w:ind w:left="340" w:hanging="338"/>
        <w:spacing w:after="0"/>
        <w:tabs>
          <w:tab w:leader="none" w:pos="34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Indemnification</w:t>
      </w:r>
    </w:p>
    <w:p>
      <w:pPr>
        <w:spacing w:after="0" w:line="188" w:lineRule="exact"/>
        <w:rPr>
          <w:sz w:val="20"/>
          <w:szCs w:val="20"/>
          <w:color w:val="auto"/>
        </w:rPr>
      </w:pPr>
    </w:p>
    <w:p>
      <w:pPr>
        <w:jc w:val="both"/>
        <w:ind w:firstLine="491"/>
        <w:spacing w:after="0" w:line="269" w:lineRule="auto"/>
        <w:rPr>
          <w:sz w:val="20"/>
          <w:szCs w:val="20"/>
          <w:color w:val="auto"/>
        </w:rPr>
      </w:pPr>
      <w:r>
        <w:rPr>
          <w:rFonts w:ascii="Times New Roman" w:cs="Times New Roman" w:eastAsia="Times New Roman" w:hAnsi="Times New Roman"/>
          <w:sz w:val="16"/>
          <w:szCs w:val="16"/>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the Activision Blizzard Group, including, without limitation, all costs and expenses actually and reasonably incurred by you in defense of litigation arising out of your employment hereunder.</w:t>
      </w:r>
    </w:p>
    <w:p>
      <w:pPr>
        <w:spacing w:after="0" w:line="349" w:lineRule="exact"/>
        <w:rPr>
          <w:sz w:val="20"/>
          <w:szCs w:val="20"/>
          <w:color w:val="auto"/>
        </w:rPr>
      </w:pPr>
    </w:p>
    <w:p>
      <w:pPr>
        <w:ind w:left="340" w:hanging="338"/>
        <w:spacing w:after="0"/>
        <w:tabs>
          <w:tab w:leader="none" w:pos="34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p>
    <w:p>
      <w:pPr>
        <w:spacing w:after="0" w:line="188"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All notices which either party is required or may desire to give the other shall be in writing and given either personally or by depositing the same in the United States mail addressed to the party to be given notice as follows:</w:t>
      </w:r>
    </w:p>
    <w:p>
      <w:pPr>
        <w:sectPr>
          <w:pgSz w:w="11900" w:h="16838" w:orient="portrait"/>
          <w:cols w:equalWidth="0" w:num="1">
            <w:col w:w="11460"/>
          </w:cols>
          <w:pgMar w:left="220" w:top="504" w:right="2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To the Employer: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Activision Blizzard,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3100 Ocean Park Boulevard</w:t>
      </w:r>
    </w:p>
    <w:p>
      <w:pPr>
        <w:spacing w:after="0"/>
        <w:rPr>
          <w:sz w:val="20"/>
          <w:szCs w:val="20"/>
          <w:color w:val="auto"/>
        </w:rPr>
      </w:pPr>
      <w:r>
        <w:rPr>
          <w:rFonts w:ascii="Times New Roman" w:cs="Times New Roman" w:eastAsia="Times New Roman" w:hAnsi="Times New Roman"/>
          <w:sz w:val="16"/>
          <w:szCs w:val="16"/>
          <w:color w:val="auto"/>
        </w:rPr>
        <w:t>Santa Monica, California 90405</w:t>
      </w:r>
    </w:p>
    <w:p>
      <w:pPr>
        <w:spacing w:after="0"/>
        <w:rPr>
          <w:sz w:val="20"/>
          <w:szCs w:val="20"/>
          <w:color w:val="auto"/>
        </w:rPr>
      </w:pPr>
      <w:r>
        <w:rPr>
          <w:rFonts w:ascii="Times New Roman" w:cs="Times New Roman" w:eastAsia="Times New Roman" w:hAnsi="Times New Roman"/>
          <w:sz w:val="16"/>
          <w:szCs w:val="16"/>
          <w:color w:val="auto"/>
        </w:rPr>
        <w:t>Attention: Chief Legal Officer</w:t>
      </w:r>
    </w:p>
    <w:p>
      <w:pPr>
        <w:spacing w:after="0" w:line="200" w:lineRule="exact"/>
        <w:rPr>
          <w:sz w:val="20"/>
          <w:szCs w:val="20"/>
          <w:color w:val="auto"/>
        </w:rPr>
      </w:pPr>
    </w:p>
    <w:p>
      <w:pPr>
        <w:sectPr>
          <w:pgSz w:w="11900" w:h="16838" w:orient="portrait"/>
          <w:cols w:equalWidth="0" w:num="2">
            <w:col w:w="3980" w:space="720"/>
            <w:col w:w="6760"/>
          </w:cols>
          <w:pgMar w:left="220" w:top="504" w:right="219" w:bottom="1440" w:gutter="0" w:footer="0" w:header="0"/>
          <w:type w:val="continuous"/>
        </w:sectPr>
      </w:pPr>
    </w:p>
    <w:p>
      <w:pPr>
        <w:spacing w:after="0" w:line="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To You:</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Brian Stolz</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Activision Blizzard, Inc.</w:t>
      </w:r>
    </w:p>
    <w:p>
      <w:pPr>
        <w:spacing w:after="0"/>
        <w:rPr>
          <w:sz w:val="20"/>
          <w:szCs w:val="20"/>
          <w:color w:val="auto"/>
        </w:rPr>
      </w:pPr>
      <w:r>
        <w:rPr>
          <w:rFonts w:ascii="Times New Roman" w:cs="Times New Roman" w:eastAsia="Times New Roman" w:hAnsi="Times New Roman"/>
          <w:sz w:val="16"/>
          <w:szCs w:val="16"/>
          <w:color w:val="auto"/>
        </w:rPr>
        <w:t>3100 Ocean Park Blvd.</w:t>
      </w: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200" w:lineRule="exact"/>
        <w:rPr>
          <w:sz w:val="20"/>
          <w:szCs w:val="20"/>
          <w:color w:val="auto"/>
        </w:rPr>
      </w:pPr>
    </w:p>
    <w:p>
      <w:pPr>
        <w:sectPr>
          <w:pgSz w:w="11900" w:h="16838" w:orient="portrait"/>
          <w:cols w:equalWidth="0" w:num="2">
            <w:col w:w="3980" w:space="720"/>
            <w:col w:w="6760"/>
          </w:cols>
          <w:pgMar w:left="220" w:top="504" w:right="219" w:bottom="1440" w:gutter="0" w:footer="0" w:header="0"/>
          <w:type w:val="continuous"/>
        </w:sectPr>
      </w:pP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2"/>
          <w:szCs w:val="12"/>
          <w:color w:val="auto"/>
        </w:rPr>
        <w:t>Page 20</w:t>
      </w:r>
    </w:p>
    <w:p>
      <w:pPr>
        <w:sectPr>
          <w:pgSz w:w="11900" w:h="16838" w:orient="portrait"/>
          <w:cols w:equalWidth="0" w:num="1">
            <w:col w:w="11460"/>
          </w:cols>
          <w:pgMar w:left="220" w:top="504" w:right="219" w:bottom="1440" w:gutter="0" w:footer="0" w:header="0"/>
          <w:type w:val="continuous"/>
        </w:sectPr>
      </w:pPr>
    </w:p>
    <w:bookmarkStart w:id="74" w:name="page75"/>
    <w:bookmarkEnd w:id="74"/>
    <w:p>
      <w:pPr>
        <w:ind w:firstLine="491"/>
        <w:spacing w:after="0" w:line="292" w:lineRule="auto"/>
        <w:rPr>
          <w:sz w:val="20"/>
          <w:szCs w:val="20"/>
          <w:color w:val="auto"/>
        </w:rPr>
      </w:pPr>
      <w:r>
        <w:rPr>
          <w:rFonts w:ascii="Times New Roman" w:cs="Times New Roman" w:eastAsia="Times New Roman" w:hAnsi="Times New Roman"/>
          <w:sz w:val="16"/>
          <w:szCs w:val="16"/>
          <w:color w:val="auto"/>
        </w:rPr>
        <w:t>Either party may by written notice designate a different address for giving of notices. The date of mailing of any such notices shall be deemed to be the date on which such notice is given.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ACCEPTED AND AGREED TO:</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2980" w:type="dxa"/>
            <w:vAlign w:val="bottom"/>
          </w:tcPr>
          <w:p>
            <w:pPr>
              <w:spacing w:after="0"/>
              <w:rPr>
                <w:sz w:val="18"/>
                <w:szCs w:val="18"/>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470"/>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ACTIVISION BLIZZARD, INC.</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76"/>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2980" w:type="dxa"/>
            <w:vAlign w:val="bottom"/>
          </w:tcPr>
          <w:p>
            <w:pPr>
              <w:spacing w:after="0"/>
              <w:rPr>
                <w:sz w:val="24"/>
                <w:szCs w:val="24"/>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By:</w:t>
            </w:r>
          </w:p>
        </w:tc>
      </w:tr>
      <w:tr>
        <w:trPr>
          <w:trHeight w:val="210"/>
        </w:trPr>
        <w:tc>
          <w:tcPr>
            <w:tcW w:w="780" w:type="dxa"/>
            <w:vAlign w:val="bottom"/>
          </w:tcPr>
          <w:p>
            <w:pPr>
              <w:spacing w:after="0"/>
              <w:rPr>
                <w:sz w:val="18"/>
                <w:szCs w:val="18"/>
                <w:color w:val="auto"/>
              </w:rPr>
            </w:pPr>
          </w:p>
        </w:tc>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Chris B. Walther</w:t>
            </w:r>
          </w:p>
        </w:tc>
        <w:tc>
          <w:tcPr>
            <w:tcW w:w="298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Brian Stolz</w:t>
            </w:r>
          </w:p>
        </w:tc>
      </w:tr>
      <w:tr>
        <w:trPr>
          <w:trHeight w:val="225"/>
        </w:trPr>
        <w:tc>
          <w:tcPr>
            <w:tcW w:w="780" w:type="dxa"/>
            <w:vAlign w:val="bottom"/>
          </w:tcPr>
          <w:p>
            <w:pPr>
              <w:spacing w:after="0"/>
              <w:rPr>
                <w:sz w:val="19"/>
                <w:szCs w:val="19"/>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Legal Officer</w:t>
            </w: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4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Date:</w:t>
            </w:r>
          </w:p>
        </w:tc>
        <w:tc>
          <w:tcPr>
            <w:tcW w:w="4800" w:type="dxa"/>
            <w:vAlign w:val="bottom"/>
            <w:tcBorders>
              <w:bottom w:val="single" w:sz="8" w:color="auto"/>
            </w:tcBorders>
          </w:tcPr>
          <w:p>
            <w:pPr>
              <w:spacing w:after="0"/>
              <w:rPr>
                <w:sz w:val="24"/>
                <w:szCs w:val="24"/>
                <w:color w:val="auto"/>
              </w:rPr>
            </w:pPr>
          </w:p>
        </w:tc>
      </w:tr>
      <w:tr>
        <w:trPr>
          <w:trHeight w:val="701"/>
        </w:trPr>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Page 21</w:t>
            </w:r>
          </w:p>
        </w:tc>
      </w:tr>
    </w:tbl>
    <w:p>
      <w:pPr>
        <w:sectPr>
          <w:pgSz w:w="11900" w:h="16838" w:orient="portrait"/>
          <w:cols w:equalWidth="0" w:num="1">
            <w:col w:w="11460"/>
          </w:cols>
          <w:pgMar w:left="220" w:top="508" w:right="219" w:bottom="1440" w:gutter="0" w:footer="0" w:header="0"/>
        </w:sectPr>
      </w:pPr>
    </w:p>
    <w:bookmarkStart w:id="75" w:name="page76"/>
    <w:bookmarkEnd w:id="75"/>
    <w:p>
      <w:pPr>
        <w:ind w:left="10620"/>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174" w:lineRule="exact"/>
        <w:rPr>
          <w:sz w:val="20"/>
          <w:szCs w:val="20"/>
          <w:color w:val="auto"/>
        </w:rPr>
      </w:pPr>
    </w:p>
    <w:p>
      <w:pPr>
        <w:ind w:firstLine="491"/>
        <w:spacing w:after="0" w:line="297" w:lineRule="auto"/>
        <w:rPr>
          <w:sz w:val="20"/>
          <w:szCs w:val="20"/>
          <w:color w:val="auto"/>
        </w:rPr>
      </w:pPr>
      <w:r>
        <w:rPr>
          <w:rFonts w:ascii="Times New Roman" w:cs="Times New Roman" w:eastAsia="Times New Roman" w:hAnsi="Times New Roman"/>
          <w:sz w:val="16"/>
          <w:szCs w:val="16"/>
          <w:color w:val="auto"/>
        </w:rPr>
        <w:t>THIS EMPLOYMENT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entered into as of the date signed by the Employer, between Activision Blizzard, Inc. (the “</w:t>
      </w:r>
      <w:r>
        <w:rPr>
          <w:rFonts w:ascii="Times New Roman" w:cs="Times New Roman" w:eastAsia="Times New Roman" w:hAnsi="Times New Roman"/>
          <w:sz w:val="16"/>
          <w:szCs w:val="16"/>
          <w:b w:val="1"/>
          <w:bCs w:val="1"/>
          <w:i w:val="1"/>
          <w:iCs w:val="1"/>
          <w:color w:val="auto"/>
        </w:rPr>
        <w:t>Employer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Activision Blizzard</w:t>
      </w:r>
      <w:r>
        <w:rPr>
          <w:rFonts w:ascii="Times New Roman" w:cs="Times New Roman" w:eastAsia="Times New Roman" w:hAnsi="Times New Roman"/>
          <w:sz w:val="16"/>
          <w:szCs w:val="16"/>
          <w:color w:val="auto"/>
        </w:rPr>
        <w:t>” and, together with its subsidiaries, the “</w:t>
      </w:r>
      <w:r>
        <w:rPr>
          <w:rFonts w:ascii="Times New Roman" w:cs="Times New Roman" w:eastAsia="Times New Roman" w:hAnsi="Times New Roman"/>
          <w:sz w:val="16"/>
          <w:szCs w:val="16"/>
          <w:b w:val="1"/>
          <w:bCs w:val="1"/>
          <w:i w:val="1"/>
          <w:iCs w:val="1"/>
          <w:color w:val="auto"/>
        </w:rPr>
        <w:t>Activision Blizzard Group</w:t>
      </w:r>
      <w:r>
        <w:rPr>
          <w:rFonts w:ascii="Times New Roman" w:cs="Times New Roman" w:eastAsia="Times New Roman" w:hAnsi="Times New Roman"/>
          <w:sz w:val="16"/>
          <w:szCs w:val="16"/>
          <w:color w:val="auto"/>
        </w:rPr>
        <w:t>”), and Christopher B. Walther (“</w:t>
      </w:r>
      <w:r>
        <w:rPr>
          <w:rFonts w:ascii="Times New Roman" w:cs="Times New Roman" w:eastAsia="Times New Roman" w:hAnsi="Times New Roman"/>
          <w:sz w:val="16"/>
          <w:szCs w:val="16"/>
          <w:b w:val="1"/>
          <w:bCs w:val="1"/>
          <w:i w:val="1"/>
          <w:iCs w:val="1"/>
          <w:color w:val="auto"/>
        </w:rPr>
        <w:t>you</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RECITAL</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Employer desires to employ you, and you desire to be so employed by the Employer, on the terms and subject to the conditions set forth in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AGREEMENT</w:t>
      </w:r>
    </w:p>
    <w:p>
      <w:pPr>
        <w:spacing w:after="0" w:line="1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promises set forth in this Agreement, the Employer and you hereby agree as follows:</w:t>
      </w:r>
    </w:p>
    <w:p>
      <w:pPr>
        <w:spacing w:after="0" w:line="170" w:lineRule="exact"/>
        <w:rPr>
          <w:sz w:val="20"/>
          <w:szCs w:val="20"/>
          <w:color w:val="auto"/>
        </w:rPr>
      </w:pPr>
    </w:p>
    <w:p>
      <w:pPr>
        <w:ind w:left="620" w:hanging="618"/>
        <w:spacing w:after="0"/>
        <w:tabs>
          <w:tab w:leader="none" w:pos="62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 of Employment</w:t>
      </w:r>
    </w:p>
    <w:p>
      <w:pPr>
        <w:spacing w:after="0" w:line="173" w:lineRule="exact"/>
        <w:rPr>
          <w:rFonts w:ascii="Times New Roman" w:cs="Times New Roman" w:eastAsia="Times New Roman" w:hAnsi="Times New Roman"/>
          <w:sz w:val="16"/>
          <w:szCs w:val="16"/>
          <w:b w:val="1"/>
          <w:bCs w:val="1"/>
          <w:color w:val="auto"/>
        </w:rPr>
      </w:pPr>
    </w:p>
    <w:p>
      <w:pPr>
        <w:jc w:val="both"/>
        <w:ind w:left="60" w:firstLine="494"/>
        <w:spacing w:after="0" w:line="264" w:lineRule="auto"/>
        <w:tabs>
          <w:tab w:leader="none" w:pos="88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your employment under this Agreement (the “</w:t>
      </w:r>
      <w:r>
        <w:rPr>
          <w:rFonts w:ascii="Times New Roman" w:cs="Times New Roman" w:eastAsia="Times New Roman" w:hAnsi="Times New Roman"/>
          <w:sz w:val="16"/>
          <w:szCs w:val="16"/>
          <w:b w:val="1"/>
          <w:bCs w:val="1"/>
          <w:i w:val="1"/>
          <w:iCs w:val="1"/>
          <w:color w:val="auto"/>
        </w:rPr>
        <w:t>Term</w:t>
      </w:r>
      <w:r>
        <w:rPr>
          <w:rFonts w:ascii="Times New Roman" w:cs="Times New Roman" w:eastAsia="Times New Roman" w:hAnsi="Times New Roman"/>
          <w:sz w:val="16"/>
          <w:szCs w:val="16"/>
          <w:color w:val="auto"/>
        </w:rPr>
        <w:t>”) shall commence on October 1, 2016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and shall end on March 31, 2020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(or such earlier date on which your employment is terminated under Section 9). The Employer shall have the option to extend the Term by up to one year by notifying you in writing of its intent to do so at least six (6) months prior to the original or any extended Expiration Date. The final date of any such extended Term shall thereafter be referred to as the “Expiration Date” for purposes of this Agreement and the Term shall end on such date (or such earlier date on which your employment is terminated). Except as set forth in Section 11(s), upon the Expiration Date (or such earlier date on which your employment is terminated) all obligations and rights under this Agreement shall immediately lapse.</w:t>
      </w:r>
    </w:p>
    <w:p>
      <w:pPr>
        <w:spacing w:after="0" w:line="129" w:lineRule="exact"/>
        <w:rPr>
          <w:rFonts w:ascii="Times New Roman" w:cs="Times New Roman" w:eastAsia="Times New Roman" w:hAnsi="Times New Roman"/>
          <w:sz w:val="16"/>
          <w:szCs w:val="16"/>
          <w:color w:val="auto"/>
        </w:rPr>
      </w:pPr>
    </w:p>
    <w:p>
      <w:pPr>
        <w:jc w:val="both"/>
        <w:ind w:left="60" w:firstLine="494"/>
        <w:spacing w:after="0" w:line="279" w:lineRule="auto"/>
        <w:tabs>
          <w:tab w:leader="none" w:pos="878"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and the Employer each agree to provide the other with at least six (6) months’ notice of any intent not to continue your employment following the Expiration Date. If your employment continues beyond the Expiration Date, you shall be an at-will employee whose employment may be terminated by either party to this Agreement at any time for any reason.</w:t>
      </w:r>
    </w:p>
    <w:p>
      <w:pPr>
        <w:spacing w:after="0" w:line="111"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Compensation</w:t>
      </w:r>
    </w:p>
    <w:p>
      <w:pPr>
        <w:spacing w:after="0" w:line="188" w:lineRule="exact"/>
        <w:rPr>
          <w:rFonts w:ascii="Times New Roman" w:cs="Times New Roman" w:eastAsia="Times New Roman" w:hAnsi="Times New Roman"/>
          <w:sz w:val="16"/>
          <w:szCs w:val="16"/>
          <w:b w:val="1"/>
          <w:bCs w:val="1"/>
          <w:color w:val="auto"/>
        </w:rPr>
      </w:pPr>
    </w:p>
    <w:p>
      <w:pPr>
        <w:ind w:left="60" w:firstLine="494"/>
        <w:spacing w:after="0" w:line="305" w:lineRule="auto"/>
        <w:tabs>
          <w:tab w:leader="none" w:pos="91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Agreement, in full consideration for all rights and services provided by you under this Agreement, during the Term you shall receive only the compensation set forth in this Section 2.</w:t>
      </w:r>
    </w:p>
    <w:p>
      <w:pPr>
        <w:spacing w:after="0" w:line="90" w:lineRule="exact"/>
        <w:rPr>
          <w:rFonts w:ascii="Times New Roman" w:cs="Times New Roman" w:eastAsia="Times New Roman" w:hAnsi="Times New Roman"/>
          <w:sz w:val="16"/>
          <w:szCs w:val="16"/>
          <w:color w:val="auto"/>
        </w:rPr>
      </w:pPr>
    </w:p>
    <w:p>
      <w:pPr>
        <w:ind w:left="60" w:firstLine="494"/>
        <w:spacing w:after="0" w:line="310" w:lineRule="auto"/>
        <w:tabs>
          <w:tab w:leader="none" w:pos="878"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on the Effective Date, you shall receive an annual base salary (“</w:t>
      </w:r>
      <w:r>
        <w:rPr>
          <w:rFonts w:ascii="Times New Roman" w:cs="Times New Roman" w:eastAsia="Times New Roman" w:hAnsi="Times New Roman"/>
          <w:sz w:val="16"/>
          <w:szCs w:val="16"/>
          <w:b w:val="1"/>
          <w:bCs w:val="1"/>
          <w:i w:val="1"/>
          <w:iCs w:val="1"/>
          <w:color w:val="auto"/>
        </w:rPr>
        <w:t>Base Salary</w:t>
      </w:r>
      <w:r>
        <w:rPr>
          <w:rFonts w:ascii="Times New Roman" w:cs="Times New Roman" w:eastAsia="Times New Roman" w:hAnsi="Times New Roman"/>
          <w:sz w:val="16"/>
          <w:szCs w:val="16"/>
          <w:color w:val="auto"/>
        </w:rPr>
        <w:t>”) of $707,911, which shall be paid in accordance with the Employer’s payroll policies. Your Base Salary shall be reviewed periodically and may be increased by an amount determined by the Employer, in its sole and absolute discretion.</w:t>
      </w:r>
    </w:p>
    <w:p>
      <w:pPr>
        <w:spacing w:after="0" w:line="27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460"/>
          </w:cols>
          <w:pgMar w:left="220" w:top="831" w:right="219" w:bottom="1440" w:gutter="0" w:footer="0" w:header="0"/>
        </w:sectPr>
      </w:pPr>
    </w:p>
    <w:bookmarkStart w:id="76" w:name="page77"/>
    <w:bookmarkEnd w:id="76"/>
    <w:p>
      <w:pPr>
        <w:jc w:val="both"/>
        <w:ind w:left="-494" w:firstLine="494"/>
        <w:spacing w:after="0" w:line="250" w:lineRule="auto"/>
        <w:tabs>
          <w:tab w:leader="none" w:pos="37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eligible to receive an annual discretionary bonus (the “</w:t>
      </w:r>
      <w:r>
        <w:rPr>
          <w:rFonts w:ascii="Times New Roman" w:cs="Times New Roman" w:eastAsia="Times New Roman" w:hAnsi="Times New Roman"/>
          <w:sz w:val="16"/>
          <w:szCs w:val="16"/>
          <w:b w:val="1"/>
          <w:bCs w:val="1"/>
          <w:i w:val="1"/>
          <w:iCs w:val="1"/>
          <w:color w:val="auto"/>
        </w:rPr>
        <w:t>Annual Bonus</w:t>
      </w:r>
      <w:r>
        <w:rPr>
          <w:rFonts w:ascii="Times New Roman" w:cs="Times New Roman" w:eastAsia="Times New Roman" w:hAnsi="Times New Roman"/>
          <w:sz w:val="16"/>
          <w:szCs w:val="16"/>
          <w:color w:val="auto"/>
        </w:rPr>
        <w:t>”). Your target Annual Bonus for each calendar year will be seventy-five percent (75%) of your Base Salary. In all instances, the actual amount of the Annual Bonus, if any, shall be determined by the Employer, in its sole and absolute discretion, and may be based on, among other things, your base salary and target bonus prior to the Term for calendar year 2016, the portion of the year falling in the Term, your overall performance and the performance of the Employer, Activision Blizzard and the Activision Blizzard Group. The Annual Bonus, if any, will be paid at the same time bonuses for that year are generally paid to other executives, but in no event earlier than the first day of the first month, or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Annual Bonus relates. In all instances, you must remain continuously employed by the Activision Blizzard Group through the date on which an Annual Bonus, if any, is paid to be eligible to receive such Annual Bonus.</w:t>
      </w:r>
    </w:p>
    <w:p>
      <w:pPr>
        <w:spacing w:after="0" w:line="132"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3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approval of the Compensation Committee of the Board of Directors of Activision Blizzard (the “</w:t>
      </w: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Activision Blizzard will grant to you equity awards with a total target grant value of $7,500,000 (and a total grant value of $8,675,000 if the 2016 Maximum PSU Grant Value (as defined below) were achieved) as follows:</w:t>
      </w:r>
    </w:p>
    <w:p>
      <w:pPr>
        <w:spacing w:after="0" w:line="112" w:lineRule="exact"/>
        <w:rPr>
          <w:rFonts w:ascii="Times New Roman" w:cs="Times New Roman" w:eastAsia="Times New Roman" w:hAnsi="Times New Roman"/>
          <w:sz w:val="16"/>
          <w:szCs w:val="16"/>
          <w:color w:val="auto"/>
        </w:rPr>
      </w:pPr>
    </w:p>
    <w:p>
      <w:pPr>
        <w:jc w:val="both"/>
        <w:ind w:left="926" w:hanging="496"/>
        <w:spacing w:after="0" w:line="259" w:lineRule="auto"/>
        <w:tabs>
          <w:tab w:leader="none" w:pos="92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Activision Blizzard shall grant to you non-qualified stock options to purchase shares of Activision Blizzard’s common stock with a total grant value of approximately $2,800,000 (the “</w:t>
      </w:r>
      <w:r>
        <w:rPr>
          <w:rFonts w:ascii="Times New Roman" w:cs="Times New Roman" w:eastAsia="Times New Roman" w:hAnsi="Times New Roman"/>
          <w:sz w:val="16"/>
          <w:szCs w:val="16"/>
          <w:b w:val="1"/>
          <w:bCs w:val="1"/>
          <w:i w:val="1"/>
          <w:iCs w:val="1"/>
          <w:color w:val="auto"/>
        </w:rPr>
        <w:t>2016 Options</w:t>
      </w:r>
      <w:r>
        <w:rPr>
          <w:rFonts w:ascii="Times New Roman" w:cs="Times New Roman" w:eastAsia="Times New Roman" w:hAnsi="Times New Roman"/>
          <w:sz w:val="16"/>
          <w:szCs w:val="16"/>
          <w:color w:val="auto"/>
        </w:rPr>
        <w:t>”). The actual number of stock options awarded to you on the grant date shall be determined based on the official closing price of Activision Blizzard’s common stock on the effective date of the grant, as reported by NASDAQ (the “</w:t>
      </w:r>
      <w:r>
        <w:rPr>
          <w:rFonts w:ascii="Times New Roman" w:cs="Times New Roman" w:eastAsia="Times New Roman" w:hAnsi="Times New Roman"/>
          <w:sz w:val="16"/>
          <w:szCs w:val="16"/>
          <w:b w:val="1"/>
          <w:bCs w:val="1"/>
          <w:i w:val="1"/>
          <w:iCs w:val="1"/>
          <w:color w:val="auto"/>
        </w:rPr>
        <w:t>Grant Date Price</w:t>
      </w:r>
      <w:r>
        <w:rPr>
          <w:rFonts w:ascii="Times New Roman" w:cs="Times New Roman" w:eastAsia="Times New Roman" w:hAnsi="Times New Roman"/>
          <w:sz w:val="16"/>
          <w:szCs w:val="16"/>
          <w:color w:val="auto"/>
        </w:rPr>
        <w:t>”), and an applicable binomial factor selected by Activision Blizzard. The number of stock options awarded shall be rounded to the nearest whole number, and Activision Blizzard retains the discretion to modify the methodology for such calculations as needed. The 2016 Options shall be awarded with an exercise price that is equal to the Grant Date Price. Finally, three-quarters of the 2016 Options shall vest on March 14, 2020, and one-quarter of the 2016 Options shall vest on March 14, 2021, in each case, subject to your remaining employed by the Activision Blizzard Group through the applicable vesting date.</w:t>
      </w:r>
    </w:p>
    <w:p>
      <w:pPr>
        <w:spacing w:after="0" w:line="328" w:lineRule="exact"/>
        <w:rPr>
          <w:rFonts w:ascii="Times New Roman" w:cs="Times New Roman" w:eastAsia="Times New Roman" w:hAnsi="Times New Roman"/>
          <w:sz w:val="16"/>
          <w:szCs w:val="16"/>
          <w:color w:val="auto"/>
        </w:rPr>
      </w:pPr>
    </w:p>
    <w:p>
      <w:pPr>
        <w:jc w:val="both"/>
        <w:ind w:left="926" w:hanging="496"/>
        <w:spacing w:after="0" w:line="259" w:lineRule="auto"/>
        <w:tabs>
          <w:tab w:leader="none" w:pos="92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Activision Blizzard shall grant to you performance-vesting restricted share units which represent the conditional right to receive shares of Activision Blizzard’s common stock (the “</w:t>
      </w:r>
      <w:r>
        <w:rPr>
          <w:rFonts w:ascii="Times New Roman" w:cs="Times New Roman" w:eastAsia="Times New Roman" w:hAnsi="Times New Roman"/>
          <w:sz w:val="16"/>
          <w:szCs w:val="16"/>
          <w:b w:val="1"/>
          <w:bCs w:val="1"/>
          <w:i w:val="1"/>
          <w:iCs w:val="1"/>
          <w:color w:val="auto"/>
        </w:rPr>
        <w:t>2016 Performance Share Units</w:t>
      </w:r>
      <w:r>
        <w:rPr>
          <w:rFonts w:ascii="Times New Roman" w:cs="Times New Roman" w:eastAsia="Times New Roman" w:hAnsi="Times New Roman"/>
          <w:sz w:val="16"/>
          <w:szCs w:val="16"/>
          <w:color w:val="auto"/>
        </w:rPr>
        <w:t xml:space="preserve">”), with a target value at the time of grant of approximately $4,700,000 (the </w:t>
      </w:r>
      <w:r>
        <w:rPr>
          <w:rFonts w:ascii="Times New Roman" w:cs="Times New Roman" w:eastAsia="Times New Roman" w:hAnsi="Times New Roman"/>
          <w:sz w:val="16"/>
          <w:szCs w:val="16"/>
          <w:b w:val="1"/>
          <w:bCs w:val="1"/>
          <w:i w:val="1"/>
          <w:iCs w:val="1"/>
          <w:color w:val="auto"/>
        </w:rPr>
        <w:t>“2016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Target PSU Grant Value”</w:t>
      </w:r>
      <w:r>
        <w:rPr>
          <w:rFonts w:ascii="Times New Roman" w:cs="Times New Roman" w:eastAsia="Times New Roman" w:hAnsi="Times New Roman"/>
          <w:sz w:val="16"/>
          <w:szCs w:val="16"/>
          <w:color w:val="auto"/>
        </w:rPr>
        <w:t>). The actual number of 2016 Performance Share Units awarded to you on the grant date shall be equal to the 2016 Target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PSU Grant Value divided by the Grant Date Price (it being recognized that if the maximum performance objectives are met for all of the 2016 Performance Share Units, the value of the shares received upon vesting for all of the 2016 Performance Share Units would have been $5,875,000 at the time of grant of the 2016 Performance Share Units, representing 125% of the 2016 Target PSU Grant Value (the “</w:t>
      </w:r>
      <w:r>
        <w:rPr>
          <w:rFonts w:ascii="Times New Roman" w:cs="Times New Roman" w:eastAsia="Times New Roman" w:hAnsi="Times New Roman"/>
          <w:sz w:val="16"/>
          <w:szCs w:val="16"/>
          <w:b w:val="1"/>
          <w:bCs w:val="1"/>
          <w:i w:val="1"/>
          <w:iCs w:val="1"/>
          <w:color w:val="auto"/>
        </w:rPr>
        <w:t>2016 Maximum PSU Grant Value</w:t>
      </w:r>
      <w:r>
        <w:rPr>
          <w:rFonts w:ascii="Times New Roman" w:cs="Times New Roman" w:eastAsia="Times New Roman" w:hAnsi="Times New Roman"/>
          <w:sz w:val="16"/>
          <w:szCs w:val="16"/>
          <w:color w:val="auto"/>
        </w:rPr>
        <w:t>”). The number of 2016 Performance Share Units awarded shall be rounded to the nearest whole number and shall be determined by the Compensation Committee in</w:t>
      </w:r>
    </w:p>
    <w:p>
      <w:pPr>
        <w:spacing w:after="0" w:line="200" w:lineRule="exact"/>
        <w:rPr>
          <w:sz w:val="20"/>
          <w:szCs w:val="20"/>
          <w:color w:val="auto"/>
        </w:rPr>
      </w:pPr>
    </w:p>
    <w:p>
      <w:pPr>
        <w:spacing w:after="0" w:line="310"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0906"/>
          </w:cols>
          <w:pgMar w:left="774" w:top="504" w:right="219" w:bottom="1440" w:gutter="0" w:footer="0" w:header="0"/>
        </w:sectPr>
      </w:pPr>
    </w:p>
    <w:bookmarkStart w:id="77" w:name="page78"/>
    <w:bookmarkEnd w:id="77"/>
    <w:p>
      <w:pPr>
        <w:jc w:val="both"/>
        <w:ind w:left="260"/>
        <w:spacing w:after="0" w:line="272" w:lineRule="auto"/>
        <w:rPr>
          <w:sz w:val="20"/>
          <w:szCs w:val="20"/>
          <w:color w:val="auto"/>
        </w:rPr>
      </w:pPr>
      <w:r>
        <w:rPr>
          <w:rFonts w:ascii="Times New Roman" w:cs="Times New Roman" w:eastAsia="Times New Roman" w:hAnsi="Times New Roman"/>
          <w:sz w:val="16"/>
          <w:szCs w:val="16"/>
          <w:color w:val="auto"/>
        </w:rPr>
        <w:t>its sole discretion, and Activision Blizzard retains the discretion to modify the methodology for such calculations as needed. Subject to your remaining employed by the Activision Blizzard Group through the applicable vesting dates, the actual number of shares of Activision Blizzard’s common stock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that shall be received on each of the applicable vesting dates is determined as follows:</w:t>
      </w:r>
    </w:p>
    <w:p>
      <w:pPr>
        <w:spacing w:after="0" w:line="117" w:lineRule="exact"/>
        <w:rPr>
          <w:sz w:val="20"/>
          <w:szCs w:val="20"/>
          <w:color w:val="auto"/>
        </w:rPr>
      </w:pPr>
    </w:p>
    <w:p>
      <w:pPr>
        <w:jc w:val="both"/>
        <w:ind w:left="740" w:hanging="240"/>
        <w:spacing w:after="0" w:line="260" w:lineRule="auto"/>
        <w:tabs>
          <w:tab w:leader="none" w:pos="7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First Tranche 2016 Performance Share Units</w:t>
      </w:r>
      <w:r>
        <w:rPr>
          <w:rFonts w:ascii="Times New Roman" w:cs="Times New Roman" w:eastAsia="Times New Roman" w:hAnsi="Times New Roman"/>
          <w:sz w:val="16"/>
          <w:szCs w:val="16"/>
          <w:color w:val="auto"/>
        </w:rPr>
        <w:t>”) shall vest on March 14, 2018, if, and only if, the Compensation Committee determines that non-GAAP operating income for 2017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2017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2017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2017 OI is less than 85% of the 2017 AOP OI Objective, then the First Tranche 2016 Performance Share Units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vest and shall be forfeited. If the 2017 OI is 85% or more of the 2017 AOP OI Objective, the number of Shares that shall be received with regard to the First Tranche 2016 Performance Share Units on the applicable vesting date shall be equal to the product of: (1) the number of First Tranche 2016 Performance Share Units; and (2) the ratio of the 2017 OI to the 2017 AOP OI Objective, up to a maximum of 125%;</w:t>
      </w:r>
    </w:p>
    <w:p>
      <w:pPr>
        <w:spacing w:after="0" w:line="128" w:lineRule="exact"/>
        <w:rPr>
          <w:rFonts w:ascii="Times New Roman" w:cs="Times New Roman" w:eastAsia="Times New Roman" w:hAnsi="Times New Roman"/>
          <w:sz w:val="16"/>
          <w:szCs w:val="16"/>
          <w:color w:val="auto"/>
        </w:rPr>
      </w:pPr>
    </w:p>
    <w:p>
      <w:pPr>
        <w:jc w:val="both"/>
        <w:ind w:left="740" w:hanging="240"/>
        <w:spacing w:after="0" w:line="260" w:lineRule="auto"/>
        <w:tabs>
          <w:tab w:leader="none" w:pos="7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Second Tranche 2016 Performance Share Units</w:t>
      </w:r>
      <w:r>
        <w:rPr>
          <w:rFonts w:ascii="Times New Roman" w:cs="Times New Roman" w:eastAsia="Times New Roman" w:hAnsi="Times New Roman"/>
          <w:sz w:val="16"/>
          <w:szCs w:val="16"/>
          <w:color w:val="auto"/>
        </w:rPr>
        <w:t>”) shall vest on March 14, 2019, if, and only if, the Compensation Committee determines that non-GAAP operating income for 2018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2018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2018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2018 OI is less than 85% of the 2018 AOP OI Objective, then the Second Tranche 2016 Performance Share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not vest and shall be forfeited. If the 2018 OI is 85% or more of the 2018 AOP OI Objective, the number of Shares that shall be received with regard to the Second Tranche 2016 Performance Share Units on the applicable vesting date shall be equal to the product of: (1) the number of Second Tranche 2016 Performance Share Units; and (2) the ratio of the 2018 OI to the 2018 AOP OI Objective, up to a maximum of 125%;</w:t>
      </w:r>
    </w:p>
    <w:p>
      <w:pPr>
        <w:spacing w:after="0" w:line="128" w:lineRule="exact"/>
        <w:rPr>
          <w:rFonts w:ascii="Times New Roman" w:cs="Times New Roman" w:eastAsia="Times New Roman" w:hAnsi="Times New Roman"/>
          <w:sz w:val="16"/>
          <w:szCs w:val="16"/>
          <w:color w:val="auto"/>
        </w:rPr>
      </w:pPr>
    </w:p>
    <w:p>
      <w:pPr>
        <w:jc w:val="both"/>
        <w:ind w:left="740" w:hanging="240"/>
        <w:spacing w:after="0" w:line="264" w:lineRule="auto"/>
        <w:tabs>
          <w:tab w:leader="none" w:pos="7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Third Tranche 2016 Performance Share Units</w:t>
      </w:r>
      <w:r>
        <w:rPr>
          <w:rFonts w:ascii="Times New Roman" w:cs="Times New Roman" w:eastAsia="Times New Roman" w:hAnsi="Times New Roman"/>
          <w:sz w:val="16"/>
          <w:szCs w:val="16"/>
          <w:color w:val="auto"/>
        </w:rPr>
        <w:t>”) shall vest on March 14, 2020, if, and only if, the Compensation Committee determines that non-GAAP operating income for 2019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2019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2019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2019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2019 OI is less than 85% of the 2019 AOP OI Objective, then the Third Tranche 2016 Performance Share Units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vest and shall be forfeited. If the</w:t>
      </w:r>
    </w:p>
    <w:p>
      <w:pPr>
        <w:spacing w:after="0" w:line="30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0240"/>
          </w:cols>
          <w:pgMar w:left="1440" w:top="508" w:right="219" w:bottom="1440" w:gutter="0" w:footer="0" w:header="0"/>
        </w:sectPr>
      </w:pPr>
    </w:p>
    <w:bookmarkStart w:id="78" w:name="page79"/>
    <w:bookmarkEnd w:id="78"/>
    <w:p>
      <w:pPr>
        <w:jc w:val="both"/>
        <w:ind w:left="1900"/>
        <w:spacing w:after="0" w:line="272" w:lineRule="auto"/>
        <w:rPr>
          <w:sz w:val="20"/>
          <w:szCs w:val="20"/>
          <w:color w:val="auto"/>
        </w:rPr>
      </w:pPr>
      <w:r>
        <w:rPr>
          <w:rFonts w:ascii="Times New Roman" w:cs="Times New Roman" w:eastAsia="Times New Roman" w:hAnsi="Times New Roman"/>
          <w:sz w:val="16"/>
          <w:szCs w:val="16"/>
          <w:color w:val="auto"/>
        </w:rPr>
        <w:t>2019 OI is 85% or more of the 2019 AOP OI Objective, the number of Shares that shall be received with regard to the Third Tranche 2016 Performance Share Units on the applicable vesting date shall be equal to the product of: (1) the number of Third Tranche 2016 Performance Share Units; and (2) the ratio of the 2019 OI to the 2019 AOP OI Objective, up to a maximum of 125%; and</w:t>
      </w:r>
    </w:p>
    <w:p>
      <w:pPr>
        <w:spacing w:after="0" w:line="117" w:lineRule="exact"/>
        <w:rPr>
          <w:sz w:val="20"/>
          <w:szCs w:val="20"/>
          <w:color w:val="auto"/>
        </w:rPr>
      </w:pPr>
    </w:p>
    <w:p>
      <w:pPr>
        <w:jc w:val="both"/>
        <w:ind w:left="1900" w:hanging="240"/>
        <w:spacing w:after="0" w:line="260" w:lineRule="auto"/>
        <w:tabs>
          <w:tab w:leader="none" w:pos="19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2016 Performance Share Units (the “</w:t>
      </w:r>
      <w:r>
        <w:rPr>
          <w:rFonts w:ascii="Times New Roman" w:cs="Times New Roman" w:eastAsia="Times New Roman" w:hAnsi="Times New Roman"/>
          <w:sz w:val="16"/>
          <w:szCs w:val="16"/>
          <w:b w:val="1"/>
          <w:bCs w:val="1"/>
          <w:i w:val="1"/>
          <w:iCs w:val="1"/>
          <w:color w:val="auto"/>
        </w:rPr>
        <w:t>Fourth Tranche 2016 Performance Share Units</w:t>
      </w:r>
      <w:r>
        <w:rPr>
          <w:rFonts w:ascii="Times New Roman" w:cs="Times New Roman" w:eastAsia="Times New Roman" w:hAnsi="Times New Roman"/>
          <w:sz w:val="16"/>
          <w:szCs w:val="16"/>
          <w:color w:val="auto"/>
        </w:rPr>
        <w:t>”) shall vest on March 14, 2021, if, and only if, the Compensation Committee determines that non-GAAP operating income for 2020 for Activision Blizzard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2020 OI</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is 85% or more of the annual operating plan operating income objective established by the Board of Directors for Activision Blizzard for 2020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2020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AOP OI Objective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If the 2020 OI is less than 85% of the 2020 AOP OI Objective, then the Fourth Tranche 2016 Performance Share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not vest and shall be forfeited. If the 2020 OI is 85% or more of the 2020 AOP OI Objective, the number of Shares that shall be received with regard to the Fourth Tranche 2016 Performance Share Units on the applicable vesting date shall be equal to the product of: (1) the number of Fourth Tranche 2016 Performance Share Units; and (2) the ratio of the 2020 OI to the 2020 AOP OI Objective, up to a maximum of 125%.</w:t>
      </w:r>
    </w:p>
    <w:p>
      <w:pPr>
        <w:spacing w:after="0" w:line="133"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6"/>
          <w:szCs w:val="16"/>
          <w:color w:val="auto"/>
        </w:rPr>
        <w:t>If, prior to the vesting of any portion of the 2016 Performance Share Units, as provided for in this provision, your job responsibilities are changed to include a different or additional business unit, then Activision Blizzard, in its sole discretion, acting through the Compensation Committee or Activision Blizzard’s management, as applicable, may adjust the performance objective for the relevant fiscal year(s) by substituting the OI and AOP OI Objective of your new or additional business unit for that of your original business unit or by prorating or otherwise combining the OI and AOP OI Objective of the applicable business units, in each case for purposes of determining whether or not the conditions of the unvested 2016 Performance Share Units have been satisfied.</w:t>
      </w:r>
    </w:p>
    <w:p>
      <w:pPr>
        <w:spacing w:after="0" w:line="123" w:lineRule="exact"/>
        <w:rPr>
          <w:sz w:val="20"/>
          <w:szCs w:val="20"/>
          <w:color w:val="auto"/>
        </w:rPr>
      </w:pPr>
    </w:p>
    <w:p>
      <w:pPr>
        <w:jc w:val="both"/>
        <w:ind w:firstLine="491"/>
        <w:spacing w:after="0" w:line="259" w:lineRule="auto"/>
        <w:rPr>
          <w:sz w:val="20"/>
          <w:szCs w:val="20"/>
          <w:color w:val="auto"/>
        </w:rPr>
      </w:pPr>
      <w:r>
        <w:rPr>
          <w:rFonts w:ascii="Times New Roman" w:cs="Times New Roman" w:eastAsia="Times New Roman" w:hAnsi="Times New Roman"/>
          <w:sz w:val="16"/>
          <w:szCs w:val="16"/>
          <w:color w:val="auto"/>
        </w:rPr>
        <w:t>Collectively, the 2016 Options and the 2016 Performance Share Units shall be referred to as the “</w:t>
      </w:r>
      <w:r>
        <w:rPr>
          <w:rFonts w:ascii="Times New Roman" w:cs="Times New Roman" w:eastAsia="Times New Roman" w:hAnsi="Times New Roman"/>
          <w:sz w:val="16"/>
          <w:szCs w:val="16"/>
          <w:b w:val="1"/>
          <w:bCs w:val="1"/>
          <w:i w:val="1"/>
          <w:iCs w:val="1"/>
          <w:color w:val="auto"/>
        </w:rPr>
        <w:t>2016 Equity Awards</w:t>
      </w:r>
      <w:r>
        <w:rPr>
          <w:rFonts w:ascii="Times New Roman" w:cs="Times New Roman" w:eastAsia="Times New Roman" w:hAnsi="Times New Roman"/>
          <w:sz w:val="16"/>
          <w:szCs w:val="16"/>
          <w:color w:val="auto"/>
        </w:rPr>
        <w:t>”. You acknowledge that the grant of 2016 Equity Awards pursuant to this Section 2(d) is expressly conditioned upon approval by the Compensation Committee and that the Compensation Committee has discretion to approve or disapprove the grants and/or to determine and make modifications to the terms of the grants. The 2016 Equity Awards shall be subject to all terms of the equity incentive plan pursuant to which they are granted (the “</w:t>
      </w:r>
      <w:r>
        <w:rPr>
          <w:rFonts w:ascii="Times New Roman" w:cs="Times New Roman" w:eastAsia="Times New Roman" w:hAnsi="Times New Roman"/>
          <w:sz w:val="16"/>
          <w:szCs w:val="16"/>
          <w:b w:val="1"/>
          <w:bCs w:val="1"/>
          <w:i w:val="1"/>
          <w:iCs w:val="1"/>
          <w:color w:val="auto"/>
        </w:rPr>
        <w:t>Incentive Plan</w:t>
      </w:r>
      <w:r>
        <w:rPr>
          <w:rFonts w:ascii="Times New Roman" w:cs="Times New Roman" w:eastAsia="Times New Roman" w:hAnsi="Times New Roman"/>
          <w:sz w:val="16"/>
          <w:szCs w:val="16"/>
          <w:color w:val="auto"/>
        </w:rPr>
        <w:t xml:space="preserve">”),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which are attached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In the event of a conflict between this Agreement and the terms of the Incentive Plan or award agreements, the Incentive Plan or the award agreements, as applicable, shall govern. These 2016 Equity Awards, if and when approved by the Compensation Committee, shall be in addition to any previous equity incentive awards made to you.</w:t>
      </w:r>
    </w:p>
    <w:p>
      <w:pPr>
        <w:spacing w:after="0" w:line="3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1400"/>
          </w:cols>
          <w:pgMar w:left="280" w:top="508" w:right="219" w:bottom="1440" w:gutter="0" w:footer="0" w:header="0"/>
        </w:sectPr>
      </w:pPr>
    </w:p>
    <w:bookmarkStart w:id="79" w:name="page80"/>
    <w:bookmarkEnd w:id="79"/>
    <w:p>
      <w:pPr>
        <w:jc w:val="both"/>
        <w:ind w:left="60" w:firstLine="494"/>
        <w:spacing w:after="0" w:line="257" w:lineRule="auto"/>
        <w:tabs>
          <w:tab w:leader="none" w:pos="951"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approval of the Compensation Committee, beginning in 2016, you will be eligible to receive an annual equity grant of performance-vesting restricted share units with (i) performance objectives contingent upon cumulative operating income performance as compared to Activision Blizzard’s three-year plan, (ii) a vesting date which will be no later than the last day of the third month following the third full fiscal year from grant (i.e. if granted in November 2016, the vesting will be no later than March 30, 2020), (iii) the formula for vesting of the total number of performance-vesting restricted shares being equal to product of: (a) the target number of performance-vesting restricted share units and (b) the percentage of achievement, which shall be calculated by dividing the operating income achieved by the operating income performance objective, with a minimum ratio of 85% (provided that achievement is equal to or greater than 85% of the performance objective, otherwise no vesting shall occur at all) and a maximum ratio of 125%, and (iv) a target value of $625,000 (with the actual amount, performance objectives, and vesting schedule, to be determined by the Compensation Committee, which has discretion to approve or disapprove all equity incentive awards and to determine and/or make modification to the terms of such awards). Such annual awards, if and when approved by the Compensation Committee, shall be subject to all terms of the Incentive Plan,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in the event of a conflict between this Agreement and the terms of the Incentive Plan or award agreements, the Incentive Plan or the award agreements, as applicable, shall govern. In addition, such annual awards, if and when approved by the Compensation Committee, shall be in addition to any previous equity incentive awards made to you.</w:t>
      </w:r>
    </w:p>
    <w:p>
      <w:pPr>
        <w:spacing w:after="0" w:line="328"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Title; Location</w:t>
      </w:r>
    </w:p>
    <w:p>
      <w:pPr>
        <w:spacing w:after="0" w:line="188"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 xml:space="preserve">You shall serve as Chief Legal Officer of Activision Blizzard. Your principal place of business initially shall be the Employer’s headquarters in Santa Monica, California;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acknowledge and agree that you may be required to travel from time to time for business reasons.</w:t>
      </w:r>
    </w:p>
    <w:p>
      <w:pPr>
        <w:spacing w:after="0" w:line="101" w:lineRule="exact"/>
        <w:rPr>
          <w:sz w:val="20"/>
          <w:szCs w:val="20"/>
          <w:color w:val="auto"/>
        </w:rPr>
      </w:pPr>
    </w:p>
    <w:p>
      <w:pPr>
        <w:ind w:left="260" w:hanging="258"/>
        <w:spacing w:after="0"/>
        <w:tabs>
          <w:tab w:leader="none" w:pos="260"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Duties</w:t>
      </w:r>
    </w:p>
    <w:p>
      <w:pPr>
        <w:spacing w:after="0" w:line="188" w:lineRule="exact"/>
        <w:rPr>
          <w:sz w:val="20"/>
          <w:szCs w:val="20"/>
          <w:color w:val="auto"/>
        </w:rPr>
      </w:pPr>
    </w:p>
    <w:p>
      <w:pPr>
        <w:jc w:val="both"/>
        <w:ind w:firstLine="491"/>
        <w:spacing w:after="0" w:line="259" w:lineRule="auto"/>
        <w:rPr>
          <w:sz w:val="20"/>
          <w:szCs w:val="20"/>
          <w:color w:val="auto"/>
        </w:rPr>
      </w:pPr>
      <w:r>
        <w:rPr>
          <w:rFonts w:ascii="Times New Roman" w:cs="Times New Roman" w:eastAsia="Times New Roman" w:hAnsi="Times New Roman"/>
          <w:sz w:val="16"/>
          <w:szCs w:val="16"/>
          <w:color w:val="auto"/>
        </w:rPr>
        <w:t>You shall report directly to the Chief Executive Officer (or such other executive of the Activision Blizzard Group as may be determined from time to time by it in its sole and absolute discretion) and shall have such duties commensurate with your position as may be assigned to you from time to time by the Chief Executive Officer (or, as applicable, such other executive designated by the Employer).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devote your full-time working time to the performance of your duties hereunder, shall faithfully serve the Employer, shall in all respects conform to and comply with the lawful directions and instructions given to you by the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w:t>
      </w:r>
    </w:p>
    <w:p>
      <w:pPr>
        <w:spacing w:after="0" w:line="3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11460"/>
          </w:cols>
          <w:pgMar w:left="220" w:top="508" w:right="21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perform all your duties for the Employer with the highest duty of care. Further, you shall not, directly or indirectly, render services of any kind to any other person or organization, whether on your own behalf or on behalf of others, without the consent of the Chief Executive Officer or otherwise engage in activities that would interfere with your faithful and diligent performance of your duties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may serve on civic or charitable boards or engage in charitable activities without remuneration if doing so is not inconsistent with, or adverse to, your employment hereunder.</w:t>
      </w:r>
    </w:p>
    <w:p>
      <w:pPr>
        <w:spacing w:after="0" w:line="121" w:lineRule="exact"/>
        <w:rPr>
          <w:sz w:val="20"/>
          <w:szCs w:val="20"/>
          <w:color w:val="auto"/>
        </w:rPr>
      </w:pPr>
    </w:p>
    <w:p>
      <w:pPr>
        <w:ind w:left="260" w:hanging="258"/>
        <w:spacing w:after="0"/>
        <w:tabs>
          <w:tab w:leader="none" w:pos="26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Expenses</w:t>
      </w:r>
    </w:p>
    <w:p>
      <w:pPr>
        <w:spacing w:after="0" w:line="188"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101" w:lineRule="exact"/>
        <w:rPr>
          <w:sz w:val="20"/>
          <w:szCs w:val="20"/>
          <w:color w:val="auto"/>
        </w:rPr>
      </w:pPr>
    </w:p>
    <w:p>
      <w:pPr>
        <w:ind w:left="260" w:hanging="258"/>
        <w:spacing w:after="0"/>
        <w:tabs>
          <w:tab w:leader="none" w:pos="26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Benefits</w:t>
      </w:r>
    </w:p>
    <w:p>
      <w:pPr>
        <w:spacing w:after="0" w:line="188" w:lineRule="exact"/>
        <w:rPr>
          <w:rFonts w:ascii="Times New Roman" w:cs="Times New Roman" w:eastAsia="Times New Roman" w:hAnsi="Times New Roman"/>
          <w:sz w:val="16"/>
          <w:szCs w:val="16"/>
          <w:b w:val="1"/>
          <w:bCs w:val="1"/>
          <w:color w:val="auto"/>
        </w:rPr>
      </w:pPr>
    </w:p>
    <w:p>
      <w:pPr>
        <w:jc w:val="both"/>
        <w:ind w:left="60" w:firstLine="494"/>
        <w:spacing w:after="0" w:line="263" w:lineRule="auto"/>
        <w:tabs>
          <w:tab w:leader="none" w:pos="88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with a face amount of $2,000,000 through a carrier of Employer’s choice (the “</w:t>
      </w:r>
      <w:r>
        <w:rPr>
          <w:rFonts w:ascii="Times New Roman" w:cs="Times New Roman" w:eastAsia="Times New Roman" w:hAnsi="Times New Roman"/>
          <w:sz w:val="16"/>
          <w:szCs w:val="16"/>
          <w:b w:val="1"/>
          <w:bCs w:val="1"/>
          <w:i w:val="1"/>
          <w:iCs w:val="1"/>
          <w:color w:val="auto"/>
        </w:rPr>
        <w:t>Target Face Amount</w:t>
      </w:r>
      <w:r>
        <w:rPr>
          <w:rFonts w:ascii="Times New Roman" w:cs="Times New Roman" w:eastAsia="Times New Roman" w:hAnsi="Times New Roman"/>
          <w:sz w:val="16"/>
          <w:szCs w:val="16"/>
          <w:color w:val="auto"/>
        </w:rPr>
        <w:t>”), subject to your insurability.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30" w:lineRule="exact"/>
        <w:rPr>
          <w:rFonts w:ascii="Times New Roman" w:cs="Times New Roman" w:eastAsia="Times New Roman" w:hAnsi="Times New Roman"/>
          <w:sz w:val="16"/>
          <w:szCs w:val="16"/>
          <w:color w:val="auto"/>
        </w:rPr>
      </w:pPr>
    </w:p>
    <w:p>
      <w:pPr>
        <w:jc w:val="both"/>
        <w:ind w:left="60" w:firstLine="494"/>
        <w:spacing w:after="0" w:line="279" w:lineRule="auto"/>
        <w:tabs>
          <w:tab w:leader="none" w:pos="888"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w:t>
      </w:r>
      <w:r>
        <w:rPr>
          <w:rFonts w:ascii="Times New Roman" w:cs="Times New Roman" w:eastAsia="Times New Roman" w:hAnsi="Times New Roman"/>
          <w:sz w:val="16"/>
          <w:szCs w:val="16"/>
          <w:b w:val="1"/>
          <w:bCs w:val="1"/>
          <w:color w:val="auto"/>
        </w:rPr>
        <w:t xml:space="preserve">then-prevailing </w:t>
      </w:r>
      <w:r>
        <w:rPr>
          <w:rFonts w:ascii="Times New Roman" w:cs="Times New Roman" w:eastAsia="Times New Roman" w:hAnsi="Times New Roman"/>
          <w:sz w:val="16"/>
          <w:szCs w:val="16"/>
          <w:color w:val="auto"/>
        </w:rPr>
        <w:t>terms and conditions of each such plan.</w:t>
      </w:r>
    </w:p>
    <w:p>
      <w:pPr>
        <w:spacing w:after="0" w:line="111"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Vacation and Paid Holidays</w:t>
      </w:r>
    </w:p>
    <w:p>
      <w:pPr>
        <w:spacing w:after="0" w:line="188" w:lineRule="exact"/>
        <w:rPr>
          <w:rFonts w:ascii="Times New Roman" w:cs="Times New Roman" w:eastAsia="Times New Roman" w:hAnsi="Times New Roman"/>
          <w:sz w:val="16"/>
          <w:szCs w:val="16"/>
          <w:b w:val="1"/>
          <w:bCs w:val="1"/>
          <w:color w:val="auto"/>
        </w:rPr>
      </w:pPr>
    </w:p>
    <w:p>
      <w:pPr>
        <w:jc w:val="both"/>
        <w:ind w:left="60" w:firstLine="494"/>
        <w:spacing w:after="0" w:line="279" w:lineRule="auto"/>
        <w:tabs>
          <w:tab w:leader="none" w:pos="93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 will generally be entitled to paid vacation days in accordance with the normal vacation policies of the Employer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will be entitled to take and accrue no less than twenty (20) paid vacation days per year, unless your vacation accrual balance exceeds the Employer’s then-current maximum accrual cap, in which case you shall cease accruing vacation leave until your accrual balance has fallen below the cap again.</w:t>
      </w:r>
    </w:p>
    <w:p>
      <w:pPr>
        <w:spacing w:after="0" w:line="115" w:lineRule="exact"/>
        <w:rPr>
          <w:rFonts w:ascii="Times New Roman" w:cs="Times New Roman" w:eastAsia="Times New Roman" w:hAnsi="Times New Roman"/>
          <w:sz w:val="16"/>
          <w:szCs w:val="16"/>
          <w:color w:val="auto"/>
        </w:rPr>
      </w:pPr>
    </w:p>
    <w:p>
      <w:pPr>
        <w:ind w:left="880" w:hanging="326"/>
        <w:spacing w:after="0"/>
        <w:tabs>
          <w:tab w:leader="none" w:pos="88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shall be entitled to all paid holidays allowed by the Employer to its full-time employees in the United States.</w:t>
      </w:r>
    </w:p>
    <w:p>
      <w:pPr>
        <w:spacing w:after="0" w:line="180" w:lineRule="exact"/>
        <w:rPr>
          <w:rFonts w:ascii="Times New Roman" w:cs="Times New Roman" w:eastAsia="Times New Roman" w:hAnsi="Times New Roman"/>
          <w:sz w:val="16"/>
          <w:szCs w:val="16"/>
          <w:color w:val="auto"/>
        </w:rPr>
      </w:pPr>
    </w:p>
    <w:p>
      <w:pPr>
        <w:ind w:left="260" w:hanging="258"/>
        <w:spacing w:after="0"/>
        <w:tabs>
          <w:tab w:leader="none" w:pos="26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Protection of </w:t>
      </w:r>
      <w:r>
        <w:rPr>
          <w:rFonts w:ascii="Times New Roman" w:cs="Times New Roman" w:eastAsia="Times New Roman" w:hAnsi="Times New Roman"/>
          <w:sz w:val="16"/>
          <w:szCs w:val="16"/>
          <w:u w:val="single" w:color="auto"/>
          <w:color w:val="auto"/>
        </w:rPr>
        <w:t>the</w:t>
      </w:r>
      <w:r>
        <w:rPr>
          <w:rFonts w:ascii="Times New Roman" w:cs="Times New Roman" w:eastAsia="Times New Roman" w:hAnsi="Times New Roman"/>
          <w:sz w:val="16"/>
          <w:szCs w:val="16"/>
          <w:b w:val="1"/>
          <w:bCs w:val="1"/>
          <w:u w:val="single" w:color="auto"/>
          <w:color w:val="auto"/>
        </w:rPr>
        <w:t xml:space="preserve"> Employer’s Interests</w:t>
      </w:r>
    </w:p>
    <w:p>
      <w:pPr>
        <w:spacing w:after="0" w:line="347" w:lineRule="exact"/>
        <w:rPr>
          <w:rFonts w:ascii="Times New Roman" w:cs="Times New Roman" w:eastAsia="Times New Roman" w:hAnsi="Times New Roman"/>
          <w:sz w:val="16"/>
          <w:szCs w:val="16"/>
          <w:b w:val="1"/>
          <w:bCs w:val="1"/>
          <w:color w:val="auto"/>
        </w:rPr>
      </w:pPr>
    </w:p>
    <w:p>
      <w:pPr>
        <w:ind w:left="60" w:firstLine="494"/>
        <w:spacing w:after="0" w:line="310" w:lineRule="auto"/>
        <w:tabs>
          <w:tab w:leader="none" w:pos="88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Duty of Loyalty. </w:t>
      </w:r>
      <w:r>
        <w:rPr>
          <w:rFonts w:ascii="Times New Roman" w:cs="Times New Roman" w:eastAsia="Times New Roman" w:hAnsi="Times New Roman"/>
          <w:sz w:val="16"/>
          <w:szCs w:val="16"/>
          <w:color w:val="auto"/>
        </w:rPr>
        <w:t>During the Term, you will owe a “</w:t>
      </w:r>
      <w:r>
        <w:rPr>
          <w:rFonts w:ascii="Times New Roman" w:cs="Times New Roman" w:eastAsia="Times New Roman" w:hAnsi="Times New Roman"/>
          <w:sz w:val="16"/>
          <w:szCs w:val="16"/>
          <w:b w:val="1"/>
          <w:bCs w:val="1"/>
          <w:i w:val="1"/>
          <w:iCs w:val="1"/>
          <w:color w:val="auto"/>
        </w:rPr>
        <w:t>Duty of Loyalty</w:t>
      </w:r>
      <w:r>
        <w:rPr>
          <w:rFonts w:ascii="Times New Roman" w:cs="Times New Roman" w:eastAsia="Times New Roman" w:hAnsi="Times New Roman"/>
          <w:sz w:val="16"/>
          <w:szCs w:val="16"/>
          <w:color w:val="auto"/>
        </w:rPr>
        <w:t>” to the Employer, which includes, but is not limited to, you not competing in any manner,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directly</w:t>
      </w:r>
    </w:p>
    <w:p>
      <w:pPr>
        <w:spacing w:after="0" w:line="27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6</w:t>
      </w:r>
    </w:p>
    <w:p>
      <w:pPr>
        <w:sectPr>
          <w:pgSz w:w="11900" w:h="16838" w:orient="portrait"/>
          <w:cols w:equalWidth="0" w:num="1">
            <w:col w:w="11460"/>
          </w:cols>
          <w:pgMar w:left="220" w:top="507" w:right="219" w:bottom="1440" w:gutter="0" w:footer="0" w:header="0"/>
        </w:sectPr>
      </w:pPr>
    </w:p>
    <w:bookmarkStart w:id="81" w:name="page82"/>
    <w:bookmarkEnd w:id="81"/>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or indirectly, as a principal, employee, agent, owner, or otherwise, with any entity in the Activision Blizzard Group;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17" w:lineRule="exact"/>
        <w:rPr>
          <w:sz w:val="20"/>
          <w:szCs w:val="20"/>
          <w:color w:val="auto"/>
        </w:rPr>
      </w:pPr>
    </w:p>
    <w:p>
      <w:pPr>
        <w:jc w:val="both"/>
        <w:ind w:firstLine="494"/>
        <w:spacing w:after="0" w:line="259" w:lineRule="auto"/>
        <w:tabs>
          <w:tab w:leader="none" w:pos="84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Property of the Activision Blizzard Group. </w:t>
      </w:r>
      <w:r>
        <w:rPr>
          <w:rFonts w:ascii="Times New Roman" w:cs="Times New Roman" w:eastAsia="Times New Roman" w:hAnsi="Times New Roman"/>
          <w:sz w:val="16"/>
          <w:szCs w:val="16"/>
          <w:color w:val="auto"/>
        </w:rPr>
        <w:t>All rights worldwide with respect to any and all intellectual or other property of any nature produced, created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27" w:lineRule="exact"/>
        <w:rPr>
          <w:rFonts w:ascii="Times New Roman" w:cs="Times New Roman" w:eastAsia="Times New Roman" w:hAnsi="Times New Roman"/>
          <w:sz w:val="16"/>
          <w:szCs w:val="16"/>
          <w:color w:val="auto"/>
        </w:rPr>
      </w:pPr>
    </w:p>
    <w:p>
      <w:pPr>
        <w:jc w:val="both"/>
        <w:ind w:firstLine="494"/>
        <w:spacing w:after="0" w:line="282" w:lineRule="auto"/>
        <w:tabs>
          <w:tab w:leader="none" w:pos="82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Covenant Not to Shop. </w:t>
      </w:r>
      <w:r>
        <w:rPr>
          <w:rFonts w:ascii="Times New Roman" w:cs="Times New Roman" w:eastAsia="Times New Roman" w:hAnsi="Times New Roman"/>
          <w:sz w:val="16"/>
          <w:szCs w:val="16"/>
          <w:color w:val="auto"/>
        </w:rPr>
        <w:t>Other than during the final six (6) months of the Term, you shall not negotiate for employment with any entity or person outside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Activision Blizzard Group. During the search process and thereafter you shall remain strictly subject to your continuing obligations under this Agreement, including, without limitation, your Duty of Loyalty, compliance with the Activision Blizzard Group’s policies and your confidentiality obligations.</w:t>
      </w:r>
    </w:p>
    <w:p>
      <w:pPr>
        <w:spacing w:after="0" w:line="108" w:lineRule="exact"/>
        <w:rPr>
          <w:rFonts w:ascii="Times New Roman" w:cs="Times New Roman" w:eastAsia="Times New Roman" w:hAnsi="Times New Roman"/>
          <w:sz w:val="16"/>
          <w:szCs w:val="16"/>
          <w:color w:val="auto"/>
        </w:rPr>
      </w:pPr>
    </w:p>
    <w:p>
      <w:pPr>
        <w:jc w:val="both"/>
        <w:ind w:firstLine="494"/>
        <w:spacing w:after="0" w:line="260" w:lineRule="auto"/>
        <w:tabs>
          <w:tab w:leader="none" w:pos="85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Confidentiality. </w:t>
      </w:r>
      <w:r>
        <w:rPr>
          <w:rFonts w:ascii="Times New Roman" w:cs="Times New Roman" w:eastAsia="Times New Roman" w:hAnsi="Times New Roman"/>
          <w:sz w:val="16"/>
          <w:szCs w:val="16"/>
          <w:color w:val="auto"/>
        </w:rPr>
        <w:t>You acknowledge, and the Employer agrees, that during your employment you will have access to and become informed of confidential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information concerning the Activision Blizzard Group. During your employment and at all times following the termination of your employment, confidential or proprietary information of any entity in the Activision Blizzard Group shall not be used by you or disclosed or made available by you to any person except as required in the course of your employment with the Activision Blizzard Group or as otherwise provided for in the Employee Confidential Information Agreement attached as Exhibit A hereto (the “</w:t>
      </w:r>
      <w:r>
        <w:rPr>
          <w:rFonts w:ascii="Times New Roman" w:cs="Times New Roman" w:eastAsia="Times New Roman" w:hAnsi="Times New Roman"/>
          <w:sz w:val="16"/>
          <w:szCs w:val="16"/>
          <w:b w:val="1"/>
          <w:bCs w:val="1"/>
          <w:i w:val="1"/>
          <w:iCs w:val="1"/>
          <w:color w:val="auto"/>
        </w:rPr>
        <w:t>Confidential Information Agreement</w:t>
      </w:r>
      <w:r>
        <w:rPr>
          <w:rFonts w:ascii="Times New Roman" w:cs="Times New Roman" w:eastAsia="Times New Roman" w:hAnsi="Times New Roman"/>
          <w:sz w:val="16"/>
          <w:szCs w:val="16"/>
          <w:color w:val="auto"/>
        </w:rPr>
        <w:t>”). Upon the termination of your employment (or at any time on the Employer’s request), you shall return to the Activision Blizzard Group all such information that exists, whether in electronic, written, or other form (and all copies or extracts thereof) under your control and shall not retain such information in any form, including without limitation on any devices, disks or other media.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3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Page 7</w:t>
      </w:r>
    </w:p>
    <w:p>
      <w:pPr>
        <w:sectPr>
          <w:pgSz w:w="11900" w:h="16838" w:orient="portrait"/>
          <w:cols w:equalWidth="0" w:num="1">
            <w:col w:w="11400"/>
          </w:cols>
          <w:pgMar w:left="280" w:top="671" w:right="219" w:bottom="1440" w:gutter="0" w:footer="0" w:header="0"/>
        </w:sectPr>
      </w:pPr>
    </w:p>
    <w:bookmarkStart w:id="82" w:name="page83"/>
    <w:bookmarkEnd w:id="82"/>
    <w:p>
      <w:pPr>
        <w:jc w:val="both"/>
        <w:ind w:left="-494" w:firstLine="494"/>
        <w:spacing w:after="0" w:line="260" w:lineRule="auto"/>
        <w:tabs>
          <w:tab w:leader="none" w:pos="33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Return of Property and Resignation from Office. </w:t>
      </w:r>
      <w:r>
        <w:rPr>
          <w:rFonts w:ascii="Times New Roman" w:cs="Times New Roman" w:eastAsia="Times New Roman" w:hAnsi="Times New Roman"/>
          <w:sz w:val="16"/>
          <w:szCs w:val="16"/>
          <w:color w:val="auto"/>
        </w:rPr>
        <w:t>You acknowledge that, upon termination of your employment for any reason whatsoever (or at any time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entity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and you irrevocably appoint any person designated as the Activision Blizzard Group’s representative at that time as your delegate to effect such resignation.</w:t>
      </w:r>
    </w:p>
    <w:p>
      <w:pPr>
        <w:spacing w:after="0" w:line="128" w:lineRule="exact"/>
        <w:rPr>
          <w:rFonts w:ascii="Times New Roman" w:cs="Times New Roman" w:eastAsia="Times New Roman" w:hAnsi="Times New Roman"/>
          <w:sz w:val="16"/>
          <w:szCs w:val="16"/>
          <w:color w:val="auto"/>
        </w:rPr>
      </w:pPr>
    </w:p>
    <w:p>
      <w:pPr>
        <w:ind w:left="306" w:hanging="306"/>
        <w:spacing w:after="0"/>
        <w:tabs>
          <w:tab w:leader="none" w:pos="30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Covenant Not to Solicit</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color w:val="auto"/>
        </w:rPr>
      </w:pPr>
    </w:p>
    <w:p>
      <w:pPr>
        <w:jc w:val="both"/>
        <w:ind w:left="926" w:hanging="496"/>
        <w:spacing w:after="0" w:line="259" w:lineRule="auto"/>
        <w:tabs>
          <w:tab w:leader="none" w:pos="92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the Activision Blizzard Group,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 or (b)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33" w:lineRule="exact"/>
        <w:rPr>
          <w:rFonts w:ascii="Times New Roman" w:cs="Times New Roman" w:eastAsia="Times New Roman" w:hAnsi="Times New Roman"/>
          <w:sz w:val="16"/>
          <w:szCs w:val="16"/>
          <w:color w:val="auto"/>
        </w:rPr>
      </w:pPr>
    </w:p>
    <w:p>
      <w:pPr>
        <w:jc w:val="both"/>
        <w:ind w:left="926" w:hanging="496"/>
        <w:spacing w:after="0" w:line="261" w:lineRule="auto"/>
        <w:tabs>
          <w:tab w:leader="none" w:pos="926"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person employed or otherwise engaged by any entity in the Activision Blizzard Group (or any person who was employed or otherwise engaged by the Activision Blizzard Group during your final ninety (90) days of employment), whether or not such person would commit any breach of a contract by reason of his or her leaving the service of the Activision Blizzard Group.</w:t>
      </w:r>
    </w:p>
    <w:p>
      <w:pPr>
        <w:spacing w:after="0" w:line="311"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8</w:t>
      </w:r>
    </w:p>
    <w:p>
      <w:pPr>
        <w:sectPr>
          <w:pgSz w:w="11900" w:h="16838" w:orient="portrait"/>
          <w:cols w:equalWidth="0" w:num="1">
            <w:col w:w="10906"/>
          </w:cols>
          <w:pgMar w:left="774" w:top="503" w:right="219" w:bottom="1440" w:gutter="0" w:footer="0" w:header="0"/>
        </w:sectPr>
      </w:pPr>
    </w:p>
    <w:bookmarkStart w:id="83" w:name="page84"/>
    <w:bookmarkEnd w:id="83"/>
    <w:p>
      <w:pPr>
        <w:jc w:val="both"/>
        <w:ind w:left="1478" w:hanging="496"/>
        <w:spacing w:after="0" w:line="266" w:lineRule="auto"/>
        <w:tabs>
          <w:tab w:leader="none" w:pos="1478"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your employment and at all times following the termination of your employment for any reason whatsoever, you shall not, at any time or for any reason, use the confidential, trade secret information of the Activision Blizzard Group or any other unlawful means to directly or indirectly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25" w:lineRule="exact"/>
        <w:rPr>
          <w:rFonts w:ascii="Times New Roman" w:cs="Times New Roman" w:eastAsia="Times New Roman" w:hAnsi="Times New Roman"/>
          <w:sz w:val="16"/>
          <w:szCs w:val="16"/>
          <w:color w:val="auto"/>
        </w:rPr>
      </w:pPr>
    </w:p>
    <w:p>
      <w:pPr>
        <w:jc w:val="both"/>
        <w:ind w:left="1478" w:hanging="496"/>
        <w:spacing w:after="0" w:line="266" w:lineRule="auto"/>
        <w:tabs>
          <w:tab w:leader="none" w:pos="1478"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expressly acknowledge and agree that the restrictions contained in this Section 8(f) are reasonably tailored to protect the Activision Blizzard Group’s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w:t>
      </w:r>
    </w:p>
    <w:p>
      <w:pPr>
        <w:spacing w:after="0" w:line="121" w:lineRule="exact"/>
        <w:rPr>
          <w:rFonts w:ascii="Times New Roman" w:cs="Times New Roman" w:eastAsia="Times New Roman" w:hAnsi="Times New Roman"/>
          <w:sz w:val="16"/>
          <w:szCs w:val="16"/>
          <w:color w:val="auto"/>
        </w:rPr>
      </w:pPr>
    </w:p>
    <w:p>
      <w:pPr>
        <w:ind w:left="258" w:hanging="258"/>
        <w:spacing w:after="0"/>
        <w:tabs>
          <w:tab w:leader="none" w:pos="258"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 of Employment</w:t>
      </w:r>
    </w:p>
    <w:p>
      <w:pPr>
        <w:spacing w:after="0" w:line="184" w:lineRule="exact"/>
        <w:rPr>
          <w:rFonts w:ascii="Times New Roman" w:cs="Times New Roman" w:eastAsia="Times New Roman" w:hAnsi="Times New Roman"/>
          <w:sz w:val="16"/>
          <w:szCs w:val="16"/>
          <w:b w:val="1"/>
          <w:bCs w:val="1"/>
          <w:color w:val="auto"/>
        </w:rPr>
      </w:pPr>
    </w:p>
    <w:p>
      <w:pPr>
        <w:ind w:left="878" w:hanging="326"/>
        <w:spacing w:after="0"/>
        <w:tabs>
          <w:tab w:leader="none" w:pos="878"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By the Employer for Cause.</w:t>
      </w:r>
    </w:p>
    <w:p>
      <w:pPr>
        <w:spacing w:after="0" w:line="184" w:lineRule="exact"/>
        <w:rPr>
          <w:rFonts w:ascii="Times New Roman" w:cs="Times New Roman" w:eastAsia="Times New Roman" w:hAnsi="Times New Roman"/>
          <w:sz w:val="16"/>
          <w:szCs w:val="16"/>
          <w:color w:val="auto"/>
        </w:rPr>
      </w:pPr>
    </w:p>
    <w:p>
      <w:pPr>
        <w:jc w:val="both"/>
        <w:ind w:left="1478" w:hanging="496"/>
        <w:spacing w:after="0" w:line="259" w:lineRule="auto"/>
        <w:tabs>
          <w:tab w:leader="none" w:pos="1478"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during the Term, the Employer may terminate your employment for “</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which shall mean a reasonable and good-faith determination by the Employer that you (i) engaged in gross negligence in the performance of your duties or willfully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 Blizzard Group or any laws, rules or regulations applicable to your employment with the Activision Blizzard Group; (iv) materially breached this Agreement; (v) materially breached any proprietary information or confidentiality agreement with any entity in the Activision Blizzard Group; (vi) were convicted of, or pled guilty or no contest to, a felony or crime involving dishonesty or moral turpitude; or (vii) materially breached your fiduciary duties to the Activision Blizzard Group.</w:t>
      </w:r>
    </w:p>
    <w:p>
      <w:pPr>
        <w:spacing w:after="0" w:line="133" w:lineRule="exact"/>
        <w:rPr>
          <w:rFonts w:ascii="Times New Roman" w:cs="Times New Roman" w:eastAsia="Times New Roman" w:hAnsi="Times New Roman"/>
          <w:sz w:val="16"/>
          <w:szCs w:val="16"/>
          <w:color w:val="auto"/>
        </w:rPr>
      </w:pPr>
    </w:p>
    <w:p>
      <w:pPr>
        <w:jc w:val="both"/>
        <w:ind w:left="1478" w:hanging="496"/>
        <w:spacing w:after="0" w:line="260" w:lineRule="auto"/>
        <w:tabs>
          <w:tab w:leader="none" w:pos="1478"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termination for Cause that is curable without any residual damage (financial or otherwise) to the Employer or any entity in the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w:t>
      </w:r>
    </w:p>
    <w:p>
      <w:pPr>
        <w:spacing w:after="0" w:line="200" w:lineRule="exact"/>
        <w:rPr>
          <w:sz w:val="20"/>
          <w:szCs w:val="20"/>
          <w:color w:val="auto"/>
        </w:rPr>
      </w:pPr>
    </w:p>
    <w:p>
      <w:pPr>
        <w:spacing w:after="0" w:line="310"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9</w:t>
      </w:r>
    </w:p>
    <w:p>
      <w:pPr>
        <w:sectPr>
          <w:pgSz w:w="11900" w:h="16838" w:orient="portrait"/>
          <w:cols w:equalWidth="0" w:num="1">
            <w:col w:w="11458"/>
          </w:cols>
          <w:pgMar w:left="222" w:top="508" w:right="219" w:bottom="1440" w:gutter="0" w:footer="0" w:header="0"/>
        </w:sectPr>
      </w:pPr>
    </w:p>
    <w:bookmarkStart w:id="84" w:name="page85"/>
    <w:bookmarkEnd w:id="84"/>
    <w:p>
      <w:pPr>
        <w:jc w:val="both"/>
        <w:ind w:left="926"/>
        <w:spacing w:after="0" w:line="272" w:lineRule="auto"/>
        <w:rPr>
          <w:sz w:val="20"/>
          <w:szCs w:val="20"/>
          <w:color w:val="auto"/>
        </w:rPr>
      </w:pPr>
      <w:r>
        <w:rPr>
          <w:rFonts w:ascii="Times New Roman" w:cs="Times New Roman" w:eastAsia="Times New Roman" w:hAnsi="Times New Roman"/>
          <w:sz w:val="16"/>
          <w:szCs w:val="16"/>
          <w:color w:val="auto"/>
        </w:rPr>
        <w:t>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21" w:lineRule="exact"/>
        <w:rPr>
          <w:sz w:val="20"/>
          <w:szCs w:val="20"/>
          <w:color w:val="auto"/>
        </w:rPr>
      </w:pPr>
    </w:p>
    <w:p>
      <w:pPr>
        <w:jc w:val="both"/>
        <w:ind w:left="926" w:hanging="496"/>
        <w:spacing w:after="0" w:line="272" w:lineRule="auto"/>
        <w:tabs>
          <w:tab w:leader="none" w:pos="926"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employment terminates for any reason other than a termination by the Employer for Cause, at a time when the Employer had Cause to terminate you (or would have had Cause if it then knew all relevant facts) under clauses (i), (ii), (v), (vi) or (vii) of the definition of Cause, your termination shall be treated as a termination by the Employer for Cause.</w:t>
      </w:r>
    </w:p>
    <w:p>
      <w:pPr>
        <w:spacing w:after="0" w:line="117" w:lineRule="exact"/>
        <w:rPr>
          <w:rFonts w:ascii="Times New Roman" w:cs="Times New Roman" w:eastAsia="Times New Roman" w:hAnsi="Times New Roman"/>
          <w:sz w:val="16"/>
          <w:szCs w:val="16"/>
          <w:color w:val="auto"/>
        </w:rPr>
      </w:pPr>
    </w:p>
    <w:p>
      <w:pPr>
        <w:jc w:val="both"/>
        <w:ind w:left="-494" w:firstLine="494"/>
        <w:spacing w:after="0" w:line="282" w:lineRule="auto"/>
        <w:tabs>
          <w:tab w:leader="none" w:pos="32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the Employer Without Cause. </w:t>
      </w:r>
      <w:r>
        <w:rPr>
          <w:rFonts w:ascii="Times New Roman" w:cs="Times New Roman" w:eastAsia="Times New Roman" w:hAnsi="Times New Roman"/>
          <w:sz w:val="16"/>
          <w:szCs w:val="16"/>
          <w:color w:val="auto"/>
        </w:rPr>
        <w:t>The Employer may terminate your employment without Cause at any time during the Term and such termination shall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deemed a breach by the Employer of any term of this Agreement or any other duty or obligation, expressed or implied, which the Employer may owe to you pursuant to any principle or provision of law.</w:t>
      </w:r>
    </w:p>
    <w:p>
      <w:pPr>
        <w:spacing w:after="0" w:line="108" w:lineRule="exact"/>
        <w:rPr>
          <w:rFonts w:ascii="Times New Roman" w:cs="Times New Roman" w:eastAsia="Times New Roman" w:hAnsi="Times New Roman"/>
          <w:sz w:val="16"/>
          <w:szCs w:val="16"/>
          <w:color w:val="auto"/>
        </w:rPr>
      </w:pPr>
    </w:p>
    <w:p>
      <w:pPr>
        <w:jc w:val="both"/>
        <w:ind w:left="-494" w:firstLine="494"/>
        <w:spacing w:after="0" w:line="263" w:lineRule="auto"/>
        <w:tabs>
          <w:tab w:leader="none" w:pos="37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You If Your Principal Place of Business Is Relocated Without Your Consent. </w:t>
      </w:r>
      <w:r>
        <w:rPr>
          <w:rFonts w:ascii="Times New Roman" w:cs="Times New Roman" w:eastAsia="Times New Roman" w:hAnsi="Times New Roman"/>
          <w:sz w:val="16"/>
          <w:szCs w:val="16"/>
          <w:color w:val="auto"/>
        </w:rPr>
        <w:t>At any time during the Term, you may terminate your employment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without your written agreement or other voluntary action on your part, the Employer reassigns your principal place of business to a location that is more than fifty (50) miles from your principal place of business as of the Effective Date and that materially and adversely affects your commute;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Times New Roman" w:cs="Times New Roman" w:eastAsia="Times New Roman" w:hAnsi="Times New Roman"/>
          <w:sz w:val="16"/>
          <w:szCs w:val="16"/>
          <w:b w:val="1"/>
          <w:bCs w:val="1"/>
          <w:i w:val="1"/>
          <w:iCs w:val="1"/>
          <w:color w:val="auto"/>
        </w:rPr>
        <w:t>Cure Period</w:t>
      </w:r>
      <w:r>
        <w:rPr>
          <w:rFonts w:ascii="Times New Roman" w:cs="Times New Roman" w:eastAsia="Times New Roman" w:hAnsi="Times New Roman"/>
          <w:sz w:val="16"/>
          <w:szCs w:val="16"/>
          <w:color w:val="auto"/>
        </w:rPr>
        <w:t>”). You will have five (5) days following the end of the Cure Period to terminate your employment, after which your ability to terminate your employment under this Section 9(c) will no longer exist.</w:t>
      </w:r>
    </w:p>
    <w:p>
      <w:pPr>
        <w:spacing w:after="0" w:line="122" w:lineRule="exact"/>
        <w:rPr>
          <w:rFonts w:ascii="Times New Roman" w:cs="Times New Roman" w:eastAsia="Times New Roman" w:hAnsi="Times New Roman"/>
          <w:sz w:val="16"/>
          <w:szCs w:val="16"/>
          <w:color w:val="auto"/>
        </w:rPr>
      </w:pPr>
    </w:p>
    <w:p>
      <w:pPr>
        <w:ind w:left="326" w:hanging="326"/>
        <w:spacing w:after="0"/>
        <w:tabs>
          <w:tab w:leader="none" w:pos="32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Death. </w:t>
      </w:r>
      <w:r>
        <w:rPr>
          <w:rFonts w:ascii="Times New Roman" w:cs="Times New Roman" w:eastAsia="Times New Roman" w:hAnsi="Times New Roman"/>
          <w:sz w:val="16"/>
          <w:szCs w:val="16"/>
          <w:color w:val="auto"/>
        </w:rPr>
        <w:t>In the event of your death during the Term, your employment shall terminate immediately as of the date of your death.</w:t>
      </w:r>
    </w:p>
    <w:p>
      <w:pPr>
        <w:spacing w:after="0" w:line="184" w:lineRule="exact"/>
        <w:rPr>
          <w:rFonts w:ascii="Times New Roman" w:cs="Times New Roman" w:eastAsia="Times New Roman" w:hAnsi="Times New Roman"/>
          <w:sz w:val="16"/>
          <w:szCs w:val="16"/>
          <w:color w:val="auto"/>
        </w:rPr>
      </w:pPr>
    </w:p>
    <w:p>
      <w:pPr>
        <w:jc w:val="both"/>
        <w:ind w:left="-494" w:firstLine="494"/>
        <w:spacing w:after="0" w:line="261" w:lineRule="auto"/>
        <w:tabs>
          <w:tab w:leader="none" w:pos="38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Disability. </w:t>
      </w:r>
      <w:r>
        <w:rPr>
          <w:rFonts w:ascii="Times New Roman" w:cs="Times New Roman" w:eastAsia="Times New Roman" w:hAnsi="Times New Roman"/>
          <w:sz w:val="16"/>
          <w:szCs w:val="16"/>
          <w:color w:val="auto"/>
        </w:rPr>
        <w:t>In the event that you are or become “</w:t>
      </w:r>
      <w:r>
        <w:rPr>
          <w:rFonts w:ascii="Times New Roman" w:cs="Times New Roman" w:eastAsia="Times New Roman" w:hAnsi="Times New Roman"/>
          <w:sz w:val="16"/>
          <w:szCs w:val="16"/>
          <w:b w:val="1"/>
          <w:bCs w:val="1"/>
          <w:i w:val="1"/>
          <w:iCs w:val="1"/>
          <w:color w:val="auto"/>
        </w:rPr>
        <w:t>disabled</w:t>
      </w:r>
      <w:r>
        <w:rPr>
          <w:rFonts w:ascii="Times New Roman" w:cs="Times New Roman" w:eastAsia="Times New Roman" w:hAnsi="Times New Roman"/>
          <w:sz w:val="16"/>
          <w:szCs w:val="16"/>
          <w:color w:val="auto"/>
        </w:rPr>
        <w:t>,” the Employer shall, to the extent permitted by applicable law, have the right to terminate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For purposes of this Agreement, “disabled” shall mean that either (i) you are receiving benefits under any long-term disability plan of the Employer then in effect, or (ii) if there is no such long-term disability plan of the Employer then in effect, you have a long-term and continuous physical or mental impairment that renders you unable to perform the duties required of you under this Agreement, even with the Employer providing you a reasonable accommodation, as determined by a physician mutually acceptable to you and the Employer.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313"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10</w:t>
      </w:r>
    </w:p>
    <w:p>
      <w:pPr>
        <w:sectPr>
          <w:pgSz w:w="11900" w:h="16838" w:orient="portrait"/>
          <w:cols w:equalWidth="0" w:num="1">
            <w:col w:w="10906"/>
          </w:cols>
          <w:pgMar w:left="774" w:top="508" w:right="219" w:bottom="1440" w:gutter="0" w:footer="0" w:header="0"/>
        </w:sectPr>
      </w:pPr>
    </w:p>
    <w:bookmarkStart w:id="85" w:name="page86"/>
    <w:bookmarkEnd w:id="85"/>
    <w:p>
      <w:pPr>
        <w:ind w:left="340" w:hanging="338"/>
        <w:spacing w:after="0"/>
        <w:tabs>
          <w:tab w:leader="none" w:pos="34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 of Obligations and Severance Payments</w:t>
      </w:r>
    </w:p>
    <w:p>
      <w:pPr>
        <w:spacing w:after="0" w:line="184" w:lineRule="exact"/>
        <w:rPr>
          <w:rFonts w:ascii="Times New Roman" w:cs="Times New Roman" w:eastAsia="Times New Roman" w:hAnsi="Times New Roman"/>
          <w:sz w:val="16"/>
          <w:szCs w:val="16"/>
          <w:b w:val="1"/>
          <w:bCs w:val="1"/>
          <w:color w:val="auto"/>
        </w:rPr>
      </w:pPr>
    </w:p>
    <w:p>
      <w:pPr>
        <w:jc w:val="both"/>
        <w:ind w:firstLine="493"/>
        <w:spacing w:after="0" w:line="264" w:lineRule="auto"/>
        <w:tabs>
          <w:tab w:leader="none" w:pos="90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Upon the termination of your employment pursuant to Section 9, your rights and the Employer’s obligations to you under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immediately terminate except as provided in this Section 10 and Section 11(s), and you (or your heirs or estate, as applicable) shall be entitled to receive any amounts or benefits set forth below (subject in all cases to Sections 10(f),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the purposes of this Agreement, the following terms shall have the following meanings:</w:t>
      </w:r>
    </w:p>
    <w:p>
      <w:pPr>
        <w:spacing w:after="0" w:line="170" w:lineRule="exact"/>
        <w:rPr>
          <w:sz w:val="20"/>
          <w:szCs w:val="20"/>
          <w:color w:val="auto"/>
        </w:rPr>
      </w:pPr>
    </w:p>
    <w:p>
      <w:pPr>
        <w:ind w:firstLine="491"/>
        <w:spacing w:after="0" w:line="29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Basic Severance</w:t>
      </w:r>
      <w:r>
        <w:rPr>
          <w:rFonts w:ascii="Times New Roman" w:cs="Times New Roman" w:eastAsia="Times New Roman" w:hAnsi="Times New Roman"/>
          <w:sz w:val="16"/>
          <w:szCs w:val="16"/>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Bonus Severance</w:t>
      </w:r>
      <w:r>
        <w:rPr>
          <w:rFonts w:ascii="Times New Roman" w:cs="Times New Roman" w:eastAsia="Times New Roman" w:hAnsi="Times New Roman"/>
          <w:sz w:val="16"/>
          <w:szCs w:val="16"/>
          <w:color w:val="auto"/>
        </w:rPr>
        <w:t>” shall mean payment of:</w:t>
      </w:r>
    </w:p>
    <w:p>
      <w:pPr>
        <w:spacing w:after="0" w:line="178" w:lineRule="exact"/>
        <w:rPr>
          <w:sz w:val="20"/>
          <w:szCs w:val="20"/>
          <w:color w:val="auto"/>
        </w:rPr>
      </w:pPr>
    </w:p>
    <w:p>
      <w:pPr>
        <w:jc w:val="both"/>
        <w:ind w:left="1480" w:hanging="496"/>
        <w:spacing w:after="0" w:line="272" w:lineRule="auto"/>
        <w:tabs>
          <w:tab w:leader="none" w:pos="14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Annual Bonus that the Employer determines, in its sole discretion, you would have received in accordance with Section 2(c) for any year that ended prior to the Termination Date had you remained employed through the date such bonus would have been otherwise been paid (in the event that your Termination Date occurs before such bonus would have been paid); and</w:t>
      </w:r>
    </w:p>
    <w:p>
      <w:pPr>
        <w:spacing w:after="0" w:line="121" w:lineRule="exact"/>
        <w:rPr>
          <w:rFonts w:ascii="Times New Roman" w:cs="Times New Roman" w:eastAsia="Times New Roman" w:hAnsi="Times New Roman"/>
          <w:sz w:val="16"/>
          <w:szCs w:val="16"/>
          <w:color w:val="auto"/>
        </w:rPr>
      </w:pPr>
    </w:p>
    <w:p>
      <w:pPr>
        <w:jc w:val="both"/>
        <w:ind w:left="1480" w:hanging="496"/>
        <w:spacing w:after="0" w:line="266" w:lineRule="auto"/>
        <w:tabs>
          <w:tab w:leader="none" w:pos="14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Annual Bonus that the Employer determines, in its sole discretion, you would have received in accordance with Section 2(c) for the year in which your Termination Date occurs had you had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Termination Date</w:t>
      </w:r>
      <w:r>
        <w:rPr>
          <w:rFonts w:ascii="Times New Roman" w:cs="Times New Roman" w:eastAsia="Times New Roman" w:hAnsi="Times New Roman"/>
          <w:sz w:val="16"/>
          <w:szCs w:val="16"/>
          <w:color w:val="auto"/>
        </w:rPr>
        <w:t>” shall mean the effective date of your termination of employment pursuant to Sections 9(a)-(e).</w:t>
      </w:r>
    </w:p>
    <w:p>
      <w:pPr>
        <w:spacing w:after="0" w:line="174" w:lineRule="exact"/>
        <w:rPr>
          <w:sz w:val="20"/>
          <w:szCs w:val="20"/>
          <w:color w:val="auto"/>
        </w:rPr>
      </w:pPr>
    </w:p>
    <w:p>
      <w:pPr>
        <w:ind w:left="820" w:hanging="327"/>
        <w:spacing w:after="0"/>
        <w:tabs>
          <w:tab w:leader="none" w:pos="8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Death. </w:t>
      </w:r>
      <w:r>
        <w:rPr>
          <w:rFonts w:ascii="Times New Roman" w:cs="Times New Roman" w:eastAsia="Times New Roman" w:hAnsi="Times New Roman"/>
          <w:sz w:val="16"/>
          <w:szCs w:val="16"/>
          <w:color w:val="auto"/>
        </w:rPr>
        <w:t>In the event your employment is terminated under Section 9(d):</w:t>
      </w:r>
    </w:p>
    <w:p>
      <w:pPr>
        <w:spacing w:after="0" w:line="188" w:lineRule="exact"/>
        <w:rPr>
          <w:rFonts w:ascii="Times New Roman" w:cs="Times New Roman" w:eastAsia="Times New Roman" w:hAnsi="Times New Roman"/>
          <w:sz w:val="16"/>
          <w:szCs w:val="16"/>
          <w:color w:val="auto"/>
        </w:rPr>
      </w:pPr>
    </w:p>
    <w:p>
      <w:pPr>
        <w:jc w:val="both"/>
        <w:ind w:left="1480" w:hanging="496"/>
        <w:spacing w:after="0" w:line="272" w:lineRule="auto"/>
        <w:tabs>
          <w:tab w:leader="none" w:pos="148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30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11</w:t>
      </w:r>
    </w:p>
    <w:p>
      <w:pPr>
        <w:sectPr>
          <w:pgSz w:w="11900" w:h="16838" w:orient="portrait"/>
          <w:cols w:equalWidth="0" w:num="1">
            <w:col w:w="11460"/>
          </w:cols>
          <w:pgMar w:left="220" w:top="504" w:right="219" w:bottom="1440" w:gutter="0" w:footer="0" w:header="0"/>
        </w:sectPr>
      </w:pPr>
    </w:p>
    <w:bookmarkStart w:id="86" w:name="page87"/>
    <w:bookmarkEnd w:id="86"/>
    <w:p>
      <w:pPr>
        <w:jc w:val="both"/>
        <w:ind w:left="987" w:hanging="496"/>
        <w:spacing w:after="0" w:line="266" w:lineRule="auto"/>
        <w:tabs>
          <w:tab w:leader="none" w:pos="98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Lump Sum Payment of Two Times Base Salary</w:t>
      </w:r>
      <w:r>
        <w:rPr>
          <w:rFonts w:ascii="Times New Roman" w:cs="Times New Roman" w:eastAsia="Times New Roman" w:hAnsi="Times New Roman"/>
          <w:sz w:val="16"/>
          <w:szCs w:val="16"/>
          <w:color w:val="auto"/>
        </w:rPr>
        <w:t>. Your heirs or estate, as the case may be, shall receive payment of an amount equal to two (2) times the Base Salary (at the rate in effect as of the Termination Date) in a lump sum within thirty (30) days following the Termination Date; provided, however, that this amount shall be reduced by any payments to which you become entitled upon death under any Employer-sponsored plan other than the $2,000,000 life insurance policy;</w:t>
      </w:r>
    </w:p>
    <w:p>
      <w:pPr>
        <w:spacing w:after="0" w:line="118" w:lineRule="exact"/>
        <w:rPr>
          <w:rFonts w:ascii="Times New Roman" w:cs="Times New Roman" w:eastAsia="Times New Roman" w:hAnsi="Times New Roman"/>
          <w:sz w:val="16"/>
          <w:szCs w:val="16"/>
          <w:color w:val="auto"/>
        </w:rPr>
      </w:pPr>
    </w:p>
    <w:p>
      <w:pPr>
        <w:ind w:left="987" w:hanging="496"/>
        <w:spacing w:after="0" w:line="233" w:lineRule="auto"/>
        <w:tabs>
          <w:tab w:leader="none" w:pos="98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Your heirs or estate, as the case may be, shall receive payment of the Bonus Severance in a lump sum no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underlying amount relates; and</w:t>
      </w:r>
    </w:p>
    <w:p>
      <w:pPr>
        <w:spacing w:after="0" w:line="145"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 All outstanding equity awards shall cease to vest.</w:t>
      </w:r>
      <w:r>
        <w:rPr>
          <w:rFonts w:ascii="Times New Roman" w:cs="Times New Roman" w:eastAsia="Times New Roman" w:hAnsi="Times New Roman"/>
          <w:sz w:val="16"/>
          <w:szCs w:val="16"/>
          <w:color w:val="auto"/>
        </w:rPr>
        <w:t xml:space="preserve"> All vested performance share units shall be paid in accordance with their terms. Any vested portion of stock options shall remain exercisable until the earlier of (x) one (1) year after </w:t>
      </w:r>
      <w:r>
        <w:rPr>
          <w:rFonts w:ascii="Times New Roman" w:cs="Times New Roman" w:eastAsia="Times New Roman" w:hAnsi="Times New Roman"/>
          <w:sz w:val="16"/>
          <w:szCs w:val="16"/>
          <w:u w:val="single" w:color="auto"/>
          <w:color w:val="auto"/>
        </w:rPr>
        <w:t>the Termination Date</w:t>
      </w:r>
      <w:r>
        <w:rPr>
          <w:rFonts w:ascii="Times New Roman" w:cs="Times New Roman" w:eastAsia="Times New Roman" w:hAnsi="Times New Roman"/>
          <w:sz w:val="16"/>
          <w:szCs w:val="16"/>
          <w:color w:val="auto"/>
        </w:rPr>
        <w:t xml:space="preserve"> or (y) the original expiration date of stock options. Any equity awards that are not vested as of your Termination Date will be cancelled immediately.</w:t>
      </w:r>
    </w:p>
    <w:p>
      <w:pPr>
        <w:spacing w:after="0" w:line="117" w:lineRule="exact"/>
        <w:rPr>
          <w:rFonts w:ascii="Times New Roman" w:cs="Times New Roman" w:eastAsia="Times New Roman" w:hAnsi="Times New Roman"/>
          <w:sz w:val="16"/>
          <w:szCs w:val="16"/>
          <w:color w:val="auto"/>
        </w:rPr>
      </w:pPr>
    </w:p>
    <w:p>
      <w:pPr>
        <w:jc w:val="both"/>
        <w:ind w:left="-493" w:firstLine="493"/>
        <w:spacing w:after="0" w:line="282" w:lineRule="auto"/>
        <w:tabs>
          <w:tab w:leader="none" w:pos="32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by the Employer Without Cause, by You if Your Principal Place of Business Is Relocated Without Your Consent or by the Employer if You Become Disabled. </w:t>
      </w:r>
      <w:r>
        <w:rPr>
          <w:rFonts w:ascii="Times New Roman" w:cs="Times New Roman" w:eastAsia="Times New Roman" w:hAnsi="Times New Roman"/>
          <w:sz w:val="16"/>
          <w:szCs w:val="16"/>
          <w:color w:val="auto"/>
        </w:rPr>
        <w:t>In the event the Employer terminates your employment under Section 9(b), you terminate your employment under Section 9(c) or the Employer terminates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your employment under Section 9(e):</w:t>
      </w:r>
    </w:p>
    <w:p>
      <w:pPr>
        <w:spacing w:after="0" w:line="112"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21" w:lineRule="exact"/>
        <w:rPr>
          <w:rFonts w:ascii="Times New Roman" w:cs="Times New Roman" w:eastAsia="Times New Roman" w:hAnsi="Times New Roman"/>
          <w:sz w:val="16"/>
          <w:szCs w:val="16"/>
          <w:color w:val="auto"/>
        </w:rPr>
      </w:pPr>
    </w:p>
    <w:p>
      <w:pPr>
        <w:jc w:val="both"/>
        <w:ind w:left="987" w:hanging="496"/>
        <w:spacing w:after="0" w:line="247" w:lineRule="auto"/>
        <w:tabs>
          <w:tab w:leader="none" w:pos="987"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Salary Continuation</w:t>
      </w:r>
      <w:r>
        <w:rPr>
          <w:rFonts w:ascii="Times New Roman" w:cs="Times New Roman" w:eastAsia="Times New Roman" w:hAnsi="Times New Roman"/>
          <w:sz w:val="16"/>
          <w:szCs w:val="16"/>
          <w:color w:val="auto"/>
        </w:rPr>
        <w:t xml:space="preserve">. Subject to Section 10(f)(ii), you or your legal representative, as the case may be, shall receive the payment of an amount equal to the Base Salary (at the rate in effect on the Termination Date) that you would have received had you remained employed through the Expiration Date (the </w:t>
      </w:r>
      <w:r>
        <w:rPr>
          <w:rFonts w:ascii="Times New Roman" w:cs="Times New Roman" w:eastAsia="Times New Roman" w:hAnsi="Times New Roman"/>
          <w:sz w:val="16"/>
          <w:szCs w:val="16"/>
          <w:b w:val="1"/>
          <w:bCs w:val="1"/>
          <w:i w:val="1"/>
          <w:iCs w:val="1"/>
          <w:color w:val="auto"/>
        </w:rPr>
        <w:t>“Salary Continuation Period”</w:t>
      </w:r>
      <w:r>
        <w:rPr>
          <w:rFonts w:ascii="Times New Roman" w:cs="Times New Roman" w:eastAsia="Times New Roman" w:hAnsi="Times New Roman"/>
          <w:sz w:val="16"/>
          <w:szCs w:val="16"/>
          <w:color w:val="auto"/>
        </w:rPr>
        <w:t>), which amount shall be paid in equal installments commencing on the first payroll date following the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following the Termination Date in accordance with the Employer’s payroll practices in effect on the Termination Date, provided that the first such payment shall include any installments relating to the 60 day period following the Termination Date; provided, however, that, to the extent doing so will not result in the imposition of additional taxes under Section 409A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of the Internal Revenue Code of 1986, as amended and the rules and regulations promulgated thereunder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this amount shall be reduced by any payments which you have received or to which you become entitled under any Employer-sponsored long-term disability plan;</w:t>
      </w:r>
    </w:p>
    <w:p>
      <w:pPr>
        <w:spacing w:after="0" w:line="144" w:lineRule="exact"/>
        <w:rPr>
          <w:rFonts w:ascii="Times New Roman" w:cs="Times New Roman" w:eastAsia="Times New Roman" w:hAnsi="Times New Roman"/>
          <w:sz w:val="16"/>
          <w:szCs w:val="16"/>
          <w:color w:val="auto"/>
        </w:rPr>
      </w:pPr>
    </w:p>
    <w:p>
      <w:pPr>
        <w:ind w:left="987" w:hanging="496"/>
        <w:spacing w:after="0"/>
        <w:tabs>
          <w:tab w:leader="none" w:pos="987"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xml:space="preserve">. You or your legal representative, as the case may be, shall receive payment of the Bonus Severance in a lump sum no later than the </w:t>
      </w:r>
      <w:r>
        <w:rPr>
          <w:rFonts w:ascii="Times New Roman" w:cs="Times New Roman" w:eastAsia="Times New Roman" w:hAnsi="Times New Roman"/>
          <w:sz w:val="32"/>
          <w:szCs w:val="32"/>
          <w:color w:val="auto"/>
          <w:vertAlign w:val="subscript"/>
        </w:rPr>
        <w:t>15</w:t>
      </w:r>
      <w:r>
        <w:rPr>
          <w:rFonts w:ascii="Times New Roman" w:cs="Times New Roman" w:eastAsia="Times New Roman" w:hAnsi="Times New Roman"/>
          <w:sz w:val="10"/>
          <w:szCs w:val="10"/>
          <w:color w:val="auto"/>
        </w:rPr>
        <w:t>th</w:t>
      </w:r>
    </w:p>
    <w:p>
      <w:pPr>
        <w:spacing w:after="0" w:line="366" w:lineRule="exact"/>
        <w:rPr>
          <w:sz w:val="20"/>
          <w:szCs w:val="20"/>
          <w:color w:val="auto"/>
        </w:rPr>
      </w:pPr>
    </w:p>
    <w:p>
      <w:pPr>
        <w:ind w:left="2567"/>
        <w:spacing w:after="0"/>
        <w:rPr>
          <w:sz w:val="20"/>
          <w:szCs w:val="20"/>
          <w:color w:val="auto"/>
        </w:rPr>
      </w:pPr>
      <w:r>
        <w:rPr>
          <w:rFonts w:ascii="Times New Roman" w:cs="Times New Roman" w:eastAsia="Times New Roman" w:hAnsi="Times New Roman"/>
          <w:sz w:val="14"/>
          <w:szCs w:val="14"/>
          <w:color w:val="auto"/>
        </w:rPr>
        <w:t>Page 12</w:t>
      </w:r>
    </w:p>
    <w:p>
      <w:pPr>
        <w:sectPr>
          <w:pgSz w:w="11900" w:h="16838" w:orient="portrait"/>
          <w:cols w:equalWidth="0" w:num="1">
            <w:col w:w="10967"/>
          </w:cols>
          <w:pgMar w:left="713" w:top="507" w:right="219" w:bottom="1440" w:gutter="0" w:footer="0" w:header="0"/>
        </w:sectPr>
      </w:pPr>
    </w:p>
    <w:bookmarkStart w:id="87" w:name="page88"/>
    <w:bookmarkEnd w:id="87"/>
    <w:p>
      <w:pPr>
        <w:ind w:left="496"/>
        <w:spacing w:after="0"/>
        <w:rPr>
          <w:sz w:val="20"/>
          <w:szCs w:val="20"/>
          <w:color w:val="auto"/>
        </w:rPr>
      </w:pPr>
      <w:r>
        <w:rPr>
          <w:rFonts w:ascii="Times New Roman" w:cs="Times New Roman" w:eastAsia="Times New Roman" w:hAnsi="Times New Roman"/>
          <w:sz w:val="16"/>
          <w:szCs w:val="16"/>
          <w:color w:val="auto"/>
        </w:rPr>
        <w:t>day of the third month of the year following the year to which the underlying amount relates;</w:t>
      </w:r>
    </w:p>
    <w:p>
      <w:pPr>
        <w:spacing w:after="0" w:line="174" w:lineRule="exact"/>
        <w:rPr>
          <w:sz w:val="20"/>
          <w:szCs w:val="20"/>
          <w:color w:val="auto"/>
        </w:rPr>
      </w:pPr>
    </w:p>
    <w:p>
      <w:pPr>
        <w:ind w:left="496" w:hanging="496"/>
        <w:spacing w:after="0"/>
        <w:tabs>
          <w:tab w:leader="none" w:pos="49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Severance</w:t>
      </w:r>
      <w:r>
        <w:rPr>
          <w:rFonts w:ascii="Times New Roman" w:cs="Times New Roman" w:eastAsia="Times New Roman" w:hAnsi="Times New Roman"/>
          <w:sz w:val="16"/>
          <w:szCs w:val="16"/>
          <w:color w:val="auto"/>
        </w:rPr>
        <w:t>.</w:t>
      </w:r>
    </w:p>
    <w:p>
      <w:pPr>
        <w:spacing w:after="0" w:line="173" w:lineRule="exact"/>
        <w:rPr>
          <w:rFonts w:ascii="Times New Roman" w:cs="Times New Roman" w:eastAsia="Times New Roman" w:hAnsi="Times New Roman"/>
          <w:sz w:val="16"/>
          <w:szCs w:val="16"/>
          <w:color w:val="auto"/>
        </w:rPr>
      </w:pPr>
    </w:p>
    <w:p>
      <w:pPr>
        <w:jc w:val="both"/>
        <w:ind w:left="496" w:hanging="6"/>
        <w:spacing w:after="0" w:line="279" w:lineRule="auto"/>
        <w:tabs>
          <w:tab w:leader="none" w:pos="75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$700,000, if and only if, (i) your employment is terminated pursuant to Section 9(b) or 9(c), (ii) your Termination Date is after December 31, 2017, and (iii) the Compensation Committee determines, in its sole discretion, that Activision Blizzard’s [i] 2017 OI is $1 or greater and [ii] 2017 OI is 85% or greater than the 2017 AOP OI Objective;</w:t>
      </w:r>
    </w:p>
    <w:p>
      <w:pPr>
        <w:spacing w:after="0" w:line="115" w:lineRule="exact"/>
        <w:rPr>
          <w:rFonts w:ascii="Times New Roman" w:cs="Times New Roman" w:eastAsia="Times New Roman" w:hAnsi="Times New Roman"/>
          <w:sz w:val="16"/>
          <w:szCs w:val="16"/>
          <w:color w:val="auto"/>
        </w:rPr>
      </w:pPr>
    </w:p>
    <w:p>
      <w:pPr>
        <w:jc w:val="both"/>
        <w:ind w:left="496" w:hanging="6"/>
        <w:spacing w:after="0" w:line="279" w:lineRule="auto"/>
        <w:tabs>
          <w:tab w:leader="none" w:pos="75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$700,000, if an only if, (i) your employment is terminated pursuant to Section 9(b) or 9(c), (ii) your Termination Date is after December 31, 2018, and (iii) the Compensation Committee determines, in its sole discretion, that Activision Blizzard’s [i] 2018 OI is $1 or greater and [ii] 2018 OI is 85% or greater than the 2018 AOP OI Objective;</w:t>
      </w:r>
    </w:p>
    <w:p>
      <w:pPr>
        <w:spacing w:after="0" w:line="115" w:lineRule="exact"/>
        <w:rPr>
          <w:rFonts w:ascii="Times New Roman" w:cs="Times New Roman" w:eastAsia="Times New Roman" w:hAnsi="Times New Roman"/>
          <w:sz w:val="16"/>
          <w:szCs w:val="16"/>
          <w:color w:val="auto"/>
        </w:rPr>
      </w:pPr>
    </w:p>
    <w:p>
      <w:pPr>
        <w:jc w:val="both"/>
        <w:ind w:left="496" w:hanging="6"/>
        <w:spacing w:after="0" w:line="279" w:lineRule="auto"/>
        <w:tabs>
          <w:tab w:leader="none" w:pos="7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$700,000, if an only if, (i) your employment is terminated pursuant to Section 9(b) or 9(c), (ii) your Termination Date is after December 31, 2019, and (iii) the Compensation Committee determines, in its sole discretion, that Activision Blizzard’s [i] 2019 OI is $1 or greater and [ii] 2019 OI is 85% or greater than the 2019 AOP OI Objective; and</w:t>
      </w:r>
    </w:p>
    <w:p>
      <w:pPr>
        <w:spacing w:after="0" w:line="115" w:lineRule="exact"/>
        <w:rPr>
          <w:rFonts w:ascii="Times New Roman" w:cs="Times New Roman" w:eastAsia="Times New Roman" w:hAnsi="Times New Roman"/>
          <w:sz w:val="16"/>
          <w:szCs w:val="16"/>
          <w:color w:val="auto"/>
        </w:rPr>
      </w:pPr>
    </w:p>
    <w:p>
      <w:pPr>
        <w:jc w:val="both"/>
        <w:ind w:left="496" w:hanging="6"/>
        <w:spacing w:after="0" w:line="279" w:lineRule="auto"/>
        <w:tabs>
          <w:tab w:leader="none" w:pos="75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legal representative, as the case may be, shall receive payment of $700,000, if an only if, (i) your employment is terminated pursuant to Section 9(b) or 9(c), (ii) your Termination Date is after December 31, 2020, and (iii) the Compensation Committee determines, in its sole discretion, that Activision Blizzard’s [i] 2020 OI is $1 or greater and [ii] 2020 OI is 85% or greater than the 2020 AOP OI Objective.</w:t>
      </w:r>
    </w:p>
    <w:p>
      <w:pPr>
        <w:spacing w:after="0" w:line="115" w:lineRule="exact"/>
        <w:rPr>
          <w:sz w:val="20"/>
          <w:szCs w:val="20"/>
          <w:color w:val="auto"/>
        </w:rPr>
      </w:pPr>
    </w:p>
    <w:p>
      <w:pPr>
        <w:ind w:left="496" w:right="20"/>
        <w:spacing w:after="0" w:line="261" w:lineRule="auto"/>
        <w:rPr>
          <w:sz w:val="20"/>
          <w:szCs w:val="20"/>
          <w:color w:val="auto"/>
        </w:rPr>
      </w:pPr>
      <w:r>
        <w:rPr>
          <w:rFonts w:ascii="Times New Roman" w:cs="Times New Roman" w:eastAsia="Times New Roman" w:hAnsi="Times New Roman"/>
          <w:sz w:val="16"/>
          <w:szCs w:val="16"/>
          <w:color w:val="auto"/>
        </w:rPr>
        <w:t>The amounts set forth in Sections 10(c)(iv)a. through 10(c)(iv)d. are intended to be cumulative to the extent the applicable conditions are satisfied; provided, however, no payment pursuant to Section 10(c)(iv)a., 10(c)(iv)b., or 10(c)(iv)c. shall be due to you if your Termination Date is on or after March 14, 2020 and no payment pursuant to Section 10(c)(iv)d. shall be due to you if your Termination Date is on or after March 14, 2021. All amounts owed pursuant to this Section 10(c)(iv) will be paid within 30 days after the date the Compensation Committee determines that the applicable OI conditions have been achieved (if any), provided that this is no sooner than the 60th day following the Termination Date, and will be subject to applicable taxes and withholdings.</w:t>
      </w:r>
    </w:p>
    <w:p>
      <w:pPr>
        <w:spacing w:after="0" w:line="129" w:lineRule="exact"/>
        <w:rPr>
          <w:sz w:val="20"/>
          <w:szCs w:val="20"/>
          <w:color w:val="auto"/>
        </w:rPr>
      </w:pPr>
    </w:p>
    <w:p>
      <w:pPr>
        <w:ind w:left="496" w:hanging="496"/>
        <w:spacing w:after="0"/>
        <w:tabs>
          <w:tab w:leader="none" w:pos="496"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w:t>
      </w:r>
    </w:p>
    <w:p>
      <w:pPr>
        <w:spacing w:after="0" w:line="173" w:lineRule="exact"/>
        <w:rPr>
          <w:rFonts w:ascii="Times New Roman" w:cs="Times New Roman" w:eastAsia="Times New Roman" w:hAnsi="Times New Roman"/>
          <w:sz w:val="16"/>
          <w:szCs w:val="16"/>
          <w:color w:val="auto"/>
        </w:rPr>
      </w:pPr>
    </w:p>
    <w:p>
      <w:pPr>
        <w:ind w:left="49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All outstanding equity awards shall cease to vest. All vested performance share units shall be paid in accordance with their terms. Any</w:t>
      </w:r>
    </w:p>
    <w:p>
      <w:pPr>
        <w:spacing w:after="0" w:line="366" w:lineRule="exact"/>
        <w:rPr>
          <w:sz w:val="20"/>
          <w:szCs w:val="20"/>
          <w:color w:val="auto"/>
        </w:rPr>
      </w:pPr>
    </w:p>
    <w:p>
      <w:pPr>
        <w:ind w:left="2076"/>
        <w:spacing w:after="0"/>
        <w:rPr>
          <w:sz w:val="20"/>
          <w:szCs w:val="20"/>
          <w:color w:val="auto"/>
        </w:rPr>
      </w:pPr>
      <w:r>
        <w:rPr>
          <w:rFonts w:ascii="Times New Roman" w:cs="Times New Roman" w:eastAsia="Times New Roman" w:hAnsi="Times New Roman"/>
          <w:sz w:val="14"/>
          <w:szCs w:val="14"/>
          <w:color w:val="auto"/>
        </w:rPr>
        <w:t>Page 13</w:t>
      </w:r>
    </w:p>
    <w:p>
      <w:pPr>
        <w:sectPr>
          <w:pgSz w:w="11900" w:h="16838" w:orient="portrait"/>
          <w:cols w:equalWidth="0" w:num="1">
            <w:col w:w="10476"/>
          </w:cols>
          <w:pgMar w:left="1204" w:top="507" w:right="219" w:bottom="1440" w:gutter="0" w:footer="0" w:header="0"/>
        </w:sectPr>
      </w:pPr>
    </w:p>
    <w:bookmarkStart w:id="88" w:name="page89"/>
    <w:bookmarkEnd w:id="88"/>
    <w:p>
      <w:pPr>
        <w:jc w:val="both"/>
        <w:ind w:left="260"/>
        <w:spacing w:after="0" w:line="272" w:lineRule="auto"/>
        <w:rPr>
          <w:sz w:val="20"/>
          <w:szCs w:val="20"/>
          <w:color w:val="auto"/>
        </w:rPr>
      </w:pPr>
      <w:r>
        <w:rPr>
          <w:rFonts w:ascii="Times New Roman" w:cs="Times New Roman" w:eastAsia="Times New Roman" w:hAnsi="Times New Roman"/>
          <w:sz w:val="16"/>
          <w:szCs w:val="16"/>
          <w:color w:val="auto"/>
        </w:rPr>
        <w:t>vested portion of stock options shall remain exercisable until the earlier of (x) ninety (90) days after the Termination Date (or, in the event of termination by the Employer if you become disabled, then one (1) year) and (y) the original expiration date of stock options. Any equity awards that are not vested as of your Termination Date will be cancelled immediately; and</w:t>
      </w:r>
    </w:p>
    <w:p>
      <w:pPr>
        <w:spacing w:after="0" w:line="121" w:lineRule="exact"/>
        <w:rPr>
          <w:sz w:val="20"/>
          <w:szCs w:val="20"/>
          <w:color w:val="auto"/>
        </w:rPr>
      </w:pPr>
    </w:p>
    <w:p>
      <w:pPr>
        <w:jc w:val="both"/>
        <w:ind w:left="260" w:hanging="6"/>
        <w:spacing w:after="0" w:line="258" w:lineRule="auto"/>
        <w:tabs>
          <w:tab w:leader="none" w:pos="51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Employer terminates your employment under Section 9(b) or you terminate your employment under Section 9(c), all unvested 2016 Performance Share Units will cease to vest and be cancelled immediately. Notwithstanding the foregoing, in the event that (i) your Termination Date occurs after the completion of one or more performance periods (i.e. fiscal years 2017, 2018, 2019 and/or 2020), (ii) your employment is terminated pursuant to Section 9(b) or 9(c)); (iii) the Compensation Committee determines that the applicable performance objective(s) (i.e. 2017 Performance Objective, 2018 Performance Objective, 2019 Performance Objective, and/or 2020 Performance Objective) have been achieved for a performance period completed prior to your Termination Date, and (iv) the applicable tranche (i.e. the First Tranche 2016 Performance Share Units, the Second Tranche 2016 Performance Share Units, the Third Tranche 2016 Performance Share Units, and/or the Fourth Tranche 2016 Performance Share Units) has not vested as of the Termination Date, then an amount to be calculated as provided for below in Paragraph 10(c)(iv)b.[i] shall be paid to you, (the “PSU Termination Consideration”). This amount shall be paid within 30 days after the date the Compensation Committee determines that the applicable performance objective(s) (i.e. 2017 Performance Objective, 2018 Performance Objective, 2019 Performance Objective, and/or 2020 Performance Objective) have been achieved (if any), provided that this is no sooner than the 60th day following the Termination Date, and will be subject to applicable taxes and withholdings.</w:t>
      </w:r>
    </w:p>
    <w:p>
      <w:pPr>
        <w:spacing w:after="0" w:line="132" w:lineRule="exact"/>
        <w:rPr>
          <w:rFonts w:ascii="Times New Roman" w:cs="Times New Roman" w:eastAsia="Times New Roman" w:hAnsi="Times New Roman"/>
          <w:sz w:val="16"/>
          <w:szCs w:val="16"/>
          <w:color w:val="auto"/>
        </w:rPr>
      </w:pPr>
    </w:p>
    <w:p>
      <w:pPr>
        <w:jc w:val="both"/>
        <w:ind w:left="500"/>
        <w:spacing w:after="0" w:line="261" w:lineRule="auto"/>
        <w:tabs>
          <w:tab w:leader="none" w:pos="7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formula for determining the PSU Termination Consideration for each applicable tranche of cancelled 2016 Performance Share Units, if any, (i.e. the First Tranche 2016 Performance Share Units, the Second Tranche 2016 Performance Share Units, the Third Tranche 2016 Performance Share Units and/or the Fourth Tranche 2016 Performance Share Units) is as follows: multiply the Grant Date Price by the product of the number of performance share units for the applicable tranche by the ratio, as determined by the Compensation Committee, in its discretion, of the non-GAAP operating income (the “</w:t>
      </w:r>
      <w:r>
        <w:rPr>
          <w:rFonts w:ascii="Times New Roman" w:cs="Times New Roman" w:eastAsia="Times New Roman" w:hAnsi="Times New Roman"/>
          <w:sz w:val="16"/>
          <w:szCs w:val="16"/>
          <w:i w:val="1"/>
          <w:iCs w:val="1"/>
          <w:color w:val="auto"/>
        </w:rPr>
        <w:t>OI</w:t>
      </w:r>
      <w:r>
        <w:rPr>
          <w:rFonts w:ascii="Times New Roman" w:cs="Times New Roman" w:eastAsia="Times New Roman" w:hAnsi="Times New Roman"/>
          <w:sz w:val="16"/>
          <w:szCs w:val="16"/>
          <w:color w:val="auto"/>
        </w:rPr>
        <w:t>”) for the applicable fiscal year to the AOP OI Objective for the applicable fiscal year (e.g. the performance objective for the applicable fiscal year), up to a maximum of 125%.</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For clarity, the following examples are provided as illustration, but not by way of limitation:</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(x) in the event that your employment terminates on January 1, 2018, pursuant to Section 9(b) or 9(c), the Compensation Committee determines</w:t>
      </w:r>
    </w:p>
    <w:p>
      <w:pPr>
        <w:spacing w:after="0" w:line="19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Page 14</w:t>
      </w:r>
    </w:p>
    <w:p>
      <w:pPr>
        <w:sectPr>
          <w:pgSz w:w="11900" w:h="16838" w:orient="portrait"/>
          <w:cols w:equalWidth="0" w:num="1">
            <w:col w:w="10240"/>
          </w:cols>
          <w:pgMar w:left="1440" w:top="508" w:right="219" w:bottom="1440" w:gutter="0" w:footer="0" w:header="0"/>
        </w:sectPr>
      </w:pPr>
    </w:p>
    <w:bookmarkStart w:id="89" w:name="page90"/>
    <w:bookmarkEnd w:id="89"/>
    <w:p>
      <w:pPr>
        <w:jc w:val="both"/>
        <w:ind w:left="987"/>
        <w:spacing w:after="0" w:line="269" w:lineRule="auto"/>
        <w:rPr>
          <w:sz w:val="20"/>
          <w:szCs w:val="20"/>
          <w:color w:val="auto"/>
        </w:rPr>
      </w:pPr>
      <w:r>
        <w:rPr>
          <w:rFonts w:ascii="Times New Roman" w:cs="Times New Roman" w:eastAsia="Times New Roman" w:hAnsi="Times New Roman"/>
          <w:sz w:val="16"/>
          <w:szCs w:val="16"/>
          <w:color w:val="auto"/>
        </w:rPr>
        <w:t>that 86% of the 2017 Performance Objective is achieved, the number of performance share units granted for the First Tranche 2016 Performance Share Units is 29,375, and the Grant Date Price is $40, then $1,010,500 (less applicable taxes and withholdings) will be paid using the following calculation: $40 x [29,375 x .86] = $1,010,500. You will receive no payment with respect to the cancelled Second, Third, or Fourth Tranche 2016 Performance Share Units.</w:t>
      </w:r>
    </w:p>
    <w:p>
      <w:pPr>
        <w:spacing w:after="0" w:line="353" w:lineRule="exact"/>
        <w:rPr>
          <w:sz w:val="20"/>
          <w:szCs w:val="20"/>
          <w:color w:val="auto"/>
        </w:rPr>
      </w:pPr>
    </w:p>
    <w:p>
      <w:pPr>
        <w:jc w:val="both"/>
        <w:ind w:left="987" w:firstLine="485"/>
        <w:spacing w:after="0" w:line="263" w:lineRule="auto"/>
        <w:tabs>
          <w:tab w:leader="none" w:pos="1713"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your employment terminates on January 1, 2019, pursuant to Section 9(b) or 9(c), the Compensation Committee determines that 80% of the 2017 Performance Objective is achieved, 135% of the 2018 Performance Objective is achieved, the Grant Date Price is $40 and the number of performance share units granted for each of the First Tranche 2016 Performance Share Units and the Second Tranche 2016 Performance Share Units is 29,375, then $1,468,750 (less applicable taxes and withholdings) will be paid using the following calculation: $40 x [29,375 x 1.25] = $1,468,750. You will receive no payment with respect to the cancelled Third or Fourth Tranche 2016 Performance Share Units.</w:t>
      </w:r>
    </w:p>
    <w:p>
      <w:pPr>
        <w:spacing w:after="0" w:line="157" w:lineRule="exact"/>
        <w:rPr>
          <w:rFonts w:ascii="Times New Roman" w:cs="Times New Roman" w:eastAsia="Times New Roman" w:hAnsi="Times New Roman"/>
          <w:sz w:val="16"/>
          <w:szCs w:val="16"/>
          <w:color w:val="auto"/>
        </w:rPr>
      </w:pPr>
    </w:p>
    <w:p>
      <w:pPr>
        <w:jc w:val="both"/>
        <w:ind w:left="987" w:hanging="496"/>
        <w:spacing w:after="0" w:line="244" w:lineRule="auto"/>
        <w:tabs>
          <w:tab w:leader="none" w:pos="987"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Severance Conditioned Upon Release</w:t>
      </w:r>
      <w:r>
        <w:rPr>
          <w:rFonts w:ascii="Times New Roman" w:cs="Times New Roman" w:eastAsia="Times New Roman" w:hAnsi="Times New Roman"/>
          <w:sz w:val="16"/>
          <w:szCs w:val="16"/>
          <w:color w:val="auto"/>
        </w:rPr>
        <w:t>. Payments and benefits described in Sections 10(c)(ii)-10(c)(v)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following the Termination Date, you shall not be entitled to any payments under this Section 10(c) other than the Basic Severance.</w:t>
      </w:r>
    </w:p>
    <w:p>
      <w:pPr>
        <w:spacing w:after="0" w:line="137" w:lineRule="exact"/>
        <w:rPr>
          <w:rFonts w:ascii="Times New Roman" w:cs="Times New Roman" w:eastAsia="Times New Roman" w:hAnsi="Times New Roman"/>
          <w:sz w:val="16"/>
          <w:szCs w:val="16"/>
          <w:color w:val="auto"/>
        </w:rPr>
      </w:pPr>
    </w:p>
    <w:p>
      <w:pPr>
        <w:ind w:left="327" w:hanging="327"/>
        <w:spacing w:after="0"/>
        <w:tabs>
          <w:tab w:leader="none" w:pos="327"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by the Employer For Cause. </w:t>
      </w:r>
      <w:r>
        <w:rPr>
          <w:rFonts w:ascii="Times New Roman" w:cs="Times New Roman" w:eastAsia="Times New Roman" w:hAnsi="Times New Roman"/>
          <w:sz w:val="16"/>
          <w:szCs w:val="16"/>
          <w:color w:val="auto"/>
        </w:rPr>
        <w:t>In the event your employment is terminated by the Employer under Section 9(a), then:</w:t>
      </w:r>
    </w:p>
    <w:p>
      <w:pPr>
        <w:spacing w:after="0" w:line="188" w:lineRule="exact"/>
        <w:rPr>
          <w:rFonts w:ascii="Times New Roman" w:cs="Times New Roman" w:eastAsia="Times New Roman" w:hAnsi="Times New Roman"/>
          <w:sz w:val="16"/>
          <w:szCs w:val="16"/>
          <w:color w:val="auto"/>
        </w:rPr>
      </w:pPr>
    </w:p>
    <w:p>
      <w:pPr>
        <w:jc w:val="both"/>
        <w:ind w:left="987" w:hanging="496"/>
        <w:spacing w:after="0" w:line="272" w:lineRule="auto"/>
        <w:tabs>
          <w:tab w:leader="none" w:pos="987"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21" w:lineRule="exact"/>
        <w:rPr>
          <w:rFonts w:ascii="Times New Roman" w:cs="Times New Roman" w:eastAsia="Times New Roman" w:hAnsi="Times New Roman"/>
          <w:sz w:val="16"/>
          <w:szCs w:val="16"/>
          <w:color w:val="auto"/>
        </w:rPr>
      </w:pPr>
    </w:p>
    <w:p>
      <w:pPr>
        <w:ind w:left="987" w:hanging="496"/>
        <w:spacing w:after="0" w:line="292" w:lineRule="auto"/>
        <w:tabs>
          <w:tab w:leader="none" w:pos="987"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 All outstanding equity awards shall cease to vest and, whether or not vested, shall no longer be exercisable and shall be cancelled immediately.</w:t>
      </w:r>
    </w:p>
    <w:p>
      <w:pPr>
        <w:spacing w:after="0" w:line="100" w:lineRule="exact"/>
        <w:rPr>
          <w:rFonts w:ascii="Times New Roman" w:cs="Times New Roman" w:eastAsia="Times New Roman" w:hAnsi="Times New Roman"/>
          <w:sz w:val="16"/>
          <w:szCs w:val="16"/>
          <w:color w:val="auto"/>
        </w:rPr>
      </w:pPr>
    </w:p>
    <w:p>
      <w:pPr>
        <w:ind w:left="327" w:hanging="327"/>
        <w:spacing w:after="0"/>
        <w:tabs>
          <w:tab w:leader="none" w:pos="327"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Termination on the Expiration Date. </w:t>
      </w:r>
      <w:r>
        <w:rPr>
          <w:rFonts w:ascii="Times New Roman" w:cs="Times New Roman" w:eastAsia="Times New Roman" w:hAnsi="Times New Roman"/>
          <w:sz w:val="16"/>
          <w:szCs w:val="16"/>
          <w:color w:val="auto"/>
        </w:rPr>
        <w:t>In the event your employment terminates on the Expiration Date, then:</w:t>
      </w:r>
    </w:p>
    <w:p>
      <w:pPr>
        <w:spacing w:after="0" w:line="188" w:lineRule="exact"/>
        <w:rPr>
          <w:rFonts w:ascii="Times New Roman" w:cs="Times New Roman" w:eastAsia="Times New Roman" w:hAnsi="Times New Roman"/>
          <w:sz w:val="16"/>
          <w:szCs w:val="16"/>
          <w:color w:val="auto"/>
        </w:rPr>
      </w:pPr>
    </w:p>
    <w:p>
      <w:pPr>
        <w:ind w:left="987" w:hanging="496"/>
        <w:spacing w:after="0" w:line="292" w:lineRule="auto"/>
        <w:tabs>
          <w:tab w:leader="none" w:pos="987"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Basic Severance</w:t>
      </w:r>
      <w:r>
        <w:rPr>
          <w:rFonts w:ascii="Times New Roman" w:cs="Times New Roman" w:eastAsia="Times New Roman" w:hAnsi="Times New Roman"/>
          <w:sz w:val="16"/>
          <w:szCs w:val="16"/>
          <w:color w:val="auto"/>
        </w:rPr>
        <w:t>. You shall receive payment of the Basic Severance in a lump sum within thirty (30) days following the Termination Date unless a different payment date is prescribed by an applicable compensation,</w:t>
      </w:r>
    </w:p>
    <w:p>
      <w:pPr>
        <w:spacing w:after="0" w:line="286" w:lineRule="exact"/>
        <w:rPr>
          <w:sz w:val="20"/>
          <w:szCs w:val="20"/>
          <w:color w:val="auto"/>
        </w:rPr>
      </w:pPr>
    </w:p>
    <w:p>
      <w:pPr>
        <w:ind w:left="2567"/>
        <w:spacing w:after="0"/>
        <w:rPr>
          <w:sz w:val="20"/>
          <w:szCs w:val="20"/>
          <w:color w:val="auto"/>
        </w:rPr>
      </w:pPr>
      <w:r>
        <w:rPr>
          <w:rFonts w:ascii="Times New Roman" w:cs="Times New Roman" w:eastAsia="Times New Roman" w:hAnsi="Times New Roman"/>
          <w:sz w:val="14"/>
          <w:szCs w:val="14"/>
          <w:color w:val="auto"/>
        </w:rPr>
        <w:t>Page 15</w:t>
      </w:r>
    </w:p>
    <w:p>
      <w:pPr>
        <w:sectPr>
          <w:pgSz w:w="11900" w:h="16838" w:orient="portrait"/>
          <w:cols w:equalWidth="0" w:num="1">
            <w:col w:w="10967"/>
          </w:cols>
          <w:pgMar w:left="713" w:top="508" w:right="219" w:bottom="1440" w:gutter="0" w:footer="0" w:header="0"/>
        </w:sectPr>
      </w:pPr>
    </w:p>
    <w:bookmarkStart w:id="90" w:name="page91"/>
    <w:bookmarkEnd w:id="90"/>
    <w:p>
      <w:pPr>
        <w:ind w:left="1478"/>
        <w:spacing w:after="0"/>
        <w:rPr>
          <w:sz w:val="20"/>
          <w:szCs w:val="20"/>
          <w:color w:val="auto"/>
        </w:rPr>
      </w:pPr>
      <w:r>
        <w:rPr>
          <w:rFonts w:ascii="Times New Roman" w:cs="Times New Roman" w:eastAsia="Times New Roman" w:hAnsi="Times New Roman"/>
          <w:sz w:val="16"/>
          <w:szCs w:val="16"/>
          <w:color w:val="auto"/>
        </w:rPr>
        <w:t>incentive or benefit plan, in which case payment shall be made in accordance with such plan;</w:t>
      </w:r>
    </w:p>
    <w:p>
      <w:pPr>
        <w:spacing w:after="0" w:line="167" w:lineRule="exact"/>
        <w:rPr>
          <w:sz w:val="20"/>
          <w:szCs w:val="20"/>
          <w:color w:val="auto"/>
        </w:rPr>
      </w:pPr>
    </w:p>
    <w:p>
      <w:pPr>
        <w:ind w:left="1478" w:hanging="496"/>
        <w:spacing w:after="0" w:line="233" w:lineRule="auto"/>
        <w:tabs>
          <w:tab w:leader="none" w:pos="1478"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 Severance</w:t>
      </w:r>
      <w:r>
        <w:rPr>
          <w:rFonts w:ascii="Times New Roman" w:cs="Times New Roman" w:eastAsia="Times New Roman" w:hAnsi="Times New Roman"/>
          <w:sz w:val="16"/>
          <w:szCs w:val="16"/>
          <w:color w:val="auto"/>
        </w:rPr>
        <w:t>. You shall receive payment of the Bonus Severance in a lump sum no later than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third month of the year following the year to which the underlying amount relates; and</w:t>
      </w:r>
    </w:p>
    <w:p>
      <w:pPr>
        <w:spacing w:after="0" w:line="145" w:lineRule="exact"/>
        <w:rPr>
          <w:rFonts w:ascii="Times New Roman" w:cs="Times New Roman" w:eastAsia="Times New Roman" w:hAnsi="Times New Roman"/>
          <w:sz w:val="16"/>
          <w:szCs w:val="16"/>
          <w:color w:val="auto"/>
        </w:rPr>
      </w:pPr>
    </w:p>
    <w:p>
      <w:pPr>
        <w:jc w:val="both"/>
        <w:ind w:left="1478" w:hanging="496"/>
        <w:spacing w:after="0" w:line="272" w:lineRule="auto"/>
        <w:tabs>
          <w:tab w:leader="none" w:pos="1478"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Impact on Equity Awards</w:t>
      </w:r>
      <w:r>
        <w:rPr>
          <w:rFonts w:ascii="Times New Roman" w:cs="Times New Roman" w:eastAsia="Times New Roman" w:hAnsi="Times New Roman"/>
          <w:sz w:val="16"/>
          <w:szCs w:val="16"/>
          <w:color w:val="auto"/>
        </w:rPr>
        <w:t>. All outstanding equity awards shall cease to vest. All vested performance share units shall be paid in accordance with their terms. Any vested portion of stock options shall remain exercisable until the earlier of (x) ninety (90) days after the Termination Date and (y) the original expiration date of stock options. Any equity awards that are not vested as of the Expiration Date will be cancelled immediately.</w:t>
      </w:r>
    </w:p>
    <w:p>
      <w:pPr>
        <w:spacing w:after="0" w:line="117" w:lineRule="exact"/>
        <w:rPr>
          <w:rFonts w:ascii="Times New Roman" w:cs="Times New Roman" w:eastAsia="Times New Roman" w:hAnsi="Times New Roman"/>
          <w:sz w:val="16"/>
          <w:szCs w:val="16"/>
          <w:color w:val="auto"/>
        </w:rPr>
      </w:pPr>
    </w:p>
    <w:p>
      <w:pPr>
        <w:ind w:left="858" w:hanging="306"/>
        <w:spacing w:after="0"/>
        <w:tabs>
          <w:tab w:leader="none" w:pos="858"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Breach of Post-termination Obligations or Subsequent Employment.</w:t>
      </w:r>
    </w:p>
    <w:p>
      <w:pPr>
        <w:spacing w:after="0" w:line="188" w:lineRule="exact"/>
        <w:rPr>
          <w:rFonts w:ascii="Times New Roman" w:cs="Times New Roman" w:eastAsia="Times New Roman" w:hAnsi="Times New Roman"/>
          <w:sz w:val="16"/>
          <w:szCs w:val="16"/>
          <w:color w:val="auto"/>
        </w:rPr>
      </w:pPr>
    </w:p>
    <w:p>
      <w:pPr>
        <w:jc w:val="both"/>
        <w:ind w:left="1478" w:hanging="496"/>
        <w:spacing w:after="0" w:line="272" w:lineRule="auto"/>
        <w:tabs>
          <w:tab w:leader="none" w:pos="1478" w:val="left"/>
        </w:tabs>
        <w:numPr>
          <w:ilvl w:val="2"/>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Breach of Post-termination Obligations</w:t>
      </w:r>
      <w:r>
        <w:rPr>
          <w:rFonts w:ascii="Times New Roman" w:cs="Times New Roman" w:eastAsia="Times New Roman" w:hAnsi="Times New Roman"/>
          <w:sz w:val="16"/>
          <w:szCs w:val="16"/>
          <w:color w:val="auto"/>
        </w:rPr>
        <w:t>. In the event that you materially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21" w:lineRule="exact"/>
        <w:rPr>
          <w:rFonts w:ascii="Times New Roman" w:cs="Times New Roman" w:eastAsia="Times New Roman" w:hAnsi="Times New Roman"/>
          <w:sz w:val="16"/>
          <w:szCs w:val="16"/>
          <w:color w:val="auto"/>
        </w:rPr>
      </w:pPr>
    </w:p>
    <w:p>
      <w:pPr>
        <w:jc w:val="both"/>
        <w:ind w:left="1478" w:hanging="496"/>
        <w:spacing w:after="0" w:line="257" w:lineRule="auto"/>
        <w:tabs>
          <w:tab w:leader="none" w:pos="1478" w:val="left"/>
        </w:tabs>
        <w:numPr>
          <w:ilvl w:val="2"/>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Employment</w:t>
      </w:r>
      <w:r>
        <w:rPr>
          <w:rFonts w:ascii="Times New Roman" w:cs="Times New Roman" w:eastAsia="Times New Roman" w:hAnsi="Times New Roman"/>
          <w:sz w:val="16"/>
          <w:szCs w:val="16"/>
          <w:color w:val="auto"/>
        </w:rPr>
        <w:t xml:space="preserve">. Notwithstanding anything to the contrary contained herein, if, at any time during the Salary Continuation Period, you obtain subsequent employment and/or provide services of any kind for compensation, whether as principal, owner, partner, agent, shareholder, director, employee, consultant, advisor or otherwise, to any person, company, venture or other person or business entity, you must promptly notify the Employer and payments under Section 10(c)(ii) shall be refunded by you to the Employer (to the extent already paid) and shall be offset (to the extent payable in the future) by the amount of Base Compensation (as defined below) earned by, paid to, or granted to you during or with respect to the Salary Continuation Period. </w:t>
      </w:r>
      <w:r>
        <w:rPr>
          <w:rFonts w:ascii="Times New Roman" w:cs="Times New Roman" w:eastAsia="Times New Roman" w:hAnsi="Times New Roman"/>
          <w:sz w:val="16"/>
          <w:szCs w:val="16"/>
          <w:b w:val="1"/>
          <w:bCs w:val="1"/>
          <w:i w:val="1"/>
          <w:iCs w:val="1"/>
          <w:color w:val="auto"/>
        </w:rPr>
        <w:t>“Base Compensation”</w:t>
      </w:r>
      <w:r>
        <w:rPr>
          <w:rFonts w:ascii="Times New Roman" w:cs="Times New Roman" w:eastAsia="Times New Roman" w:hAnsi="Times New Roman"/>
          <w:sz w:val="16"/>
          <w:szCs w:val="16"/>
          <w:color w:val="auto"/>
        </w:rPr>
        <w:t xml:space="preserve"> shall mean the amount of your base salary or, if applicable, wages you earn (or are paid or granted) during or with respect to any subsequent employment or services arrangement; provided, however, such base salary or wages shall be deemed, in all cases, to equal no less than 35% of the total compensation (including, without limitation, any and all amounts of salary, bonus and all other kinds of cash or in-kind or equity-based compensation) you earn, are paid, or are granted during or with respect to such subsequent employment or services arrangement and which are paid to you, vest or otherwise accrue with respect to services performed by you, during or with respect to the Salary Continuation Period.</w:t>
      </w:r>
    </w:p>
    <w:p>
      <w:pPr>
        <w:spacing w:after="0" w:line="132" w:lineRule="exact"/>
        <w:rPr>
          <w:rFonts w:ascii="Times New Roman" w:cs="Times New Roman" w:eastAsia="Times New Roman" w:hAnsi="Times New Roman"/>
          <w:sz w:val="16"/>
          <w:szCs w:val="16"/>
          <w:color w:val="auto"/>
        </w:rPr>
      </w:pPr>
    </w:p>
    <w:p>
      <w:pPr>
        <w:ind w:left="338" w:hanging="338"/>
        <w:spacing w:after="0"/>
        <w:tabs>
          <w:tab w:leader="none" w:pos="338"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General Provisions</w:t>
      </w:r>
    </w:p>
    <w:p>
      <w:pPr>
        <w:spacing w:after="0" w:line="184" w:lineRule="exact"/>
        <w:rPr>
          <w:rFonts w:ascii="Times New Roman" w:cs="Times New Roman" w:eastAsia="Times New Roman" w:hAnsi="Times New Roman"/>
          <w:sz w:val="16"/>
          <w:szCs w:val="16"/>
          <w:b w:val="1"/>
          <w:bCs w:val="1"/>
          <w:color w:val="auto"/>
        </w:rPr>
      </w:pPr>
    </w:p>
    <w:p>
      <w:pPr>
        <w:ind w:left="58" w:firstLine="494"/>
        <w:spacing w:after="0" w:line="310" w:lineRule="auto"/>
        <w:tabs>
          <w:tab w:leader="none" w:pos="887"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Entire Agreement. </w:t>
      </w:r>
      <w:r>
        <w:rPr>
          <w:rFonts w:ascii="Times New Roman" w:cs="Times New Roman" w:eastAsia="Times New Roman" w:hAnsi="Times New Roman"/>
          <w:sz w:val="16"/>
          <w:szCs w:val="16"/>
          <w:color w:val="auto"/>
        </w:rPr>
        <w:t>This Agreement, together with the Confidential Information Agreement, the Activision Blizzard Group Dispute Resolution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Dispute Resolution Agreement</w:t>
      </w:r>
      <w:r>
        <w:rPr>
          <w:rFonts w:ascii="Times New Roman" w:cs="Times New Roman" w:eastAsia="Times New Roman" w:hAnsi="Times New Roman"/>
          <w:sz w:val="16"/>
          <w:szCs w:val="16"/>
          <w:color w:val="auto"/>
        </w:rPr>
        <w:t>”, as referenced in Section 11(k) below), and the Employer’s Executive</w:t>
      </w:r>
    </w:p>
    <w:p>
      <w:pPr>
        <w:spacing w:after="0" w:line="273" w:lineRule="exact"/>
        <w:rPr>
          <w:sz w:val="20"/>
          <w:szCs w:val="20"/>
          <w:color w:val="auto"/>
        </w:rPr>
      </w:pPr>
    </w:p>
    <w:p>
      <w:pPr>
        <w:ind w:left="3058"/>
        <w:spacing w:after="0"/>
        <w:rPr>
          <w:sz w:val="20"/>
          <w:szCs w:val="20"/>
          <w:color w:val="auto"/>
        </w:rPr>
      </w:pPr>
      <w:r>
        <w:rPr>
          <w:rFonts w:ascii="Times New Roman" w:cs="Times New Roman" w:eastAsia="Times New Roman" w:hAnsi="Times New Roman"/>
          <w:sz w:val="14"/>
          <w:szCs w:val="14"/>
          <w:color w:val="auto"/>
        </w:rPr>
        <w:t>Page 16</w:t>
      </w:r>
    </w:p>
    <w:p>
      <w:pPr>
        <w:sectPr>
          <w:pgSz w:w="11900" w:h="16838" w:orient="portrait"/>
          <w:cols w:equalWidth="0" w:num="1">
            <w:col w:w="11458"/>
          </w:cols>
          <w:pgMar w:left="222" w:top="508" w:right="21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6"/>
          <w:szCs w:val="16"/>
          <w:color w:val="auto"/>
        </w:rPr>
        <w:t>Stock Ownership Guidelines, supersede all prior or contemporaneous agreements and statements, whether written or oral, concerning the terms of your employment with the Activision Blizzard Group, and no amendment or modification of these agreements shall be binding unless it is set forth in a writing signed by both the Employer and you. To the extent that this Agreement conflicts with any of the Employer’s policies, procedures, rules or regulations, this Agreement shall supersede the other policies, procedures, rules or regulations. Without limiting the generality of the foregoing, you acknowledge that this Agreement supersedes your prior written employment agreement with the Activision Blizzard Group (dated August 31, 2009, assigned to Activision Blizzard on January 1, 2012, and amended on July 15, 2013 and July 28, 2015), and such agreement is hereby terminated and of no further force and effect.</w:t>
      </w:r>
    </w:p>
    <w:p>
      <w:pPr>
        <w:spacing w:after="0" w:line="125" w:lineRule="exact"/>
        <w:rPr>
          <w:sz w:val="20"/>
          <w:szCs w:val="20"/>
          <w:color w:val="auto"/>
        </w:rPr>
      </w:pPr>
    </w:p>
    <w:p>
      <w:pPr>
        <w:ind w:firstLine="494"/>
        <w:spacing w:after="0" w:line="310" w:lineRule="auto"/>
        <w:tabs>
          <w:tab w:leader="none" w:pos="87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Use of Employee’s Name and Likeness. </w:t>
      </w:r>
      <w:r>
        <w:rPr>
          <w:rFonts w:ascii="Times New Roman" w:cs="Times New Roman" w:eastAsia="Times New Roman" w:hAnsi="Times New Roman"/>
          <w:sz w:val="16"/>
          <w:szCs w:val="16"/>
          <w:color w:val="auto"/>
        </w:rPr>
        <w:t>You hereby irrevocably grant the Activision Blizzard Group the right, but not the obligation, to use your name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likeness in any product made by the Activision Blizzard Group or for any publicity or advertising purpose in any medium now known or hereafter existing.</w:t>
      </w:r>
    </w:p>
    <w:p>
      <w:pPr>
        <w:spacing w:after="0" w:line="87" w:lineRule="exact"/>
        <w:rPr>
          <w:rFonts w:ascii="Times New Roman" w:cs="Times New Roman" w:eastAsia="Times New Roman" w:hAnsi="Times New Roman"/>
          <w:sz w:val="16"/>
          <w:szCs w:val="16"/>
          <w:color w:val="auto"/>
        </w:rPr>
      </w:pPr>
    </w:p>
    <w:p>
      <w:pPr>
        <w:jc w:val="both"/>
        <w:ind w:firstLine="494"/>
        <w:spacing w:after="0" w:line="272" w:lineRule="auto"/>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Assignment. </w:t>
      </w:r>
      <w:r>
        <w:rPr>
          <w:rFonts w:ascii="Times New Roman" w:cs="Times New Roman" w:eastAsia="Times New Roman" w:hAnsi="Times New Roman"/>
          <w:sz w:val="16"/>
          <w:szCs w:val="16"/>
          <w:color w:val="auto"/>
        </w:rPr>
        <w:t>This Agreement and the rights and obligations hereunder shall not be assignable or transferable by you without the prior written consent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Employer. The Employer may assign this Agreement or all or any part of its rights and obligations under this Agreement at any time to any member of the Activision Blizzard Group or to a successor to all or substantially all of the business or assets of the Employer and following such assignment all references to the Employer shall be deemed to refer to such assignee and the Employer shall thereafter have no obligation under this Agreement.</w:t>
      </w:r>
    </w:p>
    <w:p>
      <w:pPr>
        <w:spacing w:after="0" w:line="117" w:lineRule="exact"/>
        <w:rPr>
          <w:rFonts w:ascii="Times New Roman" w:cs="Times New Roman" w:eastAsia="Times New Roman" w:hAnsi="Times New Roman"/>
          <w:sz w:val="16"/>
          <w:szCs w:val="16"/>
          <w:color w:val="auto"/>
        </w:rPr>
      </w:pPr>
    </w:p>
    <w:p>
      <w:pPr>
        <w:jc w:val="both"/>
        <w:ind w:firstLine="494"/>
        <w:spacing w:after="0" w:line="267" w:lineRule="auto"/>
        <w:tabs>
          <w:tab w:leader="none" w:pos="96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Conflict with Prior Agreements. </w:t>
      </w:r>
      <w:r>
        <w:rPr>
          <w:rFonts w:ascii="Times New Roman" w:cs="Times New Roman" w:eastAsia="Times New Roman" w:hAnsi="Times New Roman"/>
          <w:sz w:val="16"/>
          <w:szCs w:val="16"/>
          <w:color w:val="auto"/>
        </w:rPr>
        <w:t>You represent to the Employer that neither your commencement of employment under this Agreement nor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w:t>
      </w:r>
    </w:p>
    <w:p>
      <w:pPr>
        <w:spacing w:after="0" w:line="121" w:lineRule="exact"/>
        <w:rPr>
          <w:rFonts w:ascii="Times New Roman" w:cs="Times New Roman" w:eastAsia="Times New Roman" w:hAnsi="Times New Roman"/>
          <w:sz w:val="16"/>
          <w:szCs w:val="16"/>
          <w:color w:val="auto"/>
        </w:rPr>
      </w:pPr>
    </w:p>
    <w:p>
      <w:pPr>
        <w:ind w:firstLine="494"/>
        <w:spacing w:after="0" w:line="310" w:lineRule="auto"/>
        <w:tabs>
          <w:tab w:leader="none" w:pos="8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Successors. </w:t>
      </w:r>
      <w:r>
        <w:rPr>
          <w:rFonts w:ascii="Times New Roman" w:cs="Times New Roman" w:eastAsia="Times New Roman" w:hAnsi="Times New Roman"/>
          <w:sz w:val="16"/>
          <w:szCs w:val="16"/>
          <w:color w:val="auto"/>
        </w:rPr>
        <w:t>This Agreement shall be binding on and inure to the benefit of the Employer and its successors and assigns</w:t>
      </w:r>
      <w:r>
        <w:rPr>
          <w:rFonts w:ascii="Times New Roman" w:cs="Times New Roman" w:eastAsia="Times New Roman" w:hAnsi="Times New Roman"/>
          <w:sz w:val="14"/>
          <w:szCs w:val="14"/>
          <w:color w:val="auto"/>
        </w:rPr>
        <w:t>, including successors by merger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color w:val="auto"/>
        </w:rPr>
        <w:t>operation of law</w:t>
      </w:r>
      <w:r>
        <w:rPr>
          <w:rFonts w:ascii="Times New Roman" w:cs="Times New Roman" w:eastAsia="Times New Roman" w:hAnsi="Times New Roman"/>
          <w:sz w:val="16"/>
          <w:szCs w:val="16"/>
          <w:color w:val="auto"/>
        </w:rPr>
        <w:t>. This Agreement shall also be binding on and inure to the benefit of you and your heirs, executors, administrators and legal representatives.</w:t>
      </w:r>
    </w:p>
    <w:p>
      <w:pPr>
        <w:spacing w:after="0" w:line="97" w:lineRule="exact"/>
        <w:rPr>
          <w:rFonts w:ascii="Times New Roman" w:cs="Times New Roman" w:eastAsia="Times New Roman" w:hAnsi="Times New Roman"/>
          <w:sz w:val="16"/>
          <w:szCs w:val="16"/>
          <w:color w:val="auto"/>
        </w:rPr>
      </w:pPr>
    </w:p>
    <w:p>
      <w:pPr>
        <w:jc w:val="both"/>
        <w:ind w:firstLine="494"/>
        <w:spacing w:after="0" w:line="272" w:lineRule="auto"/>
        <w:tabs>
          <w:tab w:leader="none" w:pos="80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Waiver. </w:t>
      </w:r>
      <w:r>
        <w:rPr>
          <w:rFonts w:ascii="Times New Roman" w:cs="Times New Roman" w:eastAsia="Times New Roman" w:hAnsi="Times New Roman"/>
          <w:sz w:val="16"/>
          <w:szCs w:val="16"/>
          <w:color w:val="auto"/>
        </w:rPr>
        <w:t>No waiver by you or the Employer at any time of any breach by the other party of, or compliance with, any condition or provision of this Agreement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17" w:lineRule="exact"/>
        <w:rPr>
          <w:rFonts w:ascii="Times New Roman" w:cs="Times New Roman" w:eastAsia="Times New Roman" w:hAnsi="Times New Roman"/>
          <w:sz w:val="16"/>
          <w:szCs w:val="16"/>
          <w:color w:val="auto"/>
        </w:rPr>
      </w:pPr>
    </w:p>
    <w:p>
      <w:pPr>
        <w:ind w:firstLine="494"/>
        <w:spacing w:after="0" w:line="310" w:lineRule="auto"/>
        <w:tabs>
          <w:tab w:leader="none" w:pos="85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Expiration. </w:t>
      </w:r>
      <w:r>
        <w:rPr>
          <w:rFonts w:ascii="Times New Roman" w:cs="Times New Roman" w:eastAsia="Times New Roman" w:hAnsi="Times New Roman"/>
          <w:sz w:val="16"/>
          <w:szCs w:val="16"/>
          <w:color w:val="auto"/>
        </w:rPr>
        <w:t>This Agreement does not constitute a commitment of the Employer with regard to your employment, express or implied, other than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expressly provided for herein. Upon the Expiration Date, or, if earlier, the termination of this Agreement pursuant to</w:t>
      </w:r>
    </w:p>
    <w:p>
      <w:pPr>
        <w:spacing w:after="0" w:line="27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Page 17</w:t>
      </w:r>
    </w:p>
    <w:p>
      <w:pPr>
        <w:sectPr>
          <w:pgSz w:w="11900" w:h="16838" w:orient="portrait"/>
          <w:cols w:equalWidth="0" w:num="1">
            <w:col w:w="11400"/>
          </w:cols>
          <w:pgMar w:left="280" w:top="508" w:right="2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Section 9, neither the Employer nor you shall have any obligation to the other with respect to your continued employment.</w:t>
      </w:r>
    </w:p>
    <w:p>
      <w:pPr>
        <w:spacing w:after="0" w:line="170" w:lineRule="exact"/>
        <w:rPr>
          <w:sz w:val="20"/>
          <w:szCs w:val="20"/>
          <w:color w:val="auto"/>
        </w:rPr>
      </w:pPr>
    </w:p>
    <w:p>
      <w:pPr>
        <w:ind w:firstLine="494"/>
        <w:spacing w:after="0" w:line="310" w:lineRule="auto"/>
        <w:tabs>
          <w:tab w:leader="none" w:pos="85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Taxation. </w:t>
      </w:r>
      <w:r>
        <w:rPr>
          <w:rFonts w:ascii="Times New Roman" w:cs="Times New Roman" w:eastAsia="Times New Roman" w:hAnsi="Times New Roman"/>
          <w:sz w:val="16"/>
          <w:szCs w:val="16"/>
          <w:color w:val="auto"/>
        </w:rPr>
        <w:t>The Employer may withhold from any payments made under the Agreement all federal, state, city or other applicable taxes or amounts as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or permitted pursuant to any law, governmental regulation or ruling or agreement with you.</w:t>
      </w:r>
    </w:p>
    <w:p>
      <w:pPr>
        <w:spacing w:after="0" w:line="87" w:lineRule="exact"/>
        <w:rPr>
          <w:rFonts w:ascii="Times New Roman" w:cs="Times New Roman" w:eastAsia="Times New Roman" w:hAnsi="Times New Roman"/>
          <w:sz w:val="16"/>
          <w:szCs w:val="16"/>
          <w:color w:val="auto"/>
        </w:rPr>
      </w:pPr>
    </w:p>
    <w:p>
      <w:pPr>
        <w:ind w:firstLine="494"/>
        <w:spacing w:after="0" w:line="310" w:lineRule="auto"/>
        <w:tabs>
          <w:tab w:leader="none" w:pos="79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Immigration. </w:t>
      </w:r>
      <w:r>
        <w:rPr>
          <w:rFonts w:ascii="Times New Roman" w:cs="Times New Roman" w:eastAsia="Times New Roman" w:hAnsi="Times New Roman"/>
          <w:sz w:val="16"/>
          <w:szCs w:val="16"/>
          <w:color w:val="auto"/>
        </w:rPr>
        <w:t>In accordance with the Immigration Reform and Control Act of 1986, employment under this Agreement is conditioned upon satisfactory proof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your identity and legal ability to work in the United States.</w:t>
      </w:r>
    </w:p>
    <w:p>
      <w:pPr>
        <w:spacing w:after="0" w:line="87" w:lineRule="exact"/>
        <w:rPr>
          <w:rFonts w:ascii="Times New Roman" w:cs="Times New Roman" w:eastAsia="Times New Roman" w:hAnsi="Times New Roman"/>
          <w:sz w:val="16"/>
          <w:szCs w:val="16"/>
          <w:color w:val="auto"/>
        </w:rPr>
      </w:pPr>
    </w:p>
    <w:p>
      <w:pPr>
        <w:ind w:firstLine="494"/>
        <w:spacing w:after="0" w:line="310" w:lineRule="auto"/>
        <w:tabs>
          <w:tab w:leader="none" w:pos="82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Choice of Law. </w:t>
      </w:r>
      <w:r>
        <w:rPr>
          <w:rFonts w:ascii="Times New Roman" w:cs="Times New Roman" w:eastAsia="Times New Roman" w:hAnsi="Times New Roman"/>
          <w:sz w:val="16"/>
          <w:szCs w:val="16"/>
          <w:color w:val="auto"/>
        </w:rPr>
        <w:t>Except to the extent governed by federal law, this Agreement shall be governed by and construed in accordance with the laws of the State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California or whatever other state in which you were last employed by the Employer, without regard to conflict of law principles.</w:t>
      </w:r>
    </w:p>
    <w:p>
      <w:pPr>
        <w:spacing w:after="0" w:line="87" w:lineRule="exact"/>
        <w:rPr>
          <w:rFonts w:ascii="Times New Roman" w:cs="Times New Roman" w:eastAsia="Times New Roman" w:hAnsi="Times New Roman"/>
          <w:sz w:val="16"/>
          <w:szCs w:val="16"/>
          <w:color w:val="auto"/>
        </w:rPr>
      </w:pPr>
    </w:p>
    <w:p>
      <w:pPr>
        <w:ind w:firstLine="494"/>
        <w:spacing w:after="0" w:line="310" w:lineRule="auto"/>
        <w:tabs>
          <w:tab w:leader="none" w:pos="89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Arbitration. </w:t>
      </w:r>
      <w:r>
        <w:rPr>
          <w:rFonts w:ascii="Times New Roman" w:cs="Times New Roman" w:eastAsia="Times New Roman" w:hAnsi="Times New Roman"/>
          <w:sz w:val="16"/>
          <w:szCs w:val="16"/>
          <w:color w:val="auto"/>
        </w:rPr>
        <w:t>Except as otherwise provided in this Agreement, both parties agree that any dispute or controversy between them will be settled by final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binding arbitration pursuant to the terms of the Dispute Resolution Agreement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w:t>
      </w:r>
    </w:p>
    <w:p>
      <w:pPr>
        <w:spacing w:after="0" w:line="87" w:lineRule="exact"/>
        <w:rPr>
          <w:rFonts w:ascii="Times New Roman" w:cs="Times New Roman" w:eastAsia="Times New Roman" w:hAnsi="Times New Roman"/>
          <w:sz w:val="16"/>
          <w:szCs w:val="16"/>
          <w:color w:val="auto"/>
        </w:rPr>
      </w:pPr>
    </w:p>
    <w:p>
      <w:pPr>
        <w:jc w:val="both"/>
        <w:ind w:firstLine="494"/>
        <w:spacing w:after="0" w:line="262" w:lineRule="auto"/>
        <w:tabs>
          <w:tab w:leader="none" w:pos="85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Severability. </w:t>
      </w:r>
      <w:r>
        <w:rPr>
          <w:rFonts w:ascii="Times New Roman" w:cs="Times New Roman" w:eastAsia="Times New Roman" w:hAnsi="Times New Roman"/>
          <w:sz w:val="16"/>
          <w:szCs w:val="16"/>
          <w:color w:val="auto"/>
        </w:rPr>
        <w:t>It is expressly agreed by the parties that each of the provisions included in Section 8(f) is separate, distinct, and severable from the other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322" w:lineRule="exact"/>
        <w:rPr>
          <w:rFonts w:ascii="Times New Roman" w:cs="Times New Roman" w:eastAsia="Times New Roman" w:hAnsi="Times New Roman"/>
          <w:sz w:val="16"/>
          <w:szCs w:val="16"/>
          <w:color w:val="auto"/>
        </w:rPr>
      </w:pPr>
    </w:p>
    <w:p>
      <w:pPr>
        <w:ind w:firstLine="494"/>
        <w:spacing w:after="0" w:line="310" w:lineRule="auto"/>
        <w:tabs>
          <w:tab w:leader="none" w:pos="87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Services Unique. </w:t>
      </w:r>
      <w:r>
        <w:rPr>
          <w:rFonts w:ascii="Times New Roman" w:cs="Times New Roman" w:eastAsia="Times New Roman" w:hAnsi="Times New Roman"/>
          <w:sz w:val="16"/>
          <w:szCs w:val="16"/>
          <w:color w:val="auto"/>
        </w:rPr>
        <w:t>You recognize that the services being performed by you under this Agreement are of a special, unique, unusual, extraordinary and intellectual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character giving them a peculiar value, the loss of which cannot be reasonably or adequately compensated for in damages in the event of a breach of this Agreement by you.</w:t>
      </w:r>
    </w:p>
    <w:p>
      <w:pPr>
        <w:spacing w:after="0" w:line="87" w:lineRule="exact"/>
        <w:rPr>
          <w:rFonts w:ascii="Times New Roman" w:cs="Times New Roman" w:eastAsia="Times New Roman" w:hAnsi="Times New Roman"/>
          <w:sz w:val="16"/>
          <w:szCs w:val="16"/>
          <w:color w:val="auto"/>
        </w:rPr>
      </w:pPr>
    </w:p>
    <w:p>
      <w:pPr>
        <w:jc w:val="both"/>
        <w:ind w:firstLine="494"/>
        <w:spacing w:after="0" w:line="267" w:lineRule="auto"/>
        <w:tabs>
          <w:tab w:leader="none" w:pos="9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Injunctive Relief. </w:t>
      </w:r>
      <w:r>
        <w:rPr>
          <w:rFonts w:ascii="Times New Roman" w:cs="Times New Roman" w:eastAsia="Times New Roman" w:hAnsi="Times New Roman"/>
          <w:sz w:val="16"/>
          <w:szCs w:val="16"/>
          <w:color w:val="auto"/>
        </w:rPr>
        <w:t>In the event of a breach of or threatened breach of the provisions of this Agreement regarding the exclusivity of your services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provisions of Section 8, you agree that any remedy at law would be inadequate. Accordingly, you agree that the Employer is entitled to obtain injunctive relief for such breaches or threatened breaches in any court of competent jurisdiction. The injunctive relief provided for in Exhibit B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30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Page 18</w:t>
      </w:r>
    </w:p>
    <w:p>
      <w:pPr>
        <w:sectPr>
          <w:pgSz w:w="11900" w:h="16838" w:orient="portrait"/>
          <w:cols w:equalWidth="0" w:num="1">
            <w:col w:w="11400"/>
          </w:cols>
          <w:pgMar w:left="280" w:top="508" w:right="219" w:bottom="1440" w:gutter="0" w:footer="0" w:header="0"/>
        </w:sectPr>
      </w:pPr>
    </w:p>
    <w:bookmarkStart w:id="93" w:name="page94"/>
    <w:bookmarkEnd w:id="93"/>
    <w:p>
      <w:pPr>
        <w:ind w:left="-494" w:firstLine="494"/>
        <w:spacing w:after="0" w:line="310" w:lineRule="auto"/>
        <w:tabs>
          <w:tab w:leader="none" w:pos="33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Remedies Cumulative. </w:t>
      </w:r>
      <w:r>
        <w:rPr>
          <w:rFonts w:ascii="Times New Roman" w:cs="Times New Roman" w:eastAsia="Times New Roman" w:hAnsi="Times New Roman"/>
          <w:sz w:val="16"/>
          <w:szCs w:val="16"/>
          <w:color w:val="auto"/>
        </w:rPr>
        <w:t>The remedies in this Agreement are not exclusive, and the parties shall have the right to pursue any other legal or equitable remedies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 the terms of this Agreement.</w:t>
      </w:r>
    </w:p>
    <w:p>
      <w:pPr>
        <w:spacing w:after="0" w:line="87" w:lineRule="exact"/>
        <w:rPr>
          <w:rFonts w:ascii="Times New Roman" w:cs="Times New Roman" w:eastAsia="Times New Roman" w:hAnsi="Times New Roman"/>
          <w:sz w:val="16"/>
          <w:szCs w:val="16"/>
          <w:color w:val="auto"/>
        </w:rPr>
      </w:pPr>
    </w:p>
    <w:p>
      <w:pPr>
        <w:ind w:left="-494" w:firstLine="494"/>
        <w:spacing w:after="0" w:line="310" w:lineRule="auto"/>
        <w:tabs>
          <w:tab w:leader="none" w:pos="34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Headings. </w:t>
      </w:r>
      <w:r>
        <w:rPr>
          <w:rFonts w:ascii="Times New Roman" w:cs="Times New Roman" w:eastAsia="Times New Roman" w:hAnsi="Times New Roman"/>
          <w:sz w:val="16"/>
          <w:szCs w:val="16"/>
          <w:color w:val="auto"/>
        </w:rPr>
        <w:t>The headings set forth herein are included solely for the purpose of identification and shall not be used for the purpose of construing the meaning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provisions of this Agreement.</w:t>
      </w:r>
    </w:p>
    <w:p>
      <w:pPr>
        <w:spacing w:after="0" w:line="87" w:lineRule="exact"/>
        <w:rPr>
          <w:rFonts w:ascii="Times New Roman" w:cs="Times New Roman" w:eastAsia="Times New Roman" w:hAnsi="Times New Roman"/>
          <w:sz w:val="16"/>
          <w:szCs w:val="16"/>
          <w:color w:val="auto"/>
        </w:rPr>
      </w:pPr>
    </w:p>
    <w:p>
      <w:pPr>
        <w:jc w:val="both"/>
        <w:ind w:left="-494" w:firstLine="494"/>
        <w:spacing w:after="0" w:line="257" w:lineRule="auto"/>
        <w:tabs>
          <w:tab w:leader="none" w:pos="33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409A. </w:t>
      </w:r>
      <w:r>
        <w:rPr>
          <w:rFonts w:ascii="Times New Roman" w:cs="Times New Roman" w:eastAsia="Times New Roman" w:hAnsi="Times New Roman"/>
          <w:sz w:val="16"/>
          <w:szCs w:val="16"/>
          <w:color w:val="auto"/>
        </w:rPr>
        <w:t>To the extent applicable, it is intended that the Agreement comply with the provisions of Section 409A. The Agreement will be administered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Employment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33" w:lineRule="exact"/>
        <w:rPr>
          <w:rFonts w:ascii="Times New Roman" w:cs="Times New Roman" w:eastAsia="Times New Roman" w:hAnsi="Times New Roman"/>
          <w:sz w:val="16"/>
          <w:szCs w:val="16"/>
          <w:color w:val="auto"/>
        </w:rPr>
      </w:pPr>
    </w:p>
    <w:p>
      <w:pPr>
        <w:jc w:val="both"/>
        <w:ind w:left="-494" w:firstLine="494"/>
        <w:spacing w:after="0" w:line="263" w:lineRule="auto"/>
        <w:tabs>
          <w:tab w:leader="none" w:pos="378"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280G and Section 162(m). </w:t>
      </w:r>
      <w:r>
        <w:rPr>
          <w:rFonts w:ascii="Times New Roman" w:cs="Times New Roman" w:eastAsia="Times New Roman" w:hAnsi="Times New Roman"/>
          <w:sz w:val="16"/>
          <w:szCs w:val="16"/>
          <w:color w:val="auto"/>
        </w:rPr>
        <w:t>Notwithstanding anything herein to the contrary, in the event that you receive any payments or distributions, whether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first reduced first;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all events the payments provided under Section 10 of this Agreement which are not subject to Section 409A shall be reduced first.</w:t>
      </w:r>
    </w:p>
    <w:p>
      <w:pPr>
        <w:spacing w:after="0" w:line="308" w:lineRule="exact"/>
        <w:rPr>
          <w:sz w:val="20"/>
          <w:szCs w:val="20"/>
          <w:color w:val="auto"/>
        </w:rPr>
      </w:pPr>
    </w:p>
    <w:p>
      <w:pPr>
        <w:ind w:left="2506"/>
        <w:spacing w:after="0"/>
        <w:rPr>
          <w:sz w:val="20"/>
          <w:szCs w:val="20"/>
          <w:color w:val="auto"/>
        </w:rPr>
      </w:pPr>
      <w:r>
        <w:rPr>
          <w:rFonts w:ascii="Times New Roman" w:cs="Times New Roman" w:eastAsia="Times New Roman" w:hAnsi="Times New Roman"/>
          <w:sz w:val="14"/>
          <w:szCs w:val="14"/>
          <w:color w:val="auto"/>
        </w:rPr>
        <w:t>Page 19</w:t>
      </w:r>
    </w:p>
    <w:p>
      <w:pPr>
        <w:sectPr>
          <w:pgSz w:w="11900" w:h="16838" w:orient="portrait"/>
          <w:cols w:equalWidth="0" w:num="1">
            <w:col w:w="10906"/>
          </w:cols>
          <w:pgMar w:left="774" w:top="503" w:right="219" w:bottom="1440" w:gutter="0" w:footer="0" w:header="0"/>
        </w:sectPr>
      </w:pPr>
    </w:p>
    <w:bookmarkStart w:id="94" w:name="page95"/>
    <w:bookmarkEnd w:id="94"/>
    <w:p>
      <w:pPr>
        <w:jc w:val="both"/>
        <w:ind w:left="60"/>
        <w:spacing w:after="0" w:line="263" w:lineRule="auto"/>
        <w:rPr>
          <w:sz w:val="20"/>
          <w:szCs w:val="20"/>
          <w:color w:val="auto"/>
        </w:rPr>
      </w:pPr>
      <w:r>
        <w:rPr>
          <w:rFonts w:ascii="Times New Roman" w:cs="Times New Roman" w:eastAsia="Times New Roman" w:hAnsi="Times New Roman"/>
          <w:sz w:val="16"/>
          <w:szCs w:val="16"/>
          <w:color w:val="auto"/>
        </w:rPr>
        <w:t>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 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123" w:lineRule="exact"/>
        <w:rPr>
          <w:sz w:val="20"/>
          <w:szCs w:val="20"/>
          <w:color w:val="auto"/>
        </w:rPr>
      </w:pPr>
    </w:p>
    <w:p>
      <w:pPr>
        <w:ind w:left="860" w:hanging="306"/>
        <w:spacing w:after="0"/>
        <w:tabs>
          <w:tab w:leader="none" w:pos="86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Survivability. </w:t>
      </w:r>
      <w:r>
        <w:rPr>
          <w:rFonts w:ascii="Times New Roman" w:cs="Times New Roman" w:eastAsia="Times New Roman" w:hAnsi="Times New Roman"/>
          <w:sz w:val="16"/>
          <w:szCs w:val="16"/>
          <w:color w:val="auto"/>
        </w:rPr>
        <w:t>The provisions of Sections 8, 10, 11 and 12, as well as Exhibits A through Ex. C, the shall survive the termination or expiration of this Agreement</w:t>
      </w:r>
    </w:p>
    <w:p>
      <w:pPr>
        <w:spacing w:after="0" w:line="184" w:lineRule="exact"/>
        <w:rPr>
          <w:rFonts w:ascii="Times New Roman" w:cs="Times New Roman" w:eastAsia="Times New Roman" w:hAnsi="Times New Roman"/>
          <w:sz w:val="16"/>
          <w:szCs w:val="16"/>
          <w:color w:val="auto"/>
        </w:rPr>
      </w:pPr>
    </w:p>
    <w:p>
      <w:pPr>
        <w:ind w:left="60" w:firstLine="494"/>
        <w:spacing w:after="0" w:line="310" w:lineRule="auto"/>
        <w:tabs>
          <w:tab w:leader="none" w:pos="862"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Counterparts. </w:t>
      </w:r>
      <w:r>
        <w:rPr>
          <w:rFonts w:ascii="Times New Roman" w:cs="Times New Roman" w:eastAsia="Times New Roman" w:hAnsi="Times New Roman"/>
          <w:sz w:val="16"/>
          <w:szCs w:val="16"/>
          <w:color w:val="auto"/>
        </w:rPr>
        <w:t>This Agreement may be executed in counterparts, each of which shall be deemed an original and both of which together shall constitute one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same instrument.</w:t>
      </w:r>
    </w:p>
    <w:p>
      <w:pPr>
        <w:spacing w:after="0" w:line="87" w:lineRule="exact"/>
        <w:rPr>
          <w:rFonts w:ascii="Times New Roman" w:cs="Times New Roman" w:eastAsia="Times New Roman" w:hAnsi="Times New Roman"/>
          <w:sz w:val="16"/>
          <w:szCs w:val="16"/>
          <w:color w:val="auto"/>
        </w:rPr>
      </w:pPr>
    </w:p>
    <w:p>
      <w:pPr>
        <w:jc w:val="both"/>
        <w:ind w:left="60" w:firstLine="494"/>
        <w:spacing w:after="0" w:line="282" w:lineRule="auto"/>
        <w:tabs>
          <w:tab w:leader="none" w:pos="898"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Legal Counsel. </w:t>
      </w:r>
      <w:r>
        <w:rPr>
          <w:rFonts w:ascii="Times New Roman" w:cs="Times New Roman" w:eastAsia="Times New Roman" w:hAnsi="Times New Roman"/>
          <w:sz w:val="16"/>
          <w:szCs w:val="16"/>
          <w:color w:val="auto"/>
        </w:rPr>
        <w:t>You acknowledge that you have been given the opportunity to consult with legal counsel or any other advisor of your own choosing regarding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08" w:lineRule="exact"/>
        <w:rPr>
          <w:rFonts w:ascii="Times New Roman" w:cs="Times New Roman" w:eastAsia="Times New Roman" w:hAnsi="Times New Roman"/>
          <w:sz w:val="16"/>
          <w:szCs w:val="16"/>
          <w:color w:val="auto"/>
        </w:rPr>
      </w:pPr>
    </w:p>
    <w:p>
      <w:pPr>
        <w:ind w:left="60" w:firstLine="494"/>
        <w:spacing w:after="0" w:line="310" w:lineRule="auto"/>
        <w:tabs>
          <w:tab w:leader="none" w:pos="929"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Right to Negotiate. </w:t>
      </w:r>
      <w:r>
        <w:rPr>
          <w:rFonts w:ascii="Times New Roman" w:cs="Times New Roman" w:eastAsia="Times New Roman" w:hAnsi="Times New Roman"/>
          <w:sz w:val="16"/>
          <w:szCs w:val="16"/>
          <w:color w:val="auto"/>
        </w:rPr>
        <w:t>You hereby acknowledge that you have been given the opportunity to participate in the negotiation of the terms of this Agreement. You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acknowledge and confirm that you have read this Agreement and fully understand its terms and contents.</w:t>
      </w:r>
    </w:p>
    <w:p>
      <w:pPr>
        <w:spacing w:after="0" w:line="87" w:lineRule="exact"/>
        <w:rPr>
          <w:rFonts w:ascii="Times New Roman" w:cs="Times New Roman" w:eastAsia="Times New Roman" w:hAnsi="Times New Roman"/>
          <w:sz w:val="16"/>
          <w:szCs w:val="16"/>
          <w:color w:val="auto"/>
        </w:rPr>
      </w:pPr>
    </w:p>
    <w:p>
      <w:pPr>
        <w:jc w:val="both"/>
        <w:ind w:left="60" w:firstLine="494"/>
        <w:spacing w:after="0" w:line="296" w:lineRule="auto"/>
        <w:tabs>
          <w:tab w:leader="none" w:pos="91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Broker</w:t>
      </w:r>
      <w:r>
        <w:rPr>
          <w:rFonts w:ascii="Times New Roman" w:cs="Times New Roman" w:eastAsia="Times New Roman" w:hAnsi="Times New Roman"/>
          <w:sz w:val="16"/>
          <w:szCs w:val="16"/>
          <w:color w:val="auto"/>
        </w:rPr>
        <w:t>. You have given no indication, representation or commitment of any nature to any broker, finder, agent or other third party to the effect that any fees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commissions of any nature are, or under any circumstances might be, payable by the Activision Blizzard Group in connection with your employment under this Agreement.</w:t>
      </w:r>
    </w:p>
    <w:p>
      <w:pPr>
        <w:spacing w:after="0" w:line="302" w:lineRule="exact"/>
        <w:rPr>
          <w:rFonts w:ascii="Times New Roman" w:cs="Times New Roman" w:eastAsia="Times New Roman" w:hAnsi="Times New Roman"/>
          <w:sz w:val="16"/>
          <w:szCs w:val="16"/>
          <w:color w:val="auto"/>
        </w:rPr>
      </w:pPr>
    </w:p>
    <w:p>
      <w:pPr>
        <w:ind w:left="340" w:hanging="338"/>
        <w:spacing w:after="0"/>
        <w:tabs>
          <w:tab w:leader="none" w:pos="34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Indemnification</w:t>
      </w:r>
    </w:p>
    <w:p>
      <w:pPr>
        <w:spacing w:after="0" w:line="188" w:lineRule="exact"/>
        <w:rPr>
          <w:sz w:val="20"/>
          <w:szCs w:val="20"/>
          <w:color w:val="auto"/>
        </w:rPr>
      </w:pPr>
    </w:p>
    <w:p>
      <w:pPr>
        <w:jc w:val="both"/>
        <w:ind w:firstLine="491"/>
        <w:spacing w:after="0" w:line="269" w:lineRule="auto"/>
        <w:rPr>
          <w:sz w:val="20"/>
          <w:szCs w:val="20"/>
          <w:color w:val="auto"/>
        </w:rPr>
      </w:pPr>
      <w:r>
        <w:rPr>
          <w:rFonts w:ascii="Times New Roman" w:cs="Times New Roman" w:eastAsia="Times New Roman" w:hAnsi="Times New Roman"/>
          <w:sz w:val="16"/>
          <w:szCs w:val="16"/>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the Activision Blizzard Group, including, without limitation, all costs and expenses actually and reasonably incurred by you in defense of litigation arising out of your employment hereunder.</w:t>
      </w:r>
    </w:p>
    <w:p>
      <w:pPr>
        <w:spacing w:after="0" w:line="349" w:lineRule="exact"/>
        <w:rPr>
          <w:sz w:val="20"/>
          <w:szCs w:val="20"/>
          <w:color w:val="auto"/>
        </w:rPr>
      </w:pPr>
    </w:p>
    <w:p>
      <w:pPr>
        <w:ind w:left="340" w:hanging="338"/>
        <w:spacing w:after="0"/>
        <w:tabs>
          <w:tab w:leader="none" w:pos="34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p>
    <w:p>
      <w:pPr>
        <w:spacing w:after="0" w:line="188"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All notices which either party is required or may desire to give the other shall be in writing and given either personally or by depositing the same in the United States mail addressed to the party to be given notice as follows:</w:t>
      </w:r>
    </w:p>
    <w:p>
      <w:pPr>
        <w:spacing w:after="0" w:line="200" w:lineRule="exact"/>
        <w:rPr>
          <w:sz w:val="20"/>
          <w:szCs w:val="20"/>
          <w:color w:val="auto"/>
        </w:rPr>
      </w:pPr>
    </w:p>
    <w:p>
      <w:pPr>
        <w:spacing w:after="0" w:line="28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Page 20</w:t>
      </w:r>
    </w:p>
    <w:p>
      <w:pPr>
        <w:sectPr>
          <w:pgSz w:w="11900" w:h="16838" w:orient="portrait"/>
          <w:cols w:equalWidth="0" w:num="1">
            <w:col w:w="11460"/>
          </w:cols>
          <w:pgMar w:left="220" w:top="507" w:right="219" w:bottom="1440" w:gutter="0" w:footer="0" w:header="0"/>
        </w:sectPr>
      </w:pPr>
    </w:p>
    <w:bookmarkStart w:id="95" w:name="page96"/>
    <w:bookmarkEnd w:id="95"/>
    <w:p>
      <w:pPr>
        <w:ind w:left="1060"/>
        <w:spacing w:after="0"/>
        <w:rPr>
          <w:sz w:val="20"/>
          <w:szCs w:val="20"/>
          <w:color w:val="auto"/>
        </w:rPr>
      </w:pPr>
      <w:r>
        <w:rPr>
          <w:rFonts w:ascii="Times New Roman" w:cs="Times New Roman" w:eastAsia="Times New Roman" w:hAnsi="Times New Roman"/>
          <w:sz w:val="16"/>
          <w:szCs w:val="16"/>
          <w:color w:val="auto"/>
        </w:rPr>
        <w:t>To the Employer: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Activision Blizzard,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3100 Ocean Park Boulevard</w:t>
      </w:r>
    </w:p>
    <w:p>
      <w:pPr>
        <w:spacing w:after="0"/>
        <w:rPr>
          <w:sz w:val="20"/>
          <w:szCs w:val="20"/>
          <w:color w:val="auto"/>
        </w:rPr>
      </w:pPr>
      <w:r>
        <w:rPr>
          <w:rFonts w:ascii="Times New Roman" w:cs="Times New Roman" w:eastAsia="Times New Roman" w:hAnsi="Times New Roman"/>
          <w:sz w:val="16"/>
          <w:szCs w:val="16"/>
          <w:color w:val="auto"/>
        </w:rPr>
        <w:t>Santa Monica, California 90405</w:t>
      </w:r>
    </w:p>
    <w:p>
      <w:pPr>
        <w:spacing w:after="0"/>
        <w:rPr>
          <w:sz w:val="20"/>
          <w:szCs w:val="20"/>
          <w:color w:val="auto"/>
        </w:rPr>
      </w:pPr>
      <w:r>
        <w:rPr>
          <w:rFonts w:ascii="Times New Roman" w:cs="Times New Roman" w:eastAsia="Times New Roman" w:hAnsi="Times New Roman"/>
          <w:sz w:val="16"/>
          <w:szCs w:val="16"/>
          <w:color w:val="auto"/>
        </w:rPr>
        <w:t>Attention: Chief Legal Officer</w:t>
      </w:r>
    </w:p>
    <w:p>
      <w:pPr>
        <w:spacing w:after="0" w:line="200" w:lineRule="exact"/>
        <w:rPr>
          <w:sz w:val="20"/>
          <w:szCs w:val="20"/>
          <w:color w:val="auto"/>
        </w:rPr>
      </w:pPr>
    </w:p>
    <w:p>
      <w:pPr>
        <w:sectPr>
          <w:pgSz w:w="11900" w:h="16838" w:orient="portrait"/>
          <w:cols w:equalWidth="0" w:num="2">
            <w:col w:w="3980" w:space="720"/>
            <w:col w:w="6760"/>
          </w:cols>
          <w:pgMar w:left="220" w:top="620" w:right="219" w:bottom="1440" w:gutter="0" w:footer="0" w:header="0"/>
        </w:sectPr>
      </w:pPr>
    </w:p>
    <w:p>
      <w:pPr>
        <w:spacing w:after="0" w:line="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To You:</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Christopher B. Walther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sent to last known home address on file with</w:t>
      </w:r>
    </w:p>
    <w:p>
      <w:pPr>
        <w:spacing w:after="0"/>
        <w:rPr>
          <w:sz w:val="20"/>
          <w:szCs w:val="20"/>
          <w:color w:val="auto"/>
        </w:rPr>
      </w:pPr>
      <w:r>
        <w:rPr>
          <w:rFonts w:ascii="Times New Roman" w:cs="Times New Roman" w:eastAsia="Times New Roman" w:hAnsi="Times New Roman"/>
          <w:sz w:val="16"/>
          <w:szCs w:val="16"/>
          <w:color w:val="auto"/>
        </w:rPr>
        <w:t>Human Resources)</w:t>
      </w:r>
    </w:p>
    <w:p>
      <w:pPr>
        <w:spacing w:after="0" w:line="200" w:lineRule="exact"/>
        <w:rPr>
          <w:sz w:val="20"/>
          <w:szCs w:val="20"/>
          <w:color w:val="auto"/>
        </w:rPr>
      </w:pPr>
    </w:p>
    <w:p>
      <w:pPr>
        <w:sectPr>
          <w:pgSz w:w="11900" w:h="16838" w:orient="portrait"/>
          <w:cols w:equalWidth="0" w:num="2">
            <w:col w:w="3980" w:space="720"/>
            <w:col w:w="6760"/>
          </w:cols>
          <w:pgMar w:left="220" w:top="620" w:right="219" w:bottom="1440" w:gutter="0" w:footer="0" w:header="0"/>
          <w:type w:val="continuous"/>
        </w:sectPr>
      </w:pPr>
    </w:p>
    <w:p>
      <w:pPr>
        <w:spacing w:after="0" w:line="222" w:lineRule="exact"/>
        <w:rPr>
          <w:sz w:val="20"/>
          <w:szCs w:val="20"/>
          <w:color w:val="auto"/>
        </w:rPr>
      </w:pPr>
    </w:p>
    <w:p>
      <w:pPr>
        <w:ind w:firstLine="491"/>
        <w:spacing w:after="0" w:line="292" w:lineRule="auto"/>
        <w:rPr>
          <w:sz w:val="20"/>
          <w:szCs w:val="20"/>
          <w:color w:val="auto"/>
        </w:rPr>
      </w:pPr>
      <w:r>
        <w:rPr>
          <w:rFonts w:ascii="Times New Roman" w:cs="Times New Roman" w:eastAsia="Times New Roman" w:hAnsi="Times New Roman"/>
          <w:sz w:val="16"/>
          <w:szCs w:val="16"/>
          <w:color w:val="auto"/>
        </w:rPr>
        <w:t>Either party may by written notice designate a different address for giving of notices. The date of mailing of any such notices shall be deemed to be the date on which such notice is given.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ACCEPTED AND AGREED TO:</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2980" w:type="dxa"/>
            <w:vAlign w:val="bottom"/>
          </w:tcPr>
          <w:p>
            <w:pPr>
              <w:spacing w:after="0"/>
              <w:rPr>
                <w:sz w:val="18"/>
                <w:szCs w:val="18"/>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470"/>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ACTIVISION BLIZZARD, INC.</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76"/>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2980" w:type="dxa"/>
            <w:vAlign w:val="bottom"/>
          </w:tcPr>
          <w:p>
            <w:pPr>
              <w:spacing w:after="0"/>
              <w:rPr>
                <w:sz w:val="24"/>
                <w:szCs w:val="24"/>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By:</w:t>
            </w:r>
          </w:p>
        </w:tc>
      </w:tr>
      <w:tr>
        <w:trPr>
          <w:trHeight w:val="210"/>
        </w:trPr>
        <w:tc>
          <w:tcPr>
            <w:tcW w:w="780" w:type="dxa"/>
            <w:vAlign w:val="bottom"/>
          </w:tcPr>
          <w:p>
            <w:pPr>
              <w:spacing w:after="0"/>
              <w:rPr>
                <w:sz w:val="18"/>
                <w:szCs w:val="18"/>
                <w:color w:val="auto"/>
              </w:rPr>
            </w:pPr>
          </w:p>
        </w:tc>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Brian Stolz</w:t>
            </w:r>
          </w:p>
        </w:tc>
        <w:tc>
          <w:tcPr>
            <w:tcW w:w="298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Christopher B. Walther</w:t>
            </w:r>
          </w:p>
        </w:tc>
      </w:tr>
      <w:tr>
        <w:trPr>
          <w:trHeight w:val="225"/>
        </w:trPr>
        <w:tc>
          <w:tcPr>
            <w:tcW w:w="780" w:type="dxa"/>
            <w:vAlign w:val="bottom"/>
          </w:tcPr>
          <w:p>
            <w:pPr>
              <w:spacing w:after="0"/>
              <w:rPr>
                <w:sz w:val="19"/>
                <w:szCs w:val="19"/>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People Officer</w:t>
            </w: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4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8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Date:</w:t>
            </w:r>
          </w:p>
        </w:tc>
        <w:tc>
          <w:tcPr>
            <w:tcW w:w="4800" w:type="dxa"/>
            <w:vAlign w:val="bottom"/>
            <w:tcBorders>
              <w:bottom w:val="single" w:sz="8" w:color="auto"/>
            </w:tcBorders>
          </w:tcPr>
          <w:p>
            <w:pPr>
              <w:spacing w:after="0"/>
              <w:rPr>
                <w:sz w:val="24"/>
                <w:szCs w:val="24"/>
                <w:color w:val="auto"/>
              </w:rPr>
            </w:pPr>
          </w:p>
        </w:tc>
      </w:tr>
      <w:tr>
        <w:trPr>
          <w:trHeight w:val="701"/>
        </w:trPr>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Page 21</w:t>
            </w:r>
          </w:p>
        </w:tc>
      </w:tr>
    </w:tbl>
    <w:p>
      <w:pPr>
        <w:sectPr>
          <w:pgSz w:w="11900" w:h="16838" w:orient="portrait"/>
          <w:cols w:equalWidth="0" w:num="1">
            <w:col w:w="11460"/>
          </w:cols>
          <w:pgMar w:left="220" w:top="620" w:right="21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7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5"/>
          <w:szCs w:val="15"/>
          <w:color w:val="auto"/>
        </w:rPr>
        <w:t>Confidential Materials omitted and filed separately with the Securities and</w:t>
      </w:r>
    </w:p>
    <w:p>
      <w:pPr>
        <w:spacing w:after="0" w:line="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color w:val="auto"/>
        </w:rPr>
        <w:t>Exchange Commission. Double asterisks denote omissions.</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King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PROFIT SHARING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King Profit Sharing Plan, effective January 1, 2019, is for eligible employees of King Digital Entertainment plc (“King”) and its subsidiaries.</w:t>
      </w:r>
    </w:p>
    <w:p>
      <w:pPr>
        <w:spacing w:after="0" w:line="175" w:lineRule="exact"/>
        <w:rPr>
          <w:sz w:val="20"/>
          <w:szCs w:val="20"/>
          <w:color w:val="auto"/>
        </w:rPr>
      </w:pPr>
    </w:p>
    <w:p>
      <w:pPr>
        <w:ind w:left="320" w:hanging="296"/>
        <w:spacing w:after="0"/>
        <w:tabs>
          <w:tab w:leader="none" w:pos="3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DEFINITIONS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AB</w:t>
      </w:r>
      <w:r>
        <w:rPr>
          <w:rFonts w:ascii="Times New Roman" w:cs="Times New Roman" w:eastAsia="Times New Roman" w:hAnsi="Times New Roman"/>
          <w:sz w:val="15"/>
          <w:szCs w:val="15"/>
          <w:color w:val="auto"/>
        </w:rPr>
        <w:t>" shall mean Activision Blizzard, Inc., being the parent company of King.</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shall mean, individually or collectively, King and its subsidiaries.</w:t>
      </w:r>
    </w:p>
    <w:p>
      <w:pPr>
        <w:spacing w:after="0" w:line="175" w:lineRule="exact"/>
        <w:rPr>
          <w:sz w:val="20"/>
          <w:szCs w:val="20"/>
          <w:color w:val="auto"/>
        </w:rPr>
      </w:pPr>
    </w:p>
    <w:p>
      <w:pPr>
        <w:ind w:left="480" w:right="32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King</w:t>
      </w:r>
      <w:r>
        <w:rPr>
          <w:rFonts w:ascii="Times New Roman" w:cs="Times New Roman" w:eastAsia="Times New Roman" w:hAnsi="Times New Roman"/>
          <w:sz w:val="15"/>
          <w:szCs w:val="15"/>
          <w:color w:val="auto"/>
        </w:rPr>
        <w:t>" shall mean King Digital Entertainment plc and references to matters being agreed by or requiring the agreement, consent or approval of King shall mean agreed by or the agreement, consent or approval (as the case may be) of the most senior executive of King for the time being, as determined by AB in its sole discretion.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King Contribution</w:t>
      </w:r>
      <w:r>
        <w:rPr>
          <w:rFonts w:ascii="Times New Roman" w:cs="Times New Roman" w:eastAsia="Times New Roman" w:hAnsi="Times New Roman"/>
          <w:sz w:val="15"/>
          <w:szCs w:val="15"/>
          <w:color w:val="auto"/>
        </w:rPr>
        <w:t>" shall mean, for each Plan Year,</w:t>
      </w:r>
    </w:p>
    <w:p>
      <w:pPr>
        <w:spacing w:after="0" w:line="175" w:lineRule="exact"/>
        <w:rPr>
          <w:sz w:val="20"/>
          <w:szCs w:val="20"/>
          <w:color w:val="auto"/>
        </w:rPr>
      </w:pPr>
    </w:p>
    <w:p>
      <w:pPr>
        <w:ind w:left="480" w:right="300" w:firstLine="4"/>
        <w:spacing w:after="0" w:line="271" w:lineRule="auto"/>
        <w:tabs>
          <w:tab w:leader="none" w:pos="813"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earnings (using a methodology determined from time to time by AB in a manner consistent with the methodology used with respect to the Blizzard Profit Sharing Plan) before interest and taxes of the Company for that Plan Year </w:t>
      </w:r>
      <w:r>
        <w:rPr>
          <w:rFonts w:ascii="Times New Roman" w:cs="Times New Roman" w:eastAsia="Times New Roman" w:hAnsi="Times New Roman"/>
          <w:sz w:val="15"/>
          <w:szCs w:val="15"/>
          <w:u w:val="single" w:color="auto"/>
          <w:color w:val="auto"/>
        </w:rPr>
        <w:t>REDUCED BY</w:t>
      </w:r>
    </w:p>
    <w:p>
      <w:pPr>
        <w:spacing w:after="0" w:line="121" w:lineRule="exact"/>
        <w:rPr>
          <w:rFonts w:ascii="Times New Roman" w:cs="Times New Roman" w:eastAsia="Times New Roman" w:hAnsi="Times New Roman"/>
          <w:sz w:val="15"/>
          <w:szCs w:val="15"/>
          <w:color w:val="auto"/>
        </w:rPr>
      </w:pPr>
    </w:p>
    <w:p>
      <w:pPr>
        <w:ind w:left="800" w:hanging="316"/>
        <w:spacing w:after="0"/>
        <w:tabs>
          <w:tab w:leader="none" w:pos="8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sum of the following items, to the extent not included in A. above:</w:t>
      </w:r>
    </w:p>
    <w:p>
      <w:pPr>
        <w:spacing w:after="0" w:line="164" w:lineRule="exact"/>
        <w:rPr>
          <w:rFonts w:ascii="Times New Roman" w:cs="Times New Roman" w:eastAsia="Times New Roman" w:hAnsi="Times New Roman"/>
          <w:sz w:val="15"/>
          <w:szCs w:val="15"/>
          <w:color w:val="auto"/>
        </w:rPr>
      </w:pPr>
    </w:p>
    <w:p>
      <w:pPr>
        <w:ind w:left="940" w:right="340" w:hanging="6"/>
        <w:spacing w:after="0" w:line="271" w:lineRule="auto"/>
        <w:tabs>
          <w:tab w:leader="none" w:pos="1169"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incentive and other compensation for employees directly managed by the Company (other than compensation relating to this Plan), including associated payroll taxes and social charges;</w:t>
      </w:r>
    </w:p>
    <w:p>
      <w:pPr>
        <w:spacing w:after="0" w:line="132" w:lineRule="exact"/>
        <w:rPr>
          <w:rFonts w:ascii="Times New Roman" w:cs="Times New Roman" w:eastAsia="Times New Roman" w:hAnsi="Times New Roman"/>
          <w:sz w:val="15"/>
          <w:szCs w:val="15"/>
          <w:color w:val="auto"/>
        </w:rPr>
      </w:pPr>
    </w:p>
    <w:p>
      <w:pPr>
        <w:ind w:left="940" w:right="20" w:hanging="6"/>
        <w:spacing w:after="0" w:line="271" w:lineRule="auto"/>
        <w:tabs>
          <w:tab w:leader="none" w:pos="1361"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charges, if applicable, related to the Company operations, except restructuring charges that commence within 12 months of completion of the acquisition of the Company by AB as a direct result of the acquisition of the Company; and</w:t>
      </w:r>
    </w:p>
    <w:p>
      <w:pPr>
        <w:spacing w:after="0" w:line="132" w:lineRule="exact"/>
        <w:rPr>
          <w:rFonts w:ascii="Times New Roman" w:cs="Times New Roman" w:eastAsia="Times New Roman" w:hAnsi="Times New Roman"/>
          <w:sz w:val="15"/>
          <w:szCs w:val="15"/>
          <w:color w:val="auto"/>
        </w:rPr>
      </w:pPr>
    </w:p>
    <w:p>
      <w:pPr>
        <w:ind w:left="940" w:right="40" w:hanging="6"/>
        <w:spacing w:after="0" w:line="256" w:lineRule="auto"/>
        <w:tabs>
          <w:tab w:leader="none" w:pos="1252"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One-time charges (such as legal settlement expenses or gains relating to the Company’s operations, cash payment relating to contingent earn-out of the Company’s business acquisitions, impairment or write-downs or amortization expenses of intangible assets resulting from acquisition of business by the Company etc., in such a way that all revenues and income received and receivable, and costs and expenses paid and payable relating to the Company’s operations are captured).</w:t>
      </w:r>
    </w:p>
    <w:p>
      <w:pPr>
        <w:spacing w:after="0" w:line="143" w:lineRule="exact"/>
        <w:rPr>
          <w:sz w:val="20"/>
          <w:szCs w:val="20"/>
          <w:color w:val="auto"/>
        </w:rPr>
      </w:pPr>
    </w:p>
    <w:p>
      <w:pPr>
        <w:ind w:left="940" w:right="60" w:firstLine="10"/>
        <w:spacing w:after="0" w:line="267" w:lineRule="auto"/>
        <w:rPr>
          <w:sz w:val="20"/>
          <w:szCs w:val="20"/>
          <w:color w:val="auto"/>
        </w:rPr>
      </w:pP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that (a) any allocations of AB’s fixed costs for services performed on behalf of the Company (including, but not limited to, Sales, Marketing, Corporate Service Center and G&amp;A) shall not be deducted in determining the King Contribution, except as mutually agreed between AB and King, (b) charges for impairment or write-downs of intangible assets, that arises from purchase price accounting from acquisition of the Company by AB, will not be deducted in calculating the King Contribution and</w:t>
      </w:r>
    </w:p>
    <w:p>
      <w:pPr>
        <w:ind w:left="1140" w:hanging="206"/>
        <w:spacing w:after="0"/>
        <w:tabs>
          <w:tab w:leader="none" w:pos="11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pursuant to this Plan shall not be deducted in calculating the King</w:t>
      </w:r>
    </w:p>
    <w:p>
      <w:pPr>
        <w:spacing w:after="0" w:line="336" w:lineRule="exact"/>
        <w:rPr>
          <w:rFonts w:ascii="Times New Roman" w:cs="Times New Roman" w:eastAsia="Times New Roman" w:hAnsi="Times New Roman"/>
          <w:sz w:val="15"/>
          <w:szCs w:val="15"/>
          <w:color w:val="auto"/>
        </w:rPr>
      </w:pPr>
    </w:p>
    <w:p>
      <w:pPr>
        <w:ind w:left="5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400"/>
          </w:cols>
          <w:pgMar w:left="280" w:top="637" w:right="219" w:bottom="1440" w:gutter="0" w:footer="0" w:header="0"/>
        </w:sectPr>
      </w:pPr>
    </w:p>
    <w:bookmarkStart w:id="97" w:name="page98"/>
    <w:bookmarkEnd w:id="97"/>
    <w:p>
      <w:pPr>
        <w:ind w:left="998"/>
        <w:spacing w:after="0"/>
        <w:rPr>
          <w:sz w:val="20"/>
          <w:szCs w:val="20"/>
          <w:color w:val="auto"/>
        </w:rPr>
      </w:pPr>
      <w:r>
        <w:rPr>
          <w:rFonts w:ascii="Times New Roman" w:cs="Times New Roman" w:eastAsia="Times New Roman" w:hAnsi="Times New Roman"/>
          <w:sz w:val="15"/>
          <w:szCs w:val="15"/>
          <w:color w:val="auto"/>
        </w:rPr>
        <w:t>Contribution (and in each such case, to the extent taken into account in A. above, shall be added back).</w:t>
      </w:r>
    </w:p>
    <w:p>
      <w:pPr>
        <w:spacing w:after="0" w:line="175" w:lineRule="exact"/>
        <w:rPr>
          <w:sz w:val="20"/>
          <w:szCs w:val="20"/>
          <w:color w:val="auto"/>
        </w:rPr>
      </w:pPr>
    </w:p>
    <w:p>
      <w:pPr>
        <w:ind w:left="558" w:right="20"/>
        <w:spacing w:after="0" w:line="249" w:lineRule="auto"/>
        <w:rPr>
          <w:sz w:val="20"/>
          <w:szCs w:val="20"/>
          <w:color w:val="auto"/>
        </w:rPr>
      </w:pPr>
      <w:r>
        <w:rPr>
          <w:rFonts w:ascii="Times New Roman" w:cs="Times New Roman" w:eastAsia="Times New Roman" w:hAnsi="Times New Roman"/>
          <w:sz w:val="15"/>
          <w:szCs w:val="15"/>
          <w:color w:val="auto"/>
        </w:rPr>
        <w:t>For clarity, the earnings before interest and taxes of the Company referred to in A above shall capture all revenues and income received and receivable, expenses and losses paid and payable for running the Company’s operations, and be computed consistently with the non-GAAP operating income of the Company’s operations, as determined appropriate, being disclosed in AB’s earnings release. For example, under AB’s current definition, non-GAAP operating income excludes from US GAAP operating income the impact from (a) stock-based compensation expenses, (b) changes in deferral of net revenues and related cost of sales, (c) amortization of and any impairment of intangible assets from purchase price accounting, (d) other one-time charges that AB deems to be non-recurring and non-operational, and the income tax adjustments associated with any of the above items.</w:t>
      </w:r>
    </w:p>
    <w:p>
      <w:pPr>
        <w:spacing w:after="0" w:line="148"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Participant</w:t>
      </w:r>
      <w:r>
        <w:rPr>
          <w:rFonts w:ascii="Times New Roman" w:cs="Times New Roman" w:eastAsia="Times New Roman" w:hAnsi="Times New Roman"/>
          <w:sz w:val="15"/>
          <w:szCs w:val="15"/>
          <w:color w:val="auto"/>
        </w:rPr>
        <w:t>" shall mean an eligible employee of the Company designated to share in the</w:t>
      </w:r>
    </w:p>
    <w:p>
      <w:pPr>
        <w:spacing w:after="0" w:line="17"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5"/>
          <w:szCs w:val="15"/>
          <w:color w:val="auto"/>
        </w:rPr>
        <w:t>Profit Sharing Pool.</w:t>
      </w:r>
    </w:p>
    <w:p>
      <w:pPr>
        <w:spacing w:after="0" w:line="139"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shall mean the King Profit Sharing Plan, as amended from time to time, approved by AB.</w:t>
      </w:r>
    </w:p>
    <w:p>
      <w:pPr>
        <w:spacing w:after="0" w:line="196"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Plan Year</w:t>
      </w:r>
      <w:r>
        <w:rPr>
          <w:rFonts w:ascii="Times New Roman" w:cs="Times New Roman" w:eastAsia="Times New Roman" w:hAnsi="Times New Roman"/>
          <w:sz w:val="15"/>
          <w:szCs w:val="15"/>
          <w:color w:val="auto"/>
        </w:rPr>
        <w:t>" shall mean a fiscal year, as defined by AB pursuant to its then-current governance practices.</w:t>
      </w:r>
    </w:p>
    <w:p>
      <w:pPr>
        <w:spacing w:after="0" w:line="165"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Profit Sharing Pool</w:t>
      </w:r>
      <w:r>
        <w:rPr>
          <w:rFonts w:ascii="Times New Roman" w:cs="Times New Roman" w:eastAsia="Times New Roman" w:hAnsi="Times New Roman"/>
          <w:sz w:val="15"/>
          <w:szCs w:val="15"/>
          <w:color w:val="auto"/>
        </w:rPr>
        <w:t>" shall mean the Profit Sharing Pool determined for each Plan Year in accordance with Section 3.</w:t>
      </w:r>
    </w:p>
    <w:p>
      <w:pPr>
        <w:spacing w:after="0" w:line="196" w:lineRule="exact"/>
        <w:rPr>
          <w:sz w:val="20"/>
          <w:szCs w:val="20"/>
          <w:color w:val="auto"/>
        </w:rPr>
      </w:pPr>
    </w:p>
    <w:p>
      <w:pPr>
        <w:ind w:left="258" w:hanging="258"/>
        <w:spacing w:after="0"/>
        <w:tabs>
          <w:tab w:leader="none" w:pos="258"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PURPOSE</w:t>
      </w:r>
    </w:p>
    <w:p>
      <w:pPr>
        <w:spacing w:after="0" w:line="165" w:lineRule="exact"/>
        <w:rPr>
          <w:sz w:val="20"/>
          <w:szCs w:val="20"/>
          <w:color w:val="auto"/>
        </w:rPr>
      </w:pPr>
    </w:p>
    <w:p>
      <w:pPr>
        <w:ind w:left="538"/>
        <w:spacing w:after="0" w:line="299" w:lineRule="auto"/>
        <w:rPr>
          <w:sz w:val="20"/>
          <w:szCs w:val="20"/>
          <w:color w:val="auto"/>
        </w:rPr>
      </w:pPr>
      <w:r>
        <w:rPr>
          <w:rFonts w:ascii="Times New Roman" w:cs="Times New Roman" w:eastAsia="Times New Roman" w:hAnsi="Times New Roman"/>
          <w:sz w:val="15"/>
          <w:szCs w:val="15"/>
          <w:color w:val="auto"/>
        </w:rPr>
        <w:t>The purposes of this Plan are to further the growth and success of King, to provide Participants with cash awards in recognition of meeting business goals, to motivate Participants to make contributions to the profitable growth of the Company, and to incent the long-term attraction and retention of employees.</w:t>
      </w:r>
    </w:p>
    <w:p>
      <w:pPr>
        <w:spacing w:after="0" w:line="112" w:lineRule="exact"/>
        <w:rPr>
          <w:sz w:val="20"/>
          <w:szCs w:val="20"/>
          <w:color w:val="auto"/>
        </w:rPr>
      </w:pPr>
    </w:p>
    <w:p>
      <w:pPr>
        <w:ind w:left="498" w:hanging="498"/>
        <w:spacing w:after="0"/>
        <w:tabs>
          <w:tab w:leader="none" w:pos="498"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 YEAR PROFIT SHARING POOL</w:t>
      </w:r>
    </w:p>
    <w:p>
      <w:pPr>
        <w:spacing w:after="0" w:line="185" w:lineRule="exact"/>
        <w:rPr>
          <w:sz w:val="20"/>
          <w:szCs w:val="20"/>
          <w:color w:val="auto"/>
        </w:rPr>
      </w:pPr>
    </w:p>
    <w:p>
      <w:pPr>
        <w:ind w:left="538" w:right="140"/>
        <w:spacing w:after="0" w:line="299" w:lineRule="auto"/>
        <w:rPr>
          <w:sz w:val="20"/>
          <w:szCs w:val="20"/>
          <w:color w:val="auto"/>
        </w:rPr>
      </w:pPr>
      <w:r>
        <w:rPr>
          <w:rFonts w:ascii="Times New Roman" w:cs="Times New Roman" w:eastAsia="Times New Roman" w:hAnsi="Times New Roman"/>
          <w:sz w:val="15"/>
          <w:szCs w:val="15"/>
          <w:color w:val="auto"/>
        </w:rPr>
        <w:t xml:space="preserve">For each Plan Year, King shall establish and maintain an unfunded bookkeeping reserve for purposes of the Plan (the "Profit Sharing Pool") with a corresponding charge to income for the Plan Year. The Profit Sharing Pool shall be equal to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of the King Contribution (i.e. prior to profit sharing expense), as approved by AB.</w:t>
      </w:r>
    </w:p>
    <w:p>
      <w:pPr>
        <w:spacing w:after="0" w:line="122" w:lineRule="exact"/>
        <w:rPr>
          <w:sz w:val="20"/>
          <w:szCs w:val="20"/>
          <w:color w:val="auto"/>
        </w:rPr>
      </w:pPr>
    </w:p>
    <w:p>
      <w:pPr>
        <w:ind w:left="78"/>
        <w:spacing w:after="0"/>
        <w:tabs>
          <w:tab w:leader="none" w:pos="318" w:val="left"/>
        </w:tabs>
        <w:rPr>
          <w:sz w:val="20"/>
          <w:szCs w:val="20"/>
          <w:color w:val="auto"/>
        </w:rPr>
      </w:pPr>
      <w:r>
        <w:rPr>
          <w:rFonts w:ascii="Times New Roman" w:cs="Times New Roman" w:eastAsia="Times New Roman" w:hAnsi="Times New Roman"/>
          <w:sz w:val="15"/>
          <w:szCs w:val="15"/>
          <w:color w:val="auto"/>
        </w:rPr>
        <w:t>4.</w:t>
      </w:r>
      <w:r>
        <w:rPr>
          <w:sz w:val="20"/>
          <w:szCs w:val="20"/>
          <w:color w:val="auto"/>
        </w:rPr>
        <w:tab/>
      </w:r>
      <w:r>
        <w:rPr>
          <w:rFonts w:ascii="Times New Roman" w:cs="Times New Roman" w:eastAsia="Times New Roman" w:hAnsi="Times New Roman"/>
          <w:sz w:val="14"/>
          <w:szCs w:val="14"/>
          <w:color w:val="auto"/>
        </w:rPr>
        <w:t>AMOUNT OF ANNUAL AWARD FROM PROFIT SHARING POOL</w:t>
      </w:r>
    </w:p>
    <w:p>
      <w:pPr>
        <w:spacing w:after="0" w:line="175" w:lineRule="exact"/>
        <w:rPr>
          <w:sz w:val="20"/>
          <w:szCs w:val="20"/>
          <w:color w:val="auto"/>
        </w:rPr>
      </w:pPr>
    </w:p>
    <w:p>
      <w:pPr>
        <w:ind w:left="538" w:right="100"/>
        <w:spacing w:after="0" w:line="280" w:lineRule="auto"/>
        <w:rPr>
          <w:sz w:val="20"/>
          <w:szCs w:val="20"/>
          <w:color w:val="auto"/>
        </w:rPr>
      </w:pPr>
      <w:r>
        <w:rPr>
          <w:rFonts w:ascii="Times New Roman" w:cs="Times New Roman" w:eastAsia="Times New Roman" w:hAnsi="Times New Roman"/>
          <w:sz w:val="15"/>
          <w:szCs w:val="15"/>
          <w:color w:val="auto"/>
        </w:rPr>
        <w:t>Whether an individual employee participates and the amount of a Participant's award payable out of the Profit Sharing Pool for any Plan Year may be proposed by King and subject to the approval of AB, as well as the Compensation Committee of the Board of Directors of AB (where applicable pursuant to the then prevailing Compensation Committee procedures). The amount of a Participant's award will be determined based upon actual performance and contribution, in addition to other factors. AB retains the sole discretion to determine the amount and timing of all awards.</w:t>
      </w:r>
    </w:p>
    <w:p>
      <w:pPr>
        <w:spacing w:after="0" w:line="115" w:lineRule="exact"/>
        <w:rPr>
          <w:sz w:val="20"/>
          <w:szCs w:val="20"/>
          <w:color w:val="auto"/>
        </w:rPr>
      </w:pPr>
    </w:p>
    <w:p>
      <w:pPr>
        <w:ind w:left="538" w:right="360"/>
        <w:spacing w:after="0" w:line="271" w:lineRule="auto"/>
        <w:rPr>
          <w:sz w:val="20"/>
          <w:szCs w:val="20"/>
          <w:color w:val="auto"/>
        </w:rPr>
      </w:pPr>
      <w:r>
        <w:rPr>
          <w:rFonts w:ascii="Times New Roman" w:cs="Times New Roman" w:eastAsia="Times New Roman" w:hAnsi="Times New Roman"/>
          <w:sz w:val="15"/>
          <w:szCs w:val="15"/>
          <w:color w:val="auto"/>
        </w:rPr>
        <w:t>The award, if any, to an employee for any Plan Year will be determined independently of his or her award in any other Plan Year. Any prior award is not a guarantee of a future award.</w:t>
      </w:r>
    </w:p>
    <w:p>
      <w:pPr>
        <w:spacing w:after="0" w:line="310"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418"/>
          </w:cols>
          <w:pgMar w:left="222" w:top="307" w:right="259" w:bottom="1440" w:gutter="0" w:footer="0" w:header="0"/>
        </w:sectPr>
      </w:pPr>
    </w:p>
    <w:bookmarkStart w:id="98" w:name="page99"/>
    <w:bookmarkEnd w:id="98"/>
    <w:p>
      <w:pPr>
        <w:ind w:left="380" w:hanging="296"/>
        <w:spacing w:after="0"/>
        <w:tabs>
          <w:tab w:leader="none" w:pos="38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FOR PAYMENT OF AWARDS</w:t>
      </w:r>
    </w:p>
    <w:p>
      <w:pPr>
        <w:spacing w:after="0" w:line="145" w:lineRule="exact"/>
        <w:rPr>
          <w:sz w:val="20"/>
          <w:szCs w:val="20"/>
          <w:color w:val="auto"/>
        </w:rPr>
      </w:pPr>
    </w:p>
    <w:p>
      <w:pPr>
        <w:ind w:left="540" w:right="40"/>
        <w:spacing w:after="0" w:line="238" w:lineRule="auto"/>
        <w:rPr>
          <w:sz w:val="20"/>
          <w:szCs w:val="20"/>
          <w:color w:val="auto"/>
        </w:rPr>
      </w:pPr>
      <w:r>
        <w:rPr>
          <w:rFonts w:ascii="Times New Roman" w:cs="Times New Roman" w:eastAsia="Times New Roman" w:hAnsi="Times New Roman"/>
          <w:sz w:val="15"/>
          <w:szCs w:val="15"/>
          <w:color w:val="auto"/>
        </w:rPr>
        <w:t>Except as may otherwise be provided in his or her employment or service agreement, an employee will earn the right to receive payment of an award for a Plan Year only if he or she remains continuously employed by the Company until the award for the Plan Year is paid. If an employee ceases to be an employee of the Company prior to payment of the award for the Plan Year for any reason, except as may otherwise be provided in his or her employment or service agreement, the employee will not be entitled to payment under this Plan for that Plan Year and the Company and AB will have no further obligation under this Plan to the employee.</w:t>
      </w:r>
    </w:p>
    <w:p>
      <w:pPr>
        <w:spacing w:after="0" w:line="287"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5"/>
          <w:szCs w:val="15"/>
          <w:color w:val="auto"/>
        </w:rPr>
        <w:t>6.</w:t>
      </w:r>
      <w:r>
        <w:rPr>
          <w:sz w:val="20"/>
          <w:szCs w:val="20"/>
          <w:color w:val="auto"/>
        </w:rPr>
        <w:tab/>
      </w:r>
      <w:r>
        <w:rPr>
          <w:rFonts w:ascii="Times New Roman" w:cs="Times New Roman" w:eastAsia="Times New Roman" w:hAnsi="Times New Roman"/>
          <w:sz w:val="14"/>
          <w:szCs w:val="14"/>
          <w:color w:val="auto"/>
        </w:rPr>
        <w:t>TIMING OF AWARDS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 respect to each Plan Year, awards, if any, shall be made at such times as King may propose, subject to the approval of AB, or as AB may determine, and may include deferrals.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Once approved or determined by AB, such awards, if any, shall be made and paid within the first 90 days following the end of the applicable Plan Year.</w:t>
      </w:r>
    </w:p>
    <w:p>
      <w:pPr>
        <w:spacing w:after="0" w:line="216" w:lineRule="exact"/>
        <w:rPr>
          <w:sz w:val="20"/>
          <w:szCs w:val="20"/>
          <w:color w:val="auto"/>
        </w:rPr>
      </w:pPr>
    </w:p>
    <w:p>
      <w:pPr>
        <w:ind w:left="540"/>
        <w:spacing w:after="0" w:line="299" w:lineRule="auto"/>
        <w:rPr>
          <w:sz w:val="20"/>
          <w:szCs w:val="20"/>
          <w:color w:val="auto"/>
        </w:rPr>
      </w:pPr>
      <w:r>
        <w:rPr>
          <w:rFonts w:ascii="Times New Roman" w:cs="Times New Roman" w:eastAsia="Times New Roman" w:hAnsi="Times New Roman"/>
          <w:sz w:val="15"/>
          <w:szCs w:val="15"/>
          <w:color w:val="auto"/>
        </w:rPr>
        <w:t>Notwithstanding the above, AB retains the sole discretion to determine the amount of any awards, to whom such awards are made, if there are any deferrals and the amount thereof as well as the payment schedule and timing of all deferrals of any such awards.</w:t>
      </w:r>
    </w:p>
    <w:p>
      <w:pPr>
        <w:spacing w:after="0" w:line="143" w:lineRule="exact"/>
        <w:rPr>
          <w:sz w:val="20"/>
          <w:szCs w:val="20"/>
          <w:color w:val="auto"/>
        </w:rPr>
      </w:pPr>
    </w:p>
    <w:p>
      <w:pPr>
        <w:ind w:left="260" w:hanging="258"/>
        <w:spacing w:after="0"/>
        <w:tabs>
          <w:tab w:leader="none" w:pos="26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 INTERPRETATION, TERMINATION, OR MODIFICATION</w:t>
      </w:r>
    </w:p>
    <w:p>
      <w:pPr>
        <w:spacing w:after="0" w:line="155" w:lineRule="exact"/>
        <w:rPr>
          <w:sz w:val="20"/>
          <w:szCs w:val="20"/>
          <w:color w:val="auto"/>
        </w:rPr>
      </w:pPr>
    </w:p>
    <w:p>
      <w:pPr>
        <w:ind w:left="540"/>
        <w:spacing w:after="0" w:line="233" w:lineRule="auto"/>
        <w:rPr>
          <w:sz w:val="20"/>
          <w:szCs w:val="20"/>
          <w:color w:val="auto"/>
        </w:rPr>
      </w:pPr>
      <w:r>
        <w:rPr>
          <w:rFonts w:ascii="Times New Roman" w:cs="Times New Roman" w:eastAsia="Times New Roman" w:hAnsi="Times New Roman"/>
          <w:sz w:val="15"/>
          <w:szCs w:val="15"/>
          <w:color w:val="auto"/>
        </w:rPr>
        <w:t>Except for the most senior executive of King, the most senior Human Resources Officer of AB, the Chief Executive Officer of AB, the Chief Operating Officer of AB and, the Compensation Committee (where applicable, pursuant to the then prevailing Compensation Committee procedures), in each case acting within his or its authority as specifically set forth in the provisions of the Plan, no employee has the authority to bind the Company with respect to any aspect of the Plan. Any course of dealings will not be applicable to the interpretation or implementation of the Plan and no employee will be entitled to rely on any past, current or future practices. Although the provisions of this Plan reflect the current methodology by which the Company and AB anticipate operating the Plan, the Plan is completely discretionary and AB retains the right to change, interpret and/or terminate the Plan in its sole discretion, with or without notice, and regardless of whether or not work has been initiated or completed, and the AB’s determination on these matters will be final and binding.</w:t>
      </w:r>
    </w:p>
    <w:p>
      <w:pPr>
        <w:spacing w:after="0" w:line="147" w:lineRule="exact"/>
        <w:rPr>
          <w:sz w:val="20"/>
          <w:szCs w:val="20"/>
          <w:color w:val="auto"/>
        </w:rPr>
      </w:pPr>
    </w:p>
    <w:p>
      <w:pPr>
        <w:ind w:left="380" w:hanging="296"/>
        <w:spacing w:after="0"/>
        <w:tabs>
          <w:tab w:leader="none" w:pos="38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w:t>
      </w:r>
    </w:p>
    <w:p>
      <w:pPr>
        <w:spacing w:after="0" w:line="185" w:lineRule="exact"/>
        <w:rPr>
          <w:rFonts w:ascii="Times New Roman" w:cs="Times New Roman" w:eastAsia="Times New Roman" w:hAnsi="Times New Roman"/>
          <w:sz w:val="15"/>
          <w:szCs w:val="15"/>
          <w:color w:val="auto"/>
        </w:rPr>
      </w:pPr>
    </w:p>
    <w:p>
      <w:pPr>
        <w:ind w:left="1000" w:right="280" w:hanging="466"/>
        <w:spacing w:after="0" w:line="299" w:lineRule="auto"/>
        <w:tabs>
          <w:tab w:leader="none" w:pos="100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 to Withhold Taxes</w:t>
      </w:r>
      <w:r>
        <w:rPr>
          <w:rFonts w:ascii="Times New Roman" w:cs="Times New Roman" w:eastAsia="Times New Roman" w:hAnsi="Times New Roman"/>
          <w:sz w:val="15"/>
          <w:szCs w:val="15"/>
          <w:color w:val="auto"/>
        </w:rPr>
        <w:t>. The Company shall have the right to withhold such amounts from any payment under this Plan as it determines (acting reasonably) necessary to fulfill any federal, state, or local wage or compensation withholding requirements.</w:t>
      </w:r>
    </w:p>
    <w:p>
      <w:pPr>
        <w:spacing w:after="0" w:line="112" w:lineRule="exact"/>
        <w:rPr>
          <w:rFonts w:ascii="Times New Roman" w:cs="Times New Roman" w:eastAsia="Times New Roman" w:hAnsi="Times New Roman"/>
          <w:sz w:val="15"/>
          <w:szCs w:val="15"/>
          <w:color w:val="auto"/>
        </w:rPr>
      </w:pPr>
    </w:p>
    <w:p>
      <w:pPr>
        <w:ind w:left="1000" w:right="80" w:hanging="456"/>
        <w:spacing w:after="0" w:line="238" w:lineRule="auto"/>
        <w:tabs>
          <w:tab w:leader="none" w:pos="100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Non-Transferability of Rights</w:t>
      </w:r>
      <w:r>
        <w:rPr>
          <w:rFonts w:ascii="Times New Roman" w:cs="Times New Roman" w:eastAsia="Times New Roman" w:hAnsi="Times New Roman"/>
          <w:sz w:val="15"/>
          <w:szCs w:val="15"/>
          <w:color w:val="auto"/>
        </w:rPr>
        <w:t>. A Participant may not assign or transfer his/her rights and interests under the Plan in whole or in part either directly or by operation of law or otherwise (except in an event of the Participant's death), including, but not limited to, by way of execution, levy, garnishment, attachment, pledge, bankruptcy or in any other manner, and no such rights or interests of any Participant under the Plan shall be subject to any obligation or liability of such Participant other than any obligations or liabilities owed by the Participant to the Company or AB.</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460"/>
          </w:cols>
          <w:pgMar w:left="220" w:top="634" w:right="219" w:bottom="1440" w:gutter="0" w:footer="0" w:header="0"/>
        </w:sectPr>
      </w:pPr>
    </w:p>
    <w:bookmarkStart w:id="99" w:name="page100"/>
    <w:bookmarkEnd w:id="99"/>
    <w:p>
      <w:pPr>
        <w:ind w:left="446" w:right="180" w:hanging="446"/>
        <w:spacing w:after="0" w:line="235" w:lineRule="auto"/>
        <w:tabs>
          <w:tab w:leader="none" w:pos="44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 to Continued Employment</w:t>
      </w:r>
      <w:r>
        <w:rPr>
          <w:rFonts w:ascii="Times New Roman" w:cs="Times New Roman" w:eastAsia="Times New Roman" w:hAnsi="Times New Roman"/>
          <w:sz w:val="15"/>
          <w:szCs w:val="15"/>
          <w:color w:val="auto"/>
        </w:rPr>
        <w:t>. Neither the Plan, nor any compensation payable under the Plan, shall confer upon any Participant any right to continuance of employment by the Company or AB nor shall they interfere in any way with the right of the Company or AB to terminate any Participant's employment at any time. In the event of termination, the Participant's right to payment under this Plan will be determined pursuant to Section 5 above.</w:t>
      </w:r>
    </w:p>
    <w:p>
      <w:pPr>
        <w:ind w:left="6"/>
        <w:spacing w:after="0"/>
        <w:rPr>
          <w:sz w:val="20"/>
          <w:szCs w:val="20"/>
          <w:color w:val="auto"/>
        </w:rPr>
      </w:pP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446" w:hanging="446"/>
        <w:spacing w:after="0" w:line="290" w:lineRule="auto"/>
        <w:tabs>
          <w:tab w:leader="none" w:pos="433"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Claim Against Assets</w:t>
      </w:r>
      <w:r>
        <w:rPr>
          <w:rFonts w:ascii="Times New Roman" w:cs="Times New Roman" w:eastAsia="Times New Roman" w:hAnsi="Times New Roman"/>
          <w:sz w:val="14"/>
          <w:szCs w:val="14"/>
          <w:color w:val="auto"/>
        </w:rPr>
        <w:t>. Nothing in this Plan shall be construed as giving any Participant or his or her legal representative, or designated beneficiary, any claim against any specific assets of the Company or AB or as imposing any trustee relationship upon the Company or AB in respect of the Participant. The Company shall not be required to segregate any assets in order to provide for the satisfaction of the obligations hereunder. If and to the extent that the Participant or his or her legal representative or designated beneficiary acquires a right to receive any payment pursuant to this Plan, such right shall be no greater than the right of an unsecured general creditor of the Company or AB.</w:t>
      </w:r>
    </w:p>
    <w:p>
      <w:pPr>
        <w:spacing w:after="0" w:line="121" w:lineRule="exact"/>
        <w:rPr>
          <w:rFonts w:ascii="Times New Roman" w:cs="Times New Roman" w:eastAsia="Times New Roman" w:hAnsi="Times New Roman"/>
          <w:sz w:val="14"/>
          <w:szCs w:val="14"/>
          <w:color w:val="auto"/>
        </w:rPr>
      </w:pPr>
    </w:p>
    <w:p>
      <w:pPr>
        <w:jc w:val="both"/>
        <w:ind w:left="446" w:hanging="446"/>
        <w:spacing w:after="0" w:line="270" w:lineRule="auto"/>
        <w:tabs>
          <w:tab w:leader="none" w:pos="446"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to Designated Beneficiary</w:t>
      </w:r>
      <w:r>
        <w:rPr>
          <w:rFonts w:ascii="Times New Roman" w:cs="Times New Roman" w:eastAsia="Times New Roman" w:hAnsi="Times New Roman"/>
          <w:sz w:val="15"/>
          <w:szCs w:val="15"/>
          <w:color w:val="auto"/>
        </w:rPr>
        <w:t>. In the event of a Participant's death or total disability, payment of the Participant's incentive compensation shall be made to a beneficiary (or beneficiaries) designated by the Participant in the form and a manner prescribed by the Company, or to the Participant's legal representative. If a Participant does not have a properly designated beneficiary, payment shall be made to the Participant's estate.</w:t>
      </w:r>
    </w:p>
    <w:p>
      <w:pPr>
        <w:spacing w:after="0" w:line="133" w:lineRule="exact"/>
        <w:rPr>
          <w:rFonts w:ascii="Times New Roman" w:cs="Times New Roman" w:eastAsia="Times New Roman" w:hAnsi="Times New Roman"/>
          <w:sz w:val="15"/>
          <w:szCs w:val="15"/>
          <w:color w:val="auto"/>
        </w:rPr>
      </w:pPr>
    </w:p>
    <w:p>
      <w:pPr>
        <w:ind w:left="466" w:right="60" w:hanging="456"/>
        <w:spacing w:after="0" w:line="270" w:lineRule="auto"/>
        <w:tabs>
          <w:tab w:leader="none" w:pos="453" w:val="left"/>
        </w:tabs>
        <w:numPr>
          <w:ilvl w:val="1"/>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Other Agreements or Understandings</w:t>
      </w:r>
      <w:r>
        <w:rPr>
          <w:rFonts w:ascii="Times New Roman" w:cs="Times New Roman" w:eastAsia="Times New Roman" w:hAnsi="Times New Roman"/>
          <w:sz w:val="15"/>
          <w:szCs w:val="15"/>
          <w:color w:val="auto"/>
        </w:rPr>
        <w:t>. Except as expressly provided herein, this Plan represents the sole agreement among the Company, AB and the Participants concerning its subject matter and it supersedes all prior agreements, arrangements, understandings, warranties, representations, and statements among the Company, AB and the Participants concerning its subject matter.</w:t>
      </w:r>
    </w:p>
    <w:p>
      <w:pPr>
        <w:spacing w:after="0" w:line="144" w:lineRule="exact"/>
        <w:rPr>
          <w:sz w:val="20"/>
          <w:szCs w:val="20"/>
          <w:color w:val="auto"/>
        </w:rPr>
      </w:pPr>
    </w:p>
    <w:p>
      <w:pPr>
        <w:ind w:left="446" w:hanging="446"/>
        <w:spacing w:after="0"/>
        <w:tabs>
          <w:tab w:leader="none" w:pos="446"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Section headings are used in this Plan for convenience of reference only and shall not affect the meaning of any provision of the Plan.</w:t>
      </w:r>
    </w:p>
    <w:p>
      <w:pPr>
        <w:spacing w:after="0" w:line="175" w:lineRule="exact"/>
        <w:rPr>
          <w:rFonts w:ascii="Times New Roman" w:cs="Times New Roman" w:eastAsia="Times New Roman" w:hAnsi="Times New Roman"/>
          <w:sz w:val="15"/>
          <w:szCs w:val="15"/>
          <w:color w:val="auto"/>
        </w:rPr>
      </w:pPr>
    </w:p>
    <w:p>
      <w:pPr>
        <w:ind w:left="466" w:right="420" w:hanging="466"/>
        <w:spacing w:after="0" w:line="285" w:lineRule="auto"/>
        <w:tabs>
          <w:tab w:leader="none" w:pos="453"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all actions taken pursuant thereto shall be governed by, and construed in accordance with, the laws of England applied without regard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0866"/>
          </w:cols>
          <w:pgMar w:left="754" w:top="307" w:right="2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color w:val="auto"/>
        </w:rPr>
        <w:t>ACTIVISION BLIZZARD, INC.</w:t>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335089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350895" cy="635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Robert A. Kotick,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15"/>
          <w:szCs w:val="15"/>
          <w:color w:val="auto"/>
        </w:rPr>
        <w:t>[signature page to King Profit Sharing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10239"/>
          </w:cols>
          <w:pgMar w:left="220" w:top="630"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A. Kotick, certify that:</w:t>
      </w:r>
    </w:p>
    <w:p>
      <w:pPr>
        <w:spacing w:after="0" w:line="166" w:lineRule="exact"/>
        <w:rPr>
          <w:sz w:val="20"/>
          <w:szCs w:val="20"/>
          <w:color w:val="auto"/>
        </w:rPr>
      </w:pPr>
    </w:p>
    <w:p>
      <w:pPr>
        <w:ind w:left="140" w:hanging="138"/>
        <w:spacing w:after="0"/>
        <w:tabs>
          <w:tab w:leader="none" w:pos="1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Activision Blizzard, Inc.;</w:t>
      </w:r>
    </w:p>
    <w:p>
      <w:pPr>
        <w:spacing w:after="0" w:line="166" w:lineRule="exact"/>
        <w:rPr>
          <w:rFonts w:ascii="Times New Roman" w:cs="Times New Roman" w:eastAsia="Times New Roman" w:hAnsi="Times New Roman"/>
          <w:sz w:val="14"/>
          <w:szCs w:val="14"/>
          <w:color w:val="auto"/>
        </w:rPr>
      </w:pPr>
    </w:p>
    <w:p>
      <w:pPr>
        <w:ind w:right="120" w:firstLine="2"/>
        <w:spacing w:after="0" w:line="265" w:lineRule="auto"/>
        <w:tabs>
          <w:tab w:leader="none" w:pos="13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5" w:lineRule="auto"/>
        <w:tabs>
          <w:tab w:leader="none" w:pos="13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right="300" w:firstLine="2"/>
        <w:spacing w:after="0" w:line="265" w:lineRule="auto"/>
        <w:tabs>
          <w:tab w:leader="none" w:pos="13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right="380" w:firstLine="493"/>
        <w:spacing w:after="0" w:line="311" w:lineRule="auto"/>
        <w:tabs>
          <w:tab w:leader="none" w:pos="758"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Times New Roman" w:cs="Times New Roman" w:eastAsia="Times New Roman" w:hAnsi="Times New Roman"/>
          <w:sz w:val="14"/>
          <w:szCs w:val="14"/>
          <w:color w:val="auto"/>
        </w:rPr>
      </w:pPr>
    </w:p>
    <w:p>
      <w:pPr>
        <w:ind w:right="40" w:firstLine="493"/>
        <w:spacing w:after="0" w:line="311" w:lineRule="auto"/>
        <w:tabs>
          <w:tab w:leader="none" w:pos="766"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Times New Roman" w:cs="Times New Roman" w:eastAsia="Times New Roman" w:hAnsi="Times New Roman"/>
          <w:sz w:val="14"/>
          <w:szCs w:val="14"/>
          <w:color w:val="auto"/>
        </w:rPr>
      </w:pPr>
    </w:p>
    <w:p>
      <w:pPr>
        <w:ind w:firstLine="493"/>
        <w:spacing w:after="0" w:line="311" w:lineRule="auto"/>
        <w:tabs>
          <w:tab w:leader="none" w:pos="768"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Times New Roman" w:cs="Times New Roman" w:eastAsia="Times New Roman" w:hAnsi="Times New Roman"/>
          <w:sz w:val="14"/>
          <w:szCs w:val="14"/>
          <w:color w:val="auto"/>
        </w:rPr>
      </w:pPr>
    </w:p>
    <w:p>
      <w:pPr>
        <w:ind w:right="60" w:firstLine="493"/>
        <w:spacing w:after="0" w:line="311" w:lineRule="auto"/>
        <w:tabs>
          <w:tab w:leader="none" w:pos="766"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4"/>
          <w:szCs w:val="14"/>
          <w:color w:val="auto"/>
        </w:rPr>
      </w:pPr>
    </w:p>
    <w:p>
      <w:pPr>
        <w:ind w:right="500" w:firstLine="2"/>
        <w:spacing w:after="0" w:line="265" w:lineRule="auto"/>
        <w:tabs>
          <w:tab w:leader="none" w:pos="13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right="140" w:firstLine="493"/>
        <w:spacing w:after="0" w:line="311" w:lineRule="auto"/>
        <w:tabs>
          <w:tab w:leader="none" w:pos="758"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Times New Roman" w:cs="Times New Roman" w:eastAsia="Times New Roman" w:hAnsi="Times New Roman"/>
          <w:sz w:val="14"/>
          <w:szCs w:val="14"/>
          <w:color w:val="auto"/>
        </w:rPr>
      </w:pPr>
    </w:p>
    <w:p>
      <w:pPr>
        <w:ind w:left="760" w:hanging="267"/>
        <w:spacing w:after="0"/>
        <w:tabs>
          <w:tab w:leader="none" w:pos="76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2,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Robert A. Kotick</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Executive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Executive Officer of</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ectPr>
          <w:pgSz w:w="11900" w:h="16838" w:orient="portrait"/>
          <w:cols w:equalWidth="0" w:num="1">
            <w:col w:w="11460"/>
          </w:cols>
          <w:pgMar w:left="220" w:top="471" w:right="2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Dennis Durkin, certify that:</w:t>
      </w:r>
    </w:p>
    <w:p>
      <w:pPr>
        <w:spacing w:after="0" w:line="166" w:lineRule="exact"/>
        <w:rPr>
          <w:sz w:val="20"/>
          <w:szCs w:val="20"/>
          <w:color w:val="auto"/>
        </w:rPr>
      </w:pPr>
    </w:p>
    <w:p>
      <w:pPr>
        <w:ind w:left="140" w:hanging="138"/>
        <w:spacing w:after="0"/>
        <w:tabs>
          <w:tab w:leader="none" w:pos="1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Activision Blizzard, Inc.;</w:t>
      </w:r>
    </w:p>
    <w:p>
      <w:pPr>
        <w:spacing w:after="0" w:line="166" w:lineRule="exact"/>
        <w:rPr>
          <w:rFonts w:ascii="Times New Roman" w:cs="Times New Roman" w:eastAsia="Times New Roman" w:hAnsi="Times New Roman"/>
          <w:sz w:val="14"/>
          <w:szCs w:val="14"/>
          <w:color w:val="auto"/>
        </w:rPr>
      </w:pPr>
    </w:p>
    <w:p>
      <w:pPr>
        <w:ind w:right="120" w:firstLine="2"/>
        <w:spacing w:after="0" w:line="265" w:lineRule="auto"/>
        <w:tabs>
          <w:tab w:leader="none" w:pos="13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5" w:lineRule="auto"/>
        <w:tabs>
          <w:tab w:leader="none" w:pos="13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right="300" w:firstLine="2"/>
        <w:spacing w:after="0" w:line="265" w:lineRule="auto"/>
        <w:tabs>
          <w:tab w:leader="none" w:pos="13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right="480" w:firstLine="493"/>
        <w:spacing w:after="0" w:line="265" w:lineRule="auto"/>
        <w:tabs>
          <w:tab w:leader="none" w:pos="67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right="120" w:firstLine="493"/>
        <w:spacing w:after="0" w:line="265" w:lineRule="auto"/>
        <w:tabs>
          <w:tab w:leader="none" w:pos="684"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right="100" w:firstLine="493"/>
        <w:spacing w:after="0" w:line="265" w:lineRule="auto"/>
        <w:tabs>
          <w:tab w:leader="none" w:pos="67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right="140" w:firstLine="493"/>
        <w:spacing w:after="0" w:line="265" w:lineRule="auto"/>
        <w:tabs>
          <w:tab w:leader="none" w:pos="684"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right="500" w:firstLine="2"/>
        <w:spacing w:after="0" w:line="265" w:lineRule="auto"/>
        <w:tabs>
          <w:tab w:leader="none" w:pos="13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right="240" w:firstLine="493"/>
        <w:spacing w:after="0" w:line="265" w:lineRule="auto"/>
        <w:tabs>
          <w:tab w:leader="none" w:pos="669"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680" w:hanging="187"/>
        <w:spacing w:after="0"/>
        <w:tabs>
          <w:tab w:leader="none" w:pos="68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2,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Dennis Durkin</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ectPr>
          <w:pgSz w:w="11900" w:h="16838" w:orient="portrait"/>
          <w:cols w:equalWidth="0" w:num="1">
            <w:col w:w="11460"/>
          </w:cols>
          <w:pgMar w:left="220" w:top="471" w:right="2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jc w:val="both"/>
        <w:ind w:right="60" w:firstLine="245"/>
        <w:spacing w:after="0" w:line="254" w:lineRule="auto"/>
        <w:rPr>
          <w:sz w:val="20"/>
          <w:szCs w:val="20"/>
          <w:color w:val="auto"/>
        </w:rPr>
      </w:pPr>
      <w:r>
        <w:rPr>
          <w:rFonts w:ascii="Times New Roman" w:cs="Times New Roman" w:eastAsia="Times New Roman" w:hAnsi="Times New Roman"/>
          <w:sz w:val="14"/>
          <w:szCs w:val="14"/>
          <w:color w:val="auto"/>
        </w:rPr>
        <w:t>In connection with the quarterly report of Activision Blizzard, Inc. (the “Company”) on Form 10-Q for the period ended March 31, 2019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3" w:lineRule="exact"/>
        <w:rPr>
          <w:sz w:val="20"/>
          <w:szCs w:val="20"/>
          <w:color w:val="auto"/>
        </w:rPr>
      </w:pPr>
    </w:p>
    <w:p>
      <w:pPr>
        <w:ind w:left="760" w:hanging="267"/>
        <w:spacing w:after="0"/>
        <w:tabs>
          <w:tab w:leader="none" w:pos="76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4"/>
          <w:szCs w:val="14"/>
          <w:color w:val="auto"/>
        </w:rPr>
      </w:pPr>
    </w:p>
    <w:p>
      <w:pPr>
        <w:ind w:right="2800" w:firstLine="493"/>
        <w:spacing w:after="0" w:line="555" w:lineRule="auto"/>
        <w:tabs>
          <w:tab w:leader="none" w:pos="755"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 May 2, 2019</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Robert A. Kotick</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Executive Officer and</w:t>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Principal Executive Officer of</w:t>
      </w:r>
    </w:p>
    <w:p>
      <w:pPr>
        <w:spacing w:after="0" w:line="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471" w:right="2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4" w:lineRule="exact"/>
        <w:rPr>
          <w:sz w:val="20"/>
          <w:szCs w:val="20"/>
          <w:color w:val="auto"/>
        </w:rPr>
      </w:pPr>
    </w:p>
    <w:p>
      <w:pPr>
        <w:ind w:right="120" w:firstLine="245"/>
        <w:spacing w:after="0" w:line="254" w:lineRule="auto"/>
        <w:rPr>
          <w:sz w:val="20"/>
          <w:szCs w:val="20"/>
          <w:color w:val="auto"/>
        </w:rPr>
      </w:pPr>
      <w:r>
        <w:rPr>
          <w:rFonts w:ascii="Times New Roman" w:cs="Times New Roman" w:eastAsia="Times New Roman" w:hAnsi="Times New Roman"/>
          <w:sz w:val="14"/>
          <w:szCs w:val="14"/>
          <w:color w:val="auto"/>
        </w:rPr>
        <w:t>In connection with the quarterly report of Activision Blizzard, Inc. (the “Company”) on Form 10-Q for the period ended March 31, 2019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43" w:lineRule="exact"/>
        <w:rPr>
          <w:sz w:val="20"/>
          <w:szCs w:val="20"/>
          <w:color w:val="auto"/>
        </w:rPr>
      </w:pPr>
    </w:p>
    <w:p>
      <w:pPr>
        <w:ind w:left="760" w:hanging="267"/>
        <w:spacing w:after="0"/>
        <w:tabs>
          <w:tab w:leader="none" w:pos="7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4"/>
          <w:szCs w:val="14"/>
          <w:color w:val="auto"/>
        </w:rPr>
      </w:pPr>
    </w:p>
    <w:p>
      <w:pPr>
        <w:ind w:right="2800" w:firstLine="493"/>
        <w:spacing w:after="0" w:line="555" w:lineRule="auto"/>
        <w:tabs>
          <w:tab w:leader="none" w:pos="75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 May 2, 2019</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22860</wp:posOffset>
            </wp:positionV>
            <wp:extent cx="363664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Dennis Durkin</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Chief Financial Officer and</w:t>
      </w:r>
    </w:p>
    <w:p>
      <w:pPr>
        <w:spacing w:after="0" w:line="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Financial Officer of</w:t>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Activision Blizzard, Inc.</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47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79BE4F1"/>
    <w:multiLevelType w:val="hybridMultilevel"/>
    <w:lvl w:ilvl="0">
      <w:lvlJc w:val="left"/>
      <w:lvlText w:val="x"/>
      <w:numFmt w:val="bullet"/>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decimal"/>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decimal"/>
      <w:start w:val="1"/>
    </w:lvl>
  </w:abstractNum>
  <w:abstractNum w:abstractNumId="16">
    <w:nsid w:val="6B94764"/>
    <w:multiLevelType w:val="hybridMultilevel"/>
    <w:lvl w:ilvl="0">
      <w:lvlJc w:val="left"/>
      <w:lvlText w:val="%1."/>
      <w:numFmt w:val="decimal"/>
      <w:start w:val="15"/>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1)"/>
      <w:numFmt w:val="decimal"/>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lvl w:ilvl="1">
      <w:lvlJc w:val="left"/>
      <w:lvlText w:val="(%2)"/>
      <w:numFmt w:val="lowerLetter"/>
      <w:start w:val="1"/>
    </w:lvl>
  </w:abstractNum>
  <w:abstractNum w:abstractNumId="41">
    <w:nsid w:val="100F59DC"/>
    <w:multiLevelType w:val="hybridMultilevel"/>
    <w:lvl w:ilvl="0">
      <w:lvlJc w:val="left"/>
      <w:lvlText w:val="(%1)"/>
      <w:numFmt w:val="lowerLetter"/>
      <w:start w:val="3"/>
    </w:lvl>
    <w:lvl w:ilvl="1">
      <w:lvlJc w:val="left"/>
      <w:lvlText w:val="(%2)"/>
      <w:numFmt w:val="lowerRoman"/>
      <w:start w:val="1"/>
    </w:lvl>
  </w:abstractNum>
  <w:abstractNum w:abstractNumId="42">
    <w:nsid w:val="7FB7E0AA"/>
    <w:multiLevelType w:val="hybridMultilevel"/>
    <w:lvl w:ilvl="0">
      <w:lvlJc w:val="left"/>
      <w:lvlText w:val="%1."/>
      <w:numFmt w:val="lowerLetter"/>
      <w:start w:val="1"/>
    </w:lvl>
  </w:abstractNum>
  <w:abstractNum w:abstractNumId="43">
    <w:nsid w:val="6EB5BD4"/>
    <w:multiLevelType w:val="hybridMultilevel"/>
    <w:lvl w:ilvl="0">
      <w:lvlJc w:val="left"/>
      <w:lvlText w:val="%1."/>
      <w:numFmt w:val="lowerLetter"/>
      <w:start w:val="4"/>
    </w:lvl>
  </w:abstractNum>
  <w:abstractNum w:abstractNumId="44">
    <w:nsid w:val="6F6DD9AC"/>
    <w:multiLevelType w:val="hybridMultilevel"/>
    <w:lvl w:ilvl="0">
      <w:lvlJc w:val="left"/>
      <w:lvlText w:val="(%1)"/>
      <w:numFmt w:val="lowerLetter"/>
      <w:start w:val="5"/>
    </w:lvl>
  </w:abstractNum>
  <w:abstractNum w:abstractNumId="45">
    <w:nsid w:val="94211F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6"/>
    </w:lvl>
  </w:abstractNum>
  <w:abstractNum w:abstractNumId="46">
    <w:nsid w:val="885E1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7">
    <w:nsid w:val="76272110"/>
    <w:multiLevelType w:val="hybridMultilevel"/>
    <w:lvl w:ilvl="0">
      <w:lvlJc w:val="left"/>
      <w:lvlText w:val="%1."/>
      <w:numFmt w:val="decimal"/>
      <w:start w:val="4"/>
    </w:lvl>
  </w:abstractNum>
  <w:abstractNum w:abstractNumId="48">
    <w:nsid w:val="4C04A8AF"/>
    <w:multiLevelType w:val="hybridMultilevel"/>
    <w:lvl w:ilvl="0">
      <w:lvlJc w:val="left"/>
      <w:lvlText w:val="%1."/>
      <w:numFmt w:val="decimal"/>
      <w:start w:val="5"/>
    </w:lvl>
  </w:abstractNum>
  <w:abstractNum w:abstractNumId="49">
    <w:nsid w:val="1716703B"/>
    <w:multiLevelType w:val="hybridMultilevel"/>
    <w:lvl w:ilvl="0">
      <w:lvlJc w:val="left"/>
      <w:lvlText w:val="%1."/>
      <w:numFmt w:val="decimal"/>
      <w:start w:val="6"/>
    </w:lvl>
    <w:lvl w:ilvl="1">
      <w:lvlJc w:val="left"/>
      <w:lvlText w:val="(%2)"/>
      <w:numFmt w:val="lowerLetter"/>
      <w:start w:val="1"/>
    </w:lvl>
  </w:abstractNum>
  <w:abstractNum w:abstractNumId="50">
    <w:nsid w:val="14E17E33"/>
    <w:multiLevelType w:val="hybridMultilevel"/>
    <w:lvl w:ilvl="0">
      <w:lvlJc w:val="left"/>
      <w:lvlText w:val="%1"/>
      <w:numFmt w:val="decimal"/>
      <w:start w:val="1"/>
    </w:lvl>
    <w:lvl w:ilvl="1">
      <w:lvlJc w:val="left"/>
      <w:lvlText w:val="(%2)"/>
      <w:numFmt w:val="lowerLetter"/>
      <w:start w:val="1"/>
    </w:lvl>
  </w:abstractNum>
  <w:abstractNum w:abstractNumId="51">
    <w:nsid w:val="3222E7CD"/>
    <w:multiLevelType w:val="hybridMultilevel"/>
    <w:lvl w:ilvl="0">
      <w:lvlJc w:val="left"/>
      <w:lvlText w:val="%1."/>
      <w:numFmt w:val="decimal"/>
      <w:start w:val="8"/>
    </w:lvl>
    <w:lvl w:ilvl="1">
      <w:lvlJc w:val="left"/>
      <w:lvlText w:val="(%2)"/>
      <w:numFmt w:val="lowerLetter"/>
      <w:start w:val="1"/>
    </w:lvl>
  </w:abstractNum>
  <w:abstractNum w:abstractNumId="52">
    <w:nsid w:val="74DE0EE3"/>
    <w:multiLevelType w:val="hybridMultilevel"/>
    <w:lvl w:ilvl="0">
      <w:lvlJc w:val="left"/>
      <w:lvlText w:val="(%1)"/>
      <w:numFmt w:val="lowerLetter"/>
      <w:start w:val="5"/>
    </w:lvl>
    <w:lvl w:ilvl="1">
      <w:lvlJc w:val="left"/>
      <w:lvlText w:val="(%2)"/>
      <w:numFmt w:val="lowerRoman"/>
      <w:start w:val="1"/>
    </w:lvl>
  </w:abstractNum>
  <w:abstractNum w:abstractNumId="53">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4">
    <w:nsid w:val="2DF6D64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46B7D447"/>
    <w:multiLevelType w:val="hybridMultilevel"/>
    <w:lvl w:ilvl="0">
      <w:lvlJc w:val="left"/>
      <w:lvlText w:val="%1"/>
      <w:numFmt w:val="lowerLetter"/>
      <w:start w:val="1"/>
    </w:lvl>
    <w:lvl w:ilvl="1">
      <w:lvlJc w:val="left"/>
      <w:lvlText w:val="(%2)"/>
      <w:numFmt w:val="lowerLetter"/>
      <w:start w:val="61"/>
    </w:lvl>
  </w:abstractNum>
  <w:abstractNum w:abstractNumId="56">
    <w:nsid w:val="4A2AC315"/>
    <w:multiLevelType w:val="hybridMultilevel"/>
    <w:lvl w:ilvl="0">
      <w:lvlJc w:val="left"/>
      <w:lvlText w:val="(%1)"/>
      <w:numFmt w:val="lowerLetter"/>
      <w:start w:val="2"/>
    </w:lvl>
    <w:lvl w:ilvl="1">
      <w:lvlJc w:val="left"/>
      <w:lvlText w:val="%2"/>
      <w:numFmt w:val="lowerLetter"/>
      <w:start w:val="1"/>
    </w:lvl>
  </w:abstractNum>
  <w:abstractNum w:abstractNumId="57">
    <w:nsid w:val="39EE015C"/>
    <w:multiLevelType w:val="hybridMultilevel"/>
    <w:lvl w:ilvl="0">
      <w:lvlJc w:val="left"/>
      <w:lvlText w:val="%1."/>
      <w:numFmt w:val="decimal"/>
      <w:start w:val="10"/>
    </w:lvl>
    <w:lvl w:ilvl="1">
      <w:lvlJc w:val="left"/>
      <w:lvlText w:val="(%2)"/>
      <w:numFmt w:val="lowerLetter"/>
      <w:start w:val="1"/>
    </w:lvl>
  </w:abstractNum>
  <w:abstractNum w:abstractNumId="58">
    <w:nsid w:val="57FC4FBB"/>
    <w:multiLevelType w:val="hybridMultilevel"/>
    <w:lvl w:ilvl="0">
      <w:lvlJc w:val="left"/>
      <w:lvlText w:val="(%1)"/>
      <w:numFmt w:val="lowerRoman"/>
      <w:start w:val="1"/>
    </w:lvl>
  </w:abstractNum>
  <w:abstractNum w:abstractNumId="59">
    <w:nsid w:val="CC1016F"/>
    <w:multiLevelType w:val="hybridMultilevel"/>
    <w:lvl w:ilvl="0">
      <w:lvlJc w:val="left"/>
      <w:lvlText w:val="%1"/>
      <w:numFmt w:val="lowerLetter"/>
      <w:start w:val="1"/>
    </w:lvl>
    <w:lvl w:ilvl="1">
      <w:lvlJc w:val="left"/>
      <w:lvlText w:val="(%2)"/>
      <w:numFmt w:val="lowerRoman"/>
      <w:start w:val="1"/>
    </w:lvl>
  </w:abstractNum>
  <w:abstractNum w:abstractNumId="60">
    <w:nsid w:val="43F18422"/>
    <w:multiLevelType w:val="hybridMultilevel"/>
    <w:lvl w:ilvl="0">
      <w:lvlJc w:val="left"/>
      <w:lvlText w:val="(%1)"/>
      <w:numFmt w:val="lowerLetter"/>
      <w:start w:val="3"/>
    </w:lvl>
    <w:lvl w:ilvl="1">
      <w:lvlJc w:val="left"/>
      <w:lvlText w:val="(%2)"/>
      <w:numFmt w:val="lowerRoman"/>
      <w:start w:val="1"/>
    </w:lvl>
  </w:abstractNum>
  <w:abstractNum w:abstractNumId="61">
    <w:nsid w:val="60EF0119"/>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62">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63">
    <w:nsid w:val="7F01579B"/>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64">
    <w:nsid w:val="49DA307D"/>
    <w:multiLevelType w:val="hybridMultilevel"/>
    <w:lvl w:ilvl="0">
      <w:lvlJc w:val="left"/>
      <w:lvlText w:val="%1"/>
      <w:numFmt w:val="lowerLetter"/>
      <w:start w:val="1"/>
    </w:lvl>
    <w:lvl w:ilvl="1">
      <w:lvlJc w:val="left"/>
      <w:lvlText w:val="(%2)"/>
      <w:numFmt w:val="lowerRoman"/>
      <w:start w:val="6"/>
    </w:lvl>
  </w:abstractNum>
  <w:abstractNum w:abstractNumId="65">
    <w:nsid w:val="7055A5F5"/>
    <w:multiLevelType w:val="hybridMultilevel"/>
    <w:lvl w:ilvl="0">
      <w:lvlJc w:val="left"/>
      <w:lvlText w:val="(%1)"/>
      <w:numFmt w:val="lowerLetter"/>
      <w:start w:val="4"/>
    </w:lvl>
    <w:lvl w:ilvl="1">
      <w:lvlJc w:val="left"/>
      <w:lvlText w:val="(%2)"/>
      <w:numFmt w:val="lowerRoman"/>
      <w:start w:val="1"/>
    </w:lvl>
  </w:abstractNum>
  <w:abstractNum w:abstractNumId="66">
    <w:nsid w:val="5FB8370B"/>
    <w:multiLevelType w:val="hybridMultilevel"/>
    <w:lvl w:ilvl="0">
      <w:lvlJc w:val="left"/>
      <w:lvlText w:val="%1"/>
      <w:numFmt w:val="lowerLetter"/>
      <w:start w:val="1"/>
    </w:lvl>
    <w:lvl w:ilvl="1">
      <w:lvlJc w:val="left"/>
      <w:lvlText w:val="(%2)"/>
      <w:numFmt w:val="lowerLetter"/>
      <w:start w:val="61"/>
    </w:lvl>
  </w:abstractNum>
  <w:abstractNum w:abstractNumId="67">
    <w:nsid w:val="50801EE1"/>
    <w:multiLevelType w:val="hybridMultilevel"/>
    <w:lvl w:ilvl="0">
      <w:lvlJc w:val="left"/>
      <w:lvlText w:val="(%1)"/>
      <w:numFmt w:val="lowerLetter"/>
      <w:start w:val="6"/>
    </w:lvl>
    <w:lvl w:ilvl="1">
      <w:lvlJc w:val="left"/>
      <w:lvlText w:val="(%2)"/>
      <w:numFmt w:val="lowerLetter"/>
      <w:start w:val="9"/>
    </w:lvl>
  </w:abstractNum>
  <w:abstractNum w:abstractNumId="68">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9">
    <w:nsid w:val="5FB8011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70">
    <w:nsid w:val="6AA78F7F"/>
    <w:multiLevelType w:val="hybridMultilevel"/>
    <w:lvl w:ilvl="0">
      <w:lvlJc w:val="left"/>
      <w:lvlText w:val="(%1)"/>
      <w:numFmt w:val="lowerLetter"/>
      <w:start w:val="2"/>
    </w:lvl>
  </w:abstractNum>
  <w:abstractNum w:abstractNumId="71">
    <w:nsid w:val="7672BD23"/>
    <w:multiLevelType w:val="hybridMultilevel"/>
    <w:lvl w:ilvl="0">
      <w:lvlJc w:val="left"/>
      <w:lvlText w:val="(%1)"/>
      <w:numFmt w:val="lowerLetter"/>
      <w:start w:val="9"/>
    </w:lvl>
  </w:abstractNum>
  <w:abstractNum w:abstractNumId="72">
    <w:nsid w:val="6FC75AF8"/>
    <w:multiLevelType w:val="hybridMultilevel"/>
    <w:lvl w:ilvl="0">
      <w:lvlJc w:val="left"/>
      <w:lvlText w:val="(%1)"/>
      <w:numFmt w:val="lowerLetter"/>
      <w:start w:val="17"/>
    </w:lvl>
  </w:abstractNum>
  <w:abstractNum w:abstractNumId="73">
    <w:nsid w:val="6A5F7029"/>
    <w:multiLevelType w:val="hybridMultilevel"/>
    <w:lvl w:ilvl="0">
      <w:lvlJc w:val="left"/>
      <w:lvlText w:val="%1"/>
      <w:numFmt w:val="decimal"/>
      <w:start w:val="1"/>
    </w:lvl>
    <w:lvl w:ilvl="1">
      <w:lvlJc w:val="left"/>
      <w:lvlText w:val="(%2)"/>
      <w:numFmt w:val="lowerLetter"/>
      <w:start w:val="19"/>
    </w:lvl>
  </w:abstractNum>
  <w:abstractNum w:abstractNumId="74">
    <w:nsid w:val="7D5E18F8"/>
    <w:multiLevelType w:val="hybridMultilevel"/>
    <w:lvl w:ilvl="0">
      <w:lvlJc w:val="left"/>
      <w:lvlText w:val="%1."/>
      <w:numFmt w:val="decimal"/>
      <w:start w:val="12"/>
    </w:lvl>
    <w:lvl w:ilvl="1">
      <w:lvlJc w:val="left"/>
      <w:lvlText w:val="%2"/>
      <w:numFmt w:val="lowerLetter"/>
      <w:start w:val="1"/>
    </w:lvl>
  </w:abstractNum>
  <w:abstractNum w:abstractNumId="75">
    <w:nsid w:val="5F3534A4"/>
    <w:multiLevelType w:val="hybridMultilevel"/>
    <w:lvl w:ilvl="0">
      <w:lvlJc w:val="left"/>
      <w:lvlText w:val="%1."/>
      <w:numFmt w:val="decimal"/>
      <w:start w:val="13"/>
    </w:lvl>
  </w:abstractNum>
  <w:abstractNum w:abstractNumId="76">
    <w:nsid w:val="73A1821B"/>
    <w:multiLevelType w:val="hybridMultilevel"/>
    <w:lvl w:ilvl="0">
      <w:lvlJc w:val="left"/>
      <w:lvlText w:val="%1."/>
      <w:numFmt w:val="decimal"/>
      <w:start w:val="1"/>
    </w:lvl>
    <w:lvl w:ilvl="1">
      <w:lvlJc w:val="left"/>
      <w:lvlText w:val="(%2)"/>
      <w:numFmt w:val="lowerLetter"/>
      <w:start w:val="1"/>
    </w:lvl>
  </w:abstractNum>
  <w:abstractNum w:abstractNumId="77">
    <w:nsid w:val="7DE67713"/>
    <w:multiLevelType w:val="hybridMultilevel"/>
    <w:lvl w:ilvl="0">
      <w:lvlJc w:val="left"/>
      <w:lvlText w:val="(%1)"/>
      <w:numFmt w:val="lowerLetter"/>
      <w:start w:val="3"/>
    </w:lvl>
    <w:lvl w:ilvl="1">
      <w:lvlJc w:val="left"/>
      <w:lvlText w:val="(%2)"/>
      <w:numFmt w:val="lowerRoman"/>
      <w:start w:val="1"/>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4"/>
    </w:lvl>
  </w:abstractNum>
  <w:abstractNum w:abstractNumId="80">
    <w:nsid w:val="14FCE74E"/>
    <w:multiLevelType w:val="hybridMultilevel"/>
    <w:lvl w:ilvl="0">
      <w:lvlJc w:val="left"/>
      <w:lvlText w:val="%1"/>
      <w:numFmt w:val="decimal"/>
      <w:start w:val="1"/>
    </w:lvl>
    <w:lvl w:ilvl="1">
      <w:lvlJc w:val="left"/>
      <w:lvlText w:val="(%2)"/>
      <w:numFmt w:val="lowerLetter"/>
      <w:start w:val="5"/>
    </w:lvl>
  </w:abstractNum>
  <w:abstractNum w:abstractNumId="81">
    <w:nsid w:val="6A3DD3E8"/>
    <w:multiLevelType w:val="hybridMultilevel"/>
    <w:lvl w:ilvl="0">
      <w:lvlJc w:val="left"/>
      <w:lvlText w:val="%1."/>
      <w:numFmt w:val="decimal"/>
      <w:start w:val="3"/>
    </w:lvl>
    <w:lvl w:ilvl="1">
      <w:lvlJc w:val="left"/>
      <w:lvlText w:val="%2"/>
      <w:numFmt w:val="lowerLetter"/>
      <w:start w:val="1"/>
    </w:lvl>
  </w:abstractNum>
  <w:abstractNum w:abstractNumId="82">
    <w:nsid w:val="71C91298"/>
    <w:multiLevelType w:val="hybridMultilevel"/>
    <w:lvl w:ilvl="0">
      <w:lvlJc w:val="left"/>
      <w:lvlText w:val="%1."/>
      <w:numFmt w:val="decimal"/>
      <w:start w:val="4"/>
    </w:lvl>
  </w:abstractNum>
  <w:abstractNum w:abstractNumId="83">
    <w:nsid w:val="9DAF632"/>
    <w:multiLevelType w:val="hybridMultilevel"/>
    <w:lvl w:ilvl="0">
      <w:lvlJc w:val="left"/>
      <w:lvlText w:val="%1."/>
      <w:numFmt w:val="decimal"/>
      <w:start w:val="5"/>
    </w:lvl>
  </w:abstractNum>
  <w:abstractNum w:abstractNumId="84">
    <w:nsid w:val="53299938"/>
    <w:multiLevelType w:val="hybridMultilevel"/>
    <w:lvl w:ilvl="0">
      <w:lvlJc w:val="left"/>
      <w:lvlText w:val="%1."/>
      <w:numFmt w:val="decimal"/>
      <w:start w:val="6"/>
    </w:lvl>
    <w:lvl w:ilvl="1">
      <w:lvlJc w:val="left"/>
      <w:lvlText w:val="(%2)"/>
      <w:numFmt w:val="lowerLetter"/>
      <w:start w:val="1"/>
    </w:lvl>
  </w:abstractNum>
  <w:abstractNum w:abstractNumId="85">
    <w:nsid w:val="1FBFE8E0"/>
    <w:multiLevelType w:val="hybridMultilevel"/>
    <w:lvl w:ilvl="0">
      <w:lvlJc w:val="left"/>
      <w:lvlText w:val="(%1)"/>
      <w:numFmt w:val="lowerLetter"/>
      <w:start w:val="2"/>
    </w:lvl>
  </w:abstractNum>
  <w:abstractNum w:abstractNumId="86">
    <w:nsid w:val="5092CA79"/>
    <w:multiLevelType w:val="hybridMultilevel"/>
    <w:lvl w:ilvl="0">
      <w:lvlJc w:val="left"/>
      <w:lvlText w:val="(%1)"/>
      <w:numFmt w:val="lowerLetter"/>
      <w:start w:val="5"/>
    </w:lvl>
    <w:lvl w:ilvl="1">
      <w:lvlJc w:val="left"/>
      <w:lvlText w:val="(%2)"/>
      <w:numFmt w:val="lowerRoman"/>
      <w:start w:val="1"/>
    </w:lvl>
  </w:abstractNum>
  <w:abstractNum w:abstractNumId="87">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8">
    <w:nsid w:val="59ADEA3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9">
    <w:nsid w:val="288F1A34"/>
    <w:multiLevelType w:val="hybridMultilevel"/>
    <w:lvl w:ilvl="0">
      <w:lvlJc w:val="left"/>
      <w:lvlText w:val="%1"/>
      <w:numFmt w:val="lowerLetter"/>
      <w:start w:val="1"/>
    </w:lvl>
    <w:lvl w:ilvl="1">
      <w:lvlJc w:val="left"/>
      <w:lvlText w:val="(%2)"/>
      <w:numFmt w:val="lowerLetter"/>
      <w:start w:val="61"/>
    </w:lvl>
  </w:abstractNum>
  <w:abstractNum w:abstractNumId="90">
    <w:nsid w:val="2A155DBC"/>
    <w:multiLevelType w:val="hybridMultilevel"/>
    <w:lvl w:ilvl="0">
      <w:lvlJc w:val="left"/>
      <w:lvlText w:val="(%1)"/>
      <w:numFmt w:val="lowerLetter"/>
      <w:start w:val="2"/>
    </w:lvl>
    <w:lvl w:ilvl="1">
      <w:lvlJc w:val="left"/>
      <w:lvlText w:val="%2"/>
      <w:numFmt w:val="lowerLetter"/>
      <w:start w:val="1"/>
    </w:lvl>
  </w:abstractNum>
  <w:abstractNum w:abstractNumId="91">
    <w:nsid w:val="1D9F6E5F"/>
    <w:multiLevelType w:val="hybridMultilevel"/>
    <w:lvl w:ilvl="0">
      <w:lvlJc w:val="left"/>
      <w:lvlText w:val="%1."/>
      <w:numFmt w:val="decimal"/>
      <w:start w:val="10"/>
    </w:lvl>
    <w:lvl w:ilvl="1">
      <w:lvlJc w:val="left"/>
      <w:lvlText w:val="(%2)"/>
      <w:numFmt w:val="lowerLetter"/>
      <w:start w:val="1"/>
    </w:lvl>
  </w:abstractNum>
  <w:abstractNum w:abstractNumId="92">
    <w:nsid w:val="97E1B4E"/>
    <w:multiLevelType w:val="hybridMultilevel"/>
    <w:lvl w:ilvl="0">
      <w:lvlJc w:val="left"/>
      <w:lvlText w:val="(%1)"/>
      <w:numFmt w:val="lowerRoman"/>
      <w:start w:val="1"/>
    </w:lvl>
  </w:abstractNum>
  <w:abstractNum w:abstractNumId="93">
    <w:nsid w:val="51088277"/>
    <w:multiLevelType w:val="hybridMultilevel"/>
    <w:lvl w:ilvl="0">
      <w:lvlJc w:val="left"/>
      <w:lvlText w:val="(%1)"/>
      <w:numFmt w:val="lowerLetter"/>
      <w:start w:val="2"/>
    </w:lvl>
    <w:lvl w:ilvl="1">
      <w:lvlJc w:val="left"/>
      <w:lvlText w:val="(%2)"/>
      <w:numFmt w:val="lowerRoman"/>
      <w:start w:val="1"/>
    </w:lvl>
  </w:abstractNum>
  <w:abstractNum w:abstractNumId="94">
    <w:nsid w:val="1CA0C5FA"/>
    <w:multiLevelType w:val="hybridMultilevel"/>
    <w:lvl w:ilvl="0">
      <w:lvlJc w:val="left"/>
      <w:lvlText w:val="%1"/>
      <w:numFmt w:val="lowerLetter"/>
      <w:start w:val="1"/>
    </w:lvl>
    <w:lvl w:ilvl="1">
      <w:lvlJc w:val="left"/>
      <w:lvlText w:val="(%2)"/>
      <w:numFmt w:val="lowerRoman"/>
      <w:start w:val="2"/>
    </w:lvl>
  </w:abstractNum>
  <w:abstractNum w:abstractNumId="95">
    <w:nsid w:val="53584BCB"/>
    <w:multiLevelType w:val="hybridMultilevel"/>
    <w:lvl w:ilvl="0">
      <w:lvlJc w:val="left"/>
      <w:lvlText w:val="(%1)"/>
      <w:numFmt w:val="lowerLetter"/>
      <w:start w:val="3"/>
    </w:lvl>
    <w:lvl w:ilvl="1">
      <w:lvlJc w:val="left"/>
      <w:lvlText w:val="(%2)"/>
      <w:numFmt w:val="lowerRoman"/>
      <w:start w:val="1"/>
    </w:lvl>
  </w:abstractNum>
  <w:abstractNum w:abstractNumId="96">
    <w:nsid w:val="415E286C"/>
    <w:multiLevelType w:val="hybridMultilevel"/>
    <w:lvl w:ilvl="0">
      <w:lvlJc w:val="left"/>
      <w:lvlText w:val="(%1)"/>
      <w:numFmt w:val="lowerRoman"/>
      <w:start w:val="4"/>
    </w:lvl>
    <w:lvl w:ilvl="1">
      <w:lvlJc w:val="left"/>
      <w:lvlText w:val="%2."/>
      <w:numFmt w:val="lowerLetter"/>
      <w:start w:val="1"/>
    </w:lvl>
  </w:abstractNum>
  <w:abstractNum w:abstractNumId="97">
    <w:nsid w:val="7C58FD05"/>
    <w:multiLevelType w:val="hybridMultilevel"/>
    <w:lvl w:ilvl="0">
      <w:lvlJc w:val="left"/>
      <w:lvlText w:val="(%1)"/>
      <w:numFmt w:val="lowerRoman"/>
      <w:start w:val="5"/>
    </w:lvl>
  </w:abstractNum>
  <w:abstractNum w:abstractNumId="98">
    <w:nsid w:val="23D86AAC"/>
    <w:multiLevelType w:val="hybridMultilevel"/>
    <w:lvl w:ilvl="0">
      <w:lvlJc w:val="left"/>
      <w:lvlText w:val="%1."/>
      <w:numFmt w:val="lowerLetter"/>
      <w:start w:val="2"/>
    </w:lvl>
    <w:lvl w:ilvl="1">
      <w:lvlJc w:val="left"/>
      <w:lvlText w:val="[%2]"/>
      <w:numFmt w:val="lowerRoman"/>
      <w:start w:val="1"/>
    </w:lvl>
  </w:abstractNum>
  <w:abstractNum w:abstractNumId="99">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00">
    <w:nsid w:val="5C10FE21"/>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abstractNum>
  <w:abstractNum w:abstractNumId="101">
    <w:nsid w:val="E7FFA2B"/>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0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3">
    <w:nsid w:val="4BD8591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04">
    <w:nsid w:val="78DF6A5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5">
    <w:nsid w:val="39B7AAA2"/>
    <w:multiLevelType w:val="hybridMultilevel"/>
    <w:lvl w:ilvl="0">
      <w:lvlJc w:val="left"/>
      <w:lvlText w:val="(%1)"/>
      <w:numFmt w:val="lowerLetter"/>
      <w:start w:val="2"/>
    </w:lvl>
  </w:abstractNum>
  <w:abstractNum w:abstractNumId="106">
    <w:nsid w:val="2B0D8DBE"/>
    <w:multiLevelType w:val="hybridMultilevel"/>
    <w:lvl w:ilvl="0">
      <w:lvlJc w:val="left"/>
      <w:lvlText w:val="(%1)"/>
      <w:numFmt w:val="lowerLetter"/>
      <w:start w:val="8"/>
    </w:lvl>
  </w:abstractNum>
  <w:abstractNum w:abstractNumId="107">
    <w:nsid w:val="6C80EC70"/>
    <w:multiLevelType w:val="hybridMultilevel"/>
    <w:lvl w:ilvl="0">
      <w:lvlJc w:val="left"/>
      <w:lvlText w:val="(%1)"/>
      <w:numFmt w:val="lowerLetter"/>
      <w:start w:val="15"/>
    </w:lvl>
  </w:abstractNum>
  <w:abstractNum w:abstractNumId="108">
    <w:nsid w:val="379E21B5"/>
    <w:multiLevelType w:val="hybridMultilevel"/>
    <w:lvl w:ilvl="0">
      <w:lvlJc w:val="left"/>
      <w:lvlText w:val="%1"/>
      <w:numFmt w:val="decimal"/>
      <w:start w:val="1"/>
    </w:lvl>
    <w:lvl w:ilvl="1">
      <w:lvlJc w:val="left"/>
      <w:lvlText w:val="(%2)"/>
      <w:numFmt w:val="lowerLetter"/>
      <w:start w:val="19"/>
    </w:lvl>
  </w:abstractNum>
  <w:abstractNum w:abstractNumId="109">
    <w:nsid w:val="69E373"/>
    <w:multiLevelType w:val="hybridMultilevel"/>
    <w:lvl w:ilvl="0">
      <w:lvlJc w:val="left"/>
      <w:lvlText w:val="%1."/>
      <w:numFmt w:val="decimal"/>
      <w:start w:val="12"/>
    </w:lvl>
    <w:lvl w:ilvl="1">
      <w:lvlJc w:val="left"/>
      <w:lvlText w:val="%2"/>
      <w:numFmt w:val="lowerLetter"/>
      <w:start w:val="1"/>
    </w:lvl>
  </w:abstractNum>
  <w:abstractNum w:abstractNumId="110">
    <w:nsid w:val="2C27173B"/>
    <w:multiLevelType w:val="hybridMultilevel"/>
    <w:lvl w:ilvl="0">
      <w:lvlJc w:val="left"/>
      <w:lvlText w:val="%1."/>
      <w:numFmt w:val="decimal"/>
      <w:start w:val="13"/>
    </w:lvl>
  </w:abstractNum>
  <w:abstractNum w:abstractNumId="111">
    <w:nsid w:val="4C9B0904"/>
    <w:multiLevelType w:val="hybridMultilevel"/>
    <w:lvl w:ilvl="0">
      <w:lvlJc w:val="left"/>
      <w:lvlText w:val="%1."/>
      <w:numFmt w:val="decimal"/>
      <w:start w:val="1"/>
    </w:lvl>
  </w:abstractNum>
  <w:abstractNum w:abstractNumId="112">
    <w:nsid w:val="6AA7B75C"/>
    <w:multiLevelType w:val="hybridMultilevel"/>
    <w:lvl w:ilvl="0">
      <w:lvlJc w:val="left"/>
      <w:lvlText w:val="%1."/>
      <w:numFmt w:val="upperLetter"/>
      <w:start w:val="1"/>
    </w:lvl>
    <w:lvl w:ilvl="1">
      <w:lvlJc w:val="left"/>
      <w:lvlText w:val="%2."/>
      <w:numFmt w:val="lowerRoman"/>
      <w:start w:val="1"/>
    </w:lvl>
  </w:abstractNum>
  <w:abstractNum w:abstractNumId="113">
    <w:nsid w:val="1DF029D3"/>
    <w:multiLevelType w:val="hybridMultilevel"/>
    <w:lvl w:ilvl="0">
      <w:lvlJc w:val="left"/>
      <w:lvlText w:val="(%1)"/>
      <w:numFmt w:val="lowerLetter"/>
      <w:start w:val="3"/>
    </w:lvl>
  </w:abstractNum>
  <w:abstractNum w:abstractNumId="114">
    <w:nsid w:val="5675FF36"/>
    <w:multiLevelType w:val="hybridMultilevel"/>
    <w:lvl w:ilvl="0">
      <w:lvlJc w:val="left"/>
      <w:lvlText w:val="%1."/>
      <w:numFmt w:val="decimal"/>
      <w:start w:val="2"/>
    </w:lvl>
  </w:abstractNum>
  <w:abstractNum w:abstractNumId="115">
    <w:nsid w:val="3DD15094"/>
    <w:multiLevelType w:val="hybridMultilevel"/>
    <w:lvl w:ilvl="0">
      <w:lvlJc w:val="left"/>
      <w:lvlText w:val="%1."/>
      <w:numFmt w:val="decimal"/>
      <w:start w:val="3"/>
    </w:lvl>
  </w:abstractNum>
  <w:abstractNum w:abstractNumId="116">
    <w:nsid w:val="3DB012B3"/>
    <w:multiLevelType w:val="hybridMultilevel"/>
    <w:lvl w:ilvl="0">
      <w:lvlJc w:val="left"/>
      <w:lvlText w:val="%1."/>
      <w:numFmt w:val="decimal"/>
      <w:start w:val="5"/>
    </w:lvl>
  </w:abstractNum>
  <w:abstractNum w:abstractNumId="117">
    <w:nsid w:val="2708C9AF"/>
    <w:multiLevelType w:val="hybridMultilevel"/>
    <w:lvl w:ilvl="0">
      <w:lvlJc w:val="left"/>
      <w:lvlText w:val="%1."/>
      <w:numFmt w:val="decimal"/>
      <w:start w:val="7"/>
    </w:lvl>
  </w:abstractNum>
  <w:abstractNum w:abstractNumId="118">
    <w:nsid w:val="5B25ACE2"/>
    <w:multiLevelType w:val="hybridMultilevel"/>
    <w:lvl w:ilvl="0">
      <w:lvlJc w:val="left"/>
      <w:lvlText w:val="%1."/>
      <w:numFmt w:val="decimal"/>
      <w:start w:val="8"/>
    </w:lvl>
    <w:lvl w:ilvl="1">
      <w:lvlJc w:val="left"/>
      <w:lvlText w:val="%2."/>
      <w:numFmt w:val="upperLetter"/>
      <w:start w:val="1"/>
    </w:lvl>
  </w:abstractNum>
  <w:abstractNum w:abstractNumId="119">
    <w:nsid w:val="175DFCF0"/>
    <w:multiLevelType w:val="hybridMultilevel"/>
    <w:lvl w:ilvl="0">
      <w:lvlJc w:val="left"/>
      <w:lvlText w:val="%1."/>
      <w:numFmt w:val="upperLetter"/>
      <w:start w:val="3"/>
    </w:lvl>
  </w:abstractNum>
  <w:abstractNum w:abstractNumId="120">
    <w:nsid w:val="4F97E3E4"/>
    <w:multiLevelType w:val="hybridMultilevel"/>
    <w:lvl w:ilvl="0">
      <w:lvlJc w:val="left"/>
      <w:lvlText w:val="%1."/>
      <w:numFmt w:val="upperLetter"/>
      <w:start w:val="4"/>
    </w:lvl>
    <w:lvl w:ilvl="1">
      <w:lvlJc w:val="left"/>
      <w:lvlText w:val="%2."/>
      <w:numFmt w:val="upperLetter"/>
      <w:start w:val="6"/>
    </w:lvl>
  </w:abstractNum>
  <w:abstractNum w:abstractNumId="121">
    <w:nsid w:val="53B0A9E"/>
    <w:multiLevelType w:val="hybridMultilevel"/>
    <w:lvl w:ilvl="0">
      <w:lvlJc w:val="left"/>
      <w:lvlText w:val="%1."/>
      <w:numFmt w:val="upperLetter"/>
      <w:start w:val="7"/>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4" Type="http://schemas.openxmlformats.org/officeDocument/2006/relationships/hyperlink" Target="http://www.sec.gov/Archives/edgar/data/718877/000110465914044513/a14-14950_1ex3d1.htm" TargetMode="External"/><Relationship Id="rId45" Type="http://schemas.openxmlformats.org/officeDocument/2006/relationships/hyperlink" Target="http://www.sec.gov/Archives/edgar/data/718877/000110465918019359/a18-872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2019-12-28T13:26:15Z</dcterms:created>
  <dcterms:modified xsi:type="dcterms:W3CDTF">2019-12-28T13:26:15Z</dcterms:modified>
</cp:coreProperties>
</file>