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341630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136525</wp:posOffset>
            </wp:positionV>
            <wp:extent cx="1783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9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2022</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ACTIVISION BLIZZARD,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40"/>
          </w:cols>
          <w:pgMar w:left="320" w:top="748" w:right="439" w:bottom="1440" w:gutter="0" w:footer="0" w:header="0"/>
        </w:sectPr>
      </w:pPr>
    </w:p>
    <w:p>
      <w:pPr>
        <w:spacing w:after="0" w:line="19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ind w:left="760"/>
        <w:spacing w:after="0"/>
        <w:rPr>
          <w:sz w:val="20"/>
          <w:szCs w:val="20"/>
          <w:color w:val="auto"/>
        </w:rPr>
      </w:pPr>
      <w:r>
        <w:rPr>
          <w:rFonts w:ascii="Arial" w:cs="Arial" w:eastAsia="Arial" w:hAnsi="Arial"/>
          <w:sz w:val="15"/>
          <w:szCs w:val="15"/>
          <w:color w:val="auto"/>
        </w:rPr>
        <w:t>(State or Other Jurisdiction of</w:t>
      </w:r>
    </w:p>
    <w:p>
      <w:pPr>
        <w:spacing w:after="0" w:line="4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001-15839</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95-4803544</w:t>
      </w:r>
    </w:p>
    <w:p>
      <w:pPr>
        <w:spacing w:after="0" w:line="2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34" w:lineRule="exact"/>
        <w:rPr>
          <w:sz w:val="24"/>
          <w:szCs w:val="24"/>
          <w:color w:val="auto"/>
        </w:rPr>
      </w:pPr>
    </w:p>
    <w:p>
      <w:pPr>
        <w:sectPr>
          <w:pgSz w:w="11900" w:h="16838" w:orient="portrait"/>
          <w:cols w:equalWidth="0" w:num="3">
            <w:col w:w="3940" w:space="720"/>
            <w:col w:w="3400" w:space="720"/>
            <w:col w:w="2360"/>
          </w:cols>
          <w:pgMar w:left="320" w:top="748" w:right="439" w:bottom="1440" w:gutter="0" w:footer="0" w:header="0"/>
          <w:type w:val="continuous"/>
        </w:sectPr>
      </w:pPr>
    </w:p>
    <w:p>
      <w:pPr>
        <w:jc w:val="center"/>
        <w:ind w:right="184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840"/>
        <w:spacing w:after="0"/>
        <w:rPr>
          <w:sz w:val="20"/>
          <w:szCs w:val="20"/>
          <w:color w:val="auto"/>
        </w:rPr>
      </w:pPr>
      <w:r>
        <w:rPr>
          <w:rFonts w:ascii="Arial" w:cs="Arial" w:eastAsia="Arial" w:hAnsi="Arial"/>
          <w:sz w:val="15"/>
          <w:szCs w:val="15"/>
          <w:color w:val="auto"/>
        </w:rPr>
        <w:t>(Address of Principal Executive</w:t>
      </w:r>
    </w:p>
    <w:p>
      <w:pPr>
        <w:spacing w:after="0" w:line="40"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2260"/>
        <w:spacing w:after="0"/>
        <w:rPr>
          <w:sz w:val="20"/>
          <w:szCs w:val="20"/>
          <w:color w:val="auto"/>
        </w:rPr>
      </w:pPr>
      <w:r>
        <w:rPr>
          <w:rFonts w:ascii="Arial" w:cs="Arial" w:eastAsia="Arial" w:hAnsi="Arial"/>
          <w:sz w:val="15"/>
          <w:szCs w:val="15"/>
          <w:color w:val="auto"/>
        </w:rPr>
        <w:t>(Zip Code)</w:t>
      </w:r>
    </w:p>
    <w:p>
      <w:pPr>
        <w:spacing w:after="0" w:line="446" w:lineRule="exact"/>
        <w:rPr>
          <w:sz w:val="24"/>
          <w:szCs w:val="24"/>
          <w:color w:val="auto"/>
        </w:rPr>
      </w:pPr>
    </w:p>
    <w:p>
      <w:pPr>
        <w:sectPr>
          <w:pgSz w:w="11900" w:h="16838" w:orient="portrait"/>
          <w:cols w:equalWidth="0" w:num="2">
            <w:col w:w="7380" w:space="720"/>
            <w:col w:w="3040"/>
          </w:cols>
          <w:pgMar w:left="320" w:top="748" w:right="439" w:bottom="1440" w:gutter="0" w:footer="0" w:header="0"/>
          <w:type w:val="continuous"/>
        </w:sect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30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0"/>
        </w:trPr>
        <w:tc>
          <w:tcPr>
            <w:tcW w:w="3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17"/>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$.000001 per share</w:t>
            </w:r>
          </w:p>
        </w:tc>
        <w:tc>
          <w:tcPr>
            <w:tcW w:w="22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ATVI</w:t>
            </w:r>
          </w:p>
        </w:tc>
        <w:tc>
          <w:tcPr>
            <w:tcW w:w="22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18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1" w:lineRule="exact"/>
        <w:rPr>
          <w:sz w:val="24"/>
          <w:szCs w:val="24"/>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7" w:lineRule="exact"/>
        <w:rPr>
          <w:sz w:val="24"/>
          <w:szCs w:val="24"/>
          <w:color w:val="auto"/>
        </w:rPr>
      </w:pPr>
    </w:p>
    <w:p>
      <w:pPr>
        <w:ind w:left="320" w:hanging="314"/>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7" w:lineRule="exact"/>
        <w:rPr>
          <w:sz w:val="24"/>
          <w:szCs w:val="24"/>
          <w:color w:val="auto"/>
        </w:rPr>
      </w:pPr>
    </w:p>
    <w:p>
      <w:pPr>
        <w:ind w:left="320" w:hanging="314"/>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7" w:lineRule="exact"/>
        <w:rPr>
          <w:rFonts w:ascii="MS PGothic" w:cs="MS PGothic" w:eastAsia="MS PGothic" w:hAnsi="MS PGothic"/>
          <w:sz w:val="18"/>
          <w:szCs w:val="18"/>
          <w:color w:val="auto"/>
        </w:rPr>
      </w:pPr>
    </w:p>
    <w:p>
      <w:pPr>
        <w:ind w:left="320" w:hanging="314"/>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207" w:lineRule="exact"/>
        <w:tabs>
          <w:tab w:leader="none" w:pos="23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5"/>
          <w:szCs w:val="15"/>
          <w:color w:val="auto"/>
        </w:rPr>
        <w:t>☐</w:t>
      </w:r>
    </w:p>
    <w:p>
      <w:pPr>
        <w:spacing w:after="0" w:line="252" w:lineRule="exact"/>
        <w:rPr>
          <w:sz w:val="24"/>
          <w:szCs w:val="24"/>
          <w:color w:val="auto"/>
        </w:rPr>
      </w:pPr>
    </w:p>
    <w:p>
      <w:pPr>
        <w:ind w:right="8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139700</wp:posOffset>
            </wp:positionV>
            <wp:extent cx="71348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442595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748" w:right="439" w:bottom="1440" w:gutter="0" w:footer="0" w:header="0"/>
          <w:type w:val="continuous"/>
        </w:sectPr>
      </w:pPr>
    </w:p>
    <w:bookmarkStart w:id="1" w:name="page2"/>
    <w:bookmarkEnd w:id="1"/>
    <w:p>
      <w:pPr>
        <w:ind w:right="100"/>
        <w:spacing w:after="0" w:line="252" w:lineRule="auto"/>
        <w:rPr>
          <w:sz w:val="20"/>
          <w:szCs w:val="20"/>
          <w:color w:val="auto"/>
        </w:rPr>
      </w:pPr>
      <w:r>
        <w:rPr>
          <w:rFonts w:ascii="Arial" w:cs="Arial" w:eastAsia="Arial" w:hAnsi="Arial"/>
          <w:sz w:val="18"/>
          <w:szCs w:val="18"/>
          <w:i w:val="1"/>
          <w:iCs w:val="1"/>
          <w:u w:val="single" w:color="auto"/>
          <w:color w:val="auto"/>
        </w:rPr>
        <w:t>Certain Information Not Filed</w:t>
      </w:r>
      <w:r>
        <w:rPr>
          <w:rFonts w:ascii="Arial" w:cs="Arial" w:eastAsia="Arial" w:hAnsi="Arial"/>
          <w:sz w:val="18"/>
          <w:szCs w:val="18"/>
          <w:i w:val="1"/>
          <w:iCs w:val="1"/>
          <w:color w:val="auto"/>
        </w:rPr>
        <w:t>. The information in Item 2.02 of this Form 8-K and Exhibit 99.1 attached to this Form 8-K shall not be deemed “filed” for purposes of Section 18 of the Securities Exchange Act of 1934, nor shall such Item 2.02 or such Exhibit 99.1 or any of the information contained therein be deemed incorporated by reference in any filing under the Securities Exchange Act of 1934 or the Securities Act of 1933, except as shall be expressly set forth by specific reference in such filing.</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February 3, 2022, Activision Blizzard, Inc. (the “Company”) issued a press release announcing results for the Company for the fiscal quarter and year ended December 31, 2021. A copy of the press release is attached hereto as Exhibit 99.1.</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3, 2022, the Company’s Board of Directors declared a cash dividend of $0.47 per share of the Company’s outstanding common stock, payable on May 6, 2022, to shareholders of record at the close of business on April 15, 2022.</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p>
      <w:pPr>
        <w:ind w:left="640"/>
        <w:spacing w:after="0"/>
        <w:tabs>
          <w:tab w:leader="none" w:pos="12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3, 2022 (furnished not filed)</w:t>
        </w:r>
      </w:hyperlink>
    </w:p>
    <w:p>
      <w:pPr>
        <w:spacing w:after="0" w:line="21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2022</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10795</wp:posOffset>
            </wp:positionV>
            <wp:extent cx="3348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Armin Zerza</w:t>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400"/>
          </w:cols>
          <w:pgMar w:left="320" w:top="89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w:t>
      </w:r>
    </w:p>
    <w:p>
      <w:pPr>
        <w:spacing w:after="0" w:line="21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ACTIVISION BLIZZARD ANNOUNCES FOURTH-QUARTER AND 2021 FINANCIAL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 February 3, 2022 – Activision Blizzard, Inc. (Nasdaq: ATVI) today announced fourth-quarter and 2021 results.</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“I’m so incredibly proud of our teams for their commitment and passion as we continued to engage the world through epic entertainment in 2021,” said Bobby Kotick, CEO of Activision Blizzard. “As we look to the future, with Microsoft’s scale and resources, we will be better equipped to grow existing franchises, launch new potential franchises and unlock the rich library of games we have assembled over 40 years. Our 370 million players around the world and workplace excellence remain our focus. For investors, our recently announced transaction is the culmination of three decades of providing superior shareholder returns.”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Financial Metrics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5"/>
        </w:trPr>
        <w:tc>
          <w:tcPr>
            <w:tcW w:w="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Q4</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8"/>
                <w:szCs w:val="18"/>
                <w:b w:val="1"/>
                <w:bCs w:val="1"/>
                <w:color w:val="auto"/>
              </w:rPr>
              <w:t>CY</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400"/>
              <w:spacing w:after="0" w:line="188" w:lineRule="exact"/>
              <w:rPr>
                <w:sz w:val="20"/>
                <w:szCs w:val="20"/>
                <w:color w:val="auto"/>
              </w:rPr>
            </w:pPr>
            <w:r>
              <w:rPr>
                <w:rFonts w:ascii="Arial" w:cs="Arial" w:eastAsia="Arial" w:hAnsi="Arial"/>
                <w:sz w:val="18"/>
                <w:szCs w:val="18"/>
                <w:b w:val="1"/>
                <w:bCs w:val="1"/>
                <w:color w:val="auto"/>
                <w:w w:val="95"/>
              </w:rPr>
              <w:t>Prior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6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(in millions, except EPS)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Outlook*</w:t>
            </w: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06"/>
        </w:trPr>
        <w:tc>
          <w:tcPr>
            <w:tcW w:w="640" w:type="dxa"/>
            <w:vAlign w:val="bottom"/>
          </w:tcPr>
          <w:p>
            <w:pPr>
              <w:spacing w:after="0"/>
              <w:rPr>
                <w:sz w:val="17"/>
                <w:szCs w:val="17"/>
                <w:color w:val="auto"/>
              </w:rPr>
            </w:pPr>
          </w:p>
        </w:tc>
        <w:tc>
          <w:tcPr>
            <w:tcW w:w="34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GAAP Net Revenues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2,413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8,803</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8,086</w:t>
            </w:r>
          </w:p>
        </w:tc>
        <w:tc>
          <w:tcPr>
            <w:tcW w:w="80" w:type="dxa"/>
            <w:vAlign w:val="bottom"/>
            <w:tcBorders>
              <w:top w:val="single" w:sz="8" w:color="CCEEFF"/>
            </w:tcBorders>
            <w:shd w:val="clear" w:color="auto" w:fill="CCEEFF"/>
          </w:tcPr>
          <w:p>
            <w:pPr>
              <w:spacing w:after="0"/>
              <w:rPr>
                <w:sz w:val="17"/>
                <w:szCs w:val="17"/>
                <w:color w:val="auto"/>
              </w:rPr>
            </w:pPr>
          </w:p>
        </w:tc>
      </w:tr>
      <w:tr>
        <w:trPr>
          <w:trHeight w:val="252"/>
        </w:trPr>
        <w:tc>
          <w:tcPr>
            <w:tcW w:w="640" w:type="dxa"/>
            <w:vAlign w:val="bottom"/>
          </w:tcPr>
          <w:p>
            <w:pPr>
              <w:spacing w:after="0"/>
              <w:rPr>
                <w:sz w:val="21"/>
                <w:szCs w:val="21"/>
                <w:color w:val="auto"/>
              </w:rPr>
            </w:pPr>
          </w:p>
        </w:tc>
        <w:tc>
          <w:tcPr>
            <w:tcW w:w="3480" w:type="dxa"/>
            <w:vAlign w:val="bottom"/>
          </w:tcPr>
          <w:p>
            <w:pPr>
              <w:ind w:left="260"/>
              <w:spacing w:after="0" w:line="252" w:lineRule="exact"/>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9"/>
                <w:szCs w:val="29"/>
                <w:i w:val="1"/>
                <w:iCs w:val="1"/>
                <w:color w:val="auto"/>
                <w:vertAlign w:val="superscript"/>
              </w:rPr>
              <w:t>A</w:t>
            </w:r>
          </w:p>
        </w:tc>
        <w:tc>
          <w:tcPr>
            <w:tcW w:w="340" w:type="dxa"/>
            <w:vAlign w:val="bottom"/>
            <w:gridSpan w:val="2"/>
          </w:tcPr>
          <w:p>
            <w:pPr>
              <w:jc w:val="right"/>
              <w:ind w:right="83"/>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324</w:t>
            </w:r>
          </w:p>
        </w:tc>
        <w:tc>
          <w:tcPr>
            <w:tcW w:w="2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763</w:t>
            </w:r>
          </w:p>
        </w:tc>
        <w:tc>
          <w:tcPr>
            <w:tcW w:w="220" w:type="dxa"/>
            <w:vAlign w:val="bottom"/>
          </w:tcPr>
          <w:p>
            <w:pPr>
              <w:jc w:val="right"/>
              <w:ind w:right="32"/>
              <w:spacing w:after="0"/>
              <w:rPr>
                <w:sz w:val="20"/>
                <w:szCs w:val="20"/>
                <w:color w:val="auto"/>
              </w:rPr>
            </w:pPr>
            <w:r>
              <w:rPr>
                <w:rFonts w:ascii="Arial" w:cs="Arial" w:eastAsia="Arial" w:hAnsi="Arial"/>
                <w:sz w:val="18"/>
                <w:szCs w:val="18"/>
                <w:i w:val="1"/>
                <w:iCs w:val="1"/>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638</w:t>
            </w:r>
          </w:p>
        </w:tc>
        <w:tc>
          <w:tcPr>
            <w:tcW w:w="220" w:type="dxa"/>
            <w:vAlign w:val="bottom"/>
          </w:tcPr>
          <w:p>
            <w:pPr>
              <w:jc w:val="right"/>
              <w:ind w:right="32"/>
              <w:spacing w:after="0"/>
              <w:rPr>
                <w:sz w:val="20"/>
                <w:szCs w:val="20"/>
                <w:color w:val="auto"/>
              </w:rPr>
            </w:pPr>
            <w:r>
              <w:rPr>
                <w:rFonts w:ascii="Arial" w:cs="Arial" w:eastAsia="Arial" w:hAnsi="Arial"/>
                <w:sz w:val="18"/>
                <w:szCs w:val="18"/>
                <w:i w:val="1"/>
                <w:iCs w:val="1"/>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(449)</w:t>
            </w:r>
          </w:p>
        </w:tc>
        <w:tc>
          <w:tcPr>
            <w:tcW w:w="280" w:type="dxa"/>
            <w:vAlign w:val="bottom"/>
            <w:gridSpan w:val="2"/>
          </w:tcPr>
          <w:p>
            <w:pPr>
              <w:jc w:val="right"/>
              <w:ind w:right="63"/>
              <w:spacing w:after="0"/>
              <w:rPr>
                <w:sz w:val="20"/>
                <w:szCs w:val="20"/>
                <w:color w:val="auto"/>
              </w:rPr>
            </w:pPr>
            <w:r>
              <w:rPr>
                <w:rFonts w:ascii="Arial" w:cs="Arial" w:eastAsia="Arial" w:hAnsi="Arial"/>
                <w:sz w:val="18"/>
                <w:szCs w:val="18"/>
                <w:i w:val="1"/>
                <w:i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333</w:t>
            </w:r>
          </w:p>
        </w:tc>
      </w:tr>
      <w:tr>
        <w:trPr>
          <w:trHeight w:val="212"/>
        </w:trPr>
        <w:tc>
          <w:tcPr>
            <w:tcW w:w="64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6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GAAP EPS</w:t>
            </w:r>
          </w:p>
        </w:tc>
        <w:tc>
          <w:tcPr>
            <w:tcW w:w="3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r>
      <w:tr>
        <w:trPr>
          <w:trHeight w:val="212"/>
        </w:trPr>
        <w:tc>
          <w:tcPr>
            <w:tcW w:w="6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Non-GAAP EPS</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2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r>
      <w:tr>
        <w:trPr>
          <w:trHeight w:val="384"/>
        </w:trPr>
        <w:tc>
          <w:tcPr>
            <w:tcW w:w="64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9"/>
                <w:szCs w:val="29"/>
                <w:i w:val="1"/>
                <w:iCs w:val="1"/>
                <w:color w:val="auto"/>
                <w:vertAlign w:val="superscript"/>
              </w:rPr>
              <w:t>A</w:t>
            </w:r>
          </w:p>
        </w:tc>
        <w:tc>
          <w:tcPr>
            <w:tcW w:w="340" w:type="dxa"/>
            <w:vAlign w:val="bottom"/>
            <w:gridSpan w:val="2"/>
          </w:tcPr>
          <w:p>
            <w:pPr>
              <w:jc w:val="right"/>
              <w:ind w:right="83"/>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0.24</w:t>
            </w:r>
          </w:p>
        </w:tc>
        <w:tc>
          <w:tcPr>
            <w:tcW w:w="2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0.67</w:t>
            </w:r>
          </w:p>
        </w:tc>
        <w:tc>
          <w:tcPr>
            <w:tcW w:w="220" w:type="dxa"/>
            <w:vAlign w:val="bottom"/>
          </w:tcPr>
          <w:p>
            <w:pPr>
              <w:jc w:val="right"/>
              <w:ind w:right="32"/>
              <w:spacing w:after="0"/>
              <w:rPr>
                <w:sz w:val="20"/>
                <w:szCs w:val="20"/>
                <w:color w:val="auto"/>
              </w:rPr>
            </w:pPr>
            <w:r>
              <w:rPr>
                <w:rFonts w:ascii="Arial" w:cs="Arial" w:eastAsia="Arial" w:hAnsi="Arial"/>
                <w:sz w:val="18"/>
                <w:szCs w:val="18"/>
                <w:i w:val="1"/>
                <w:iCs w:val="1"/>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0.45</w:t>
            </w:r>
          </w:p>
        </w:tc>
        <w:tc>
          <w:tcPr>
            <w:tcW w:w="220" w:type="dxa"/>
            <w:vAlign w:val="bottom"/>
          </w:tcPr>
          <w:p>
            <w:pPr>
              <w:jc w:val="right"/>
              <w:ind w:right="32"/>
              <w:spacing w:after="0"/>
              <w:rPr>
                <w:sz w:val="20"/>
                <w:szCs w:val="20"/>
                <w:color w:val="auto"/>
              </w:rPr>
            </w:pPr>
            <w:r>
              <w:rPr>
                <w:rFonts w:ascii="Arial" w:cs="Arial" w:eastAsia="Arial" w:hAnsi="Arial"/>
                <w:sz w:val="18"/>
                <w:szCs w:val="18"/>
                <w:i w:val="1"/>
                <w:iCs w:val="1"/>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(0.36)</w:t>
            </w:r>
          </w:p>
        </w:tc>
        <w:tc>
          <w:tcPr>
            <w:tcW w:w="280" w:type="dxa"/>
            <w:vAlign w:val="bottom"/>
            <w:gridSpan w:val="2"/>
          </w:tcPr>
          <w:p>
            <w:pPr>
              <w:jc w:val="right"/>
              <w:ind w:right="63"/>
              <w:spacing w:after="0"/>
              <w:rPr>
                <w:sz w:val="20"/>
                <w:szCs w:val="20"/>
                <w:color w:val="auto"/>
              </w:rPr>
            </w:pPr>
            <w:r>
              <w:rPr>
                <w:rFonts w:ascii="Arial" w:cs="Arial" w:eastAsia="Arial" w:hAnsi="Arial"/>
                <w:sz w:val="18"/>
                <w:szCs w:val="18"/>
                <w:i w:val="1"/>
                <w:i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0.26</w:t>
            </w:r>
          </w:p>
        </w:tc>
      </w:tr>
    </w:tbl>
    <w:p>
      <w:pPr>
        <w:spacing w:after="0" w:line="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Prior outlook was provided by the company on November 2, 2021 in its earnings release.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refer to the tables at the back of this earnings release for a reconciliation of the company’s GAAP and non-GAAP results.</w:t>
      </w:r>
    </w:p>
    <w:p>
      <w:pPr>
        <w:spacing w:after="0" w:line="2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year ended December 31, 2021, Activision Blizzard’s net revenues presented in accordance with GAAP were $8.80 billion, as compared with $8.09 billion for 2020. GAAP net revenues from digital channels were $7.66 billion. GAAP operating margin was 37%. GAAP earnings per diluted share was $3.44, as compared with $2.82 for 2020. On a non-GAAP basis, Activision Blizzard’s operating margin was 44% and earnings per diluted share was $4.08, as compared with $3.21 for 2020.</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 the quarter ended December 31, 2021, Activision Blizzard’s net revenues presented in accordance with GAAP were $2.16 billion, as compared with $2.41 billion for the fourth quarter of 2020. GAAP net revenues from digital channels were $1.78 billion. GAAP operating margin was 32%. GAAP earnings per diluted share was $0.72, as compared with $0.65 for the fourth quarter of 2020. On a non-GAAP basis, Activision Blizzard’s operating margin was 45% and earnings per diluted share was $1.01, as compared with $0.76 for the fourth quarter of 2020.</w:t>
      </w:r>
    </w:p>
    <w:p>
      <w:pPr>
        <w:spacing w:after="0" w:line="17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Activision Blizzard generated $2.41 billion in operating cash flow for the year ended December 31, 2021, as compared with $2.25 billion for 2020. For the quarter, operating cash flow was $661 million, as compared with $1.14 billion for the fourth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tables at the back of this press release for a reconciliation of the company’s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414655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225" w:lineRule="exact"/>
        <w:rPr>
          <w:sz w:val="20"/>
          <w:szCs w:val="20"/>
          <w:color w:val="auto"/>
        </w:rPr>
      </w:pPr>
    </w:p>
    <w:p>
      <w:pPr>
        <w:ind w:right="660"/>
        <w:spacing w:after="0" w:line="228" w:lineRule="auto"/>
        <w:rPr>
          <w:sz w:val="20"/>
          <w:szCs w:val="20"/>
          <w:color w:val="auto"/>
        </w:rPr>
      </w:pPr>
      <w:r>
        <w:rPr>
          <w:rFonts w:ascii="Arial" w:cs="Arial" w:eastAsia="Arial" w:hAnsi="Arial"/>
          <w:sz w:val="18"/>
          <w:szCs w:val="18"/>
          <w:color w:val="auto"/>
        </w:rPr>
        <w:t>For the year ended December 31, 2021, Activision Blizzard’s net bookings</w:t>
      </w:r>
      <w:r>
        <w:rPr>
          <w:rFonts w:ascii="Arial" w:cs="Arial" w:eastAsia="Arial" w:hAnsi="Arial"/>
          <w:sz w:val="29"/>
          <w:szCs w:val="29"/>
          <w:color w:val="auto"/>
          <w:vertAlign w:val="superscript"/>
        </w:rPr>
        <w:t>B</w:t>
      </w:r>
      <w:r>
        <w:rPr>
          <w:rFonts w:ascii="Arial" w:cs="Arial" w:eastAsia="Arial" w:hAnsi="Arial"/>
          <w:sz w:val="18"/>
          <w:szCs w:val="18"/>
          <w:color w:val="auto"/>
        </w:rPr>
        <w:t xml:space="preserve"> were $8.35 billion, as compared with $8.42 billion for 2020. In-game net bookings</w:t>
      </w:r>
      <w:r>
        <w:rPr>
          <w:rFonts w:ascii="Arial" w:cs="Arial" w:eastAsia="Arial" w:hAnsi="Arial"/>
          <w:sz w:val="29"/>
          <w:szCs w:val="29"/>
          <w:color w:val="auto"/>
          <w:vertAlign w:val="superscript"/>
        </w:rPr>
        <w:t>C</w:t>
      </w:r>
      <w:r>
        <w:rPr>
          <w:rFonts w:ascii="Arial" w:cs="Arial" w:eastAsia="Arial" w:hAnsi="Arial"/>
          <w:sz w:val="18"/>
          <w:szCs w:val="18"/>
          <w:color w:val="auto"/>
        </w:rPr>
        <w:t xml:space="preserve"> were $5.10 billion, as compared with $4.85 billion for 2020.</w:t>
      </w:r>
    </w:p>
    <w:p>
      <w:pPr>
        <w:spacing w:after="0" w:line="82" w:lineRule="exact"/>
        <w:rPr>
          <w:sz w:val="20"/>
          <w:szCs w:val="20"/>
          <w:color w:val="auto"/>
        </w:rPr>
      </w:pPr>
    </w:p>
    <w:p>
      <w:pPr>
        <w:ind w:right="320"/>
        <w:spacing w:after="0" w:line="228" w:lineRule="auto"/>
        <w:rPr>
          <w:sz w:val="20"/>
          <w:szCs w:val="20"/>
          <w:color w:val="auto"/>
        </w:rPr>
      </w:pPr>
      <w:r>
        <w:rPr>
          <w:rFonts w:ascii="Arial" w:cs="Arial" w:eastAsia="Arial" w:hAnsi="Arial"/>
          <w:sz w:val="18"/>
          <w:szCs w:val="18"/>
          <w:color w:val="auto"/>
        </w:rPr>
        <w:t>For the quarter ended December 31, 2021, Activision Blizzard’s net bookings</w:t>
      </w:r>
      <w:r>
        <w:rPr>
          <w:rFonts w:ascii="Arial" w:cs="Arial" w:eastAsia="Arial" w:hAnsi="Arial"/>
          <w:sz w:val="29"/>
          <w:szCs w:val="29"/>
          <w:color w:val="auto"/>
          <w:vertAlign w:val="superscript"/>
        </w:rPr>
        <w:t>B</w:t>
      </w:r>
      <w:r>
        <w:rPr>
          <w:rFonts w:ascii="Arial" w:cs="Arial" w:eastAsia="Arial" w:hAnsi="Arial"/>
          <w:sz w:val="18"/>
          <w:szCs w:val="18"/>
          <w:color w:val="auto"/>
        </w:rPr>
        <w:t xml:space="preserve"> were $2.49 billion, as compared with $3.05 billion for the fourth quarter of 2020. In-game net bookings</w:t>
      </w:r>
      <w:r>
        <w:rPr>
          <w:rFonts w:ascii="Arial" w:cs="Arial" w:eastAsia="Arial" w:hAnsi="Arial"/>
          <w:sz w:val="29"/>
          <w:szCs w:val="29"/>
          <w:color w:val="auto"/>
          <w:vertAlign w:val="superscript"/>
        </w:rPr>
        <w:t>C</w:t>
      </w:r>
      <w:r>
        <w:rPr>
          <w:rFonts w:ascii="Arial" w:cs="Arial" w:eastAsia="Arial" w:hAnsi="Arial"/>
          <w:sz w:val="18"/>
          <w:szCs w:val="18"/>
          <w:color w:val="auto"/>
        </w:rPr>
        <w:t xml:space="preserve"> were $1.24 billion, as compared with $1.32 billion for the fourth quarter of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December 31, 2021, overall Activision Blizzard Monthly Active Users (MAUs)</w:t>
      </w:r>
      <w:r>
        <w:rPr>
          <w:rFonts w:ascii="Arial" w:cs="Arial" w:eastAsia="Arial" w:hAnsi="Arial"/>
          <w:sz w:val="29"/>
          <w:szCs w:val="29"/>
          <w:color w:val="auto"/>
          <w:vertAlign w:val="superscript"/>
        </w:rPr>
        <w:t>D</w:t>
      </w:r>
      <w:r>
        <w:rPr>
          <w:rFonts w:ascii="Arial" w:cs="Arial" w:eastAsia="Arial" w:hAnsi="Arial"/>
          <w:sz w:val="18"/>
          <w:szCs w:val="18"/>
          <w:color w:val="auto"/>
        </w:rPr>
        <w:t xml:space="preserve"> were 371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Microsoft transaction</w:t>
      </w:r>
    </w:p>
    <w:p>
      <w:pPr>
        <w:spacing w:after="0" w:line="2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announced on January 18, 2022, Microsoft plans to acquire Activision Blizzard for $95.00 per share, in an all-cash transaction valued at $68.7 billion, inclusive of Activision Blizzard's net cash. The transaction is subject to customary closing conditions and completion of regulatory review and Activision Blizzard's stockholder approval. The transaction, which is expected to close in Microsoft’s fiscal year ending June 30 2023, has been approved by the boards of directors of both Activision Blizzard and Microsoft.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Earnings Presentation</w:t>
      </w:r>
    </w:p>
    <w:p>
      <w:pPr>
        <w:spacing w:after="0" w:line="223" w:lineRule="exact"/>
        <w:rPr>
          <w:sz w:val="20"/>
          <w:szCs w:val="20"/>
          <w:color w:val="auto"/>
        </w:rPr>
      </w:pPr>
    </w:p>
    <w:p>
      <w:pPr>
        <w:ind w:right="420"/>
        <w:spacing w:after="0" w:line="330" w:lineRule="auto"/>
        <w:rPr>
          <w:sz w:val="20"/>
          <w:szCs w:val="20"/>
          <w:color w:val="auto"/>
        </w:rPr>
      </w:pPr>
      <w:r>
        <w:rPr>
          <w:rFonts w:ascii="Arial" w:cs="Arial" w:eastAsia="Arial" w:hAnsi="Arial"/>
          <w:sz w:val="15"/>
          <w:szCs w:val="15"/>
          <w:color w:val="auto"/>
        </w:rPr>
        <w:t>In light of the pending transaction with Microsoft, and as is customary during the pendency of an acquisition, Activision Blizzard will not be hosting a conference call, issuing an earnings presentation, or providing financial guidance in conjunction with its fourth quarter 2021 earnings release. For further detail and discussion of our financial performance please refer to our upcoming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363855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Business Highlights</w:t>
      </w:r>
    </w:p>
    <w:p>
      <w:pPr>
        <w:spacing w:after="0" w:line="2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Activision Blizzard delivered record full-year GAAP results in 2021, growing GAAP revenue 9% year-over-year, GAAP operating profit 19% year-over-year and GAAP EPS 22% year-over-year, building on very strong results in the prior year. Net bookings were broadly consistent year-over-year, again following very strong growth in 2020.</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fourth quarter 2021 GAAP revenue was ahead of our guidance provided on November 2, 2021, fourth quarter net bookings were below our prior outlook, primarily due to lower than expected performance in the Activision segment, which offset record performance at King. Activision Blizzard’s mobile net bookings grew 18% year-over-year and represented 33% of total net bookings in the fourth quarter.</w:t>
      </w:r>
    </w:p>
    <w:p>
      <w:pPr>
        <w:spacing w:after="0" w:line="188"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Fourth quarter GAAP EPS was ahead of our prior outlook. Non-GAAP EPS reflected a $0.16 benefit from the implementation of changes to our compensation plans, primarily to enhance equity ownership for employees and bring our employee equity compensation more in line with current industry practice.</w:t>
      </w:r>
    </w:p>
    <w:p>
      <w:pPr>
        <w:spacing w:after="0" w:line="111"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Growing our developer base remains a strategic priority for the company. We continued to increase our developer headcount in the fourth quarter and added hundreds of talented professionals in 2021. Our teams are executing against an exciting pipeline of content planned for 2022. Activision expects to drive</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7"/>
          <w:szCs w:val="17"/>
          <w:color w:val="auto"/>
        </w:rPr>
        <w:t xml:space="preserve">renewed expansion in the </w:t>
      </w:r>
      <w:r>
        <w:rPr>
          <w:rFonts w:ascii="Arial" w:cs="Arial" w:eastAsia="Arial" w:hAnsi="Arial"/>
          <w:sz w:val="17"/>
          <w:szCs w:val="17"/>
          <w:b w:val="1"/>
          <w:bCs w:val="1"/>
          <w:color w:val="auto"/>
        </w:rPr>
        <w:t>Call of Duty</w:t>
      </w:r>
      <w:r>
        <w:rPr>
          <w:rFonts w:ascii="Arial" w:cs="Arial" w:eastAsia="Arial" w:hAnsi="Arial"/>
          <w:sz w:val="28"/>
          <w:szCs w:val="28"/>
          <w:b w:val="1"/>
          <w:bCs w:val="1"/>
          <w:color w:val="auto"/>
          <w:vertAlign w:val="superscript"/>
        </w:rPr>
        <w:t>®</w:t>
      </w:r>
      <w:r>
        <w:rPr>
          <w:rFonts w:ascii="Arial" w:cs="Arial" w:eastAsia="Arial" w:hAnsi="Arial"/>
          <w:sz w:val="17"/>
          <w:szCs w:val="17"/>
          <w:color w:val="auto"/>
        </w:rPr>
        <w:t xml:space="preserve"> franchise later in the year with groundbreaking all-new experiences. </w:t>
      </w:r>
      <w:r>
        <w:rPr>
          <w:rFonts w:ascii="Arial" w:cs="Arial" w:eastAsia="Arial" w:hAnsi="Arial"/>
          <w:sz w:val="17"/>
          <w:szCs w:val="17"/>
          <w:b w:val="1"/>
          <w:bCs w:val="1"/>
          <w:color w:val="auto"/>
        </w:rPr>
        <w:t>Blizzard</w:t>
      </w:r>
      <w:r>
        <w:rPr>
          <w:rFonts w:ascii="Arial" w:cs="Arial" w:eastAsia="Arial" w:hAnsi="Arial"/>
          <w:sz w:val="17"/>
          <w:szCs w:val="17"/>
          <w:color w:val="auto"/>
        </w:rPr>
        <w:t xml:space="preserve"> is planning substantial new content for key franchises, and </w:t>
      </w:r>
      <w:r>
        <w:rPr>
          <w:rFonts w:ascii="Arial" w:cs="Arial" w:eastAsia="Arial" w:hAnsi="Arial"/>
          <w:sz w:val="17"/>
          <w:szCs w:val="17"/>
          <w:b w:val="1"/>
          <w:bCs w:val="1"/>
          <w:color w:val="auto"/>
        </w:rPr>
        <w:t>King</w:t>
      </w:r>
      <w:r>
        <w:rPr>
          <w:rFonts w:ascii="Arial" w:cs="Arial" w:eastAsia="Arial" w:hAnsi="Arial"/>
          <w:sz w:val="17"/>
          <w:szCs w:val="17"/>
          <w:color w:val="auto"/>
        </w:rPr>
        <w:t xml:space="preserve"> expects to build on its momentum with further innovative live operations across its portfolio.</w:t>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Activision Blizzard is committed to ensuring an inclusive and safe working environment for its employees, and in the fourth quarter continued to implement previously announced initiatives to strengthen its practices and policies. The company also announced the conversion of nearly 500 temporary workers to full-time employees at Activision Publishing studios, along with securing increased wages and expanded paid time off benefits for a large portion of temporary workers.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w:t>
      </w:r>
    </w:p>
    <w:p>
      <w:pPr>
        <w:spacing w:after="0" w:line="211" w:lineRule="exact"/>
        <w:rPr>
          <w:sz w:val="20"/>
          <w:szCs w:val="20"/>
          <w:color w:val="auto"/>
        </w:rPr>
      </w:pPr>
    </w:p>
    <w:p>
      <w:pPr>
        <w:ind w:left="320" w:hanging="314"/>
        <w:spacing w:after="0"/>
        <w:tabs>
          <w:tab w:leader="none" w:pos="32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Call of Duty </w:t>
      </w:r>
      <w:r>
        <w:rPr>
          <w:rFonts w:ascii="Arial" w:cs="Arial" w:eastAsia="Arial" w:hAnsi="Arial"/>
          <w:sz w:val="15"/>
          <w:szCs w:val="15"/>
          <w:color w:val="auto"/>
        </w:rPr>
        <w:t>net bookings on console and PC declined year-over-year in the fourth quarter, reflecting lower premium sales for</w:t>
      </w:r>
      <w:r>
        <w:rPr>
          <w:rFonts w:ascii="Arial" w:cs="Arial" w:eastAsia="Arial" w:hAnsi="Arial"/>
          <w:sz w:val="15"/>
          <w:szCs w:val="15"/>
          <w:b w:val="1"/>
          <w:bCs w:val="1"/>
          <w:color w:val="auto"/>
        </w:rPr>
        <w:t xml:space="preserve"> Call of Duty: Vanguard</w:t>
      </w:r>
    </w:p>
    <w:p>
      <w:pPr>
        <w:spacing w:after="0" w:line="56" w:lineRule="exact"/>
        <w:rPr>
          <w:rFonts w:ascii="Arial" w:cs="Arial" w:eastAsia="Arial" w:hAnsi="Arial"/>
          <w:sz w:val="15"/>
          <w:szCs w:val="15"/>
          <w:color w:val="auto"/>
        </w:rPr>
      </w:pPr>
    </w:p>
    <w:p>
      <w:pPr>
        <w:ind w:left="320" w:right="40"/>
        <w:spacing w:after="0" w:line="245" w:lineRule="auto"/>
        <w:rPr>
          <w:rFonts w:ascii="Arial" w:cs="Arial" w:eastAsia="Arial" w:hAnsi="Arial"/>
          <w:sz w:val="15"/>
          <w:szCs w:val="15"/>
          <w:color w:val="auto"/>
        </w:rPr>
      </w:pPr>
      <w:r>
        <w:rPr>
          <w:rFonts w:ascii="Arial" w:cs="Arial" w:eastAsia="Arial" w:hAnsi="Arial"/>
          <w:sz w:val="18"/>
          <w:szCs w:val="18"/>
          <w:color w:val="auto"/>
        </w:rPr>
        <w:t xml:space="preserve">versus the year ago title and lower engagement in </w:t>
      </w:r>
      <w:r>
        <w:rPr>
          <w:rFonts w:ascii="Arial" w:cs="Arial" w:eastAsia="Arial" w:hAnsi="Arial"/>
          <w:sz w:val="18"/>
          <w:szCs w:val="18"/>
          <w:b w:val="1"/>
          <w:bCs w:val="1"/>
          <w:color w:val="auto"/>
        </w:rPr>
        <w:t>Call of Duty: Warzone™</w:t>
      </w:r>
      <w:r>
        <w:rPr>
          <w:rFonts w:ascii="Arial" w:cs="Arial" w:eastAsia="Arial" w:hAnsi="Arial"/>
          <w:sz w:val="18"/>
          <w:szCs w:val="18"/>
          <w:color w:val="auto"/>
        </w:rPr>
        <w:t xml:space="preserve">. Fourth quarter in-game player investment on console and PC remained well above the level seen prior to the March 2020 launch of </w:t>
      </w:r>
      <w:r>
        <w:rPr>
          <w:rFonts w:ascii="Arial" w:cs="Arial" w:eastAsia="Arial" w:hAnsi="Arial"/>
          <w:sz w:val="18"/>
          <w:szCs w:val="18"/>
          <w:b w:val="1"/>
          <w:bCs w:val="1"/>
          <w:color w:val="auto"/>
        </w:rPr>
        <w:t>Warzone</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320" w:right="120" w:hanging="314"/>
        <w:spacing w:after="0" w:line="24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Development on this year’s </w:t>
      </w:r>
      <w:r>
        <w:rPr>
          <w:rFonts w:ascii="Arial" w:cs="Arial" w:eastAsia="Arial" w:hAnsi="Arial"/>
          <w:sz w:val="18"/>
          <w:szCs w:val="18"/>
          <w:b w:val="1"/>
          <w:bCs w:val="1"/>
          <w:color w:val="auto"/>
        </w:rPr>
        <w:t>premium</w:t>
      </w:r>
      <w:r>
        <w:rPr>
          <w:rFonts w:ascii="Arial" w:cs="Arial" w:eastAsia="Arial" w:hAnsi="Arial"/>
          <w:sz w:val="18"/>
          <w:szCs w:val="18"/>
          <w:color w:val="auto"/>
        </w:rPr>
        <w:t xml:space="preserve"> and </w:t>
      </w:r>
      <w:r>
        <w:rPr>
          <w:rFonts w:ascii="Arial" w:cs="Arial" w:eastAsia="Arial" w:hAnsi="Arial"/>
          <w:sz w:val="18"/>
          <w:szCs w:val="18"/>
          <w:b w:val="1"/>
          <w:bCs w:val="1"/>
          <w:color w:val="auto"/>
        </w:rPr>
        <w:t>Warzone</w:t>
      </w:r>
      <w:r>
        <w:rPr>
          <w:rFonts w:ascii="Arial" w:cs="Arial" w:eastAsia="Arial" w:hAnsi="Arial"/>
          <w:sz w:val="18"/>
          <w:szCs w:val="18"/>
          <w:color w:val="auto"/>
        </w:rPr>
        <w:t xml:space="preserve"> experiences is being led by Activision’s renowned Infinity Ward studio. The team is working on the most ambitious plan in franchise history, with industry-leading innovation and a broadly appealing franchise setting.</w:t>
      </w:r>
    </w:p>
    <w:p>
      <w:pPr>
        <w:spacing w:after="0" w:line="1" w:lineRule="exact"/>
        <w:rPr>
          <w:rFonts w:ascii="Arial" w:cs="Arial" w:eastAsia="Arial" w:hAnsi="Arial"/>
          <w:sz w:val="18"/>
          <w:szCs w:val="18"/>
          <w:color w:val="auto"/>
        </w:rPr>
      </w:pPr>
    </w:p>
    <w:p>
      <w:pPr>
        <w:ind w:left="320" w:right="140" w:hanging="314"/>
        <w:spacing w:after="0" w:line="260"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Call of Duty Mobile </w:t>
      </w:r>
      <w:r>
        <w:rPr>
          <w:rFonts w:ascii="Arial" w:cs="Arial" w:eastAsia="Arial" w:hAnsi="Arial"/>
          <w:sz w:val="17"/>
          <w:szCs w:val="17"/>
          <w:color w:val="auto"/>
        </w:rPr>
        <w:t>net bookings grew year-over-year in the fourth quarter, driven by continued contribution from the game in China. For the full year,</w:t>
      </w:r>
      <w:r>
        <w:rPr>
          <w:rFonts w:ascii="Arial" w:cs="Arial" w:eastAsia="Arial" w:hAnsi="Arial"/>
          <w:sz w:val="17"/>
          <w:szCs w:val="17"/>
          <w:b w:val="1"/>
          <w:bCs w:val="1"/>
          <w:color w:val="auto"/>
        </w:rPr>
        <w:t xml:space="preserve"> Call of Duty Mobile </w:t>
      </w:r>
      <w:r>
        <w:rPr>
          <w:rFonts w:ascii="Arial" w:cs="Arial" w:eastAsia="Arial" w:hAnsi="Arial"/>
          <w:sz w:val="17"/>
          <w:szCs w:val="17"/>
          <w:color w:val="auto"/>
        </w:rPr>
        <w:t>net bookings grew strongly, with 2021 worldwide consumer spending on the title exceeding $1 billion.</w:t>
      </w:r>
    </w:p>
    <w:p>
      <w:pPr>
        <w:ind w:left="320" w:right="20" w:hanging="314"/>
        <w:spacing w:after="0" w:line="25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Studio expansion has continued to add development resources worldwide as plans continue for ongoing live operations and new, unannounced titles in the </w:t>
      </w:r>
      <w:r>
        <w:rPr>
          <w:rFonts w:ascii="Arial" w:cs="Arial" w:eastAsia="Arial" w:hAnsi="Arial"/>
          <w:sz w:val="18"/>
          <w:szCs w:val="18"/>
          <w:b w:val="1"/>
          <w:bCs w:val="1"/>
          <w:color w:val="auto"/>
        </w:rPr>
        <w:t xml:space="preserve">Call of Duty </w:t>
      </w:r>
      <w:r>
        <w:rPr>
          <w:rFonts w:ascii="Arial" w:cs="Arial" w:eastAsia="Arial" w:hAnsi="Arial"/>
          <w:sz w:val="18"/>
          <w:szCs w:val="18"/>
          <w:color w:val="auto"/>
        </w:rPr>
        <w:t>universe.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Blizzard</w:t>
      </w:r>
    </w:p>
    <w:p>
      <w:pPr>
        <w:spacing w:after="0" w:line="215" w:lineRule="exact"/>
        <w:rPr>
          <w:sz w:val="20"/>
          <w:szCs w:val="20"/>
          <w:color w:val="auto"/>
        </w:rPr>
      </w:pPr>
    </w:p>
    <w:p>
      <w:pPr>
        <w:ind w:left="320" w:right="280" w:hanging="314"/>
        <w:spacing w:after="0" w:line="209" w:lineRule="auto"/>
        <w:tabs>
          <w:tab w:leader="none" w:pos="32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 xml:space="preserve">Within the </w:t>
      </w:r>
      <w:r>
        <w:rPr>
          <w:rFonts w:ascii="Arial" w:cs="Arial" w:eastAsia="Arial" w:hAnsi="Arial"/>
          <w:sz w:val="16"/>
          <w:szCs w:val="16"/>
          <w:b w:val="1"/>
          <w:bCs w:val="1"/>
          <w:color w:val="auto"/>
        </w:rPr>
        <w:t>Warcraft</w:t>
      </w:r>
      <w:r>
        <w:rPr>
          <w:rFonts w:ascii="Arial" w:cs="Arial" w:eastAsia="Arial" w:hAnsi="Arial"/>
          <w:sz w:val="16"/>
          <w:szCs w:val="16"/>
          <w:color w:val="auto"/>
        </w:rPr>
        <w:t xml:space="preserve"> franchise, fourth quarter </w:t>
      </w:r>
      <w:r>
        <w:rPr>
          <w:rFonts w:ascii="Arial" w:cs="Arial" w:eastAsia="Arial" w:hAnsi="Arial"/>
          <w:sz w:val="16"/>
          <w:szCs w:val="16"/>
          <w:b w:val="1"/>
          <w:bCs w:val="1"/>
          <w:color w:val="auto"/>
        </w:rPr>
        <w:t>World of Warcraft</w:t>
      </w:r>
      <w:r>
        <w:rPr>
          <w:rFonts w:ascii="Arial" w:cs="Arial" w:eastAsia="Arial" w:hAnsi="Arial"/>
          <w:sz w:val="26"/>
          <w:szCs w:val="26"/>
          <w:b w:val="1"/>
          <w:bCs w:val="1"/>
          <w:color w:val="auto"/>
          <w:vertAlign w:val="superscript"/>
        </w:rPr>
        <w:t>TM</w:t>
      </w:r>
      <w:r>
        <w:rPr>
          <w:rFonts w:ascii="Arial" w:cs="Arial" w:eastAsia="Arial" w:hAnsi="Arial"/>
          <w:sz w:val="16"/>
          <w:szCs w:val="16"/>
          <w:color w:val="auto"/>
        </w:rPr>
        <w:t xml:space="preserve"> reach and engagement continued to benefit from the combination of the Modern game and Classic under a single subscription. In 2021, </w:t>
      </w:r>
      <w:r>
        <w:rPr>
          <w:rFonts w:ascii="Arial" w:cs="Arial" w:eastAsia="Arial" w:hAnsi="Arial"/>
          <w:sz w:val="16"/>
          <w:szCs w:val="16"/>
          <w:b w:val="1"/>
          <w:bCs w:val="1"/>
          <w:color w:val="auto"/>
        </w:rPr>
        <w:t>World of Warcraft</w:t>
      </w:r>
      <w:r>
        <w:rPr>
          <w:rFonts w:ascii="Arial" w:cs="Arial" w:eastAsia="Arial" w:hAnsi="Arial"/>
          <w:sz w:val="16"/>
          <w:szCs w:val="16"/>
          <w:color w:val="auto"/>
        </w:rPr>
        <w:t xml:space="preserve"> delivered its strongest engagement and net bookings outside of a Modern expansion year in a decade. </w:t>
      </w:r>
      <w:r>
        <w:rPr>
          <w:rFonts w:ascii="Arial" w:cs="Arial" w:eastAsia="Arial" w:hAnsi="Arial"/>
          <w:sz w:val="16"/>
          <w:szCs w:val="16"/>
          <w:b w:val="1"/>
          <w:bCs w:val="1"/>
          <w:color w:val="auto"/>
        </w:rPr>
        <w:t>Hearthstone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fourth quarter net bookings grew year-over-year, driven by a steady cadence of new content.</w:t>
      </w:r>
    </w:p>
    <w:p>
      <w:pPr>
        <w:ind w:left="320" w:right="60" w:hanging="314"/>
        <w:spacing w:after="0" w:line="244"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Blizzard is planning substantial new content for the </w:t>
      </w:r>
      <w:r>
        <w:rPr>
          <w:rFonts w:ascii="Arial" w:cs="Arial" w:eastAsia="Arial" w:hAnsi="Arial"/>
          <w:sz w:val="18"/>
          <w:szCs w:val="18"/>
          <w:b w:val="1"/>
          <w:bCs w:val="1"/>
          <w:color w:val="auto"/>
        </w:rPr>
        <w:t>Warcraft</w:t>
      </w:r>
      <w:r>
        <w:rPr>
          <w:rFonts w:ascii="Arial" w:cs="Arial" w:eastAsia="Arial" w:hAnsi="Arial"/>
          <w:sz w:val="18"/>
          <w:szCs w:val="18"/>
          <w:color w:val="auto"/>
        </w:rPr>
        <w:t xml:space="preserve"> franchise in 2022, including new experiences in </w:t>
      </w:r>
      <w:r>
        <w:rPr>
          <w:rFonts w:ascii="Arial" w:cs="Arial" w:eastAsia="Arial" w:hAnsi="Arial"/>
          <w:sz w:val="18"/>
          <w:szCs w:val="18"/>
          <w:b w:val="1"/>
          <w:bCs w:val="1"/>
          <w:color w:val="auto"/>
        </w:rPr>
        <w:t>World of Warcraft</w:t>
      </w:r>
      <w:r>
        <w:rPr>
          <w:rFonts w:ascii="Arial" w:cs="Arial" w:eastAsia="Arial" w:hAnsi="Arial"/>
          <w:sz w:val="18"/>
          <w:szCs w:val="18"/>
          <w:color w:val="auto"/>
        </w:rPr>
        <w:t xml:space="preserve"> and </w:t>
      </w:r>
      <w:r>
        <w:rPr>
          <w:rFonts w:ascii="Arial" w:cs="Arial" w:eastAsia="Arial" w:hAnsi="Arial"/>
          <w:sz w:val="18"/>
          <w:szCs w:val="18"/>
          <w:b w:val="1"/>
          <w:bCs w:val="1"/>
          <w:color w:val="auto"/>
        </w:rPr>
        <w:t>Hearthstone</w:t>
      </w:r>
      <w:r>
        <w:rPr>
          <w:rFonts w:ascii="Arial" w:cs="Arial" w:eastAsia="Arial" w:hAnsi="Arial"/>
          <w:sz w:val="18"/>
          <w:szCs w:val="18"/>
          <w:color w:val="auto"/>
        </w:rPr>
        <w:t xml:space="preserve">, and getting all-new mobile </w:t>
      </w:r>
      <w:r>
        <w:rPr>
          <w:rFonts w:ascii="Arial" w:cs="Arial" w:eastAsia="Arial" w:hAnsi="Arial"/>
          <w:sz w:val="18"/>
          <w:szCs w:val="18"/>
          <w:b w:val="1"/>
          <w:bCs w:val="1"/>
          <w:color w:val="auto"/>
        </w:rPr>
        <w:t>Warcraft</w:t>
      </w:r>
      <w:r>
        <w:rPr>
          <w:rFonts w:ascii="Arial" w:cs="Arial" w:eastAsia="Arial" w:hAnsi="Arial"/>
          <w:sz w:val="18"/>
          <w:szCs w:val="18"/>
          <w:color w:val="auto"/>
        </w:rPr>
        <w:t xml:space="preserve"> content into players’ hands for the first time.</w:t>
      </w:r>
    </w:p>
    <w:p>
      <w:pPr>
        <w:ind w:left="320" w:right="480" w:hanging="314"/>
        <w:spacing w:after="0" w:line="185" w:lineRule="auto"/>
        <w:tabs>
          <w:tab w:leader="none" w:pos="32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Diablo</w:t>
      </w:r>
      <w:r>
        <w:rPr>
          <w:rFonts w:ascii="Arial" w:cs="Arial" w:eastAsia="Arial" w:hAnsi="Arial"/>
          <w:sz w:val="16"/>
          <w:szCs w:val="16"/>
          <w:color w:val="auto"/>
        </w:rPr>
        <w:t xml:space="preserve"> franchise</w:t>
      </w:r>
      <w:r>
        <w:rPr>
          <w:rFonts w:ascii="Arial" w:cs="Arial" w:eastAsia="Arial" w:hAnsi="Arial"/>
          <w:sz w:val="16"/>
          <w:szCs w:val="16"/>
          <w:b w:val="1"/>
          <w:bCs w:val="1"/>
          <w:color w:val="auto"/>
        </w:rPr>
        <w:t>, Diablo II: Resurrected</w:t>
      </w:r>
      <w:r>
        <w:rPr>
          <w:rFonts w:ascii="Arial" w:cs="Arial" w:eastAsia="Arial" w:hAnsi="Arial"/>
          <w:sz w:val="26"/>
          <w:szCs w:val="26"/>
          <w:b w:val="1"/>
          <w:bCs w:val="1"/>
          <w:color w:val="auto"/>
          <w:vertAlign w:val="superscript"/>
        </w:rPr>
        <w:t>TM</w:t>
      </w:r>
      <w:r>
        <w:rPr>
          <w:rFonts w:ascii="Arial" w:cs="Arial" w:eastAsia="Arial" w:hAnsi="Arial"/>
          <w:sz w:val="16"/>
          <w:szCs w:val="16"/>
          <w:color w:val="auto"/>
        </w:rPr>
        <w:t xml:space="preserve"> sold through more units from its September release until the year end than any other Activision Blizzard remaster over an equivalent period. On mobile, </w:t>
      </w:r>
      <w:r>
        <w:rPr>
          <w:rFonts w:ascii="Arial" w:cs="Arial" w:eastAsia="Arial" w:hAnsi="Arial"/>
          <w:sz w:val="16"/>
          <w:szCs w:val="16"/>
          <w:b w:val="1"/>
          <w:bCs w:val="1"/>
          <w:color w:val="auto"/>
        </w:rPr>
        <w:t>Diablo Immortal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concluded its public testing with positive feedback.</w:t>
      </w:r>
    </w:p>
    <w:p>
      <w:pPr>
        <w:ind w:left="320" w:right="440" w:hanging="314"/>
        <w:spacing w:after="0" w:line="24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Blizzard is making strong progress on its pipeline, including new experiences in </w:t>
      </w:r>
      <w:r>
        <w:rPr>
          <w:rFonts w:ascii="Arial" w:cs="Arial" w:eastAsia="Arial" w:hAnsi="Arial"/>
          <w:sz w:val="18"/>
          <w:szCs w:val="18"/>
          <w:b w:val="1"/>
          <w:bCs w:val="1"/>
          <w:color w:val="auto"/>
        </w:rPr>
        <w:t>Warcraft</w:t>
      </w:r>
      <w:r>
        <w:rPr>
          <w:rFonts w:ascii="Arial" w:cs="Arial" w:eastAsia="Arial" w:hAnsi="Arial"/>
          <w:sz w:val="18"/>
          <w:szCs w:val="18"/>
          <w:color w:val="auto"/>
        </w:rPr>
        <w:t xml:space="preserve">, ongoing development in </w:t>
      </w:r>
      <w:r>
        <w:rPr>
          <w:rFonts w:ascii="Arial" w:cs="Arial" w:eastAsia="Arial" w:hAnsi="Arial"/>
          <w:sz w:val="18"/>
          <w:szCs w:val="18"/>
          <w:b w:val="1"/>
          <w:bCs w:val="1"/>
          <w:color w:val="auto"/>
        </w:rPr>
        <w:t>Diablo</w:t>
      </w:r>
      <w:r>
        <w:rPr>
          <w:rFonts w:ascii="Arial" w:cs="Arial" w:eastAsia="Arial" w:hAnsi="Arial"/>
          <w:sz w:val="18"/>
          <w:szCs w:val="18"/>
          <w:color w:val="auto"/>
        </w:rPr>
        <w:t xml:space="preserve"> and </w:t>
      </w:r>
      <w:r>
        <w:rPr>
          <w:rFonts w:ascii="Arial" w:cs="Arial" w:eastAsia="Arial" w:hAnsi="Arial"/>
          <w:sz w:val="18"/>
          <w:szCs w:val="18"/>
          <w:b w:val="1"/>
          <w:bCs w:val="1"/>
          <w:color w:val="auto"/>
        </w:rPr>
        <w:t>Overwatch</w:t>
      </w:r>
      <w:r>
        <w:rPr>
          <w:rFonts w:ascii="Arial" w:cs="Arial" w:eastAsia="Arial" w:hAnsi="Arial"/>
          <w:sz w:val="18"/>
          <w:szCs w:val="18"/>
          <w:color w:val="auto"/>
        </w:rPr>
        <w:t xml:space="preserve">, and an exciting </w:t>
      </w:r>
      <w:r>
        <w:rPr>
          <w:rFonts w:ascii="Arial" w:cs="Arial" w:eastAsia="Arial" w:hAnsi="Arial"/>
          <w:sz w:val="18"/>
          <w:szCs w:val="18"/>
          <w:b w:val="1"/>
          <w:bCs w:val="1"/>
          <w:color w:val="auto"/>
        </w:rPr>
        <w:t>new IP</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w:t>
      </w:r>
    </w:p>
    <w:p>
      <w:pPr>
        <w:spacing w:after="0" w:line="215" w:lineRule="exact"/>
        <w:rPr>
          <w:sz w:val="20"/>
          <w:szCs w:val="20"/>
          <w:color w:val="auto"/>
        </w:rPr>
      </w:pPr>
    </w:p>
    <w:p>
      <w:pPr>
        <w:ind w:left="320" w:right="100" w:hanging="314"/>
        <w:spacing w:after="0" w:line="190" w:lineRule="auto"/>
        <w:tabs>
          <w:tab w:leader="none" w:pos="320" w:val="left"/>
        </w:tabs>
        <w:numPr>
          <w:ilvl w:val="0"/>
          <w:numId w:val="6"/>
        </w:numPr>
        <w:rPr>
          <w:rFonts w:ascii="Arial" w:cs="Arial" w:eastAsia="Arial" w:hAnsi="Arial"/>
          <w:sz w:val="31"/>
          <w:szCs w:val="31"/>
          <w:color w:val="auto"/>
          <w:vertAlign w:val="superscript"/>
        </w:rPr>
      </w:pPr>
      <w:r>
        <w:rPr>
          <w:rFonts w:ascii="Arial" w:cs="Arial" w:eastAsia="Arial" w:hAnsi="Arial"/>
          <w:sz w:val="16"/>
          <w:szCs w:val="16"/>
          <w:color w:val="auto"/>
        </w:rPr>
        <w:t xml:space="preserve">King’s in-game net bookings grew 14% year-over-year to a new record in the fourth quarter, driven by 20% year-over-year growth for </w:t>
      </w:r>
      <w:r>
        <w:rPr>
          <w:rFonts w:ascii="Arial" w:cs="Arial" w:eastAsia="Arial" w:hAnsi="Arial"/>
          <w:sz w:val="16"/>
          <w:szCs w:val="16"/>
          <w:b w:val="1"/>
          <w:bCs w:val="1"/>
          <w:color w:val="auto"/>
        </w:rPr>
        <w:t>Candy Crush</w:t>
      </w:r>
      <w:r>
        <w:rPr>
          <w:rFonts w:ascii="Arial" w:cs="Arial" w:eastAsia="Arial" w:hAnsi="Arial"/>
          <w:sz w:val="26"/>
          <w:szCs w:val="26"/>
          <w:b w:val="1"/>
          <w:bCs w:val="1"/>
          <w:color w:val="auto"/>
          <w:vertAlign w:val="superscript"/>
        </w:rPr>
        <w:t>TM</w:t>
      </w:r>
      <w:r>
        <w:rPr>
          <w:rFonts w:ascii="Arial" w:cs="Arial" w:eastAsia="Arial" w:hAnsi="Arial"/>
          <w:sz w:val="16"/>
          <w:szCs w:val="16"/>
          <w:color w:val="auto"/>
        </w:rPr>
        <w:t xml:space="preserve">, King’s largest franchise. </w:t>
      </w:r>
      <w:r>
        <w:rPr>
          <w:rFonts w:ascii="Arial" w:cs="Arial" w:eastAsia="Arial" w:hAnsi="Arial"/>
          <w:sz w:val="16"/>
          <w:szCs w:val="16"/>
          <w:b w:val="1"/>
          <w:bCs w:val="1"/>
          <w:color w:val="auto"/>
        </w:rPr>
        <w:t>Candy Crush</w:t>
      </w:r>
      <w:r>
        <w:rPr>
          <w:rFonts w:ascii="Arial" w:cs="Arial" w:eastAsia="Arial" w:hAnsi="Arial"/>
          <w:sz w:val="16"/>
          <w:szCs w:val="16"/>
          <w:color w:val="auto"/>
        </w:rPr>
        <w:t xml:space="preserve"> was the top-grossing game franchise in the U.S. app stores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for the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quarter.</w:t>
      </w:r>
    </w:p>
    <w:p>
      <w:pPr>
        <w:ind w:left="320" w:right="140" w:hanging="314"/>
        <w:spacing w:after="0" w:line="293" w:lineRule="auto"/>
        <w:tabs>
          <w:tab w:leader="none" w:pos="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Hours played across the King portfolio again grew year-over-year in the fourth quarter, with players responding positively to a more frequent cadence of compelling in-game content and events for key titles. King’s payer numbers grew by a double-digit percentage versus the year ago quarter.</w:t>
      </w:r>
    </w:p>
    <w:p>
      <w:pPr>
        <w:ind w:left="320" w:hanging="314"/>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King’s advertising business grew rapidly in the fourth quarter to reach a new high. For 2021, advertising revenue grew over 60% year-over-year.</w:t>
      </w:r>
    </w:p>
    <w:p>
      <w:pPr>
        <w:spacing w:after="0" w:line="16" w:lineRule="exact"/>
        <w:rPr>
          <w:rFonts w:ascii="Arial" w:cs="Arial" w:eastAsia="Arial" w:hAnsi="Arial"/>
          <w:sz w:val="17"/>
          <w:szCs w:val="17"/>
          <w:color w:val="auto"/>
        </w:rPr>
      </w:pPr>
    </w:p>
    <w:p>
      <w:pPr>
        <w:ind w:left="320" w:hanging="314"/>
        <w:spacing w:after="0" w:line="349" w:lineRule="auto"/>
        <w:tabs>
          <w:tab w:leader="none" w:pos="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Having passed the $1 billion annual operating income milestone in 2021, the King business is entering 2022 with strong momentum. Its teams are focused on continuing to deliver engaging features and events alongside robust live operations and disciplined user acquisition in the coming quarters.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Dividend</w:t>
      </w:r>
    </w:p>
    <w:p>
      <w:pPr>
        <w:spacing w:after="0" w:line="217" w:lineRule="exact"/>
        <w:rPr>
          <w:sz w:val="20"/>
          <w:szCs w:val="20"/>
          <w:color w:val="auto"/>
        </w:rPr>
      </w:pPr>
    </w:p>
    <w:p>
      <w:pPr>
        <w:ind w:left="320" w:right="100" w:hanging="314"/>
        <w:spacing w:after="0" w:line="252"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short-term investments at the end of the fourth quarter stood at $10.6 billion, and Activision Blizzard ended the quarter with a net cash position of approximately $7.0 billion.</w:t>
      </w:r>
    </w:p>
    <w:p>
      <w:pPr>
        <w:ind w:left="320" w:hanging="314"/>
        <w:spacing w:after="0" w:line="251"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declared a cash dividend of $0.47 per common share, payable on May 6, 2022 to shareholders of record at the close of business on 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22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Our mission, to connect and engage the world through epic entertainment, has never been more important. Through communities rooted in our video game franchises we enable hundreds of millions of people to experience joy, thrill and achievement. We enable social connections through the lens of fun, and we foster purpose and a sense of accomplishment through healthy competition. Like sport, but with greater accessibility, our players can find purpose and meaning through competitive gaming. Video games, unlike any other social or entertainment media, have the ability to break down the barriers that can inhibit tolerance and understanding. Celebrating differences is at the core of our culture and ensures we can create games for players of diverse backgrounds in the 190 countries our games are played.</w:t>
      </w:r>
    </w:p>
    <w:p>
      <w:pPr>
        <w:spacing w:after="0" w:line="19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a member of the Fortune 500 and as a component company of the S&amp;P 500, we have an extraordinary track record of delivering superior shareholder returns for over 30 years.</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Our enduring franchises are some of the world’s most popular, including Call of Duty</w:t>
      </w:r>
      <w:r>
        <w:rPr>
          <w:rFonts w:ascii="Arial" w:cs="Arial" w:eastAsia="Arial" w:hAnsi="Arial"/>
          <w:sz w:val="24"/>
          <w:szCs w:val="24"/>
          <w:color w:val="auto"/>
          <w:vertAlign w:val="superscript"/>
        </w:rPr>
        <w:t>®</w:t>
      </w:r>
      <w:r>
        <w:rPr>
          <w:rFonts w:ascii="Arial" w:cs="Arial" w:eastAsia="Arial" w:hAnsi="Arial"/>
          <w:sz w:val="15"/>
          <w:szCs w:val="15"/>
          <w:color w:val="auto"/>
        </w:rPr>
        <w:t>, Crash Bandicoot™, Warcraft</w:t>
      </w:r>
      <w:r>
        <w:rPr>
          <w:rFonts w:ascii="Arial" w:cs="Arial" w:eastAsia="Arial" w:hAnsi="Arial"/>
          <w:sz w:val="24"/>
          <w:szCs w:val="24"/>
          <w:color w:val="auto"/>
          <w:vertAlign w:val="superscript"/>
        </w:rPr>
        <w:t>®</w:t>
      </w:r>
      <w:r>
        <w:rPr>
          <w:rFonts w:ascii="Arial" w:cs="Arial" w:eastAsia="Arial" w:hAnsi="Arial"/>
          <w:sz w:val="15"/>
          <w:szCs w:val="15"/>
          <w:color w:val="auto"/>
        </w:rPr>
        <w:t>, Overwatch</w:t>
      </w:r>
      <w:r>
        <w:rPr>
          <w:rFonts w:ascii="Arial" w:cs="Arial" w:eastAsia="Arial" w:hAnsi="Arial"/>
          <w:sz w:val="24"/>
          <w:szCs w:val="24"/>
          <w:color w:val="auto"/>
          <w:vertAlign w:val="superscript"/>
        </w:rPr>
        <w:t>®</w:t>
      </w:r>
      <w:r>
        <w:rPr>
          <w:rFonts w:ascii="Arial" w:cs="Arial" w:eastAsia="Arial" w:hAnsi="Arial"/>
          <w:sz w:val="15"/>
          <w:szCs w:val="15"/>
          <w:color w:val="auto"/>
        </w:rPr>
        <w:t>, Diablo</w:t>
      </w:r>
      <w:r>
        <w:rPr>
          <w:rFonts w:ascii="Arial" w:cs="Arial" w:eastAsia="Arial" w:hAnsi="Arial"/>
          <w:sz w:val="24"/>
          <w:szCs w:val="24"/>
          <w:color w:val="auto"/>
          <w:vertAlign w:val="superscript"/>
        </w:rPr>
        <w:t>®</w:t>
      </w:r>
      <w:r>
        <w:rPr>
          <w:rFonts w:ascii="Arial" w:cs="Arial" w:eastAsia="Arial" w:hAnsi="Arial"/>
          <w:sz w:val="15"/>
          <w:szCs w:val="15"/>
          <w:color w:val="auto"/>
        </w:rPr>
        <w:t>, StarCraft</w:t>
      </w:r>
      <w:r>
        <w:rPr>
          <w:rFonts w:ascii="Arial" w:cs="Arial" w:eastAsia="Arial" w:hAnsi="Arial"/>
          <w:sz w:val="24"/>
          <w:szCs w:val="24"/>
          <w:color w:val="auto"/>
          <w:vertAlign w:val="superscript"/>
        </w:rPr>
        <w:t>®</w:t>
      </w:r>
      <w:r>
        <w:rPr>
          <w:rFonts w:ascii="Arial" w:cs="Arial" w:eastAsia="Arial" w:hAnsi="Arial"/>
          <w:sz w:val="15"/>
          <w:szCs w:val="15"/>
          <w:color w:val="auto"/>
        </w:rPr>
        <w:t>, Candy Crush™, Bubble Witch™, Pet Rescue™ and Farm Heroes™. Our sustained success has enabled the company to support corporate social responsibility initiatives that are directly tied to our franchises. As an example, our Call of Duty Endowment has helped find employment for over 90,000 veterans.</w:t>
      </w:r>
    </w:p>
    <w:p>
      <w:pPr>
        <w:spacing w:after="0" w:line="177"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 xml:space="preserve">Learn more information about Activision Blizzard and how we connect and engage the world through epic entertainment on the company's website, </w:t>
      </w:r>
      <w:r>
        <w:rPr>
          <w:rFonts w:ascii="Arial" w:cs="Arial" w:eastAsia="Arial" w:hAnsi="Arial"/>
          <w:sz w:val="18"/>
          <w:szCs w:val="18"/>
          <w:u w:val="single" w:color="auto"/>
          <w:color w:val="auto"/>
        </w:rPr>
        <w:t>www.activisionblizzard.com</w:t>
      </w:r>
      <w:r>
        <w:rPr>
          <w:rFonts w:ascii="Arial" w:cs="Arial" w:eastAsia="Arial" w:hAnsi="Arial"/>
          <w:sz w:val="18"/>
          <w:szCs w:val="18"/>
          <w:color w:val="auto"/>
        </w:rPr>
        <w:t>.</w:t>
      </w:r>
    </w:p>
    <w:p>
      <w:pPr>
        <w:spacing w:after="0" w:line="110" w:lineRule="exact"/>
        <w:rPr>
          <w:sz w:val="20"/>
          <w:szCs w:val="20"/>
          <w:color w:val="auto"/>
        </w:rPr>
      </w:pPr>
    </w:p>
    <w:p>
      <w:pPr>
        <w:ind w:left="120" w:hanging="114"/>
        <w:spacing w:after="0"/>
        <w:tabs>
          <w:tab w:leader="none" w:pos="1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Based on App Annie Intelligence.</w:t>
      </w:r>
    </w:p>
    <w:p>
      <w:pPr>
        <w:spacing w:after="0" w:line="240" w:lineRule="exact"/>
        <w:rPr>
          <w:sz w:val="20"/>
          <w:szCs w:val="20"/>
          <w:color w:val="auto"/>
        </w:rPr>
      </w:pPr>
    </w:p>
    <w:p>
      <w:pPr>
        <w:ind w:right="20" w:firstLine="6"/>
        <w:spacing w:after="0" w:line="246" w:lineRule="auto"/>
        <w:tabs>
          <w:tab w:leader="none" w:pos="15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Net effect of accounting treatment from revenue deferrals on certain of our online-enabled products. 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Impact from changes in deferrals refers to the net effect from revenue deferrals accounting treatment for the purposes of revenues, along with, for the purposes of EPS, the related cost of revenues deferrals treatment and the related tax impacts. Internally, management excludes the impact of this change in deferred revenues and related cost of revenues when evaluating the company’s operating performance, when planning, forecasting and analyzing future periods, and when assessing the performance of its management team. Management believes this is appropriate because doing so enables an analysis of performance based on the timing of actual transactions with our customers. In addition, management believes excluding the change in deferred revenues and the related cost of revenues provides a much more timely indication of trends in our operating results.</w:t>
      </w:r>
    </w:p>
    <w:p>
      <w:pPr>
        <w:spacing w:after="0" w:line="238" w:lineRule="exact"/>
        <w:rPr>
          <w:sz w:val="20"/>
          <w:szCs w:val="20"/>
          <w:color w:val="auto"/>
        </w:rPr>
      </w:pPr>
    </w:p>
    <w:p>
      <w:pPr>
        <w:ind w:right="100" w:firstLine="6"/>
        <w:spacing w:after="0" w:line="201" w:lineRule="auto"/>
        <w:tabs>
          <w:tab w:leader="none" w:pos="142"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Net bookings is an operating metric that is defined as the net amount of products and services sold digitally or sold-in physically in the period, and includes license fees, merchandise, and publisher incentives, among others, and is equal to net revenues excluding the impact from deferrals.</w:t>
      </w:r>
    </w:p>
    <w:p>
      <w:pPr>
        <w:spacing w:after="0" w:line="242" w:lineRule="exact"/>
        <w:rPr>
          <w:sz w:val="20"/>
          <w:szCs w:val="20"/>
          <w:color w:val="auto"/>
        </w:rPr>
      </w:pPr>
    </w:p>
    <w:p>
      <w:pPr>
        <w:ind w:right="140" w:firstLine="6"/>
        <w:spacing w:after="0" w:line="201" w:lineRule="auto"/>
        <w:tabs>
          <w:tab w:leader="none" w:pos="142"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In-game net bookings primarily includes the net amount of downloadable content and microtransactions sold during the period, and is equal to in-game net revenues excluding the impact from deferrals.</w:t>
      </w:r>
    </w:p>
    <w:p>
      <w:pPr>
        <w:spacing w:after="0" w:line="242" w:lineRule="exact"/>
        <w:rPr>
          <w:sz w:val="20"/>
          <w:szCs w:val="20"/>
          <w:color w:val="auto"/>
        </w:rPr>
      </w:pPr>
    </w:p>
    <w:p>
      <w:pPr>
        <w:ind w:right="40" w:firstLine="6"/>
        <w:spacing w:after="0" w:line="258" w:lineRule="auto"/>
        <w:tabs>
          <w:tab w:leader="none" w:pos="15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Monthly Active User (“MAU”) Definition: 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bl>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As a supplement to our financial measures presented in accordance with U.S.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(“GAAP”), Activision Blizzard presents certain non-GAAP measures of financial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w:t>
      </w:r>
    </w:p>
    <w:p>
      <w:pPr>
        <w:spacing w:after="0" w:line="19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Activision Blizzard provides net income (loss), earnings (loss) per share, and operating margin data and guidance both including (in accordance with GAAP) and excluding (non-GAAP) certain items. When relevant, the company also provides constant FX information to provide a framework for assessing how our underlying businesses performed excluding the effect of foreign currency rate fluctuations. In addition, Activision Blizzard provides EBITDA (defined as GAAP net income (loss) before interest (income) expense, income taxes, depreciation, and amortization) and adjusted EBITDA (defined as non-GAAP operating margin (see non-GAAP financial measure below) before depreciation). The non-GAAP financial measures exclude the following items, as applicable in any given reporting period and our outlook:</w:t>
      </w:r>
    </w:p>
    <w:p>
      <w:pPr>
        <w:spacing w:after="0" w:line="179" w:lineRule="exact"/>
        <w:rPr>
          <w:sz w:val="20"/>
          <w:szCs w:val="20"/>
          <w:color w:val="auto"/>
        </w:rPr>
      </w:pPr>
    </w:p>
    <w:p>
      <w:pPr>
        <w:ind w:left="1280" w:hanging="32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share-based compensation, including liability awards accounted for under ASC 718;</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amortization of intangibles from purchase price accounting;</w:t>
      </w:r>
    </w:p>
    <w:p>
      <w:pPr>
        <w:spacing w:after="0" w:line="5" w:lineRule="exact"/>
        <w:rPr>
          <w:rFonts w:ascii="Arial" w:cs="Arial" w:eastAsia="Arial" w:hAnsi="Arial"/>
          <w:sz w:val="18"/>
          <w:szCs w:val="18"/>
          <w:color w:val="auto"/>
        </w:rPr>
      </w:pPr>
    </w:p>
    <w:p>
      <w:pPr>
        <w:ind w:left="1280" w:right="100" w:hanging="320"/>
        <w:spacing w:after="0" w:line="245"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other expenses related to acquisitions, including related debt financings, and refinancing of long-term debt, including penalties and the write off of unamortized discount and deferred financing costs;</w:t>
      </w:r>
    </w:p>
    <w:p>
      <w:pPr>
        <w:spacing w:after="0" w:line="1" w:lineRule="exact"/>
        <w:rPr>
          <w:rFonts w:ascii="Arial" w:cs="Arial" w:eastAsia="Arial" w:hAnsi="Arial"/>
          <w:sz w:val="18"/>
          <w:szCs w:val="18"/>
          <w:color w:val="auto"/>
        </w:rPr>
      </w:pPr>
    </w:p>
    <w:p>
      <w:pPr>
        <w:ind w:left="1280" w:hanging="32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and related charges;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non-cash charges from reclassification of certain cumulative translation adjustments into earnings as required by GAAP;</w:t>
      </w:r>
    </w:p>
    <w:p>
      <w:pPr>
        <w:spacing w:after="0" w:line="16" w:lineRule="exact"/>
        <w:rPr>
          <w:rFonts w:ascii="Arial" w:cs="Arial" w:eastAsia="Arial" w:hAnsi="Arial"/>
          <w:sz w:val="17"/>
          <w:szCs w:val="17"/>
          <w:color w:val="auto"/>
        </w:rPr>
      </w:pPr>
    </w:p>
    <w:p>
      <w:pPr>
        <w:ind w:left="1280" w:right="200" w:hanging="320"/>
        <w:spacing w:after="0" w:line="245"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adjustments associated with any of the above items (tax impact on non-GAAP pre-tax income is calculated under the same accounting principles applied to the GAAP pre-tax income under ASC 740, which employs an annual effective tax rate method to the results); and</w:t>
      </w:r>
    </w:p>
    <w:p>
      <w:pPr>
        <w:spacing w:after="0" w:line="2" w:lineRule="exact"/>
        <w:rPr>
          <w:rFonts w:ascii="Arial" w:cs="Arial" w:eastAsia="Arial" w:hAnsi="Arial"/>
          <w:sz w:val="18"/>
          <w:szCs w:val="18"/>
          <w:color w:val="auto"/>
        </w:rPr>
      </w:pPr>
    </w:p>
    <w:p>
      <w:pPr>
        <w:ind w:left="1280" w:right="60" w:hanging="320"/>
        <w:spacing w:after="0" w:line="251"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discrete tax-related items, including amounts related to changes in tax laws, amounts related to the potential or final resolution of tax positions, and other unusual or unique tax-related items and activities.</w:t>
      </w:r>
    </w:p>
    <w:p>
      <w:pPr>
        <w:spacing w:after="0" w:line="192"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In the future, Activision Blizzard may also consider whether other items should also be excluded in calculating the non-GAAP financial measures used by the company. Management believes that the presentation of these non-GAAP financial measures provides investors with additional useful information to measure Activision Blizzard’s financial and operating performance. In particular, the measures facilitate comparison of operating performance between periods and help investors to better understand the operating results of Activision Blizzard by excluding certain items that may not be indicative of the company’s core business, operating results, or future outlook. Additionally, we consider quantitative and qualitative factors in assessing whether to adjust for the impact of items that may be significant or that could affect an understanding of our ongoing financial and business performance or trends. Internally, management uses these non-GAAP financial measures, along with others, in assessing the company’s operating results, and measuring compliance with the requirements of the company’s debt financing agreements, as well as in planning and forecasting.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bl>
    <w:p>
      <w:pPr>
        <w:spacing w:after="0" w:line="20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Activision Blizzard’s non-GAAP financial measures are not based on a comprehensive set of accounting rules or principles, and the terms non-GAAP net income, non-GAAP earnings per share, non-GAAP operating margin, and non-GAAP or adjusted EBITDA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19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Management compensates for the limitations resulting from the exclusion of these items by considering the impact of the items separately and by considering Activision Blizzard’s GAAP, as well as non-GAAP, results and outlook, and by presenting the most comparable GAAP measures directly ahead of non-GAAP measures, and by providing a reconciliation that indicates and describes the adjustments made.</w:t>
      </w:r>
    </w:p>
    <w:p>
      <w:pPr>
        <w:spacing w:after="0" w:line="18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b w:val="1"/>
          <w:bCs w:val="1"/>
          <w:color w:val="auto"/>
        </w:rPr>
        <w:t xml:space="preserve">Cautionary Note Regarding Forward-looking Statements: </w:t>
      </w:r>
      <w:r>
        <w:rPr>
          <w:rFonts w:ascii="Arial" w:cs="Arial" w:eastAsia="Arial" w:hAnsi="Arial"/>
          <w:sz w:val="15"/>
          <w:szCs w:val="15"/>
          <w:color w:val="auto"/>
        </w:rPr>
        <w:t>The statements contained herein that are not historical facts are forward-looking statements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but not limited to statements about: (1) projections of revenues, expenses, income or loss, earnings or loss per share, cash flow, or other financial items; (2) statements of our plans and objectives, including those related to releases of products or services, restructuring activities, and employee retention and recruitment; (3) statements of future financial or operating performance, including the impact of tax items thereon; (4) statements regarding the proposed transaction between Activision Blizzard and Microsoft (the “proposed transaction”), including any statements regarding the expected timetable for completing the proposed transaction, the ability to complete the proposed transaction and the expected benefits of the proposed transaction;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513715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bl>
    <w:p>
      <w:pPr>
        <w:spacing w:after="0" w:line="20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may not be completed in a timely manner or at all, which may adversely affect our business and the price of our common stock; the failure to satisfy the conditions to the consummation of the transaction, including the adoption of the merger agreement by our stockholders and the receipt of certain governmental and regulatory approvals; the occurrence of any event, change or other circumstance that could give rise to the termination of the merger agreement; the effect of the announcement or pendency of the transaction on our business relationships, operating results, and business generally; risks that the proposed transaction disrupts our current plans and operations and potential difficulties in employee retention as a result of the transaction; risks related to diverting management’s attention from ongoing business operations; the outcome of any legal proceedings that may be instituted against us related to the merger agreement or the transaction; restrictions during the pendency of the proposed transaction that may impact our ability to pursue certain business opportunities or strategic transactions; the potential for receipt of alternative acquisition proposals from potential acquirors; the ongoing global impact of a novel strain of coronavirus which emerged in December 2019 (“COVID-19”)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is likely to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competition; concentration of revenue among a small number of franchises; our ability to satisfy the expectations of consumers with respect to our brands, games, services, and/or business practices; our ability to attract, retain, and motivate skilled personnel; rapid changes in technology and industry standards; increasing importance of revenues derived from digital distribution channels; risks associated with the retail sales business model; the continued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our ability to realize the expected benefits of, and effectively implement and manage, our restructuring actions; difficulties in integrating acquired businesses or otherwise realizing the anticipated benefits of strategic transactions; the seasonality in the sale of our products; risks relating to behavior of our distributors, retailers, development, and licensing partners, or other affiliated third parties that may harm our brands or business operations; risks associated with our use of open source software; risks and uncertainties of conducting business outside the United States (the “U.S.”), including the recently enacted Chinese regulation that further limits the number of hours per week children under the age of 18 can play video games; risks associated with undisclosed content or features that may result in consumers’ refusal to buy or retailers’ refusal to sell our products; risks associated with objectionable consumer- or other third-party-created content; reliance on servers and networks to distribute and operate our games and our proprietary online gaming service; data breaches and other cybersecurity risks; significant disruption during our live events; risks related to the impacts of catastrophic events, including the susceptibility of some of our primary operating locations to earthquakes; provisions in our corporate documents that may make it more difficult for any person to acquire control of our company; risks and costs associated with legal proceedings, including the impact of the complaint filed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court approval of our settlement agreement with the Equal Employment Opportunity Commission (“EEOC”) and successful implementation of the requirements of the agreement with the EEOC; intellectual property claims; increasing regulation in key territories; regulation relating to the Internet, including potential harm from laws impacting “net neutrality”; regulation concerning data privacy, including China’s recently passed Personal Information Protection Law; scrutiny regarding the appropriateness of our games’ content, including ratings assigned by third parties; changes in tax rates or exposure to additional tax liabilities, as well as the outcome of current or future tax disputes; fluctuations in currency exchange rates; impacts of changes in financial accounting standards; insolvency or business failure of any of our business partners, which has been magnified as a result of the COVID-19 pandemic; risks associated with our reliance on discretionary spending; and the other factors identified in “Risk Factors” included in</w:t>
      </w:r>
    </w:p>
    <w:p>
      <w:pPr>
        <w:spacing w:after="0" w:line="200" w:lineRule="exact"/>
        <w:rPr>
          <w:sz w:val="20"/>
          <w:szCs w:val="20"/>
          <w:color w:val="auto"/>
        </w:rPr>
      </w:pP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Part I, Item 1A of our Annual Report on Form 10-K for the year ended December 31, 2020 and Part II, Item 1A of our Quarterly Report on Form 10-Q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20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herein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connection with the transaction, Activision Blizzard will file relevant materials with the SEC, including a proxy statement on Schedule 14A. Promptly after filing its definitive proxy statement with the SEC, Activision Blizzard will mail the definitive proxy statement and a proxy card to each stockholder entitled to vote at the special meeting relating to the transaction. INVESTORS AND SECURITY HOLDERS OF ACTIVISION BLIZZARD ARE URGED TO READ THESE MATERIALS (INCLUDING ANY AMENDMENTS OR SUPPLEMENTS THERETO) AND ANY OTHER RELEVANT DOCUMENTS IN CONNECTION WITH THE TRANSACTION THAT ACTIVISION BLIZZARD WILL FILE WITH THE SEC WHEN THEY BECOME AVAILABLE BECAUSE THEY WILL CONTAIN IMPORTANT INFORMATION ABOUT ACTIVISION BLIZZARD AND THE TRANSACTION. The definitive proxy statement, the preliminary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3100 Ocean Park Boulevard, Santa Monica, California, 90405.</w:t>
      </w:r>
    </w:p>
    <w:p>
      <w:pPr>
        <w:spacing w:after="0" w:line="20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Activision Blizzard’s proxy statement on Schedule 14A filed with the SEC on April 30, 2021 as amended on May 3, 2021. To the extent that holdings of Activision Blizzard’s securities have changed since the amounts printed in Activision Blizzard’s proxy statement, such changes have been or will be reflected on Statements of Change in Ownership on Form 4 filed with the SEC. Information regarding the identity of the participants, and their direct or indirect interests in the transaction, by security holdings or otherwise, will be set forth in the proxy statement and other materials to be filed with SEC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7580" w:type="dxa"/>
            <w:vAlign w:val="bottom"/>
          </w:tcPr>
          <w:p>
            <w:pPr>
              <w:spacing w:after="0"/>
              <w:rPr>
                <w:sz w:val="20"/>
                <w:szCs w:val="20"/>
                <w:color w:val="auto"/>
              </w:rPr>
            </w:pPr>
            <w:r>
              <w:rPr>
                <w:rFonts w:ascii="Arial" w:cs="Arial" w:eastAsia="Arial" w:hAnsi="Arial"/>
                <w:sz w:val="18"/>
                <w:szCs w:val="18"/>
                <w:i w:val="1"/>
                <w:iCs w:val="1"/>
                <w:color w:val="auto"/>
              </w:rPr>
              <w:t>Activision Blizzard Announces Q4 2021 Financial Results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ir@activisionblizzard.com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pr@activisionblizzard.com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414655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r>
      <w:tr>
        <w:trPr>
          <w:trHeight w:val="212"/>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0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(Amounts in millions, except per share data)</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5080" w:type="dxa"/>
            <w:vAlign w:val="bottom"/>
          </w:tcPr>
          <w:p>
            <w:pPr>
              <w:spacing w:after="0"/>
              <w:rPr>
                <w:sz w:val="24"/>
                <w:szCs w:val="24"/>
                <w:color w:val="auto"/>
              </w:rPr>
            </w:pPr>
          </w:p>
        </w:tc>
        <w:tc>
          <w:tcPr>
            <w:tcW w:w="3060" w:type="dxa"/>
            <w:vAlign w:val="bottom"/>
            <w:gridSpan w:val="6"/>
          </w:tcPr>
          <w:p>
            <w:pPr>
              <w:ind w:left="140"/>
              <w:spacing w:after="0"/>
              <w:rPr>
                <w:sz w:val="20"/>
                <w:szCs w:val="20"/>
                <w:color w:val="auto"/>
              </w:rPr>
            </w:pPr>
            <w:r>
              <w:rPr>
                <w:rFonts w:ascii="Arial" w:cs="Arial" w:eastAsia="Arial" w:hAnsi="Arial"/>
                <w:sz w:val="18"/>
                <w:szCs w:val="18"/>
                <w:b w:val="1"/>
                <w:bCs w:val="1"/>
                <w:color w:val="auto"/>
                <w:w w:val="96"/>
              </w:rPr>
              <w:t>Three Months Ended 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Year Ended December 31,</w:t>
            </w:r>
          </w:p>
        </w:tc>
      </w:tr>
      <w:tr>
        <w:trPr>
          <w:trHeight w:val="206"/>
        </w:trPr>
        <w:tc>
          <w:tcPr>
            <w:tcW w:w="50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line="206"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line="20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line="206"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7"/>
                <w:szCs w:val="17"/>
                <w:color w:val="auto"/>
              </w:rPr>
            </w:pPr>
          </w:p>
        </w:tc>
      </w:tr>
      <w:tr>
        <w:trPr>
          <w:trHeight w:val="205"/>
        </w:trPr>
        <w:tc>
          <w:tcPr>
            <w:tcW w:w="50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revenues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08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r>
      <w:tr>
        <w:trPr>
          <w:trHeight w:val="252"/>
        </w:trPr>
        <w:tc>
          <w:tcPr>
            <w:tcW w:w="508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In-game, subscription, and other revenues</w:t>
            </w:r>
            <w:r>
              <w:rPr>
                <w:rFonts w:ascii="Arial" w:cs="Arial" w:eastAsia="Arial" w:hAnsi="Arial"/>
                <w:sz w:val="29"/>
                <w:szCs w:val="29"/>
                <w:color w:val="auto"/>
                <w:vertAlign w:val="superscript"/>
              </w:rPr>
              <w:t>1</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1,518</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6,492</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w:t>
            </w:r>
          </w:p>
        </w:tc>
      </w:tr>
      <w:tr>
        <w:trPr>
          <w:trHeight w:val="205"/>
        </w:trPr>
        <w:tc>
          <w:tcPr>
            <w:tcW w:w="5080" w:type="dxa"/>
            <w:vAlign w:val="bottom"/>
          </w:tcPr>
          <w:p>
            <w:pPr>
              <w:spacing w:after="0" w:line="204" w:lineRule="exact"/>
              <w:rPr>
                <w:sz w:val="20"/>
                <w:szCs w:val="20"/>
                <w:color w:val="auto"/>
              </w:rPr>
            </w:pPr>
            <w:r>
              <w:rPr>
                <w:rFonts w:ascii="Arial" w:cs="Arial" w:eastAsia="Arial" w:hAnsi="Arial"/>
                <w:sz w:val="18"/>
                <w:szCs w:val="18"/>
                <w:color w:val="auto"/>
              </w:rPr>
              <w:t>Total net revenues</w:t>
            </w:r>
          </w:p>
        </w:tc>
        <w:tc>
          <w:tcPr>
            <w:tcW w:w="9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w w:val="93"/>
              </w:rPr>
              <w:t>2,163</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2,413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8,803</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8,086</w:t>
            </w:r>
          </w:p>
        </w:tc>
        <w:tc>
          <w:tcPr>
            <w:tcW w:w="100" w:type="dxa"/>
            <w:vAlign w:val="bottom"/>
          </w:tcPr>
          <w:p>
            <w:pPr>
              <w:spacing w:after="0"/>
              <w:rPr>
                <w:sz w:val="17"/>
                <w:szCs w:val="17"/>
                <w:color w:val="auto"/>
              </w:rPr>
            </w:pPr>
          </w:p>
        </w:tc>
      </w:tr>
      <w:tr>
        <w:trPr>
          <w:trHeight w:val="212"/>
        </w:trPr>
        <w:tc>
          <w:tcPr>
            <w:tcW w:w="5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0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revenues—product sales: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080" w:type="dxa"/>
            <w:vAlign w:val="bottom"/>
          </w:tcPr>
          <w:p>
            <w:pPr>
              <w:ind w:left="320"/>
              <w:spacing w:after="0"/>
              <w:rPr>
                <w:sz w:val="20"/>
                <w:szCs w:val="20"/>
                <w:color w:val="auto"/>
              </w:rPr>
            </w:pPr>
            <w:r>
              <w:rPr>
                <w:rFonts w:ascii="Arial" w:cs="Arial" w:eastAsia="Arial" w:hAnsi="Arial"/>
                <w:sz w:val="18"/>
                <w:szCs w:val="18"/>
                <w:color w:val="auto"/>
              </w:rPr>
              <w:t>Product costs</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r>
      <w:tr>
        <w:trPr>
          <w:trHeight w:val="200"/>
        </w:trPr>
        <w:tc>
          <w:tcPr>
            <w:tcW w:w="508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Software royalties, amortization, and intellectual property</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2"/>
        </w:trPr>
        <w:tc>
          <w:tcPr>
            <w:tcW w:w="5080" w:type="dxa"/>
            <w:vAlign w:val="bottom"/>
          </w:tcPr>
          <w:p>
            <w:pPr>
              <w:ind w:left="160"/>
              <w:spacing w:after="0"/>
              <w:rPr>
                <w:sz w:val="20"/>
                <w:szCs w:val="20"/>
                <w:color w:val="auto"/>
              </w:rPr>
            </w:pPr>
            <w:r>
              <w:rPr>
                <w:rFonts w:ascii="Arial" w:cs="Arial" w:eastAsia="Arial" w:hAnsi="Arial"/>
                <w:sz w:val="18"/>
                <w:szCs w:val="18"/>
                <w:color w:val="auto"/>
              </w:rPr>
              <w:t>Cost of revenues—in-game, subscription, and other:</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Game operations and distribution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r>
      <w:tr>
        <w:trPr>
          <w:trHeight w:val="200"/>
        </w:trPr>
        <w:tc>
          <w:tcPr>
            <w:tcW w:w="5080" w:type="dxa"/>
            <w:vAlign w:val="bottom"/>
          </w:tcPr>
          <w:p>
            <w:pPr>
              <w:ind w:left="320"/>
              <w:spacing w:after="0" w:line="200" w:lineRule="exact"/>
              <w:rPr>
                <w:sz w:val="20"/>
                <w:szCs w:val="20"/>
                <w:color w:val="auto"/>
              </w:rPr>
            </w:pPr>
            <w:r>
              <w:rPr>
                <w:rFonts w:ascii="Arial" w:cs="Arial" w:eastAsia="Arial" w:hAnsi="Arial"/>
                <w:sz w:val="18"/>
                <w:szCs w:val="18"/>
                <w:color w:val="auto"/>
              </w:rPr>
              <w:t>Software royalties, amortization, and intellectual property</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080" w:type="dxa"/>
            <w:vAlign w:val="bottom"/>
          </w:tcPr>
          <w:p>
            <w:pPr>
              <w:ind w:left="320"/>
              <w:spacing w:after="0"/>
              <w:rPr>
                <w:sz w:val="20"/>
                <w:szCs w:val="20"/>
                <w:color w:val="auto"/>
              </w:rPr>
            </w:pPr>
            <w:r>
              <w:rPr>
                <w:rFonts w:ascii="Arial" w:cs="Arial" w:eastAsia="Arial" w:hAnsi="Arial"/>
                <w:sz w:val="18"/>
                <w:szCs w:val="18"/>
                <w:color w:val="auto"/>
              </w:rPr>
              <w:t>licenses</w:t>
            </w:r>
          </w:p>
        </w:tc>
        <w:tc>
          <w:tcPr>
            <w:tcW w:w="9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3"/>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r>
      <w:tr>
        <w:trPr>
          <w:trHeight w:val="212"/>
        </w:trPr>
        <w:tc>
          <w:tcPr>
            <w:tcW w:w="50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12"/>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12"/>
        </w:trPr>
        <w:tc>
          <w:tcPr>
            <w:tcW w:w="5080" w:type="dxa"/>
            <w:vAlign w:val="bottom"/>
          </w:tcPr>
          <w:p>
            <w:pPr>
              <w:ind w:left="160"/>
              <w:spacing w:after="0"/>
              <w:rPr>
                <w:sz w:val="20"/>
                <w:szCs w:val="20"/>
                <w:color w:val="auto"/>
              </w:rPr>
            </w:pPr>
            <w:r>
              <w:rPr>
                <w:rFonts w:ascii="Arial" w:cs="Arial" w:eastAsia="Arial" w:hAnsi="Arial"/>
                <w:sz w:val="18"/>
                <w:szCs w:val="18"/>
                <w:color w:val="auto"/>
              </w:rPr>
              <w:t>Restructuring and related costs</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5"/>
        </w:trPr>
        <w:tc>
          <w:tcPr>
            <w:tcW w:w="50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costs and expenses</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3"/>
              </w:rPr>
              <w:t>1,481</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5,544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5,352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w:t>
            </w:r>
          </w:p>
        </w:tc>
      </w:tr>
      <w:tr>
        <w:trPr>
          <w:trHeight w:val="212"/>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12"/>
        </w:trPr>
        <w:tc>
          <w:tcPr>
            <w:tcW w:w="5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05"/>
        </w:trPr>
        <w:tc>
          <w:tcPr>
            <w:tcW w:w="50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Income before income tax expense</w:t>
            </w: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637</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3,164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2,616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2"/>
        </w:trPr>
        <w:tc>
          <w:tcPr>
            <w:tcW w:w="50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5"/>
        </w:trPr>
        <w:tc>
          <w:tcPr>
            <w:tcW w:w="508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564</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2,699</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2"/>
        </w:trPr>
        <w:tc>
          <w:tcPr>
            <w:tcW w:w="50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r>
      <w:tr>
        <w:trPr>
          <w:trHeight w:val="212"/>
        </w:trPr>
        <w:tc>
          <w:tcPr>
            <w:tcW w:w="5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0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0.72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assuming dilution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r>
    </w:tbl>
    <w:p>
      <w:pPr>
        <w:spacing w:after="0" w:line="239" w:lineRule="exact"/>
        <w:rPr>
          <w:sz w:val="20"/>
          <w:szCs w:val="20"/>
          <w:color w:val="auto"/>
        </w:rPr>
      </w:pPr>
    </w:p>
    <w:p>
      <w:pPr>
        <w:ind w:left="320" w:right="620" w:hanging="314"/>
        <w:spacing w:after="0" w:line="193" w:lineRule="auto"/>
        <w:tabs>
          <w:tab w:leader="none" w:pos="32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In-game, subscription, and other revenues represent revenues from microtransactions and downloadable content, World of Warcraft subscriptions, licensing royalties from our products and franchises, and other miscellaneous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r>
      <w:tr>
        <w:trPr>
          <w:trHeight w:val="212"/>
        </w:trPr>
        <w:tc>
          <w:tcPr>
            <w:tcW w:w="588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8"/>
        </w:trPr>
        <w:tc>
          <w:tcPr>
            <w:tcW w:w="5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December 31, 2021</w:t>
            </w:r>
          </w:p>
        </w:tc>
        <w:tc>
          <w:tcPr>
            <w:tcW w:w="120" w:type="dxa"/>
            <w:vAlign w:val="bottom"/>
          </w:tcPr>
          <w:p>
            <w:pPr>
              <w:spacing w:after="0"/>
              <w:rPr>
                <w:sz w:val="24"/>
                <w:szCs w:val="24"/>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December 31, 2020</w:t>
            </w:r>
          </w:p>
        </w:tc>
      </w:tr>
      <w:tr>
        <w:trPr>
          <w:trHeight w:val="206"/>
        </w:trPr>
        <w:tc>
          <w:tcPr>
            <w:tcW w:w="588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8,647</w:t>
            </w: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Software development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r>
      <w:tr>
        <w:trPr>
          <w:trHeight w:val="225"/>
        </w:trPr>
        <w:tc>
          <w:tcPr>
            <w:tcW w:w="58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r>
      <w:tr>
        <w:trPr>
          <w:trHeight w:val="206"/>
        </w:trPr>
        <w:tc>
          <w:tcPr>
            <w:tcW w:w="5880" w:type="dxa"/>
            <w:vAlign w:val="bottom"/>
            <w:tcBorders>
              <w:top w:val="single" w:sz="8" w:color="CCEEFF"/>
            </w:tcBorders>
            <w:shd w:val="clear" w:color="auto" w:fill="CCEEFF"/>
          </w:tcPr>
          <w:p>
            <w:pPr>
              <w:ind w:left="640"/>
              <w:spacing w:after="0" w:line="205" w:lineRule="exact"/>
              <w:rPr>
                <w:sz w:val="20"/>
                <w:szCs w:val="20"/>
                <w:color w:val="auto"/>
              </w:rPr>
            </w:pPr>
            <w:r>
              <w:rPr>
                <w:rFonts w:ascii="Arial" w:cs="Arial" w:eastAsia="Arial" w:hAnsi="Arial"/>
                <w:sz w:val="18"/>
                <w:szCs w:val="18"/>
                <w:color w:val="auto"/>
              </w:rPr>
              <w:t>Total current assets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12,556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10,565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Software development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r>
      <w:tr>
        <w:trPr>
          <w:trHeight w:val="225"/>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9,799</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9,765</w:t>
            </w:r>
          </w:p>
        </w:tc>
        <w:tc>
          <w:tcPr>
            <w:tcW w:w="80" w:type="dxa"/>
            <w:vAlign w:val="bottom"/>
            <w:shd w:val="clear" w:color="auto" w:fill="CCEEFF"/>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58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25,056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23,109</w:t>
            </w:r>
          </w:p>
        </w:tc>
        <w:tc>
          <w:tcPr>
            <w:tcW w:w="80" w:type="dxa"/>
            <w:vAlign w:val="bottom"/>
          </w:tcPr>
          <w:p>
            <w:pPr>
              <w:spacing w:after="0"/>
              <w:rPr>
                <w:sz w:val="22"/>
                <w:szCs w:val="22"/>
                <w:color w:val="auto"/>
              </w:rPr>
            </w:pPr>
          </w:p>
        </w:tc>
      </w:tr>
      <w:tr>
        <w:trPr>
          <w:trHeight w:val="192"/>
        </w:trPr>
        <w:tc>
          <w:tcPr>
            <w:tcW w:w="58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spacing w:after="0"/>
              <w:rPr>
                <w:sz w:val="18"/>
                <w:szCs w:val="18"/>
                <w:color w:val="auto"/>
              </w:rPr>
            </w:pPr>
          </w:p>
        </w:tc>
      </w:tr>
      <w:tr>
        <w:trPr>
          <w:trHeight w:val="225"/>
        </w:trPr>
        <w:tc>
          <w:tcPr>
            <w:tcW w:w="5880" w:type="dxa"/>
            <w:vAlign w:val="bottom"/>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r>
      <w:tr>
        <w:trPr>
          <w:trHeight w:val="206"/>
        </w:trPr>
        <w:tc>
          <w:tcPr>
            <w:tcW w:w="5880" w:type="dxa"/>
            <w:vAlign w:val="bottom"/>
            <w:tcBorders>
              <w:top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current liabilities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2,411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Long-term debt,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3,605</w:t>
            </w:r>
          </w:p>
        </w:tc>
        <w:tc>
          <w:tcPr>
            <w:tcW w:w="80" w:type="dxa"/>
            <w:vAlign w:val="bottom"/>
          </w:tcPr>
          <w:p>
            <w:pPr>
              <w:spacing w:after="0"/>
              <w:rPr>
                <w:sz w:val="18"/>
                <w:szCs w:val="18"/>
                <w:color w:val="auto"/>
              </w:rPr>
            </w:pP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r>
      <w:tr>
        <w:trPr>
          <w:trHeight w:val="225"/>
        </w:trPr>
        <w:tc>
          <w:tcPr>
            <w:tcW w:w="58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r>
      <w:tr>
        <w:trPr>
          <w:trHeight w:val="206"/>
        </w:trPr>
        <w:tc>
          <w:tcPr>
            <w:tcW w:w="5880" w:type="dxa"/>
            <w:vAlign w:val="bottom"/>
            <w:tcBorders>
              <w:top w:val="single" w:sz="8" w:color="CCEEFF"/>
            </w:tcBorders>
            <w:shd w:val="clear" w:color="auto" w:fill="CCEEFF"/>
          </w:tcPr>
          <w:p>
            <w:pPr>
              <w:ind w:left="640"/>
              <w:spacing w:after="0" w:line="205" w:lineRule="exact"/>
              <w:rPr>
                <w:sz w:val="20"/>
                <w:szCs w:val="20"/>
                <w:color w:val="auto"/>
              </w:rPr>
            </w:pPr>
            <w:r>
              <w:rPr>
                <w:rFonts w:ascii="Arial" w:cs="Arial" w:eastAsia="Arial" w:hAnsi="Arial"/>
                <w:sz w:val="18"/>
                <w:szCs w:val="18"/>
                <w:color w:val="auto"/>
              </w:rPr>
              <w:t>Total liabilities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7,457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8,072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5"/>
        </w:trPr>
        <w:tc>
          <w:tcPr>
            <w:tcW w:w="5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8"/>
                <w:szCs w:val="18"/>
                <w:color w:val="auto"/>
              </w:rPr>
            </w:pPr>
          </w:p>
        </w:tc>
      </w:tr>
      <w:tr>
        <w:trPr>
          <w:trHeight w:val="212"/>
        </w:trPr>
        <w:tc>
          <w:tcPr>
            <w:tcW w:w="5880" w:type="dxa"/>
            <w:vAlign w:val="bottom"/>
          </w:tcPr>
          <w:p>
            <w:pPr>
              <w:ind w:left="160"/>
              <w:spacing w:after="0"/>
              <w:rPr>
                <w:sz w:val="20"/>
                <w:szCs w:val="20"/>
                <w:color w:val="auto"/>
              </w:rPr>
            </w:pPr>
            <w:r>
              <w:rPr>
                <w:rFonts w:ascii="Arial" w:cs="Arial" w:eastAsia="Arial" w:hAnsi="Arial"/>
                <w:sz w:val="18"/>
                <w:szCs w:val="18"/>
                <w:color w:val="auto"/>
              </w:rPr>
              <w:t>Treasury stock</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(5,563)</w:t>
            </w:r>
          </w:p>
        </w:tc>
      </w:tr>
      <w:tr>
        <w:trPr>
          <w:trHeight w:val="212"/>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12,025</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9,691</w:t>
            </w:r>
          </w:p>
        </w:tc>
        <w:tc>
          <w:tcPr>
            <w:tcW w:w="80" w:type="dxa"/>
            <w:vAlign w:val="bottom"/>
            <w:shd w:val="clear" w:color="auto" w:fill="CCEEFF"/>
          </w:tcPr>
          <w:p>
            <w:pPr>
              <w:spacing w:after="0"/>
              <w:rPr>
                <w:sz w:val="18"/>
                <w:szCs w:val="18"/>
                <w:color w:val="auto"/>
              </w:rPr>
            </w:pPr>
          </w:p>
        </w:tc>
      </w:tr>
      <w:tr>
        <w:trPr>
          <w:trHeight w:val="225"/>
        </w:trPr>
        <w:tc>
          <w:tcPr>
            <w:tcW w:w="58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(622)</w:t>
            </w:r>
          </w:p>
        </w:tc>
      </w:tr>
      <w:tr>
        <w:trPr>
          <w:trHeight w:val="206"/>
        </w:trPr>
        <w:tc>
          <w:tcPr>
            <w:tcW w:w="5880" w:type="dxa"/>
            <w:vAlign w:val="bottom"/>
            <w:tcBorders>
              <w:top w:val="single" w:sz="8" w:color="CCEEFF"/>
            </w:tcBorders>
            <w:shd w:val="clear" w:color="auto" w:fill="CCEEFF"/>
          </w:tcPr>
          <w:p>
            <w:pPr>
              <w:ind w:left="640"/>
              <w:spacing w:after="0" w:line="205" w:lineRule="exact"/>
              <w:rPr>
                <w:sz w:val="20"/>
                <w:szCs w:val="20"/>
                <w:color w:val="auto"/>
              </w:rPr>
            </w:pPr>
            <w:r>
              <w:rPr>
                <w:rFonts w:ascii="Arial" w:cs="Arial" w:eastAsia="Arial" w:hAnsi="Arial"/>
                <w:sz w:val="18"/>
                <w:szCs w:val="18"/>
                <w:color w:val="auto"/>
              </w:rPr>
              <w:t>Total shareholders’ equity</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17,599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15,037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8"/>
        </w:trPr>
        <w:tc>
          <w:tcPr>
            <w:tcW w:w="5880" w:type="dxa"/>
            <w:vAlign w:val="bottom"/>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25,056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23,109</w:t>
            </w:r>
          </w:p>
        </w:tc>
        <w:tc>
          <w:tcPr>
            <w:tcW w:w="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6"/>
        </w:trPr>
        <w:tc>
          <w:tcPr>
            <w:tcW w:w="5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w:t>
            </w:r>
          </w:p>
        </w:tc>
      </w:tr>
      <w:tr>
        <w:trPr>
          <w:trHeight w:val="212"/>
        </w:trPr>
        <w:tc>
          <w:tcPr>
            <w:tcW w:w="75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8"/>
        </w:trPr>
        <w:tc>
          <w:tcPr>
            <w:tcW w:w="7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9"/>
        </w:trPr>
        <w:tc>
          <w:tcPr>
            <w:tcW w:w="7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5"/>
        </w:trPr>
        <w:tc>
          <w:tcPr>
            <w:tcW w:w="75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2,699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8"/>
                <w:szCs w:val="18"/>
                <w:color w:val="auto"/>
              </w:rPr>
            </w:pP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212"/>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operating lease cost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197</w:t>
            </w:r>
          </w:p>
        </w:tc>
      </w:tr>
      <w:tr>
        <w:trPr>
          <w:trHeight w:val="252"/>
        </w:trPr>
        <w:tc>
          <w:tcPr>
            <w:tcW w:w="7520" w:type="dxa"/>
            <w:vAlign w:val="bottom"/>
            <w:shd w:val="clear" w:color="auto" w:fill="CCEEFF"/>
          </w:tcPr>
          <w:p>
            <w:pPr>
              <w:ind w:left="200"/>
              <w:spacing w:after="0" w:line="252" w:lineRule="exact"/>
              <w:rPr>
                <w:sz w:val="20"/>
                <w:szCs w:val="20"/>
                <w:color w:val="auto"/>
              </w:rPr>
            </w:pPr>
            <w:r>
              <w:rPr>
                <w:rFonts w:ascii="Arial" w:cs="Arial" w:eastAsia="Arial" w:hAnsi="Arial"/>
                <w:sz w:val="18"/>
                <w:szCs w:val="18"/>
                <w:color w:val="auto"/>
              </w:rPr>
              <w:t>Amortization of capitalized software development costs and intellectual property licenses</w:t>
            </w:r>
            <w:r>
              <w:rPr>
                <w:rFonts w:ascii="Arial" w:cs="Arial" w:eastAsia="Arial" w:hAnsi="Arial"/>
                <w:sz w:val="29"/>
                <w:szCs w:val="29"/>
                <w:color w:val="auto"/>
                <w:vertAlign w:val="superscript"/>
              </w:rPr>
              <w:t>1</w:t>
            </w: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52"/>
        </w:trPr>
        <w:tc>
          <w:tcPr>
            <w:tcW w:w="7520" w:type="dxa"/>
            <w:vAlign w:val="bottom"/>
          </w:tcPr>
          <w:p>
            <w:pPr>
              <w:ind w:left="200"/>
              <w:spacing w:after="0" w:line="252"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9"/>
                <w:szCs w:val="29"/>
                <w:color w:val="auto"/>
                <w:vertAlign w:val="superscript"/>
              </w:rPr>
              <w:t>2</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r>
      <w:tr>
        <w:trPr>
          <w:trHeight w:val="212"/>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and unrealized gain on equity investment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r>
      <w:tr>
        <w:trPr>
          <w:trHeight w:val="212"/>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Software development and intellectual property licenses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r>
      <w:tr>
        <w:trPr>
          <w:trHeight w:val="212"/>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2"/>
        </w:trPr>
        <w:tc>
          <w:tcPr>
            <w:tcW w:w="7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2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05"/>
        </w:trPr>
        <w:tc>
          <w:tcPr>
            <w:tcW w:w="75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2,252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5"/>
        </w:trPr>
        <w:tc>
          <w:tcPr>
            <w:tcW w:w="7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maturities of available-for-sale investments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Proceeds from sale of available-for-sale investments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available-for-sale investments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r>
      <w:tr>
        <w:trPr>
          <w:trHeight w:val="225"/>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investing activities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5"/>
        </w:trPr>
        <w:tc>
          <w:tcPr>
            <w:tcW w:w="75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w w:val="79"/>
              </w:rPr>
              <w:t>)</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w w:val="79"/>
              </w:rPr>
              <w:t>)</w:t>
            </w:r>
          </w:p>
        </w:tc>
      </w:tr>
      <w:tr>
        <w:trPr>
          <w:trHeight w:val="205"/>
        </w:trPr>
        <w:tc>
          <w:tcPr>
            <w:tcW w:w="7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to employees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Tax payment related to net share settlements on restricted stock units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Proceeds from issuance of debt, net of discounts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8"/>
                <w:szCs w:val="18"/>
                <w:color w:val="auto"/>
              </w:rPr>
            </w:pP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long-term debt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r>
      <w:tr>
        <w:trPr>
          <w:trHeight w:val="212"/>
        </w:trPr>
        <w:tc>
          <w:tcPr>
            <w:tcW w:w="7520" w:type="dxa"/>
            <w:vAlign w:val="bottom"/>
          </w:tcPr>
          <w:p>
            <w:pPr>
              <w:ind w:left="120"/>
              <w:spacing w:after="0"/>
              <w:rPr>
                <w:sz w:val="20"/>
                <w:szCs w:val="20"/>
                <w:color w:val="auto"/>
              </w:rPr>
            </w:pPr>
            <w:r>
              <w:rPr>
                <w:rFonts w:ascii="Arial" w:cs="Arial" w:eastAsia="Arial" w:hAnsi="Arial"/>
                <w:sz w:val="18"/>
                <w:szCs w:val="18"/>
                <w:color w:val="auto"/>
              </w:rPr>
              <w:t>Payment of financing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25"/>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Premium payment for early redemption of notes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05"/>
        </w:trPr>
        <w:tc>
          <w:tcPr>
            <w:tcW w:w="75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(521</w:t>
            </w:r>
          </w:p>
        </w:tc>
        <w:tc>
          <w:tcPr>
            <w:tcW w:w="22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w w:val="79"/>
              </w:rPr>
              <w:t>)</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gridSpan w:val="2"/>
          </w:tcPr>
          <w:p>
            <w:pPr>
              <w:spacing w:after="0"/>
              <w:rPr>
                <w:sz w:val="17"/>
                <w:szCs w:val="17"/>
                <w:color w:val="auto"/>
              </w:rPr>
            </w:pPr>
          </w:p>
        </w:tc>
      </w:tr>
      <w:tr>
        <w:trPr>
          <w:trHeight w:val="205"/>
        </w:trPr>
        <w:tc>
          <w:tcPr>
            <w:tcW w:w="7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r>
      <w:tr>
        <w:trPr>
          <w:trHeight w:val="225"/>
        </w:trPr>
        <w:tc>
          <w:tcPr>
            <w:tcW w:w="7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5"/>
        </w:trPr>
        <w:tc>
          <w:tcPr>
            <w:tcW w:w="75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increase in cash and cash equivalents and restricted cash</w:t>
            </w:r>
          </w:p>
        </w:tc>
        <w:tc>
          <w:tcPr>
            <w:tcW w:w="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1,786</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2,854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5"/>
        </w:trPr>
        <w:tc>
          <w:tcPr>
            <w:tcW w:w="7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8,652</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8"/>
                <w:szCs w:val="18"/>
                <w:color w:val="auto"/>
              </w:rPr>
            </w:pPr>
          </w:p>
        </w:tc>
      </w:tr>
      <w:tr>
        <w:trPr>
          <w:trHeight w:val="225"/>
        </w:trPr>
        <w:tc>
          <w:tcPr>
            <w:tcW w:w="7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8"/>
        </w:trPr>
        <w:tc>
          <w:tcPr>
            <w:tcW w:w="7520" w:type="dxa"/>
            <w:vAlign w:val="bottom"/>
          </w:tcPr>
          <w:p>
            <w:pPr>
              <w:spacing w:after="0" w:line="203" w:lineRule="exact"/>
              <w:rPr>
                <w:sz w:val="20"/>
                <w:szCs w:val="20"/>
                <w:color w:val="auto"/>
              </w:rPr>
            </w:pPr>
            <w:r>
              <w:rPr>
                <w:rFonts w:ascii="Arial" w:cs="Arial" w:eastAsia="Arial" w:hAnsi="Arial"/>
                <w:sz w:val="18"/>
                <w:szCs w:val="18"/>
                <w:color w:val="auto"/>
              </w:rPr>
              <w:t>Cash and cash equivalents and restricted cash at end of period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3"/>
              <w:spacing w:after="0"/>
              <w:rPr>
                <w:sz w:val="20"/>
                <w:szCs w:val="20"/>
                <w:color w:val="auto"/>
              </w:rPr>
            </w:pPr>
            <w:r>
              <w:rPr>
                <w:rFonts w:ascii="Arial" w:cs="Arial" w:eastAsia="Arial" w:hAnsi="Arial"/>
                <w:sz w:val="18"/>
                <w:szCs w:val="18"/>
                <w:color w:val="auto"/>
              </w:rPr>
              <w:t>10,438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8,652</w:t>
            </w:r>
          </w:p>
        </w:tc>
        <w:tc>
          <w:tcPr>
            <w:tcW w:w="8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120" w:hanging="114"/>
        <w:spacing w:after="0"/>
        <w:tabs>
          <w:tab w:leader="none" w:pos="1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Excludes deferral and amortization of share-based compensation expense.</w:t>
      </w:r>
    </w:p>
    <w:p>
      <w:pPr>
        <w:ind w:left="120" w:hanging="114"/>
        <w:spacing w:after="0" w:line="181" w:lineRule="auto"/>
        <w:tabs>
          <w:tab w:leader="none" w:pos="12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4940" w:type="dxa"/>
            <w:vAlign w:val="bottom"/>
            <w:gridSpan w:val="11"/>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2"/>
        </w:trPr>
        <w:tc>
          <w:tcPr>
            <w:tcW w:w="4080" w:type="dxa"/>
            <w:vAlign w:val="bottom"/>
            <w:gridSpan w:val="9"/>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w w:val="96"/>
              </w:rPr>
              <w:t>Three Months Ended</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6"/>
          </w:tcPr>
          <w:p>
            <w:pPr>
              <w:spacing w:after="0"/>
              <w:rPr>
                <w:sz w:val="20"/>
                <w:szCs w:val="20"/>
                <w:color w:val="auto"/>
              </w:rPr>
            </w:pPr>
            <w:r>
              <w:rPr>
                <w:rFonts w:ascii="Arial" w:cs="Arial" w:eastAsia="Arial" w:hAnsi="Arial"/>
                <w:sz w:val="16"/>
                <w:szCs w:val="16"/>
                <w:b w:val="1"/>
                <w:bCs w:val="1"/>
                <w:color w:val="auto"/>
                <w:w w:val="98"/>
              </w:rPr>
              <w:t>March 31, June 30,</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5"/>
              </w:rPr>
              <w:t>September 30,</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March 31,</w:t>
            </w: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w w:val="87"/>
              </w:rPr>
              <w:t>June 30,</w:t>
            </w:r>
          </w:p>
        </w:tc>
        <w:tc>
          <w:tcPr>
            <w:tcW w:w="1140" w:type="dxa"/>
            <w:vAlign w:val="bottom"/>
            <w:gridSpan w:val="4"/>
          </w:tcPr>
          <w:p>
            <w:pPr>
              <w:ind w:left="120"/>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w w:val="86"/>
              </w:rPr>
              <w:t>December 31,</w:t>
            </w:r>
          </w:p>
        </w:tc>
        <w:tc>
          <w:tcPr>
            <w:tcW w:w="60" w:type="dxa"/>
            <w:vAlign w:val="bottom"/>
          </w:tcPr>
          <w:p>
            <w:pPr>
              <w:spacing w:after="0"/>
              <w:rPr>
                <w:sz w:val="17"/>
                <w:szCs w:val="17"/>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Year over Year</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0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61"/>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8"/>
              </w:rPr>
              <w:t>% Increase (Decrease)</w:t>
            </w:r>
          </w:p>
        </w:tc>
        <w:tc>
          <w:tcPr>
            <w:tcW w:w="0" w:type="dxa"/>
            <w:vAlign w:val="bottom"/>
          </w:tcPr>
          <w:p>
            <w:pPr>
              <w:spacing w:after="0"/>
              <w:rPr>
                <w:sz w:val="1"/>
                <w:szCs w:val="1"/>
                <w:color w:val="auto"/>
              </w:rPr>
            </w:pPr>
          </w:p>
        </w:tc>
      </w:tr>
      <w:tr>
        <w:trPr>
          <w:trHeight w:val="194"/>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 Data</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20"/>
                <w:szCs w:val="20"/>
                <w:color w:val="auto"/>
              </w:rPr>
            </w:pPr>
            <w:r>
              <w:rPr>
                <w:rFonts w:ascii="Arial" w:cs="Arial" w:eastAsia="Arial" w:hAnsi="Arial"/>
                <w:sz w:val="16"/>
                <w:szCs w:val="16"/>
                <w:color w:val="auto"/>
              </w:rPr>
              <w:t>Operating Cash Flow</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768</w:t>
            </w:r>
          </w:p>
        </w:tc>
        <w:tc>
          <w:tcPr>
            <w:tcW w:w="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1,140</w:t>
            </w:r>
          </w:p>
        </w:tc>
        <w:tc>
          <w:tcPr>
            <w:tcW w:w="60" w:type="dxa"/>
            <w:vAlign w:val="bottom"/>
          </w:tcPr>
          <w:p>
            <w:pPr>
              <w:spacing w:after="0"/>
              <w:rPr>
                <w:sz w:val="17"/>
                <w:szCs w:val="17"/>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388</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661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2440" w:type="dxa"/>
            <w:vAlign w:val="bottom"/>
          </w:tcPr>
          <w:p>
            <w:pPr>
              <w:spacing w:after="0" w:line="218" w:lineRule="exact"/>
              <w:rPr>
                <w:sz w:val="20"/>
                <w:szCs w:val="20"/>
                <w:color w:val="auto"/>
              </w:rPr>
            </w:pPr>
            <w:r>
              <w:rPr>
                <w:rFonts w:ascii="Arial" w:cs="Arial" w:eastAsia="Arial" w:hAnsi="Arial"/>
                <w:sz w:val="15"/>
                <w:szCs w:val="15"/>
                <w:color w:val="auto"/>
              </w:rPr>
              <w:t>Non-GAAP Free Cash Flow</w:t>
            </w:r>
            <w:r>
              <w:rPr>
                <w:rFonts w:ascii="Arial" w:cs="Arial" w:eastAsia="Arial" w:hAnsi="Arial"/>
                <w:sz w:val="25"/>
                <w:szCs w:val="25"/>
                <w:color w:val="auto"/>
                <w:vertAlign w:val="superscript"/>
              </w:rPr>
              <w:t>1</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1,118</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374</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498</w:t>
            </w:r>
          </w:p>
        </w:tc>
        <w:tc>
          <w:tcPr>
            <w:tcW w:w="6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640</w:t>
            </w: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40" w:type="dxa"/>
            <w:vAlign w:val="bottom"/>
          </w:tcPr>
          <w:p>
            <w:pPr>
              <w:spacing w:after="0" w:line="238" w:lineRule="exact"/>
              <w:rPr>
                <w:sz w:val="20"/>
                <w:szCs w:val="20"/>
                <w:color w:val="auto"/>
              </w:rPr>
            </w:pPr>
            <w:r>
              <w:rPr>
                <w:rFonts w:ascii="Arial" w:cs="Arial" w:eastAsia="Arial" w:hAnsi="Arial"/>
                <w:sz w:val="16"/>
                <w:szCs w:val="16"/>
                <w:color w:val="auto"/>
              </w:rPr>
              <w:t>Operating Cash Flow - TTM</w:t>
            </w:r>
            <w:r>
              <w:rPr>
                <w:rFonts w:ascii="Arial" w:cs="Arial" w:eastAsia="Arial" w:hAnsi="Arial"/>
                <w:sz w:val="26"/>
                <w:szCs w:val="26"/>
                <w:color w:val="auto"/>
                <w:vertAlign w:val="superscript"/>
              </w:rPr>
              <w:t>2</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1,529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2,252</w:t>
            </w:r>
          </w:p>
        </w:tc>
        <w:tc>
          <w:tcPr>
            <w:tcW w:w="6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2,568</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2,893</w:t>
            </w:r>
          </w:p>
        </w:tc>
        <w:tc>
          <w:tcPr>
            <w:tcW w:w="6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2,414</w:t>
            </w:r>
          </w:p>
        </w:tc>
        <w:tc>
          <w:tcPr>
            <w:tcW w:w="15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40" w:type="dxa"/>
            <w:vAlign w:val="bottom"/>
            <w:shd w:val="clear" w:color="auto" w:fill="CCEEFF"/>
          </w:tcPr>
          <w:p>
            <w:pPr>
              <w:spacing w:after="0" w:line="252" w:lineRule="exact"/>
              <w:rPr>
                <w:sz w:val="20"/>
                <w:szCs w:val="20"/>
                <w:color w:val="auto"/>
              </w:rPr>
            </w:pPr>
            <w:r>
              <w:rPr>
                <w:rFonts w:ascii="Arial" w:cs="Arial" w:eastAsia="Arial" w:hAnsi="Arial"/>
                <w:sz w:val="16"/>
                <w:szCs w:val="16"/>
                <w:color w:val="auto"/>
              </w:rPr>
              <w:t>Capital Expenditures - TTM</w:t>
            </w:r>
            <w:r>
              <w:rPr>
                <w:rFonts w:ascii="Arial" w:cs="Arial" w:eastAsia="Arial" w:hAnsi="Arial"/>
                <w:sz w:val="26"/>
                <w:szCs w:val="26"/>
                <w:color w:val="auto"/>
                <w:vertAlign w:val="superscript"/>
              </w:rPr>
              <w:t>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color w:val="auto"/>
                <w:w w:val="92"/>
              </w:rPr>
              <w:t>Non-GAAP Free Cash Flow</w:t>
            </w:r>
            <w:r>
              <w:rPr>
                <w:rFonts w:ascii="Arial" w:cs="Arial" w:eastAsia="Arial" w:hAnsi="Arial"/>
                <w:sz w:val="26"/>
                <w:szCs w:val="26"/>
                <w:color w:val="auto"/>
                <w:w w:val="92"/>
                <w:vertAlign w:val="superscript"/>
              </w:rPr>
              <w:t>1</w:t>
            </w:r>
            <w:r>
              <w:rPr>
                <w:rFonts w:ascii="Arial" w:cs="Arial" w:eastAsia="Arial" w:hAnsi="Arial"/>
                <w:sz w:val="16"/>
                <w:szCs w:val="16"/>
                <w:color w:val="auto"/>
                <w:w w:val="92"/>
              </w:rPr>
              <w:t xml:space="preserve"> - TTM</w:t>
            </w:r>
            <w:r>
              <w:rPr>
                <w:rFonts w:ascii="Arial" w:cs="Arial" w:eastAsia="Arial" w:hAnsi="Arial"/>
                <w:sz w:val="26"/>
                <w:szCs w:val="26"/>
                <w:color w:val="auto"/>
                <w:w w:val="92"/>
                <w:vertAlign w:val="superscript"/>
              </w:rPr>
              <w:t>2</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440" w:type="dxa"/>
            <w:vAlign w:val="bottom"/>
            <w:vMerge w:val="continue"/>
          </w:tcPr>
          <w:p>
            <w:pPr>
              <w:spacing w:after="0"/>
              <w:rPr>
                <w:sz w:val="24"/>
                <w:szCs w:val="24"/>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2,040</w:t>
            </w:r>
          </w:p>
        </w:tc>
        <w:tc>
          <w:tcPr>
            <w:tcW w:w="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2,174</w:t>
            </w:r>
          </w:p>
        </w:tc>
        <w:tc>
          <w:tcPr>
            <w:tcW w:w="6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2,486</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2,812</w:t>
            </w:r>
          </w:p>
        </w:tc>
        <w:tc>
          <w:tcPr>
            <w:tcW w:w="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2,334</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20" w:hanging="114"/>
        <w:spacing w:after="0"/>
        <w:tabs>
          <w:tab w:leader="none" w:pos="1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Non-GAAP free cash flow represents operating cash flow minus capital expenditures.</w:t>
      </w:r>
    </w:p>
    <w:p>
      <w:pPr>
        <w:spacing w:after="0" w:line="28" w:lineRule="exact"/>
        <w:rPr>
          <w:sz w:val="20"/>
          <w:szCs w:val="20"/>
          <w:color w:val="auto"/>
        </w:rPr>
      </w:pPr>
    </w:p>
    <w:p>
      <w:pPr>
        <w:ind w:right="60" w:firstLine="6"/>
        <w:spacing w:after="0" w:line="232" w:lineRule="auto"/>
        <w:tabs>
          <w:tab w:leader="none" w:pos="118"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TTM represents trailing twelve months. Operating Cash Flow for three months ended June 30, 2019, three months ended September 30, 2019, and three months ended December 31, 2019, were $154 million, $309 million, and $918 million, respectively. Capital Expenditures for the three months ended June 30, 2019, three months ended September 30, 2019, and three months ended December 31, 2019, were $27 million, $34 million, and $37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2"/>
        </w:trPr>
        <w:tc>
          <w:tcPr>
            <w:tcW w:w="4980" w:type="dxa"/>
            <w:vAlign w:val="bottom"/>
            <w:gridSpan w:val="8"/>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0" w:type="dxa"/>
            <w:vAlign w:val="bottom"/>
          </w:tcPr>
          <w:p>
            <w:pPr>
              <w:spacing w:after="0"/>
              <w:rPr>
                <w:sz w:val="18"/>
                <w:szCs w:val="18"/>
                <w:color w:val="auto"/>
              </w:rPr>
            </w:pPr>
          </w:p>
        </w:tc>
      </w:tr>
      <w:tr>
        <w:trPr>
          <w:trHeight w:val="212"/>
        </w:trPr>
        <w:tc>
          <w:tcPr>
            <w:tcW w:w="6000" w:type="dxa"/>
            <w:vAlign w:val="bottom"/>
            <w:gridSpan w:val="10"/>
          </w:tcPr>
          <w:p>
            <w:pPr>
              <w:spacing w:after="0"/>
              <w:rPr>
                <w:sz w:val="20"/>
                <w:szCs w:val="20"/>
                <w:color w:val="auto"/>
              </w:rPr>
            </w:pPr>
            <w:r>
              <w:rPr>
                <w:rFonts w:ascii="Arial" w:cs="Arial" w:eastAsia="Arial" w:hAnsi="Arial"/>
                <w:sz w:val="18"/>
                <w:szCs w:val="18"/>
                <w:b w:val="1"/>
                <w:bCs w:val="1"/>
                <w:color w:val="auto"/>
                <w:w w:val="99"/>
              </w:rPr>
              <w:t>RECONCILIATION OF GAAP NET INCOME TO NON-GAAP MEASURES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100" w:type="dxa"/>
            <w:vAlign w:val="bottom"/>
            <w:gridSpan w:val="6"/>
          </w:tcPr>
          <w:p>
            <w:pPr>
              <w:spacing w:after="0"/>
              <w:rPr>
                <w:sz w:val="20"/>
                <w:szCs w:val="20"/>
                <w:color w:val="auto"/>
              </w:rPr>
            </w:pPr>
            <w:r>
              <w:rPr>
                <w:rFonts w:ascii="Arial" w:cs="Arial" w:eastAsia="Arial" w:hAnsi="Arial"/>
                <w:sz w:val="18"/>
                <w:szCs w:val="18"/>
                <w:b w:val="1"/>
                <w:bCs w:val="1"/>
                <w:color w:val="auto"/>
              </w:rPr>
              <w:t>(Amounts in millions, except per share data)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7"/>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ind w:right="78"/>
              <w:spacing w:after="0"/>
              <w:rPr>
                <w:sz w:val="20"/>
                <w:szCs w:val="20"/>
                <w:color w:val="auto"/>
              </w:rPr>
            </w:pPr>
            <w:r>
              <w:rPr>
                <w:rFonts w:ascii="Arial" w:cs="Arial" w:eastAsia="Arial" w:hAnsi="Arial"/>
                <w:sz w:val="12"/>
                <w:szCs w:val="12"/>
                <w:b w:val="1"/>
                <w:bCs w:val="1"/>
                <w:color w:val="auto"/>
                <w:w w:val="86"/>
              </w:rPr>
              <w:t>Cost of</w:t>
            </w:r>
          </w:p>
        </w:tc>
        <w:tc>
          <w:tcPr>
            <w:tcW w:w="100" w:type="dxa"/>
            <w:vAlign w:val="bottom"/>
          </w:tcPr>
          <w:p>
            <w:pPr>
              <w:spacing w:after="0"/>
              <w:rPr>
                <w:sz w:val="24"/>
                <w:szCs w:val="24"/>
                <w:color w:val="auto"/>
              </w:rPr>
            </w:pPr>
          </w:p>
        </w:tc>
        <w:tc>
          <w:tcPr>
            <w:tcW w:w="920" w:type="dxa"/>
            <w:vAlign w:val="bottom"/>
          </w:tcPr>
          <w:p>
            <w:pPr>
              <w:jc w:val="center"/>
              <w:ind w:right="58"/>
              <w:spacing w:after="0"/>
              <w:rPr>
                <w:sz w:val="20"/>
                <w:szCs w:val="20"/>
                <w:color w:val="auto"/>
              </w:rPr>
            </w:pPr>
            <w:r>
              <w:rPr>
                <w:rFonts w:ascii="Arial" w:cs="Arial" w:eastAsia="Arial" w:hAnsi="Arial"/>
                <w:sz w:val="12"/>
                <w:szCs w:val="12"/>
                <w:b w:val="1"/>
                <w:bCs w:val="1"/>
                <w:color w:val="auto"/>
                <w:w w:val="86"/>
              </w:rPr>
              <w:t>Cost of</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3"/>
              </w:rPr>
              <w:t>Revenues—</w:t>
            </w:r>
          </w:p>
        </w:tc>
        <w:tc>
          <w:tcPr>
            <w:tcW w:w="10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3"/>
              </w:rPr>
              <w:t>Revenues—In-</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w w:val="97"/>
              </w:rPr>
              <w:t>Product Sales: game/Subs/Other: Cost of Revenues—In-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Cost of Revenues—</w:t>
            </w:r>
          </w:p>
        </w:tc>
        <w:tc>
          <w:tcPr>
            <w:tcW w:w="100" w:type="dxa"/>
            <w:vAlign w:val="bottom"/>
          </w:tcPr>
          <w:p>
            <w:pPr>
              <w:spacing w:after="0"/>
              <w:rPr>
                <w:sz w:val="11"/>
                <w:szCs w:val="11"/>
                <w:color w:val="auto"/>
              </w:rPr>
            </w:pPr>
          </w:p>
        </w:tc>
        <w:tc>
          <w:tcPr>
            <w:tcW w:w="78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4"/>
              </w:rPr>
              <w:t>Software</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Game Operations</w:t>
            </w:r>
          </w:p>
        </w:tc>
        <w:tc>
          <w:tcPr>
            <w:tcW w:w="140" w:type="dxa"/>
            <w:vAlign w:val="bottom"/>
          </w:tcPr>
          <w:p>
            <w:pPr>
              <w:spacing w:after="0"/>
              <w:rPr>
                <w:sz w:val="11"/>
                <w:szCs w:val="11"/>
                <w:color w:val="auto"/>
              </w:rPr>
            </w:pPr>
          </w:p>
        </w:tc>
        <w:tc>
          <w:tcPr>
            <w:tcW w:w="116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4"/>
              </w:rPr>
              <w:t>game/Subs/Other: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Restructuring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0"/>
              </w:rPr>
              <w:t>Product Sales:</w:t>
            </w:r>
          </w:p>
        </w:tc>
        <w:tc>
          <w:tcPr>
            <w:tcW w:w="8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0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and Distribution</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3"/>
              </w:rPr>
              <w:t>Software Royalties and</w:t>
            </w:r>
          </w:p>
        </w:tc>
        <w:tc>
          <w:tcPr>
            <w:tcW w:w="140" w:type="dxa"/>
            <w:vAlign w:val="bottom"/>
          </w:tcPr>
          <w:p>
            <w:pPr>
              <w:spacing w:after="0"/>
              <w:rPr>
                <w:sz w:val="11"/>
                <w:szCs w:val="11"/>
                <w:color w:val="auto"/>
              </w:rPr>
            </w:pP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b w:val="1"/>
                <w:bCs w:val="1"/>
                <w:color w:val="auto"/>
                <w:w w:val="96"/>
              </w:rPr>
              <w:t>Product</w:t>
            </w:r>
          </w:p>
        </w:tc>
        <w:tc>
          <w:tcPr>
            <w:tcW w:w="660" w:type="dxa"/>
            <w:vAlign w:val="bottom"/>
            <w:gridSpan w:val="2"/>
          </w:tcPr>
          <w:p>
            <w:pPr>
              <w:jc w:val="right"/>
              <w:ind w:right="38"/>
              <w:spacing w:after="0" w:line="133" w:lineRule="exact"/>
              <w:rPr>
                <w:sz w:val="20"/>
                <w:szCs w:val="20"/>
                <w:color w:val="auto"/>
              </w:rPr>
            </w:pPr>
            <w:r>
              <w:rPr>
                <w:rFonts w:ascii="Arial" w:cs="Arial" w:eastAsia="Arial" w:hAnsi="Arial"/>
                <w:sz w:val="12"/>
                <w:szCs w:val="12"/>
                <w:b w:val="1"/>
                <w:bCs w:val="1"/>
                <w:color w:val="auto"/>
                <w:w w:val="96"/>
              </w:rPr>
              <w:t>Sales and</w:t>
            </w:r>
          </w:p>
        </w:tc>
        <w:tc>
          <w:tcPr>
            <w:tcW w:w="80" w:type="dxa"/>
            <w:vAlign w:val="bottom"/>
          </w:tcPr>
          <w:p>
            <w:pPr>
              <w:spacing w:after="0"/>
              <w:rPr>
                <w:sz w:val="11"/>
                <w:szCs w:val="11"/>
                <w:color w:val="auto"/>
              </w:rPr>
            </w:pP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b w:val="1"/>
                <w:bCs w:val="1"/>
                <w:color w:val="auto"/>
                <w:w w:val="92"/>
              </w:rPr>
              <w:t>General and</w:t>
            </w:r>
          </w:p>
        </w:tc>
        <w:tc>
          <w:tcPr>
            <w:tcW w:w="80" w:type="dxa"/>
            <w:vAlign w:val="bottom"/>
          </w:tcPr>
          <w:p>
            <w:pPr>
              <w:spacing w:after="0"/>
              <w:rPr>
                <w:sz w:val="11"/>
                <w:szCs w:val="11"/>
                <w:color w:val="auto"/>
              </w:rPr>
            </w:pPr>
          </w:p>
        </w:tc>
        <w:tc>
          <w:tcPr>
            <w:tcW w:w="740" w:type="dxa"/>
            <w:vAlign w:val="bottom"/>
          </w:tcPr>
          <w:p>
            <w:pPr>
              <w:jc w:val="right"/>
              <w:ind w:right="78"/>
              <w:spacing w:after="0" w:line="133" w:lineRule="exact"/>
              <w:rPr>
                <w:sz w:val="20"/>
                <w:szCs w:val="20"/>
                <w:color w:val="auto"/>
              </w:rPr>
            </w:pPr>
            <w:r>
              <w:rPr>
                <w:rFonts w:ascii="Arial" w:cs="Arial" w:eastAsia="Arial" w:hAnsi="Arial"/>
                <w:sz w:val="12"/>
                <w:szCs w:val="12"/>
                <w:b w:val="1"/>
                <w:bCs w:val="1"/>
                <w:color w:val="auto"/>
                <w:w w:val="90"/>
              </w:rPr>
              <w:t>and related</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3"/>
              </w:rPr>
              <w:t>Total Costs and</w:t>
            </w:r>
          </w:p>
        </w:tc>
      </w:tr>
      <w:tr>
        <w:trPr>
          <w:trHeight w:val="151"/>
        </w:trPr>
        <w:tc>
          <w:tcPr>
            <w:tcW w:w="2960" w:type="dxa"/>
            <w:vAlign w:val="bottom"/>
            <w:gridSpan w:val="4"/>
          </w:tcPr>
          <w:p>
            <w:pPr>
              <w:spacing w:after="0"/>
              <w:rPr>
                <w:sz w:val="20"/>
                <w:szCs w:val="20"/>
                <w:color w:val="auto"/>
              </w:rPr>
            </w:pPr>
            <w:r>
              <w:rPr>
                <w:rFonts w:ascii="Arial" w:cs="Arial" w:eastAsia="Arial" w:hAnsi="Arial"/>
                <w:sz w:val="12"/>
                <w:szCs w:val="12"/>
                <w:b w:val="1"/>
                <w:bCs w:val="1"/>
                <w:color w:val="auto"/>
                <w:w w:val="93"/>
              </w:rPr>
              <w:t>Three Months Ended December 31, 2021 Net Revenues</w:t>
            </w:r>
          </w:p>
        </w:tc>
        <w:tc>
          <w:tcPr>
            <w:tcW w:w="140" w:type="dxa"/>
            <w:vAlign w:val="bottom"/>
          </w:tcPr>
          <w:p>
            <w:pPr>
              <w:spacing w:after="0"/>
              <w:rPr>
                <w:sz w:val="13"/>
                <w:szCs w:val="13"/>
                <w:color w:val="auto"/>
              </w:rPr>
            </w:pPr>
          </w:p>
        </w:tc>
        <w:tc>
          <w:tcPr>
            <w:tcW w:w="1000" w:type="dxa"/>
            <w:vAlign w:val="bottom"/>
          </w:tcPr>
          <w:p>
            <w:pPr>
              <w:jc w:val="center"/>
              <w:ind w:right="118"/>
              <w:spacing w:after="0"/>
              <w:rPr>
                <w:sz w:val="20"/>
                <w:szCs w:val="20"/>
                <w:color w:val="auto"/>
              </w:rPr>
            </w:pPr>
            <w:r>
              <w:rPr>
                <w:rFonts w:ascii="Arial" w:cs="Arial" w:eastAsia="Arial" w:hAnsi="Arial"/>
                <w:sz w:val="12"/>
                <w:szCs w:val="12"/>
                <w:b w:val="1"/>
                <w:bCs w:val="1"/>
                <w:color w:val="auto"/>
                <w:w w:val="90"/>
              </w:rPr>
              <w:t>Product Costs</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Amortization</w:t>
            </w:r>
          </w:p>
        </w:tc>
        <w:tc>
          <w:tcPr>
            <w:tcW w:w="100" w:type="dxa"/>
            <w:vAlign w:val="bottom"/>
          </w:tcPr>
          <w:p>
            <w:pPr>
              <w:spacing w:after="0"/>
              <w:rPr>
                <w:sz w:val="13"/>
                <w:szCs w:val="13"/>
                <w:color w:val="auto"/>
              </w:rPr>
            </w:pPr>
          </w:p>
        </w:tc>
        <w:tc>
          <w:tcPr>
            <w:tcW w:w="920" w:type="dxa"/>
            <w:vAlign w:val="bottom"/>
          </w:tcPr>
          <w:p>
            <w:pPr>
              <w:jc w:val="center"/>
              <w:ind w:right="58"/>
              <w:spacing w:after="0"/>
              <w:rPr>
                <w:sz w:val="20"/>
                <w:szCs w:val="20"/>
                <w:color w:val="auto"/>
              </w:rPr>
            </w:pPr>
            <w:r>
              <w:rPr>
                <w:rFonts w:ascii="Arial" w:cs="Arial" w:eastAsia="Arial" w:hAnsi="Arial"/>
                <w:sz w:val="12"/>
                <w:szCs w:val="12"/>
                <w:b w:val="1"/>
                <w:bCs w:val="1"/>
                <w:color w:val="auto"/>
                <w:w w:val="83"/>
              </w:rPr>
              <w:t>Costs</w:t>
            </w:r>
          </w:p>
        </w:tc>
        <w:tc>
          <w:tcPr>
            <w:tcW w:w="140" w:type="dxa"/>
            <w:vAlign w:val="bottom"/>
          </w:tcPr>
          <w:p>
            <w:pPr>
              <w:spacing w:after="0"/>
              <w:rPr>
                <w:sz w:val="13"/>
                <w:szCs w:val="13"/>
                <w:color w:val="auto"/>
              </w:rPr>
            </w:pPr>
          </w:p>
        </w:tc>
        <w:tc>
          <w:tcPr>
            <w:tcW w:w="1160" w:type="dxa"/>
            <w:vAlign w:val="bottom"/>
          </w:tcPr>
          <w:p>
            <w:pPr>
              <w:jc w:val="right"/>
              <w:ind w:right="218"/>
              <w:spacing w:after="0"/>
              <w:rPr>
                <w:sz w:val="20"/>
                <w:szCs w:val="20"/>
                <w:color w:val="auto"/>
              </w:rPr>
            </w:pPr>
            <w:r>
              <w:rPr>
                <w:rFonts w:ascii="Arial" w:cs="Arial" w:eastAsia="Arial" w:hAnsi="Arial"/>
                <w:sz w:val="12"/>
                <w:szCs w:val="12"/>
                <w:b w:val="1"/>
                <w:bCs w:val="1"/>
                <w:color w:val="auto"/>
              </w:rPr>
              <w:t>Amortization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Development</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Marketing</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Administrative</w:t>
            </w:r>
          </w:p>
        </w:tc>
        <w:tc>
          <w:tcPr>
            <w:tcW w:w="80" w:type="dxa"/>
            <w:vAlign w:val="bottom"/>
          </w:tcPr>
          <w:p>
            <w:pPr>
              <w:spacing w:after="0"/>
              <w:rPr>
                <w:sz w:val="13"/>
                <w:szCs w:val="13"/>
                <w:color w:val="auto"/>
              </w:rPr>
            </w:pPr>
          </w:p>
        </w:tc>
        <w:tc>
          <w:tcPr>
            <w:tcW w:w="740" w:type="dxa"/>
            <w:vAlign w:val="bottom"/>
          </w:tcPr>
          <w:p>
            <w:pPr>
              <w:jc w:val="right"/>
              <w:ind w:right="238"/>
              <w:spacing w:after="0"/>
              <w:rPr>
                <w:sz w:val="20"/>
                <w:szCs w:val="20"/>
                <w:color w:val="auto"/>
              </w:rPr>
            </w:pPr>
            <w:r>
              <w:rPr>
                <w:rFonts w:ascii="Arial" w:cs="Arial" w:eastAsia="Arial" w:hAnsi="Arial"/>
                <w:sz w:val="12"/>
                <w:szCs w:val="12"/>
                <w:b w:val="1"/>
                <w:bCs w:val="1"/>
                <w:color w:val="auto"/>
              </w:rPr>
              <w:t>costs</w:t>
            </w: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2"/>
              </w:rPr>
              <w:t>Expenses</w:t>
            </w:r>
          </w:p>
        </w:tc>
      </w:tr>
      <w:tr>
        <w:trPr>
          <w:trHeight w:val="126"/>
        </w:trPr>
        <w:tc>
          <w:tcPr>
            <w:tcW w:w="21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160" w:type="dxa"/>
            <w:vAlign w:val="bottom"/>
            <w:tcBorders>
              <w:top w:val="single" w:sz="8" w:color="auto"/>
            </w:tcBorders>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2,163</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274</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73</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290</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20</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321</w:t>
            </w:r>
          </w:p>
        </w:tc>
        <w:tc>
          <w:tcPr>
            <w:tcW w:w="24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299</w:t>
            </w: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174</w:t>
            </w: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30</w:t>
            </w:r>
          </w:p>
        </w:tc>
        <w:tc>
          <w:tcPr>
            <w:tcW w:w="14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1,481</w:t>
            </w:r>
          </w:p>
        </w:tc>
        <w:tc>
          <w:tcPr>
            <w:tcW w:w="40" w:type="dxa"/>
            <w:vAlign w:val="bottom"/>
            <w:tcBorders>
              <w:top w:val="single" w:sz="8" w:color="CCEEFF"/>
            </w:tcBorders>
            <w:shd w:val="clear" w:color="auto" w:fill="CCEEFF"/>
          </w:tcPr>
          <w:p>
            <w:pPr>
              <w:spacing w:after="0"/>
              <w:rPr>
                <w:sz w:val="10"/>
                <w:szCs w:val="10"/>
                <w:color w:val="auto"/>
              </w:rPr>
            </w:pPr>
          </w:p>
        </w:tc>
      </w:tr>
      <w:tr>
        <w:trPr>
          <w:trHeight w:val="172"/>
        </w:trPr>
        <w:tc>
          <w:tcPr>
            <w:tcW w:w="2120" w:type="dxa"/>
            <w:vAlign w:val="bottom"/>
          </w:tcPr>
          <w:p>
            <w:pPr>
              <w:ind w:left="12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(249)</w:t>
            </w:r>
          </w:p>
        </w:tc>
      </w:tr>
      <w:tr>
        <w:trPr>
          <w:trHeight w:val="172"/>
        </w:trPr>
        <w:tc>
          <w:tcPr>
            <w:tcW w:w="2120" w:type="dxa"/>
            <w:vAlign w:val="bottom"/>
            <w:shd w:val="clear" w:color="auto" w:fill="CCEEFF"/>
          </w:tcPr>
          <w:p>
            <w:pPr>
              <w:ind w:left="12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86"/>
        </w:trPr>
        <w:tc>
          <w:tcPr>
            <w:tcW w:w="2120" w:type="dxa"/>
            <w:vAlign w:val="bottom"/>
          </w:tcPr>
          <w:p>
            <w:pPr>
              <w:ind w:left="120"/>
              <w:spacing w:after="0" w:line="185"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20"/>
                <w:szCs w:val="20"/>
                <w:color w:val="auto"/>
                <w:vertAlign w:val="superscript"/>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4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w:t>
            </w:r>
          </w:p>
        </w:tc>
      </w:tr>
      <w:tr>
        <w:trPr>
          <w:trHeight w:val="166"/>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Non-GAAP Measurement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2,163</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70</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270</w:t>
            </w: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2"/>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6"/>
        </w:trPr>
        <w:tc>
          <w:tcPr>
            <w:tcW w:w="2120" w:type="dxa"/>
            <w:vAlign w:val="bottom"/>
            <w:shd w:val="clear" w:color="auto" w:fill="CCEEFF"/>
          </w:tcPr>
          <w:p>
            <w:pPr>
              <w:ind w:left="12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79"/>
        </w:trPr>
        <w:tc>
          <w:tcPr>
            <w:tcW w:w="2120" w:type="dxa"/>
            <w:vAlign w:val="bottom"/>
            <w:shd w:val="clear" w:color="auto" w:fill="CCEEFF"/>
          </w:tcPr>
          <w:p>
            <w:pPr>
              <w:ind w:left="120"/>
              <w:spacing w:after="0" w:line="180" w:lineRule="exact"/>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109</w:t>
            </w:r>
          </w:p>
        </w:tc>
      </w:tr>
      <w:tr>
        <w:trPr>
          <w:trHeight w:val="247"/>
        </w:trPr>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b w:val="1"/>
                <w:bCs w:val="1"/>
                <w:color w:val="auto"/>
                <w:w w:val="95"/>
              </w:rPr>
              <w:t>Operating</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Basic Earnings</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Diluted Earnings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5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Arial" w:cs="Arial" w:eastAsia="Arial" w:hAnsi="Arial"/>
                <w:sz w:val="12"/>
                <w:szCs w:val="12"/>
                <w:b w:val="1"/>
                <w:bCs w:val="1"/>
                <w:color w:val="auto"/>
                <w:w w:val="92"/>
              </w:rPr>
              <w:t>Net Income</w:t>
            </w:r>
          </w:p>
        </w:tc>
        <w:tc>
          <w:tcPr>
            <w:tcW w:w="100" w:type="dxa"/>
            <w:vAlign w:val="bottom"/>
          </w:tcPr>
          <w:p>
            <w:pPr>
              <w:spacing w:after="0"/>
              <w:rPr>
                <w:sz w:val="13"/>
                <w:szCs w:val="13"/>
                <w:color w:val="auto"/>
              </w:rPr>
            </w:pPr>
          </w:p>
        </w:tc>
        <w:tc>
          <w:tcPr>
            <w:tcW w:w="780" w:type="dxa"/>
            <w:vAlign w:val="bottom"/>
          </w:tcPr>
          <w:p>
            <w:pPr>
              <w:jc w:val="center"/>
              <w:ind w:right="78"/>
              <w:spacing w:after="0"/>
              <w:rPr>
                <w:sz w:val="20"/>
                <w:szCs w:val="20"/>
                <w:color w:val="auto"/>
              </w:rPr>
            </w:pPr>
            <w:r>
              <w:rPr>
                <w:rFonts w:ascii="Arial" w:cs="Arial" w:eastAsia="Arial" w:hAnsi="Arial"/>
                <w:sz w:val="12"/>
                <w:szCs w:val="12"/>
                <w:b w:val="1"/>
                <w:bCs w:val="1"/>
                <w:color w:val="auto"/>
                <w:w w:val="93"/>
              </w:rPr>
              <w:t>per Share</w:t>
            </w:r>
          </w:p>
        </w:tc>
        <w:tc>
          <w:tcPr>
            <w:tcW w:w="100" w:type="dxa"/>
            <w:vAlign w:val="bottom"/>
          </w:tcPr>
          <w:p>
            <w:pPr>
              <w:spacing w:after="0"/>
              <w:rPr>
                <w:sz w:val="13"/>
                <w:szCs w:val="13"/>
                <w:color w:val="auto"/>
              </w:rPr>
            </w:pPr>
          </w:p>
        </w:tc>
        <w:tc>
          <w:tcPr>
            <w:tcW w:w="920" w:type="dxa"/>
            <w:vAlign w:val="bottom"/>
          </w:tcPr>
          <w:p>
            <w:pPr>
              <w:jc w:val="center"/>
              <w:ind w:right="58"/>
              <w:spacing w:after="0"/>
              <w:rPr>
                <w:sz w:val="20"/>
                <w:szCs w:val="20"/>
                <w:color w:val="auto"/>
              </w:rPr>
            </w:pPr>
            <w:r>
              <w:rPr>
                <w:rFonts w:ascii="Arial" w:cs="Arial" w:eastAsia="Arial" w:hAnsi="Arial"/>
                <w:sz w:val="12"/>
                <w:szCs w:val="12"/>
                <w:b w:val="1"/>
                <w:bCs w:val="1"/>
                <w:color w:val="auto"/>
                <w:w w:val="93"/>
              </w:rPr>
              <w:t>per Share</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12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682</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564</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0.72</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0.72</w:t>
            </w: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2"/>
        </w:trPr>
        <w:tc>
          <w:tcPr>
            <w:tcW w:w="2120" w:type="dxa"/>
            <w:vAlign w:val="bottom"/>
          </w:tcPr>
          <w:p>
            <w:pPr>
              <w:ind w:left="12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249</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0.32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0.32</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2120" w:type="dxa"/>
            <w:vAlign w:val="bottom"/>
            <w:shd w:val="clear" w:color="auto" w:fill="CCEEFF"/>
          </w:tcPr>
          <w:p>
            <w:pPr>
              <w:ind w:left="12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2120" w:type="dxa"/>
            <w:vAlign w:val="bottom"/>
          </w:tcPr>
          <w:p>
            <w:pPr>
              <w:ind w:left="120"/>
              <w:spacing w:after="0" w:line="173"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0.04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2120" w:type="dxa"/>
            <w:vAlign w:val="bottom"/>
            <w:shd w:val="clear" w:color="auto" w:fill="CCEEFF"/>
          </w:tcPr>
          <w:p>
            <w:pPr>
              <w:ind w:left="120"/>
              <w:spacing w:after="0" w:line="185" w:lineRule="exact"/>
              <w:rPr>
                <w:sz w:val="20"/>
                <w:szCs w:val="20"/>
                <w:color w:val="auto"/>
              </w:rPr>
            </w:pPr>
            <w:r>
              <w:rPr>
                <w:rFonts w:ascii="Arial" w:cs="Arial" w:eastAsia="Arial" w:hAnsi="Arial"/>
                <w:sz w:val="12"/>
                <w:szCs w:val="12"/>
                <w:color w:val="auto"/>
                <w:w w:val="96"/>
              </w:rPr>
              <w:t>Income tax impacts from items above</w:t>
            </w:r>
            <w:r>
              <w:rPr>
                <w:rFonts w:ascii="Arial" w:cs="Arial" w:eastAsia="Arial" w:hAnsi="Arial"/>
                <w:sz w:val="20"/>
                <w:szCs w:val="20"/>
                <w:color w:val="auto"/>
                <w:w w:val="96"/>
                <w:vertAlign w:val="superscript"/>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2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Non-GAAP Measurement</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963</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788</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1.01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12"/>
        </w:trPr>
        <w:tc>
          <w:tcPr>
            <w:tcW w:w="2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6"/>
        </w:trPr>
        <w:tc>
          <w:tcPr>
            <w:tcW w:w="2120" w:type="dxa"/>
            <w:vAlign w:val="bottom"/>
          </w:tcPr>
          <w:p>
            <w:pPr>
              <w:ind w:left="12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67"/>
        </w:trPr>
        <w:tc>
          <w:tcPr>
            <w:tcW w:w="2120" w:type="dxa"/>
            <w:vAlign w:val="bottom"/>
          </w:tcPr>
          <w:p>
            <w:pPr>
              <w:ind w:left="120"/>
              <w:spacing w:after="0"/>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215</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0.24</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0.24</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97" w:lineRule="exact"/>
        <w:rPr>
          <w:sz w:val="20"/>
          <w:szCs w:val="20"/>
          <w:color w:val="auto"/>
        </w:rPr>
      </w:pPr>
    </w:p>
    <w:p>
      <w:pPr>
        <w:ind w:left="320" w:right="280" w:hanging="314"/>
        <w:spacing w:after="0" w:line="257" w:lineRule="auto"/>
        <w:tabs>
          <w:tab w:leader="none" w:pos="320" w:val="left"/>
        </w:tabs>
        <w:numPr>
          <w:ilvl w:val="0"/>
          <w:numId w:val="19"/>
        </w:numPr>
        <w:rPr>
          <w:rFonts w:ascii="Arial" w:cs="Arial" w:eastAsia="Arial" w:hAnsi="Arial"/>
          <w:sz w:val="9"/>
          <w:szCs w:val="9"/>
          <w:color w:val="auto"/>
        </w:rPr>
      </w:pPr>
      <w:r>
        <w:rPr>
          <w:rFonts w:ascii="Arial" w:cs="Arial" w:eastAsia="Arial" w:hAnsi="Arial"/>
          <w:sz w:val="11"/>
          <w:szCs w:val="11"/>
          <w:color w:val="auto"/>
        </w:rPr>
        <w:t>Reflects expenses related to share-based compensation, including $194 million for liability awards accounted for under ASC 718. The liability awards primarily relate to recent changes to the Company’s compensation payments for 2021 and represent expenses associated with achievement against our fiscal year 2021 performance targets (which will now be settled in shares of our common stock, rather than cash) and additional payments associated with these compensation changes that will be settled via issuance of shares of our common stock. Refer to our Operating Segment tables for further details.</w:t>
      </w:r>
    </w:p>
    <w:p>
      <w:pPr>
        <w:spacing w:after="0" w:line="1"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0"/>
          <w:szCs w:val="10"/>
          <w:color w:val="auto"/>
        </w:rPr>
      </w:pPr>
      <w:r>
        <w:rPr>
          <w:rFonts w:ascii="Arial" w:cs="Arial" w:eastAsia="Arial" w:hAnsi="Arial"/>
          <w:sz w:val="12"/>
          <w:szCs w:val="12"/>
          <w:color w:val="auto"/>
        </w:rPr>
        <w:t>Reflects amortization of intangible assets from purchase price accounting.</w:t>
      </w:r>
    </w:p>
    <w:p>
      <w:pPr>
        <w:spacing w:after="0" w:line="8"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0"/>
          <w:szCs w:val="10"/>
          <w:color w:val="auto"/>
        </w:rPr>
      </w:pPr>
      <w:r>
        <w:rPr>
          <w:rFonts w:ascii="Arial" w:cs="Arial" w:eastAsia="Arial" w:hAnsi="Arial"/>
          <w:sz w:val="12"/>
          <w:szCs w:val="12"/>
          <w:color w:val="auto"/>
        </w:rPr>
        <w:t>Reflects restructuring initiatives, primarily severance and other restructuring-related costs.</w:t>
      </w:r>
    </w:p>
    <w:p>
      <w:pPr>
        <w:spacing w:after="0" w:line="8"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online-enabled products, including the effects of taxes.</w:t>
      </w:r>
    </w:p>
    <w:p>
      <w:pPr>
        <w:spacing w:after="0" w:line="8" w:lineRule="exact"/>
        <w:rPr>
          <w:sz w:val="20"/>
          <w:szCs w:val="20"/>
          <w:color w:val="auto"/>
        </w:rPr>
      </w:pPr>
    </w:p>
    <w:p>
      <w:pPr>
        <w:ind w:left="320" w:right="220" w:hanging="314"/>
        <w:spacing w:after="0" w:line="244" w:lineRule="auto"/>
        <w:tabs>
          <w:tab w:leader="none" w:pos="320" w:val="left"/>
        </w:tabs>
        <w:numPr>
          <w:ilvl w:val="0"/>
          <w:numId w:val="23"/>
        </w:numPr>
        <w:rPr>
          <w:rFonts w:ascii="Arial" w:cs="Arial" w:eastAsia="Arial" w:hAnsi="Arial"/>
          <w:sz w:val="10"/>
          <w:szCs w:val="10"/>
          <w:color w:val="auto"/>
        </w:rPr>
      </w:pPr>
      <w:r>
        <w:rPr>
          <w:rFonts w:ascii="Arial" w:cs="Arial" w:eastAsia="Arial" w:hAnsi="Arial"/>
          <w:sz w:val="12"/>
          <w:szCs w:val="12"/>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409575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340"/>
          </w:cols>
          <w:pgMar w:left="320" w:top="89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2"/>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2"/>
        </w:trPr>
        <w:tc>
          <w:tcPr>
            <w:tcW w:w="5900" w:type="dxa"/>
            <w:vAlign w:val="bottom"/>
            <w:gridSpan w:val="9"/>
          </w:tcPr>
          <w:p>
            <w:pPr>
              <w:spacing w:after="0"/>
              <w:rPr>
                <w:sz w:val="20"/>
                <w:szCs w:val="20"/>
                <w:color w:val="auto"/>
              </w:rPr>
            </w:pPr>
            <w:r>
              <w:rPr>
                <w:rFonts w:ascii="Arial" w:cs="Arial" w:eastAsia="Arial" w:hAnsi="Arial"/>
                <w:sz w:val="18"/>
                <w:szCs w:val="18"/>
                <w:b w:val="1"/>
                <w:bCs w:val="1"/>
                <w:color w:val="auto"/>
                <w:w w:val="97"/>
              </w:rPr>
              <w:t>RECONCILIATION OF GAAP NET INCOME TO NON-GAAP MEASURES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(Amounts in millions, except per share data)</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98"/>
              <w:spacing w:after="0"/>
              <w:rPr>
                <w:sz w:val="20"/>
                <w:szCs w:val="20"/>
                <w:color w:val="auto"/>
              </w:rPr>
            </w:pPr>
            <w:r>
              <w:rPr>
                <w:rFonts w:ascii="Arial" w:cs="Arial" w:eastAsia="Arial" w:hAnsi="Arial"/>
                <w:sz w:val="12"/>
                <w:szCs w:val="12"/>
                <w:b w:val="1"/>
                <w:bCs w:val="1"/>
                <w:color w:val="auto"/>
                <w:w w:val="91"/>
              </w:rPr>
              <w:t>Cost of</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1"/>
              </w:rPr>
              <w:t>Cost of</w:t>
            </w:r>
          </w:p>
        </w:tc>
        <w:tc>
          <w:tcPr>
            <w:tcW w:w="180" w:type="dxa"/>
            <w:vAlign w:val="bottom"/>
          </w:tcPr>
          <w:p>
            <w:pPr>
              <w:spacing w:after="0"/>
              <w:rPr>
                <w:sz w:val="24"/>
                <w:szCs w:val="24"/>
                <w:color w:val="auto"/>
              </w:rPr>
            </w:pPr>
          </w:p>
        </w:tc>
        <w:tc>
          <w:tcPr>
            <w:tcW w:w="960" w:type="dxa"/>
            <w:vAlign w:val="bottom"/>
          </w:tcPr>
          <w:p>
            <w:pPr>
              <w:jc w:val="center"/>
              <w:ind w:right="78"/>
              <w:spacing w:after="0"/>
              <w:rPr>
                <w:sz w:val="20"/>
                <w:szCs w:val="20"/>
                <w:color w:val="auto"/>
              </w:rPr>
            </w:pPr>
            <w:r>
              <w:rPr>
                <w:rFonts w:ascii="Arial" w:cs="Arial" w:eastAsia="Arial" w:hAnsi="Arial"/>
                <w:sz w:val="12"/>
                <w:szCs w:val="12"/>
                <w:b w:val="1"/>
                <w:bCs w:val="1"/>
                <w:color w:val="auto"/>
                <w:w w:val="91"/>
              </w:rPr>
              <w:t>Cost of</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0"/>
              </w:rPr>
              <w:t>Revenues—</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Revenues—In-</w:t>
            </w:r>
          </w:p>
        </w:tc>
        <w:tc>
          <w:tcPr>
            <w:tcW w:w="18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3"/>
              </w:rPr>
              <w:t>Revenues—In-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Product Sales: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88"/>
              </w:rPr>
              <w:t>game/Subs/Other:</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8"/>
              </w:rPr>
              <w:t>game/Subs/Other: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Cost of Revenues—</w:t>
            </w:r>
          </w:p>
        </w:tc>
        <w:tc>
          <w:tcPr>
            <w:tcW w:w="120" w:type="dxa"/>
            <w:vAlign w:val="bottom"/>
          </w:tcPr>
          <w:p>
            <w:pPr>
              <w:spacing w:after="0"/>
              <w:rPr>
                <w:sz w:val="11"/>
                <w:szCs w:val="11"/>
                <w:color w:val="auto"/>
              </w:rPr>
            </w:pPr>
          </w:p>
        </w:tc>
        <w:tc>
          <w:tcPr>
            <w:tcW w:w="78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0"/>
              </w:rPr>
              <w:t>Software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89"/>
              </w:rPr>
              <w:t>Game Operations</w:t>
            </w:r>
          </w:p>
        </w:tc>
        <w:tc>
          <w:tcPr>
            <w:tcW w:w="18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4"/>
              </w:rPr>
              <w:t>Software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Restructuring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0"/>
              </w:rPr>
              <w:t>Product Sales:</w:t>
            </w:r>
          </w:p>
        </w:tc>
        <w:tc>
          <w:tcPr>
            <w:tcW w:w="9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9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and Distribution</w:t>
            </w:r>
          </w:p>
        </w:tc>
        <w:tc>
          <w:tcPr>
            <w:tcW w:w="18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20" w:type="dxa"/>
            <w:vAlign w:val="bottom"/>
          </w:tcPr>
          <w:p>
            <w:pPr>
              <w:spacing w:after="0"/>
              <w:rPr>
                <w:sz w:val="11"/>
                <w:szCs w:val="11"/>
                <w:color w:val="auto"/>
              </w:rPr>
            </w:pP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b w:val="1"/>
                <w:bCs w:val="1"/>
                <w:color w:val="auto"/>
                <w:w w:val="96"/>
              </w:rPr>
              <w:t>Product</w:t>
            </w:r>
          </w:p>
        </w:tc>
        <w:tc>
          <w:tcPr>
            <w:tcW w:w="700" w:type="dxa"/>
            <w:vAlign w:val="bottom"/>
            <w:gridSpan w:val="2"/>
          </w:tcPr>
          <w:p>
            <w:pPr>
              <w:jc w:val="right"/>
              <w:ind w:right="78"/>
              <w:spacing w:after="0" w:line="133" w:lineRule="exact"/>
              <w:rPr>
                <w:sz w:val="20"/>
                <w:szCs w:val="20"/>
                <w:color w:val="auto"/>
              </w:rPr>
            </w:pPr>
            <w:r>
              <w:rPr>
                <w:rFonts w:ascii="Arial" w:cs="Arial" w:eastAsia="Arial" w:hAnsi="Arial"/>
                <w:sz w:val="12"/>
                <w:szCs w:val="12"/>
                <w:b w:val="1"/>
                <w:bCs w:val="1"/>
                <w:color w:val="auto"/>
                <w:w w:val="96"/>
              </w:rPr>
              <w:t>Sales and</w:t>
            </w:r>
          </w:p>
        </w:tc>
        <w:tc>
          <w:tcPr>
            <w:tcW w:w="100" w:type="dxa"/>
            <w:vAlign w:val="bottom"/>
          </w:tcPr>
          <w:p>
            <w:pPr>
              <w:spacing w:after="0"/>
              <w:rPr>
                <w:sz w:val="11"/>
                <w:szCs w:val="11"/>
                <w:color w:val="auto"/>
              </w:rPr>
            </w:pPr>
          </w:p>
        </w:tc>
        <w:tc>
          <w:tcPr>
            <w:tcW w:w="82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2"/>
              </w:rPr>
              <w:t>General and</w:t>
            </w:r>
          </w:p>
        </w:tc>
        <w:tc>
          <w:tcPr>
            <w:tcW w:w="100" w:type="dxa"/>
            <w:vAlign w:val="bottom"/>
          </w:tcPr>
          <w:p>
            <w:pPr>
              <w:spacing w:after="0"/>
              <w:rPr>
                <w:sz w:val="11"/>
                <w:szCs w:val="11"/>
                <w:color w:val="auto"/>
              </w:rPr>
            </w:pP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0"/>
              </w:rPr>
              <w:t>and related</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3"/>
              </w:rPr>
              <w:t>Total Costs and</w:t>
            </w:r>
          </w:p>
        </w:tc>
        <w:tc>
          <w:tcPr>
            <w:tcW w:w="0" w:type="dxa"/>
            <w:vAlign w:val="bottom"/>
          </w:tcPr>
          <w:p>
            <w:pPr>
              <w:spacing w:after="0"/>
              <w:rPr>
                <w:sz w:val="1"/>
                <w:szCs w:val="1"/>
                <w:color w:val="auto"/>
              </w:rPr>
            </w:pPr>
          </w:p>
        </w:tc>
      </w:tr>
      <w:tr>
        <w:trPr>
          <w:trHeight w:val="151"/>
        </w:trPr>
        <w:tc>
          <w:tcPr>
            <w:tcW w:w="2100" w:type="dxa"/>
            <w:vAlign w:val="bottom"/>
          </w:tcPr>
          <w:p>
            <w:pPr>
              <w:spacing w:after="0"/>
              <w:rPr>
                <w:sz w:val="20"/>
                <w:szCs w:val="20"/>
                <w:color w:val="auto"/>
              </w:rPr>
            </w:pPr>
            <w:r>
              <w:rPr>
                <w:rFonts w:ascii="Arial" w:cs="Arial" w:eastAsia="Arial" w:hAnsi="Arial"/>
                <w:sz w:val="12"/>
                <w:szCs w:val="12"/>
                <w:b w:val="1"/>
                <w:bCs w:val="1"/>
                <w:color w:val="auto"/>
              </w:rPr>
              <w:t>Year Ended December 31, 2021</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w w:val="95"/>
              </w:rPr>
              <w:t>Net Revenues</w:t>
            </w:r>
          </w:p>
        </w:tc>
        <w:tc>
          <w:tcPr>
            <w:tcW w:w="140" w:type="dxa"/>
            <w:vAlign w:val="bottom"/>
          </w:tcPr>
          <w:p>
            <w:pPr>
              <w:spacing w:after="0"/>
              <w:rPr>
                <w:sz w:val="13"/>
                <w:szCs w:val="13"/>
                <w:color w:val="auto"/>
              </w:rPr>
            </w:pPr>
          </w:p>
        </w:tc>
        <w:tc>
          <w:tcPr>
            <w:tcW w:w="1000" w:type="dxa"/>
            <w:vAlign w:val="bottom"/>
          </w:tcPr>
          <w:p>
            <w:pPr>
              <w:jc w:val="center"/>
              <w:ind w:right="118"/>
              <w:spacing w:after="0"/>
              <w:rPr>
                <w:sz w:val="20"/>
                <w:szCs w:val="20"/>
                <w:color w:val="auto"/>
              </w:rPr>
            </w:pPr>
            <w:r>
              <w:rPr>
                <w:rFonts w:ascii="Arial" w:cs="Arial" w:eastAsia="Arial" w:hAnsi="Arial"/>
                <w:sz w:val="12"/>
                <w:szCs w:val="12"/>
                <w:b w:val="1"/>
                <w:bCs w:val="1"/>
                <w:color w:val="auto"/>
                <w:w w:val="90"/>
              </w:rPr>
              <w:t>Product Costs</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3"/>
                <w:szCs w:val="13"/>
                <w:color w:val="auto"/>
              </w:rPr>
            </w:pPr>
          </w:p>
        </w:tc>
        <w:tc>
          <w:tcPr>
            <w:tcW w:w="880" w:type="dxa"/>
            <w:vAlign w:val="bottom"/>
          </w:tcPr>
          <w:p>
            <w:pPr>
              <w:jc w:val="center"/>
              <w:ind w:right="18"/>
              <w:spacing w:after="0"/>
              <w:rPr>
                <w:sz w:val="20"/>
                <w:szCs w:val="20"/>
                <w:color w:val="auto"/>
              </w:rPr>
            </w:pPr>
            <w:r>
              <w:rPr>
                <w:rFonts w:ascii="Arial" w:cs="Arial" w:eastAsia="Arial" w:hAnsi="Arial"/>
                <w:sz w:val="12"/>
                <w:szCs w:val="12"/>
                <w:b w:val="1"/>
                <w:bCs w:val="1"/>
                <w:color w:val="auto"/>
                <w:w w:val="83"/>
              </w:rPr>
              <w:t>Costs</w:t>
            </w:r>
          </w:p>
        </w:tc>
        <w:tc>
          <w:tcPr>
            <w:tcW w:w="180" w:type="dxa"/>
            <w:vAlign w:val="bottom"/>
          </w:tcPr>
          <w:p>
            <w:pPr>
              <w:spacing w:after="0"/>
              <w:rPr>
                <w:sz w:val="13"/>
                <w:szCs w:val="13"/>
                <w:color w:val="auto"/>
              </w:rPr>
            </w:pPr>
          </w:p>
        </w:tc>
        <w:tc>
          <w:tcPr>
            <w:tcW w:w="960" w:type="dxa"/>
            <w:vAlign w:val="bottom"/>
          </w:tcPr>
          <w:p>
            <w:pPr>
              <w:jc w:val="center"/>
              <w:ind w:right="78"/>
              <w:spacing w:after="0"/>
              <w:rPr>
                <w:sz w:val="20"/>
                <w:szCs w:val="20"/>
                <w:color w:val="auto"/>
              </w:rPr>
            </w:pPr>
            <w:r>
              <w:rPr>
                <w:rFonts w:ascii="Arial" w:cs="Arial" w:eastAsia="Arial" w:hAnsi="Arial"/>
                <w:sz w:val="12"/>
                <w:szCs w:val="12"/>
                <w:b w:val="1"/>
                <w:bCs w:val="1"/>
                <w:color w:val="auto"/>
                <w:w w:val="95"/>
              </w:rPr>
              <w:t>Amortization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Development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Marketing</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Administrative</w:t>
            </w:r>
          </w:p>
        </w:tc>
        <w:tc>
          <w:tcPr>
            <w:tcW w:w="100" w:type="dxa"/>
            <w:vAlign w:val="bottom"/>
          </w:tcPr>
          <w:p>
            <w:pPr>
              <w:spacing w:after="0"/>
              <w:rPr>
                <w:sz w:val="13"/>
                <w:szCs w:val="13"/>
                <w:color w:val="auto"/>
              </w:rPr>
            </w:pPr>
          </w:p>
        </w:tc>
        <w:tc>
          <w:tcPr>
            <w:tcW w:w="760" w:type="dxa"/>
            <w:vAlign w:val="bottom"/>
          </w:tcPr>
          <w:p>
            <w:pPr>
              <w:jc w:val="right"/>
              <w:ind w:right="258"/>
              <w:spacing w:after="0"/>
              <w:rPr>
                <w:sz w:val="20"/>
                <w:szCs w:val="20"/>
                <w:color w:val="auto"/>
              </w:rPr>
            </w:pPr>
            <w:r>
              <w:rPr>
                <w:rFonts w:ascii="Arial" w:cs="Arial" w:eastAsia="Arial" w:hAnsi="Arial"/>
                <w:sz w:val="12"/>
                <w:szCs w:val="12"/>
                <w:b w:val="1"/>
                <w:bCs w:val="1"/>
                <w:color w:val="auto"/>
              </w:rPr>
              <w:t>costs</w:t>
            </w:r>
          </w:p>
        </w:tc>
        <w:tc>
          <w:tcPr>
            <w:tcW w:w="160" w:type="dxa"/>
            <w:vAlign w:val="bottom"/>
          </w:tcPr>
          <w:p>
            <w:pPr>
              <w:spacing w:after="0"/>
              <w:rPr>
                <w:sz w:val="13"/>
                <w:szCs w:val="13"/>
                <w:color w:val="auto"/>
              </w:rPr>
            </w:pPr>
          </w:p>
        </w:tc>
        <w:tc>
          <w:tcPr>
            <w:tcW w:w="760" w:type="dxa"/>
            <w:vAlign w:val="bottom"/>
          </w:tcPr>
          <w:p>
            <w:pPr>
              <w:jc w:val="right"/>
              <w:ind w:right="155"/>
              <w:spacing w:after="0"/>
              <w:rPr>
                <w:sz w:val="20"/>
                <w:szCs w:val="20"/>
                <w:color w:val="auto"/>
              </w:rPr>
            </w:pPr>
            <w:r>
              <w:rPr>
                <w:rFonts w:ascii="Arial" w:cs="Arial" w:eastAsia="Arial" w:hAnsi="Arial"/>
                <w:sz w:val="12"/>
                <w:szCs w:val="12"/>
                <w:b w:val="1"/>
                <w:bCs w:val="1"/>
                <w:color w:val="auto"/>
                <w:w w:val="92"/>
              </w:rPr>
              <w:t>Expenses</w:t>
            </w:r>
          </w:p>
        </w:tc>
        <w:tc>
          <w:tcPr>
            <w:tcW w:w="0" w:type="dxa"/>
            <w:vAlign w:val="bottom"/>
          </w:tcPr>
          <w:p>
            <w:pPr>
              <w:spacing w:after="0"/>
              <w:rPr>
                <w:sz w:val="1"/>
                <w:szCs w:val="1"/>
                <w:color w:val="auto"/>
              </w:rPr>
            </w:pPr>
          </w:p>
        </w:tc>
      </w:tr>
      <w:tr>
        <w:trPr>
          <w:trHeight w:val="126"/>
        </w:trPr>
        <w:tc>
          <w:tcPr>
            <w:tcW w:w="2100" w:type="dxa"/>
            <w:vAlign w:val="bottom"/>
            <w:tcBorders>
              <w:top w:val="single" w:sz="8" w:color="auto"/>
              <w:right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8,803</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649</w:t>
            </w:r>
          </w:p>
        </w:tc>
        <w:tc>
          <w:tcPr>
            <w:tcW w:w="12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346</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1,215</w:t>
            </w:r>
          </w:p>
        </w:tc>
        <w:tc>
          <w:tcPr>
            <w:tcW w:w="180" w:type="dxa"/>
            <w:vAlign w:val="bottom"/>
            <w:tcBorders>
              <w:top w:val="single" w:sz="8" w:color="auto"/>
              <w:left w:val="single" w:sz="8" w:color="CCEEFF"/>
            </w:tcBorders>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107</w:t>
            </w:r>
          </w:p>
        </w:tc>
        <w:tc>
          <w:tcPr>
            <w:tcW w:w="12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1,337</w:t>
            </w:r>
          </w:p>
        </w:tc>
        <w:tc>
          <w:tcPr>
            <w:tcW w:w="2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1,025</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788</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77</w:t>
            </w:r>
          </w:p>
        </w:tc>
        <w:tc>
          <w:tcPr>
            <w:tcW w:w="16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5,544</w:t>
            </w:r>
          </w:p>
        </w:tc>
        <w:tc>
          <w:tcPr>
            <w:tcW w:w="0" w:type="dxa"/>
            <w:vAlign w:val="bottom"/>
          </w:tcPr>
          <w:p>
            <w:pPr>
              <w:spacing w:after="0"/>
              <w:rPr>
                <w:sz w:val="1"/>
                <w:szCs w:val="1"/>
                <w:color w:val="auto"/>
              </w:rPr>
            </w:pPr>
          </w:p>
        </w:tc>
      </w:tr>
      <w:tr>
        <w:trPr>
          <w:trHeight w:val="172"/>
        </w:trPr>
        <w:tc>
          <w:tcPr>
            <w:tcW w:w="2100" w:type="dxa"/>
            <w:vAlign w:val="bottom"/>
          </w:tcPr>
          <w:p>
            <w:pPr>
              <w:ind w:left="12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w:t>
            </w:r>
          </w:p>
        </w:tc>
        <w:tc>
          <w:tcPr>
            <w:tcW w:w="18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(229)</w:t>
            </w:r>
          </w:p>
        </w:tc>
        <w:tc>
          <w:tcPr>
            <w:tcW w:w="10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172"/>
        </w:trPr>
        <w:tc>
          <w:tcPr>
            <w:tcW w:w="2100" w:type="dxa"/>
            <w:vAlign w:val="bottom"/>
            <w:tcBorders>
              <w:right w:val="single" w:sz="8" w:color="CCEEFF"/>
            </w:tcBorders>
            <w:shd w:val="clear" w:color="auto" w:fill="CCEEFF"/>
          </w:tcPr>
          <w:p>
            <w:pPr>
              <w:ind w:left="12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85"/>
        </w:trPr>
        <w:tc>
          <w:tcPr>
            <w:tcW w:w="2100" w:type="dxa"/>
            <w:vAlign w:val="bottom"/>
          </w:tcPr>
          <w:p>
            <w:pPr>
              <w:ind w:left="120"/>
              <w:spacing w:after="0" w:line="185"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20"/>
                <w:szCs w:val="20"/>
                <w:color w:val="auto"/>
                <w:vertAlign w:val="superscript"/>
              </w:rPr>
              <w:t>3</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5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0"/>
        </w:trPr>
        <w:tc>
          <w:tcPr>
            <w:tcW w:w="2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Non-GAAP Measurement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8,803</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329</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w:t>
            </w:r>
          </w:p>
        </w:tc>
        <w:tc>
          <w:tcPr>
            <w:tcW w:w="18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1,126</w:t>
            </w: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981</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552</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4,949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00" w:type="dxa"/>
            <w:vAlign w:val="bottom"/>
            <w:tcBorders>
              <w:right w:val="single" w:sz="8" w:color="CCEEFF"/>
            </w:tcBorders>
            <w:shd w:val="clear" w:color="auto" w:fill="CCEEFF"/>
          </w:tcPr>
          <w:p>
            <w:pPr>
              <w:ind w:left="12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00" w:type="dxa"/>
            <w:vAlign w:val="bottom"/>
            <w:tcBorders>
              <w:right w:val="single" w:sz="8" w:color="CCEEFF"/>
            </w:tcBorders>
            <w:shd w:val="clear" w:color="auto" w:fill="CCEEFF"/>
          </w:tcPr>
          <w:p>
            <w:pPr>
              <w:ind w:left="120"/>
              <w:spacing w:after="0" w:line="180" w:lineRule="exact"/>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8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326"/>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b w:val="1"/>
                <w:bCs w:val="1"/>
                <w:color w:val="auto"/>
                <w:w w:val="91"/>
              </w:rPr>
              <w:t>Operating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Basic Earnings</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Diluted Earnings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8"/>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Arial" w:cs="Arial" w:eastAsia="Arial" w:hAnsi="Arial"/>
                <w:sz w:val="12"/>
                <w:szCs w:val="12"/>
                <w:b w:val="1"/>
                <w:bCs w:val="1"/>
                <w:color w:val="auto"/>
                <w:w w:val="92"/>
              </w:rPr>
              <w:t>Net Income</w:t>
            </w:r>
          </w:p>
        </w:tc>
        <w:tc>
          <w:tcPr>
            <w:tcW w:w="120" w:type="dxa"/>
            <w:vAlign w:val="bottom"/>
          </w:tcPr>
          <w:p>
            <w:pPr>
              <w:spacing w:after="0"/>
              <w:rPr>
                <w:sz w:val="13"/>
                <w:szCs w:val="13"/>
                <w:color w:val="auto"/>
              </w:rPr>
            </w:pPr>
          </w:p>
        </w:tc>
        <w:tc>
          <w:tcPr>
            <w:tcW w:w="780" w:type="dxa"/>
            <w:vAlign w:val="bottom"/>
          </w:tcPr>
          <w:p>
            <w:pPr>
              <w:jc w:val="center"/>
              <w:ind w:right="98"/>
              <w:spacing w:after="0"/>
              <w:rPr>
                <w:sz w:val="20"/>
                <w:szCs w:val="20"/>
                <w:color w:val="auto"/>
              </w:rPr>
            </w:pPr>
            <w:r>
              <w:rPr>
                <w:rFonts w:ascii="Arial" w:cs="Arial" w:eastAsia="Arial" w:hAnsi="Arial"/>
                <w:sz w:val="12"/>
                <w:szCs w:val="12"/>
                <w:b w:val="1"/>
                <w:bCs w:val="1"/>
                <w:color w:val="auto"/>
                <w:w w:val="90"/>
              </w:rPr>
              <w:t>per Share</w:t>
            </w:r>
          </w:p>
        </w:tc>
        <w:tc>
          <w:tcPr>
            <w:tcW w:w="100" w:type="dxa"/>
            <w:vAlign w:val="bottom"/>
          </w:tcPr>
          <w:p>
            <w:pPr>
              <w:spacing w:after="0"/>
              <w:rPr>
                <w:sz w:val="13"/>
                <w:szCs w:val="13"/>
                <w:color w:val="auto"/>
              </w:rPr>
            </w:pPr>
          </w:p>
        </w:tc>
        <w:tc>
          <w:tcPr>
            <w:tcW w:w="880" w:type="dxa"/>
            <w:vAlign w:val="bottom"/>
          </w:tcPr>
          <w:p>
            <w:pPr>
              <w:jc w:val="center"/>
              <w:ind w:right="18"/>
              <w:spacing w:after="0"/>
              <w:rPr>
                <w:sz w:val="20"/>
                <w:szCs w:val="20"/>
                <w:color w:val="auto"/>
              </w:rPr>
            </w:pPr>
            <w:r>
              <w:rPr>
                <w:rFonts w:ascii="Arial" w:cs="Arial" w:eastAsia="Arial" w:hAnsi="Arial"/>
                <w:sz w:val="12"/>
                <w:szCs w:val="12"/>
                <w:b w:val="1"/>
                <w:bCs w:val="1"/>
                <w:color w:val="auto"/>
                <w:w w:val="93"/>
              </w:rPr>
              <w:t>per Share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00" w:type="dxa"/>
            <w:vAlign w:val="bottom"/>
            <w:tcBorders>
              <w:top w:val="single" w:sz="8" w:color="CCEEFF"/>
              <w:right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3,259</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2,699</w:t>
            </w:r>
          </w:p>
        </w:tc>
        <w:tc>
          <w:tcPr>
            <w:tcW w:w="12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3.47</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3.44</w:t>
            </w:r>
          </w:p>
        </w:tc>
        <w:tc>
          <w:tcPr>
            <w:tcW w:w="180" w:type="dxa"/>
            <w:vAlign w:val="bottom"/>
            <w:tcBorders>
              <w:left w:val="single" w:sz="8" w:color="CCEEFF"/>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2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508</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508</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0.65</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0.65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00" w:type="dxa"/>
            <w:vAlign w:val="bottom"/>
            <w:tcBorders>
              <w:right w:val="single" w:sz="8" w:color="CCEEFF"/>
            </w:tcBorders>
            <w:shd w:val="clear" w:color="auto" w:fill="CCEEFF"/>
          </w:tcPr>
          <w:p>
            <w:pPr>
              <w:ind w:left="12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80" w:type="dxa"/>
            <w:vAlign w:val="bottom"/>
            <w:tcBorders>
              <w:left w:val="single" w:sz="8" w:color="CCEEFF"/>
            </w:tcBorders>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20"/>
              <w:spacing w:after="0" w:line="173"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77</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0.10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00" w:type="dxa"/>
            <w:vAlign w:val="bottom"/>
            <w:tcBorders>
              <w:right w:val="single" w:sz="8" w:color="CCEEFF"/>
            </w:tcBorders>
            <w:shd w:val="clear" w:color="auto" w:fill="CCEEFF"/>
          </w:tcPr>
          <w:p>
            <w:pPr>
              <w:ind w:left="120"/>
              <w:spacing w:after="0" w:line="185" w:lineRule="exact"/>
              <w:rPr>
                <w:sz w:val="20"/>
                <w:szCs w:val="20"/>
                <w:color w:val="auto"/>
              </w:rPr>
            </w:pPr>
            <w:r>
              <w:rPr>
                <w:rFonts w:ascii="Arial" w:cs="Arial" w:eastAsia="Arial" w:hAnsi="Arial"/>
                <w:sz w:val="12"/>
                <w:szCs w:val="12"/>
                <w:color w:val="auto"/>
                <w:w w:val="94"/>
              </w:rPr>
              <w:t>Income tax impacts from items above</w:t>
            </w:r>
            <w:r>
              <w:rPr>
                <w:rFonts w:ascii="Arial" w:cs="Arial" w:eastAsia="Arial" w:hAnsi="Arial"/>
                <w:sz w:val="20"/>
                <w:szCs w:val="20"/>
                <w:color w:val="auto"/>
                <w:w w:val="94"/>
                <w:vertAlign w:val="superscript"/>
              </w:rPr>
              <w:t>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80" w:type="dxa"/>
            <w:vAlign w:val="bottom"/>
            <w:tcBorders>
              <w:left w:val="single" w:sz="8" w:color="CCEEFF"/>
            </w:tcBorders>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2"/>
                <w:szCs w:val="12"/>
                <w:color w:val="auto"/>
              </w:rPr>
              <w:t>Non-GAAP Measurement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3,854</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3,196</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4.11</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4.08</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10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80" w:type="dxa"/>
            <w:vAlign w:val="bottom"/>
            <w:tcBorders>
              <w:left w:val="single" w:sz="8" w:color="CCEEFF"/>
            </w:tcBorders>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00" w:type="dxa"/>
            <w:vAlign w:val="bottom"/>
          </w:tcPr>
          <w:p>
            <w:pPr>
              <w:ind w:left="12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100" w:type="dxa"/>
            <w:vAlign w:val="bottom"/>
          </w:tcPr>
          <w:p>
            <w:pPr>
              <w:ind w:left="120"/>
              <w:spacing w:after="0"/>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(347)</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(280)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(0.36)</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(0.36)</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right="180" w:hanging="314"/>
        <w:spacing w:after="0" w:line="257" w:lineRule="auto"/>
        <w:tabs>
          <w:tab w:leader="none" w:pos="320" w:val="left"/>
        </w:tabs>
        <w:numPr>
          <w:ilvl w:val="0"/>
          <w:numId w:val="24"/>
        </w:numPr>
        <w:rPr>
          <w:rFonts w:ascii="Arial" w:cs="Arial" w:eastAsia="Arial" w:hAnsi="Arial"/>
          <w:sz w:val="9"/>
          <w:szCs w:val="9"/>
          <w:color w:val="auto"/>
        </w:rPr>
      </w:pPr>
      <w:r>
        <w:rPr>
          <w:rFonts w:ascii="Arial" w:cs="Arial" w:eastAsia="Arial" w:hAnsi="Arial"/>
          <w:sz w:val="11"/>
          <w:szCs w:val="11"/>
          <w:color w:val="auto"/>
        </w:rPr>
        <w:t>Reflects expenses related to share-based compensation, including $194 million for liability awards accounted for under ASC 718. The liability awards primarily relate to recent changes to the Company’s compensation payments for 2021 and represent expenses associated with achievement against our fiscal year 2021 performance targets (which will now be settled in shares of our common stock, rather than cash) and additional payments associated with these compensation changes that will be settled via issuance of shares of our common stock. Refer to our Operating Segment tables for further details.</w:t>
      </w:r>
    </w:p>
    <w:p>
      <w:pPr>
        <w:spacing w:after="0" w:line="1"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0"/>
          <w:szCs w:val="10"/>
          <w:color w:val="auto"/>
        </w:rPr>
      </w:pPr>
      <w:r>
        <w:rPr>
          <w:rFonts w:ascii="Arial" w:cs="Arial" w:eastAsia="Arial" w:hAnsi="Arial"/>
          <w:sz w:val="12"/>
          <w:szCs w:val="12"/>
          <w:color w:val="auto"/>
        </w:rPr>
        <w:t>Reflects amortization of intangible assets from purchase price accounting.</w:t>
      </w:r>
    </w:p>
    <w:p>
      <w:pPr>
        <w:spacing w:after="0" w:line="8"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0"/>
          <w:szCs w:val="10"/>
          <w:color w:val="auto"/>
        </w:rPr>
      </w:pPr>
      <w:r>
        <w:rPr>
          <w:rFonts w:ascii="Arial" w:cs="Arial" w:eastAsia="Arial" w:hAnsi="Arial"/>
          <w:sz w:val="12"/>
          <w:szCs w:val="12"/>
          <w:color w:val="auto"/>
        </w:rPr>
        <w:t>Reflects restructuring initiatives, primarily severance and other restructuring-related costs.</w:t>
      </w:r>
    </w:p>
    <w:p>
      <w:pPr>
        <w:spacing w:after="0" w:line="8"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online-enabled products, including the effects of taxes.</w:t>
      </w:r>
    </w:p>
    <w:p>
      <w:pPr>
        <w:spacing w:after="0" w:line="8" w:lineRule="exact"/>
        <w:rPr>
          <w:sz w:val="20"/>
          <w:szCs w:val="20"/>
          <w:color w:val="auto"/>
        </w:rPr>
      </w:pPr>
    </w:p>
    <w:p>
      <w:pPr>
        <w:ind w:left="320" w:right="120" w:hanging="314"/>
        <w:spacing w:after="0" w:line="244" w:lineRule="auto"/>
        <w:tabs>
          <w:tab w:leader="none" w:pos="320" w:val="left"/>
        </w:tabs>
        <w:numPr>
          <w:ilvl w:val="0"/>
          <w:numId w:val="28"/>
        </w:numPr>
        <w:rPr>
          <w:rFonts w:ascii="Arial" w:cs="Arial" w:eastAsia="Arial" w:hAnsi="Arial"/>
          <w:sz w:val="10"/>
          <w:szCs w:val="10"/>
          <w:color w:val="auto"/>
        </w:rPr>
      </w:pPr>
      <w:r>
        <w:rPr>
          <w:rFonts w:ascii="Arial" w:cs="Arial" w:eastAsia="Arial" w:hAnsi="Arial"/>
          <w:sz w:val="12"/>
          <w:szCs w:val="12"/>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409575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2"/>
        </w:trPr>
        <w:tc>
          <w:tcPr>
            <w:tcW w:w="4800" w:type="dxa"/>
            <w:vAlign w:val="bottom"/>
            <w:gridSpan w:val="7"/>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2"/>
        </w:trPr>
        <w:tc>
          <w:tcPr>
            <w:tcW w:w="5980" w:type="dxa"/>
            <w:vAlign w:val="bottom"/>
            <w:gridSpan w:val="11"/>
          </w:tcPr>
          <w:p>
            <w:pPr>
              <w:spacing w:after="0"/>
              <w:rPr>
                <w:sz w:val="20"/>
                <w:szCs w:val="20"/>
                <w:color w:val="auto"/>
              </w:rPr>
            </w:pPr>
            <w:r>
              <w:rPr>
                <w:rFonts w:ascii="Arial" w:cs="Arial" w:eastAsia="Arial" w:hAnsi="Arial"/>
                <w:sz w:val="18"/>
                <w:szCs w:val="18"/>
                <w:b w:val="1"/>
                <w:bCs w:val="1"/>
                <w:color w:val="auto"/>
                <w:w w:val="99"/>
              </w:rPr>
              <w:t>RECONCILIATION OF GAAP NET INCOME TO NON-GAAP MEASURES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gridSpan w:val="5"/>
          </w:tcPr>
          <w:p>
            <w:pPr>
              <w:spacing w:after="0"/>
              <w:rPr>
                <w:sz w:val="20"/>
                <w:szCs w:val="20"/>
                <w:color w:val="auto"/>
              </w:rPr>
            </w:pPr>
            <w:r>
              <w:rPr>
                <w:rFonts w:ascii="Arial" w:cs="Arial" w:eastAsia="Arial" w:hAnsi="Arial"/>
                <w:sz w:val="18"/>
                <w:szCs w:val="18"/>
                <w:b w:val="1"/>
                <w:bCs w:val="1"/>
                <w:color w:val="auto"/>
              </w:rPr>
              <w:t>(Amounts in millions, except per share data)</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98"/>
              <w:spacing w:after="0"/>
              <w:rPr>
                <w:sz w:val="20"/>
                <w:szCs w:val="20"/>
                <w:color w:val="auto"/>
              </w:rPr>
            </w:pPr>
            <w:r>
              <w:rPr>
                <w:rFonts w:ascii="Arial" w:cs="Arial" w:eastAsia="Arial" w:hAnsi="Arial"/>
                <w:sz w:val="12"/>
                <w:szCs w:val="12"/>
                <w:b w:val="1"/>
                <w:bCs w:val="1"/>
                <w:color w:val="auto"/>
                <w:w w:val="86"/>
              </w:rPr>
              <w:t>Cost of</w:t>
            </w:r>
          </w:p>
        </w:tc>
        <w:tc>
          <w:tcPr>
            <w:tcW w:w="10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Cost of</w:t>
            </w:r>
          </w:p>
        </w:tc>
        <w:tc>
          <w:tcPr>
            <w:tcW w:w="120" w:type="dxa"/>
            <w:vAlign w:val="bottom"/>
          </w:tcPr>
          <w:p>
            <w:pPr>
              <w:spacing w:after="0"/>
              <w:rPr>
                <w:sz w:val="24"/>
                <w:szCs w:val="24"/>
                <w:color w:val="auto"/>
              </w:rPr>
            </w:pPr>
          </w:p>
        </w:tc>
        <w:tc>
          <w:tcPr>
            <w:tcW w:w="960" w:type="dxa"/>
            <w:vAlign w:val="bottom"/>
          </w:tcPr>
          <w:p>
            <w:pPr>
              <w:jc w:val="center"/>
              <w:ind w:right="98"/>
              <w:spacing w:after="0"/>
              <w:rPr>
                <w:sz w:val="20"/>
                <w:szCs w:val="20"/>
                <w:color w:val="auto"/>
              </w:rPr>
            </w:pPr>
            <w:r>
              <w:rPr>
                <w:rFonts w:ascii="Arial" w:cs="Arial" w:eastAsia="Arial" w:hAnsi="Arial"/>
                <w:sz w:val="12"/>
                <w:szCs w:val="12"/>
                <w:b w:val="1"/>
                <w:bCs w:val="1"/>
                <w:color w:val="auto"/>
                <w:w w:val="86"/>
              </w:rPr>
              <w:t>Cost of</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3"/>
              </w:rPr>
              <w:t>Revenues—</w:t>
            </w:r>
          </w:p>
        </w:tc>
        <w:tc>
          <w:tcPr>
            <w:tcW w:w="100" w:type="dxa"/>
            <w:vAlign w:val="bottom"/>
          </w:tcPr>
          <w:p>
            <w:pPr>
              <w:spacing w:after="0"/>
              <w:rPr>
                <w:sz w:val="11"/>
                <w:szCs w:val="11"/>
                <w:color w:val="auto"/>
              </w:rPr>
            </w:pPr>
          </w:p>
        </w:tc>
        <w:tc>
          <w:tcPr>
            <w:tcW w:w="96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Revenues—In-</w:t>
            </w:r>
          </w:p>
        </w:tc>
        <w:tc>
          <w:tcPr>
            <w:tcW w:w="12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5"/>
              </w:rPr>
              <w:t>Revenues—In-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1"/>
              </w:rPr>
              <w:t>Cost of</w:t>
            </w:r>
          </w:p>
        </w:tc>
        <w:tc>
          <w:tcPr>
            <w:tcW w:w="9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0"/>
              </w:rPr>
              <w:t>Product Sales:</w:t>
            </w: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game/Subs/Other:</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8"/>
              </w:rPr>
              <w:t>game/Subs/Other: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0"/>
              </w:rPr>
              <w:t>Revenues—</w:t>
            </w:r>
          </w:p>
        </w:tc>
        <w:tc>
          <w:tcPr>
            <w:tcW w:w="120" w:type="dxa"/>
            <w:vAlign w:val="bottom"/>
          </w:tcPr>
          <w:p>
            <w:pPr>
              <w:spacing w:after="0"/>
              <w:rPr>
                <w:sz w:val="11"/>
                <w:szCs w:val="11"/>
                <w:color w:val="auto"/>
              </w:rPr>
            </w:pPr>
          </w:p>
        </w:tc>
        <w:tc>
          <w:tcPr>
            <w:tcW w:w="84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4"/>
              </w:rPr>
              <w:t>Software</w:t>
            </w: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Game Operations</w:t>
            </w:r>
          </w:p>
        </w:tc>
        <w:tc>
          <w:tcPr>
            <w:tcW w:w="12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4"/>
              </w:rPr>
              <w:t>Software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Restructuring</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3"/>
              </w:rPr>
              <w:t>Three Months Ended December 31, 2020 Net Revenues</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Product Sales:</w:t>
            </w:r>
          </w:p>
        </w:tc>
        <w:tc>
          <w:tcPr>
            <w:tcW w:w="9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06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95"/>
              </w:rPr>
              <w:t>and Distribution</w:t>
            </w:r>
          </w:p>
        </w:tc>
        <w:tc>
          <w:tcPr>
            <w:tcW w:w="12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40" w:type="dxa"/>
            <w:vAlign w:val="bottom"/>
          </w:tcPr>
          <w:p>
            <w:pPr>
              <w:spacing w:after="0"/>
              <w:rPr>
                <w:sz w:val="11"/>
                <w:szCs w:val="11"/>
                <w:color w:val="auto"/>
              </w:rPr>
            </w:pP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b w:val="1"/>
                <w:bCs w:val="1"/>
                <w:color w:val="auto"/>
                <w:w w:val="96"/>
              </w:rPr>
              <w:t>Product</w:t>
            </w:r>
          </w:p>
        </w:tc>
        <w:tc>
          <w:tcPr>
            <w:tcW w:w="740" w:type="dxa"/>
            <w:vAlign w:val="bottom"/>
            <w:gridSpan w:val="2"/>
          </w:tcPr>
          <w:p>
            <w:pPr>
              <w:jc w:val="right"/>
              <w:ind w:right="78"/>
              <w:spacing w:after="0" w:line="133" w:lineRule="exact"/>
              <w:rPr>
                <w:sz w:val="20"/>
                <w:szCs w:val="20"/>
                <w:color w:val="auto"/>
              </w:rPr>
            </w:pPr>
            <w:r>
              <w:rPr>
                <w:rFonts w:ascii="Arial" w:cs="Arial" w:eastAsia="Arial" w:hAnsi="Arial"/>
                <w:sz w:val="12"/>
                <w:szCs w:val="12"/>
                <w:b w:val="1"/>
                <w:bCs w:val="1"/>
                <w:color w:val="auto"/>
              </w:rPr>
              <w:t>Sales and</w:t>
            </w:r>
          </w:p>
        </w:tc>
        <w:tc>
          <w:tcPr>
            <w:tcW w:w="100" w:type="dxa"/>
            <w:vAlign w:val="bottom"/>
          </w:tcPr>
          <w:p>
            <w:pPr>
              <w:spacing w:after="0"/>
              <w:rPr>
                <w:sz w:val="11"/>
                <w:szCs w:val="11"/>
                <w:color w:val="auto"/>
              </w:rPr>
            </w:pPr>
          </w:p>
        </w:tc>
        <w:tc>
          <w:tcPr>
            <w:tcW w:w="82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2"/>
              </w:rPr>
              <w:t>General and</w:t>
            </w:r>
          </w:p>
        </w:tc>
        <w:tc>
          <w:tcPr>
            <w:tcW w:w="120" w:type="dxa"/>
            <w:vAlign w:val="bottom"/>
          </w:tcPr>
          <w:p>
            <w:pPr>
              <w:spacing w:after="0"/>
              <w:rPr>
                <w:sz w:val="11"/>
                <w:szCs w:val="11"/>
                <w:color w:val="auto"/>
              </w:rPr>
            </w:pP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0"/>
              </w:rPr>
              <w:t>and related</w:t>
            </w: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Total Costs and</w:t>
            </w:r>
          </w:p>
        </w:tc>
        <w:tc>
          <w:tcPr>
            <w:tcW w:w="0" w:type="dxa"/>
            <w:vAlign w:val="bottom"/>
          </w:tcPr>
          <w:p>
            <w:pPr>
              <w:spacing w:after="0"/>
              <w:rPr>
                <w:sz w:val="1"/>
                <w:szCs w:val="1"/>
                <w:color w:val="auto"/>
              </w:rPr>
            </w:pPr>
          </w:p>
        </w:tc>
      </w:tr>
      <w:tr>
        <w:trPr>
          <w:trHeight w:val="151"/>
        </w:trPr>
        <w:tc>
          <w:tcPr>
            <w:tcW w:w="2960" w:type="dxa"/>
            <w:vAlign w:val="bottom"/>
            <w:gridSpan w:val="3"/>
            <w:vMerge w:val="continue"/>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Product Costs</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Amortization</w:t>
            </w: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Costs</w:t>
            </w:r>
          </w:p>
        </w:tc>
        <w:tc>
          <w:tcPr>
            <w:tcW w:w="12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Arial" w:cs="Arial" w:eastAsia="Arial" w:hAnsi="Arial"/>
                <w:sz w:val="12"/>
                <w:szCs w:val="12"/>
                <w:b w:val="1"/>
                <w:bCs w:val="1"/>
                <w:color w:val="auto"/>
                <w:w w:val="98"/>
              </w:rPr>
              <w:t>Amortization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Development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Marketing</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Administrative</w:t>
            </w:r>
          </w:p>
        </w:tc>
        <w:tc>
          <w:tcPr>
            <w:tcW w:w="120" w:type="dxa"/>
            <w:vAlign w:val="bottom"/>
          </w:tcPr>
          <w:p>
            <w:pPr>
              <w:spacing w:after="0"/>
              <w:rPr>
                <w:sz w:val="13"/>
                <w:szCs w:val="13"/>
                <w:color w:val="auto"/>
              </w:rPr>
            </w:pPr>
          </w:p>
        </w:tc>
        <w:tc>
          <w:tcPr>
            <w:tcW w:w="760" w:type="dxa"/>
            <w:vAlign w:val="bottom"/>
          </w:tcPr>
          <w:p>
            <w:pPr>
              <w:jc w:val="right"/>
              <w:ind w:right="258"/>
              <w:spacing w:after="0"/>
              <w:rPr>
                <w:sz w:val="20"/>
                <w:szCs w:val="20"/>
                <w:color w:val="auto"/>
              </w:rPr>
            </w:pPr>
            <w:r>
              <w:rPr>
                <w:rFonts w:ascii="Arial" w:cs="Arial" w:eastAsia="Arial" w:hAnsi="Arial"/>
                <w:sz w:val="12"/>
                <w:szCs w:val="12"/>
                <w:b w:val="1"/>
                <w:bCs w:val="1"/>
                <w:color w:val="auto"/>
              </w:rPr>
              <w:t>costs</w:t>
            </w: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Expenses</w:t>
            </w:r>
          </w:p>
        </w:tc>
        <w:tc>
          <w:tcPr>
            <w:tcW w:w="0" w:type="dxa"/>
            <w:vAlign w:val="bottom"/>
          </w:tcPr>
          <w:p>
            <w:pPr>
              <w:spacing w:after="0"/>
              <w:rPr>
                <w:sz w:val="1"/>
                <w:szCs w:val="1"/>
                <w:color w:val="auto"/>
              </w:rPr>
            </w:pPr>
          </w:p>
        </w:tc>
      </w:tr>
      <w:tr>
        <w:trPr>
          <w:trHeight w:val="126"/>
        </w:trPr>
        <w:tc>
          <w:tcPr>
            <w:tcW w:w="2200" w:type="dxa"/>
            <w:vAlign w:val="bottom"/>
            <w:tcBorders>
              <w:top w:val="single" w:sz="8" w:color="auto"/>
              <w:right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2,413</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349</w:t>
            </w:r>
          </w:p>
        </w:tc>
        <w:tc>
          <w:tcPr>
            <w:tcW w:w="1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117</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313</w:t>
            </w:r>
          </w:p>
        </w:tc>
        <w:tc>
          <w:tcPr>
            <w:tcW w:w="12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39</w:t>
            </w:r>
          </w:p>
        </w:tc>
        <w:tc>
          <w:tcPr>
            <w:tcW w:w="140" w:type="dxa"/>
            <w:vAlign w:val="bottom"/>
            <w:tcBorders>
              <w:top w:val="single" w:sz="8" w:color="auto"/>
            </w:tcBorders>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350</w:t>
            </w:r>
          </w:p>
        </w:tc>
        <w:tc>
          <w:tcPr>
            <w:tcW w:w="280" w:type="dxa"/>
            <w:vAlign w:val="bottom"/>
            <w:tcBorders>
              <w:top w:val="single" w:sz="8" w:color="auto"/>
            </w:tcBorders>
            <w:shd w:val="clear" w:color="auto" w:fill="CCEEFF"/>
          </w:tcPr>
          <w:p>
            <w:pPr>
              <w:ind w:left="60"/>
              <w:spacing w:after="0" w:line="126"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341</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255</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55</w:t>
            </w:r>
          </w:p>
        </w:tc>
        <w:tc>
          <w:tcPr>
            <w:tcW w:w="160" w:type="dxa"/>
            <w:vAlign w:val="bottom"/>
            <w:tcBorders>
              <w:top w:val="single" w:sz="8" w:color="auto"/>
            </w:tcBorders>
            <w:shd w:val="clear" w:color="auto" w:fill="CCEEFF"/>
          </w:tcPr>
          <w:p>
            <w:pPr>
              <w:ind w:left="60"/>
              <w:spacing w:after="0" w:line="126"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1,819</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0" w:type="dxa"/>
            <w:vAlign w:val="bottom"/>
          </w:tcPr>
          <w:p>
            <w:pPr>
              <w:ind w:left="16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4"/>
                <w:szCs w:val="14"/>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72"/>
        </w:trPr>
        <w:tc>
          <w:tcPr>
            <w:tcW w:w="2200" w:type="dxa"/>
            <w:vAlign w:val="bottom"/>
            <w:tcBorders>
              <w:right w:val="single" w:sz="8" w:color="CCEEFF"/>
            </w:tcBorders>
            <w:shd w:val="clear" w:color="auto" w:fill="CCEEFF"/>
          </w:tcPr>
          <w:p>
            <w:pPr>
              <w:ind w:left="16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85"/>
        </w:trPr>
        <w:tc>
          <w:tcPr>
            <w:tcW w:w="2200" w:type="dxa"/>
            <w:vAlign w:val="bottom"/>
          </w:tcPr>
          <w:p>
            <w:pPr>
              <w:ind w:left="160"/>
              <w:spacing w:after="0" w:line="185"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20"/>
                <w:szCs w:val="20"/>
                <w:color w:val="auto"/>
                <w:vertAlign w:val="superscript"/>
              </w:rPr>
              <w:t>3</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w:t>
            </w: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0"/>
        </w:trPr>
        <w:tc>
          <w:tcPr>
            <w:tcW w:w="2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Non-GAAP Measurement</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2,413</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313</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336</w:t>
            </w:r>
          </w:p>
        </w:tc>
        <w:tc>
          <w:tcPr>
            <w:tcW w:w="2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193</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1,666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00" w:type="dxa"/>
            <w:vAlign w:val="bottom"/>
            <w:tcBorders>
              <w:right w:val="single" w:sz="8" w:color="CCEEFF"/>
            </w:tcBorders>
            <w:shd w:val="clear" w:color="auto" w:fill="CCEEFF"/>
          </w:tcPr>
          <w:p>
            <w:pPr>
              <w:ind w:left="16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200" w:type="dxa"/>
            <w:vAlign w:val="bottom"/>
            <w:tcBorders>
              <w:right w:val="single" w:sz="8" w:color="CCEEFF"/>
            </w:tcBorders>
            <w:shd w:val="clear" w:color="auto" w:fill="CCEEFF"/>
          </w:tcPr>
          <w:p>
            <w:pPr>
              <w:ind w:left="160"/>
              <w:spacing w:after="0" w:line="180" w:lineRule="exact"/>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b w:val="1"/>
                <w:bCs w:val="1"/>
                <w:color w:val="auto"/>
                <w:w w:val="95"/>
              </w:rPr>
              <w:t>Operating</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Basic Earnings</w:t>
            </w:r>
          </w:p>
        </w:tc>
        <w:tc>
          <w:tcPr>
            <w:tcW w:w="10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4"/>
              </w:rPr>
              <w:t>Diluted Earnings</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2"/>
                <w:szCs w:val="12"/>
                <w:b w:val="1"/>
                <w:bCs w:val="1"/>
                <w:color w:val="auto"/>
              </w:rPr>
              <w:t>Income</w:t>
            </w:r>
          </w:p>
        </w:tc>
        <w:tc>
          <w:tcPr>
            <w:tcW w:w="120" w:type="dxa"/>
            <w:vAlign w:val="bottom"/>
          </w:tcPr>
          <w:p>
            <w:pPr>
              <w:spacing w:after="0"/>
              <w:rPr>
                <w:sz w:val="13"/>
                <w:szCs w:val="13"/>
                <w:color w:val="auto"/>
              </w:rPr>
            </w:pPr>
          </w:p>
        </w:tc>
        <w:tc>
          <w:tcPr>
            <w:tcW w:w="760" w:type="dxa"/>
            <w:vAlign w:val="bottom"/>
          </w:tcPr>
          <w:p>
            <w:pPr>
              <w:jc w:val="center"/>
              <w:ind w:right="78"/>
              <w:spacing w:after="0"/>
              <w:rPr>
                <w:sz w:val="20"/>
                <w:szCs w:val="20"/>
                <w:color w:val="auto"/>
              </w:rPr>
            </w:pPr>
            <w:r>
              <w:rPr>
                <w:rFonts w:ascii="Arial" w:cs="Arial" w:eastAsia="Arial" w:hAnsi="Arial"/>
                <w:sz w:val="12"/>
                <w:szCs w:val="12"/>
                <w:b w:val="1"/>
                <w:bCs w:val="1"/>
                <w:color w:val="auto"/>
                <w:w w:val="95"/>
              </w:rPr>
              <w:t>Net Income</w:t>
            </w:r>
          </w:p>
        </w:tc>
        <w:tc>
          <w:tcPr>
            <w:tcW w:w="120" w:type="dxa"/>
            <w:vAlign w:val="bottom"/>
          </w:tcPr>
          <w:p>
            <w:pPr>
              <w:spacing w:after="0"/>
              <w:rPr>
                <w:sz w:val="13"/>
                <w:szCs w:val="13"/>
                <w:color w:val="auto"/>
              </w:rPr>
            </w:pPr>
          </w:p>
        </w:tc>
        <w:tc>
          <w:tcPr>
            <w:tcW w:w="840" w:type="dxa"/>
            <w:vAlign w:val="bottom"/>
          </w:tcPr>
          <w:p>
            <w:pPr>
              <w:jc w:val="center"/>
              <w:ind w:right="98"/>
              <w:spacing w:after="0"/>
              <w:rPr>
                <w:sz w:val="20"/>
                <w:szCs w:val="20"/>
                <w:color w:val="auto"/>
              </w:rPr>
            </w:pPr>
            <w:r>
              <w:rPr>
                <w:rFonts w:ascii="Arial" w:cs="Arial" w:eastAsia="Arial" w:hAnsi="Arial"/>
                <w:sz w:val="12"/>
                <w:szCs w:val="12"/>
                <w:b w:val="1"/>
                <w:bCs w:val="1"/>
                <w:color w:val="auto"/>
                <w:w w:val="93"/>
              </w:rPr>
              <w:t>per Share</w:t>
            </w: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per Share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00" w:type="dxa"/>
            <w:vAlign w:val="bottom"/>
            <w:tcBorders>
              <w:top w:val="single" w:sz="8" w:color="CCEEFF"/>
              <w:right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594</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508</w:t>
            </w:r>
          </w:p>
        </w:tc>
        <w:tc>
          <w:tcPr>
            <w:tcW w:w="1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0.66</w:t>
            </w:r>
          </w:p>
        </w:tc>
        <w:tc>
          <w:tcPr>
            <w:tcW w:w="1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0.65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0" w:type="dxa"/>
            <w:vAlign w:val="bottom"/>
          </w:tcPr>
          <w:p>
            <w:pPr>
              <w:ind w:left="16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0" w:type="dxa"/>
            <w:vAlign w:val="bottom"/>
            <w:tcBorders>
              <w:right w:val="single" w:sz="8" w:color="CCEEFF"/>
            </w:tcBorders>
            <w:shd w:val="clear" w:color="auto" w:fill="CCEEFF"/>
          </w:tcPr>
          <w:p>
            <w:pPr>
              <w:ind w:left="16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0" w:type="dxa"/>
            <w:vAlign w:val="bottom"/>
          </w:tcPr>
          <w:p>
            <w:pPr>
              <w:ind w:left="160"/>
              <w:spacing w:after="0" w:line="173"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00" w:type="dxa"/>
            <w:vAlign w:val="bottom"/>
            <w:tcBorders>
              <w:right w:val="single" w:sz="8" w:color="CCEEFF"/>
            </w:tcBorders>
            <w:shd w:val="clear" w:color="auto" w:fill="CCEEFF"/>
          </w:tcPr>
          <w:p>
            <w:pPr>
              <w:ind w:left="160"/>
              <w:spacing w:after="0" w:line="185" w:lineRule="exact"/>
              <w:rPr>
                <w:sz w:val="20"/>
                <w:szCs w:val="20"/>
                <w:color w:val="auto"/>
              </w:rPr>
            </w:pPr>
            <w:r>
              <w:rPr>
                <w:rFonts w:ascii="Arial" w:cs="Arial" w:eastAsia="Arial" w:hAnsi="Arial"/>
                <w:sz w:val="12"/>
                <w:szCs w:val="12"/>
                <w:color w:val="auto"/>
                <w:w w:val="96"/>
              </w:rPr>
              <w:t>Income tax impacts from items above</w:t>
            </w:r>
            <w:r>
              <w:rPr>
                <w:rFonts w:ascii="Arial" w:cs="Arial" w:eastAsia="Arial" w:hAnsi="Arial"/>
                <w:sz w:val="20"/>
                <w:szCs w:val="20"/>
                <w:color w:val="auto"/>
                <w:w w:val="96"/>
                <w:vertAlign w:val="superscript"/>
              </w:rPr>
              <w:t>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2"/>
                <w:szCs w:val="12"/>
                <w:color w:val="auto"/>
              </w:rPr>
              <w:t>Non-GAAP Measurement</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747</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590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0.76</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0.76</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20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6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200" w:type="dxa"/>
            <w:vAlign w:val="bottom"/>
          </w:tcPr>
          <w:p>
            <w:pPr>
              <w:ind w:left="160"/>
              <w:spacing w:after="0"/>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407</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353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0.46</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0.45</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-1014730</wp:posOffset>
            </wp:positionV>
            <wp:extent cx="3424555" cy="92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4555" cy="92710"/>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-812800</wp:posOffset>
            </wp:positionV>
            <wp:extent cx="3424555" cy="109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4555" cy="109220"/>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-593725</wp:posOffset>
            </wp:positionV>
            <wp:extent cx="3424555" cy="11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4555" cy="11747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-349885</wp:posOffset>
            </wp:positionV>
            <wp:extent cx="3424555" cy="100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4555" cy="100965"/>
                    </a:xfrm>
                    <a:prstGeom prst="rect">
                      <a:avLst/>
                    </a:prstGeom>
                    <a:noFill/>
                  </pic:spPr>
                </pic:pic>
              </a:graphicData>
            </a:graphic>
          </wp:anchor>
        </w:drawing>
      </w:r>
    </w:p>
    <w:p>
      <w:pPr>
        <w:spacing w:after="0" w:line="90"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0"/>
          <w:szCs w:val="10"/>
          <w:color w:val="auto"/>
        </w:rPr>
      </w:pPr>
      <w:r>
        <w:rPr>
          <w:rFonts w:ascii="Arial" w:cs="Arial" w:eastAsia="Arial" w:hAnsi="Arial"/>
          <w:sz w:val="12"/>
          <w:szCs w:val="12"/>
          <w:color w:val="auto"/>
        </w:rPr>
        <w:t>Reflects expenses related to share-based compensation.</w:t>
      </w:r>
    </w:p>
    <w:p>
      <w:pPr>
        <w:spacing w:after="0" w:line="18"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0"/>
          <w:szCs w:val="10"/>
          <w:color w:val="auto"/>
        </w:rPr>
      </w:pPr>
      <w:r>
        <w:rPr>
          <w:rFonts w:ascii="Arial" w:cs="Arial" w:eastAsia="Arial" w:hAnsi="Arial"/>
          <w:sz w:val="12"/>
          <w:szCs w:val="12"/>
          <w:color w:val="auto"/>
        </w:rPr>
        <w:t>Reflects amortization of intangible assets from purchase price accounting.</w:t>
      </w:r>
    </w:p>
    <w:p>
      <w:pPr>
        <w:spacing w:after="0" w:line="8"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0"/>
          <w:szCs w:val="10"/>
          <w:color w:val="auto"/>
        </w:rPr>
      </w:pPr>
      <w:r>
        <w:rPr>
          <w:rFonts w:ascii="Arial" w:cs="Arial" w:eastAsia="Arial" w:hAnsi="Arial"/>
          <w:sz w:val="12"/>
          <w:szCs w:val="12"/>
          <w:color w:val="auto"/>
        </w:rPr>
        <w:t>Reflects restructuring initiatives, primarily severance and other restructuring-related costs.</w:t>
      </w:r>
    </w:p>
    <w:p>
      <w:pPr>
        <w:spacing w:after="0" w:line="8" w:lineRule="exact"/>
        <w:rPr>
          <w:sz w:val="20"/>
          <w:szCs w:val="20"/>
          <w:color w:val="auto"/>
        </w:rPr>
      </w:pPr>
    </w:p>
    <w:p>
      <w:pPr>
        <w:ind w:left="320" w:hanging="314"/>
        <w:spacing w:after="0"/>
        <w:tabs>
          <w:tab w:leader="none" w:pos="320" w:val="left"/>
        </w:tabs>
        <w:numPr>
          <w:ilvl w:val="0"/>
          <w:numId w:val="32"/>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online-enabled products, including the effects of taxes.</w:t>
      </w:r>
    </w:p>
    <w:p>
      <w:pPr>
        <w:spacing w:after="0" w:line="8" w:lineRule="exact"/>
        <w:rPr>
          <w:sz w:val="20"/>
          <w:szCs w:val="20"/>
          <w:color w:val="auto"/>
        </w:rPr>
      </w:pPr>
    </w:p>
    <w:p>
      <w:pPr>
        <w:ind w:left="320" w:right="120" w:hanging="314"/>
        <w:spacing w:after="0" w:line="244" w:lineRule="auto"/>
        <w:tabs>
          <w:tab w:leader="none" w:pos="320" w:val="left"/>
        </w:tabs>
        <w:numPr>
          <w:ilvl w:val="0"/>
          <w:numId w:val="33"/>
        </w:numPr>
        <w:rPr>
          <w:rFonts w:ascii="Arial" w:cs="Arial" w:eastAsia="Arial" w:hAnsi="Arial"/>
          <w:sz w:val="10"/>
          <w:szCs w:val="10"/>
          <w:color w:val="auto"/>
        </w:rPr>
      </w:pPr>
      <w:r>
        <w:rPr>
          <w:rFonts w:ascii="Arial" w:cs="Arial" w:eastAsia="Arial" w:hAnsi="Arial"/>
          <w:sz w:val="12"/>
          <w:szCs w:val="12"/>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409575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2"/>
        </w:trPr>
        <w:tc>
          <w:tcPr>
            <w:tcW w:w="4740" w:type="dxa"/>
            <w:vAlign w:val="bottom"/>
            <w:gridSpan w:val="7"/>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2"/>
        </w:trPr>
        <w:tc>
          <w:tcPr>
            <w:tcW w:w="5940" w:type="dxa"/>
            <w:vAlign w:val="bottom"/>
            <w:gridSpan w:val="10"/>
          </w:tcPr>
          <w:p>
            <w:pPr>
              <w:spacing w:after="0"/>
              <w:rPr>
                <w:sz w:val="20"/>
                <w:szCs w:val="20"/>
                <w:color w:val="auto"/>
              </w:rPr>
            </w:pPr>
            <w:r>
              <w:rPr>
                <w:rFonts w:ascii="Arial" w:cs="Arial" w:eastAsia="Arial" w:hAnsi="Arial"/>
                <w:sz w:val="18"/>
                <w:szCs w:val="18"/>
                <w:b w:val="1"/>
                <w:bCs w:val="1"/>
                <w:color w:val="auto"/>
                <w:w w:val="98"/>
              </w:rPr>
              <w:t>RECONCILIATION OF GAAP NET INCOME TO NON-GAAP MEASURES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gridSpan w:val="5"/>
          </w:tcPr>
          <w:p>
            <w:pPr>
              <w:spacing w:after="0"/>
              <w:rPr>
                <w:sz w:val="20"/>
                <w:szCs w:val="20"/>
                <w:color w:val="auto"/>
              </w:rPr>
            </w:pPr>
            <w:r>
              <w:rPr>
                <w:rFonts w:ascii="Arial" w:cs="Arial" w:eastAsia="Arial" w:hAnsi="Arial"/>
                <w:sz w:val="18"/>
                <w:szCs w:val="18"/>
                <w:b w:val="1"/>
                <w:bCs w:val="1"/>
                <w:color w:val="auto"/>
                <w:w w:val="99"/>
              </w:rPr>
              <w:t>(Amounts in millions, except per share data)</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118"/>
              <w:spacing w:after="0"/>
              <w:rPr>
                <w:sz w:val="20"/>
                <w:szCs w:val="20"/>
                <w:color w:val="auto"/>
              </w:rPr>
            </w:pPr>
            <w:r>
              <w:rPr>
                <w:rFonts w:ascii="Arial" w:cs="Arial" w:eastAsia="Arial" w:hAnsi="Arial"/>
                <w:sz w:val="12"/>
                <w:szCs w:val="12"/>
                <w:b w:val="1"/>
                <w:bCs w:val="1"/>
                <w:color w:val="auto"/>
                <w:w w:val="91"/>
              </w:rPr>
              <w:t>Cost of</w:t>
            </w:r>
          </w:p>
        </w:tc>
        <w:tc>
          <w:tcPr>
            <w:tcW w:w="100" w:type="dxa"/>
            <w:vAlign w:val="bottom"/>
          </w:tcPr>
          <w:p>
            <w:pPr>
              <w:spacing w:after="0"/>
              <w:rPr>
                <w:sz w:val="24"/>
                <w:szCs w:val="24"/>
                <w:color w:val="auto"/>
              </w:rPr>
            </w:pPr>
          </w:p>
        </w:tc>
        <w:tc>
          <w:tcPr>
            <w:tcW w:w="960" w:type="dxa"/>
            <w:vAlign w:val="bottom"/>
          </w:tcPr>
          <w:p>
            <w:pPr>
              <w:jc w:val="center"/>
              <w:ind w:right="78"/>
              <w:spacing w:after="0"/>
              <w:rPr>
                <w:sz w:val="20"/>
                <w:szCs w:val="20"/>
                <w:color w:val="auto"/>
              </w:rPr>
            </w:pPr>
            <w:r>
              <w:rPr>
                <w:rFonts w:ascii="Arial" w:cs="Arial" w:eastAsia="Arial" w:hAnsi="Arial"/>
                <w:sz w:val="12"/>
                <w:szCs w:val="12"/>
                <w:b w:val="1"/>
                <w:bCs w:val="1"/>
                <w:color w:val="auto"/>
                <w:w w:val="91"/>
              </w:rPr>
              <w:t>Cost of</w:t>
            </w:r>
          </w:p>
        </w:tc>
        <w:tc>
          <w:tcPr>
            <w:tcW w:w="140" w:type="dxa"/>
            <w:vAlign w:val="bottom"/>
          </w:tcPr>
          <w:p>
            <w:pPr>
              <w:spacing w:after="0"/>
              <w:rPr>
                <w:sz w:val="24"/>
                <w:szCs w:val="24"/>
                <w:color w:val="auto"/>
              </w:rPr>
            </w:pPr>
          </w:p>
        </w:tc>
        <w:tc>
          <w:tcPr>
            <w:tcW w:w="960" w:type="dxa"/>
            <w:vAlign w:val="bottom"/>
          </w:tcPr>
          <w:p>
            <w:pPr>
              <w:jc w:val="center"/>
              <w:ind w:right="98"/>
              <w:spacing w:after="0"/>
              <w:rPr>
                <w:sz w:val="20"/>
                <w:szCs w:val="20"/>
                <w:color w:val="auto"/>
              </w:rPr>
            </w:pPr>
            <w:r>
              <w:rPr>
                <w:rFonts w:ascii="Arial" w:cs="Arial" w:eastAsia="Arial" w:hAnsi="Arial"/>
                <w:sz w:val="12"/>
                <w:szCs w:val="12"/>
                <w:b w:val="1"/>
                <w:bCs w:val="1"/>
                <w:color w:val="auto"/>
                <w:w w:val="86"/>
              </w:rPr>
              <w:t>Cost of</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118"/>
              <w:spacing w:after="0" w:line="133" w:lineRule="exact"/>
              <w:rPr>
                <w:sz w:val="20"/>
                <w:szCs w:val="20"/>
                <w:color w:val="auto"/>
              </w:rPr>
            </w:pPr>
            <w:r>
              <w:rPr>
                <w:rFonts w:ascii="Arial" w:cs="Arial" w:eastAsia="Arial" w:hAnsi="Arial"/>
                <w:sz w:val="12"/>
                <w:szCs w:val="12"/>
                <w:b w:val="1"/>
                <w:bCs w:val="1"/>
                <w:color w:val="auto"/>
                <w:w w:val="90"/>
              </w:rPr>
              <w:t>Revenues—</w:t>
            </w:r>
          </w:p>
        </w:tc>
        <w:tc>
          <w:tcPr>
            <w:tcW w:w="10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3"/>
              </w:rPr>
              <w:t>Revenues—In-</w:t>
            </w:r>
          </w:p>
        </w:tc>
        <w:tc>
          <w:tcPr>
            <w:tcW w:w="14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5"/>
              </w:rPr>
              <w:t>Revenues—In-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1"/>
              </w:rPr>
              <w:t>Cost of</w:t>
            </w:r>
          </w:p>
        </w:tc>
        <w:tc>
          <w:tcPr>
            <w:tcW w:w="9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0"/>
              </w:rPr>
              <w:t>Product Sales:</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game/Subs/Other: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game/Subs/Other: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2"/>
                <w:szCs w:val="12"/>
                <w:b w:val="1"/>
                <w:bCs w:val="1"/>
                <w:color w:val="auto"/>
                <w:w w:val="90"/>
              </w:rPr>
              <w:t>Revenues—</w:t>
            </w:r>
          </w:p>
        </w:tc>
        <w:tc>
          <w:tcPr>
            <w:tcW w:w="120" w:type="dxa"/>
            <w:vAlign w:val="bottom"/>
          </w:tcPr>
          <w:p>
            <w:pPr>
              <w:spacing w:after="0"/>
              <w:rPr>
                <w:sz w:val="11"/>
                <w:szCs w:val="11"/>
                <w:color w:val="auto"/>
              </w:rPr>
            </w:pPr>
          </w:p>
        </w:tc>
        <w:tc>
          <w:tcPr>
            <w:tcW w:w="840" w:type="dxa"/>
            <w:vAlign w:val="bottom"/>
          </w:tcPr>
          <w:p>
            <w:pPr>
              <w:jc w:val="center"/>
              <w:ind w:right="118"/>
              <w:spacing w:after="0" w:line="133" w:lineRule="exact"/>
              <w:rPr>
                <w:sz w:val="20"/>
                <w:szCs w:val="20"/>
                <w:color w:val="auto"/>
              </w:rPr>
            </w:pPr>
            <w:r>
              <w:rPr>
                <w:rFonts w:ascii="Arial" w:cs="Arial" w:eastAsia="Arial" w:hAnsi="Arial"/>
                <w:sz w:val="12"/>
                <w:szCs w:val="12"/>
                <w:b w:val="1"/>
                <w:bCs w:val="1"/>
                <w:color w:val="auto"/>
                <w:w w:val="90"/>
              </w:rPr>
              <w:t>Software</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Game Operations</w:t>
            </w:r>
          </w:p>
        </w:tc>
        <w:tc>
          <w:tcPr>
            <w:tcW w:w="14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4"/>
              </w:rPr>
              <w:t>Software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Restructuring</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20" w:type="dxa"/>
            <w:vAlign w:val="bottom"/>
            <w:vMerge w:val="restart"/>
          </w:tcPr>
          <w:p>
            <w:pPr>
              <w:spacing w:after="0"/>
              <w:rPr>
                <w:sz w:val="20"/>
                <w:szCs w:val="20"/>
                <w:color w:val="auto"/>
              </w:rPr>
            </w:pPr>
            <w:r>
              <w:rPr>
                <w:rFonts w:ascii="Arial" w:cs="Arial" w:eastAsia="Arial" w:hAnsi="Arial"/>
                <w:sz w:val="12"/>
                <w:szCs w:val="12"/>
                <w:b w:val="1"/>
                <w:bCs w:val="1"/>
                <w:color w:val="auto"/>
              </w:rPr>
              <w:t>Year Ended December 31, 2020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Product Sales:</w:t>
            </w:r>
          </w:p>
        </w:tc>
        <w:tc>
          <w:tcPr>
            <w:tcW w:w="9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5"/>
              </w:rPr>
              <w:t>and Distribution</w:t>
            </w:r>
          </w:p>
        </w:tc>
        <w:tc>
          <w:tcPr>
            <w:tcW w:w="14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2"/>
                <w:szCs w:val="12"/>
                <w:b w:val="1"/>
                <w:bCs w:val="1"/>
                <w:color w:val="auto"/>
                <w:w w:val="92"/>
              </w:rPr>
              <w:t>Royalties and</w:t>
            </w:r>
          </w:p>
        </w:tc>
        <w:tc>
          <w:tcPr>
            <w:tcW w:w="140" w:type="dxa"/>
            <w:vAlign w:val="bottom"/>
          </w:tcPr>
          <w:p>
            <w:pPr>
              <w:spacing w:after="0"/>
              <w:rPr>
                <w:sz w:val="11"/>
                <w:szCs w:val="11"/>
                <w:color w:val="auto"/>
              </w:rPr>
            </w:pP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b w:val="1"/>
                <w:bCs w:val="1"/>
                <w:color w:val="auto"/>
                <w:w w:val="96"/>
              </w:rPr>
              <w:t>Product</w:t>
            </w:r>
          </w:p>
        </w:tc>
        <w:tc>
          <w:tcPr>
            <w:tcW w:w="740" w:type="dxa"/>
            <w:vAlign w:val="bottom"/>
            <w:gridSpan w:val="2"/>
          </w:tcPr>
          <w:p>
            <w:pPr>
              <w:jc w:val="right"/>
              <w:ind w:right="78"/>
              <w:spacing w:after="0" w:line="133" w:lineRule="exact"/>
              <w:rPr>
                <w:sz w:val="20"/>
                <w:szCs w:val="20"/>
                <w:color w:val="auto"/>
              </w:rPr>
            </w:pPr>
            <w:r>
              <w:rPr>
                <w:rFonts w:ascii="Arial" w:cs="Arial" w:eastAsia="Arial" w:hAnsi="Arial"/>
                <w:sz w:val="12"/>
                <w:szCs w:val="12"/>
                <w:b w:val="1"/>
                <w:bCs w:val="1"/>
                <w:color w:val="auto"/>
              </w:rPr>
              <w:t>Sales and</w:t>
            </w:r>
          </w:p>
        </w:tc>
        <w:tc>
          <w:tcPr>
            <w:tcW w:w="120" w:type="dxa"/>
            <w:vAlign w:val="bottom"/>
          </w:tcPr>
          <w:p>
            <w:pPr>
              <w:spacing w:after="0"/>
              <w:rPr>
                <w:sz w:val="11"/>
                <w:szCs w:val="11"/>
                <w:color w:val="auto"/>
              </w:rPr>
            </w:pPr>
          </w:p>
        </w:tc>
        <w:tc>
          <w:tcPr>
            <w:tcW w:w="82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2"/>
              </w:rPr>
              <w:t>General and</w:t>
            </w:r>
          </w:p>
        </w:tc>
        <w:tc>
          <w:tcPr>
            <w:tcW w:w="120" w:type="dxa"/>
            <w:vAlign w:val="bottom"/>
          </w:tcPr>
          <w:p>
            <w:pPr>
              <w:spacing w:after="0"/>
              <w:rPr>
                <w:sz w:val="11"/>
                <w:szCs w:val="11"/>
                <w:color w:val="auto"/>
              </w:rPr>
            </w:pP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b w:val="1"/>
                <w:bCs w:val="1"/>
                <w:color w:val="auto"/>
                <w:w w:val="90"/>
              </w:rPr>
              <w:t>and related</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Total Costs and</w:t>
            </w:r>
          </w:p>
        </w:tc>
        <w:tc>
          <w:tcPr>
            <w:tcW w:w="0" w:type="dxa"/>
            <w:vAlign w:val="bottom"/>
          </w:tcPr>
          <w:p>
            <w:pPr>
              <w:spacing w:after="0"/>
              <w:rPr>
                <w:sz w:val="1"/>
                <w:szCs w:val="1"/>
                <w:color w:val="auto"/>
              </w:rPr>
            </w:pPr>
          </w:p>
        </w:tc>
      </w:tr>
      <w:tr>
        <w:trPr>
          <w:trHeight w:val="151"/>
        </w:trPr>
        <w:tc>
          <w:tcPr>
            <w:tcW w:w="21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5"/>
              </w:rPr>
              <w:t>Net Revenues</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7"/>
              </w:rPr>
              <w:t>Product Costs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89"/>
              </w:rPr>
              <w:t>Costs</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98"/>
              </w:rPr>
              <w:t>Amortization</w:t>
            </w: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Development</w:t>
            </w:r>
          </w:p>
        </w:tc>
        <w:tc>
          <w:tcPr>
            <w:tcW w:w="7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2"/>
                <w:szCs w:val="12"/>
                <w:b w:val="1"/>
                <w:bCs w:val="1"/>
                <w:color w:val="auto"/>
              </w:rPr>
              <w:t>Marketing</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Administrative</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costs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w w:val="92"/>
              </w:rPr>
              <w:t>Expenses</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8,086</w:t>
            </w:r>
          </w:p>
        </w:tc>
        <w:tc>
          <w:tcPr>
            <w:tcW w:w="120" w:type="dxa"/>
            <w:vAlign w:val="bottom"/>
            <w:shd w:val="clear" w:color="auto" w:fill="CCEEFF"/>
          </w:tcPr>
          <w:p>
            <w:pPr>
              <w:ind w:left="40"/>
              <w:spacing w:after="0" w:line="126" w:lineRule="exact"/>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705</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269</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1,131</w:t>
            </w:r>
          </w:p>
        </w:tc>
        <w:tc>
          <w:tcPr>
            <w:tcW w:w="140" w:type="dxa"/>
            <w:vAlign w:val="bottom"/>
            <w:shd w:val="clear" w:color="auto" w:fill="CCEEFF"/>
          </w:tcPr>
          <w:p>
            <w:pPr>
              <w:ind w:left="60"/>
              <w:spacing w:after="0" w:line="126"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155</w:t>
            </w:r>
          </w:p>
        </w:tc>
        <w:tc>
          <w:tcPr>
            <w:tcW w:w="140" w:type="dxa"/>
            <w:vAlign w:val="bottom"/>
            <w:shd w:val="clear" w:color="auto" w:fill="CCEEFF"/>
          </w:tcPr>
          <w:p>
            <w:pPr>
              <w:ind w:left="40"/>
              <w:spacing w:after="0" w:line="12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1,150</w:t>
            </w:r>
          </w:p>
        </w:tc>
        <w:tc>
          <w:tcPr>
            <w:tcW w:w="240" w:type="dxa"/>
            <w:vAlign w:val="bottom"/>
            <w:shd w:val="clear" w:color="auto" w:fill="CCEEFF"/>
          </w:tcPr>
          <w:p>
            <w:pPr>
              <w:jc w:val="right"/>
              <w:ind w:right="78"/>
              <w:spacing w:after="0" w:line="12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1,064</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784</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94</w:t>
            </w:r>
          </w:p>
        </w:tc>
        <w:tc>
          <w:tcPr>
            <w:tcW w:w="160" w:type="dxa"/>
            <w:vAlign w:val="bottom"/>
            <w:shd w:val="clear" w:color="auto" w:fill="CCEEFF"/>
          </w:tcPr>
          <w:p>
            <w:pPr>
              <w:ind w:left="60"/>
              <w:spacing w:after="0" w:line="126"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5"/>
              <w:spacing w:after="0" w:line="126" w:lineRule="exact"/>
              <w:rPr>
                <w:sz w:val="20"/>
                <w:szCs w:val="20"/>
                <w:color w:val="auto"/>
              </w:rPr>
            </w:pPr>
            <w:r>
              <w:rPr>
                <w:rFonts w:ascii="Arial" w:cs="Arial" w:eastAsia="Arial" w:hAnsi="Arial"/>
                <w:sz w:val="12"/>
                <w:szCs w:val="12"/>
                <w:color w:val="auto"/>
              </w:rPr>
              <w:t>5,352</w:t>
            </w:r>
          </w:p>
        </w:tc>
        <w:tc>
          <w:tcPr>
            <w:tcW w:w="0" w:type="dxa"/>
            <w:vAlign w:val="bottom"/>
          </w:tcPr>
          <w:p>
            <w:pPr>
              <w:spacing w:after="0"/>
              <w:rPr>
                <w:sz w:val="1"/>
                <w:szCs w:val="1"/>
                <w:color w:val="auto"/>
              </w:rPr>
            </w:pPr>
          </w:p>
        </w:tc>
      </w:tr>
      <w:tr>
        <w:trPr>
          <w:trHeight w:val="172"/>
        </w:trPr>
        <w:tc>
          <w:tcPr>
            <w:tcW w:w="2120" w:type="dxa"/>
            <w:vAlign w:val="bottom"/>
          </w:tcPr>
          <w:p>
            <w:pPr>
              <w:ind w:left="16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4"/>
                <w:szCs w:val="14"/>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72"/>
        </w:trPr>
        <w:tc>
          <w:tcPr>
            <w:tcW w:w="2120" w:type="dxa"/>
            <w:vAlign w:val="bottom"/>
            <w:shd w:val="clear" w:color="auto" w:fill="CCEEFF"/>
          </w:tcPr>
          <w:p>
            <w:pPr>
              <w:ind w:left="16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86"/>
        </w:trPr>
        <w:tc>
          <w:tcPr>
            <w:tcW w:w="2120" w:type="dxa"/>
            <w:vAlign w:val="bottom"/>
            <w:tcBorders>
              <w:bottom w:val="single" w:sz="8" w:color="CCEEFF"/>
            </w:tcBorders>
          </w:tcPr>
          <w:p>
            <w:pPr>
              <w:ind w:left="160"/>
              <w:spacing w:after="0" w:line="185"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20"/>
                <w:szCs w:val="20"/>
                <w:color w:val="auto"/>
                <w:vertAlign w:val="superscript"/>
              </w:rPr>
              <w:t>3</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65"/>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Non-GAAP Measurement</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8,086</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255</w:t>
            </w: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87</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1,108</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1,043</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633</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2"/>
                <w:szCs w:val="12"/>
                <w:color w:val="auto"/>
              </w:rPr>
              <w:t>4,961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6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20" w:type="dxa"/>
            <w:vAlign w:val="bottom"/>
            <w:shd w:val="clear" w:color="auto" w:fill="CCEEFF"/>
          </w:tcPr>
          <w:p>
            <w:pPr>
              <w:ind w:left="160"/>
              <w:spacing w:after="0" w:line="180" w:lineRule="exact"/>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260"/>
        </w:trPr>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78"/>
              <w:spacing w:after="0"/>
              <w:rPr>
                <w:sz w:val="20"/>
                <w:szCs w:val="20"/>
                <w:color w:val="auto"/>
              </w:rPr>
            </w:pPr>
            <w:r>
              <w:rPr>
                <w:rFonts w:ascii="Arial" w:cs="Arial" w:eastAsia="Arial" w:hAnsi="Arial"/>
                <w:sz w:val="12"/>
                <w:szCs w:val="12"/>
                <w:b w:val="1"/>
                <w:bCs w:val="1"/>
                <w:color w:val="auto"/>
                <w:w w:val="95"/>
              </w:rPr>
              <w:t>Operating</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Basic Earnings</w:t>
            </w: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Diluted Earnings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Income</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92"/>
              </w:rPr>
              <w:t>Net Income</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93"/>
              </w:rPr>
              <w:t>per Share</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3"/>
              </w:rPr>
              <w:t>per Share</w:t>
            </w:r>
          </w:p>
        </w:tc>
        <w:tc>
          <w:tcPr>
            <w:tcW w:w="14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GAAP Measurement</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2,734</w:t>
            </w:r>
          </w:p>
        </w:tc>
        <w:tc>
          <w:tcPr>
            <w:tcW w:w="120" w:type="dxa"/>
            <w:vAlign w:val="bottom"/>
            <w:shd w:val="clear" w:color="auto" w:fill="CCEEFF"/>
          </w:tcPr>
          <w:p>
            <w:pPr>
              <w:ind w:left="40"/>
              <w:spacing w:after="0" w:line="126" w:lineRule="exact"/>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8"/>
              <w:spacing w:after="0" w:line="126" w:lineRule="exact"/>
              <w:rPr>
                <w:sz w:val="20"/>
                <w:szCs w:val="20"/>
                <w:color w:val="auto"/>
              </w:rPr>
            </w:pPr>
            <w:r>
              <w:rPr>
                <w:rFonts w:ascii="Arial" w:cs="Arial" w:eastAsia="Arial" w:hAnsi="Arial"/>
                <w:sz w:val="12"/>
                <w:szCs w:val="12"/>
                <w:color w:val="auto"/>
              </w:rPr>
              <w:t>2,197</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line="126" w:lineRule="exact"/>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2.82</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60"/>
              <w:spacing w:after="0" w:line="173" w:lineRule="exact"/>
              <w:rPr>
                <w:sz w:val="20"/>
                <w:szCs w:val="20"/>
                <w:color w:val="auto"/>
              </w:rPr>
            </w:pPr>
            <w:r>
              <w:rPr>
                <w:rFonts w:ascii="Arial" w:cs="Arial" w:eastAsia="Arial" w:hAnsi="Arial"/>
                <w:sz w:val="12"/>
                <w:szCs w:val="12"/>
                <w:color w:val="auto"/>
              </w:rPr>
              <w:t>Share-based compensation</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218</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218</w:t>
            </w:r>
          </w:p>
        </w:tc>
        <w:tc>
          <w:tcPr>
            <w:tcW w:w="12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0.28</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20" w:type="dxa"/>
            <w:vAlign w:val="bottom"/>
            <w:shd w:val="clear" w:color="auto" w:fill="CCEEFF"/>
          </w:tcPr>
          <w:p>
            <w:pPr>
              <w:ind w:left="160"/>
              <w:spacing w:after="0" w:line="173"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60"/>
              <w:spacing w:after="0" w:line="173"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0.12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0.12</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20" w:type="dxa"/>
            <w:vAlign w:val="bottom"/>
            <w:shd w:val="clear" w:color="auto" w:fill="CCEEFF"/>
          </w:tcPr>
          <w:p>
            <w:pPr>
              <w:ind w:left="160"/>
              <w:spacing w:after="0" w:line="173" w:lineRule="exact"/>
              <w:rPr>
                <w:sz w:val="20"/>
                <w:szCs w:val="20"/>
                <w:color w:val="auto"/>
              </w:rPr>
            </w:pPr>
            <w:r>
              <w:rPr>
                <w:rFonts w:ascii="Arial" w:cs="Arial" w:eastAsia="Arial" w:hAnsi="Arial"/>
                <w:sz w:val="12"/>
                <w:szCs w:val="12"/>
                <w:color w:val="auto"/>
              </w:rPr>
              <w:t>Loss on extinguishment of debt</w:t>
            </w:r>
            <w:r>
              <w:rPr>
                <w:rFonts w:ascii="Arial" w:cs="Arial" w:eastAsia="Arial" w:hAnsi="Arial"/>
                <w:sz w:val="19"/>
                <w:szCs w:val="19"/>
                <w:color w:val="auto"/>
                <w:vertAlign w:val="superscript"/>
              </w:rPr>
              <w:t>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20" w:type="dxa"/>
            <w:vAlign w:val="bottom"/>
            <w:tcBorders>
              <w:bottom w:val="single" w:sz="8" w:color="CCEEFF"/>
            </w:tcBorders>
          </w:tcPr>
          <w:p>
            <w:pPr>
              <w:ind w:left="160"/>
              <w:spacing w:after="0" w:line="185" w:lineRule="exact"/>
              <w:rPr>
                <w:sz w:val="20"/>
                <w:szCs w:val="20"/>
                <w:color w:val="auto"/>
              </w:rPr>
            </w:pPr>
            <w:r>
              <w:rPr>
                <w:rFonts w:ascii="Arial" w:cs="Arial" w:eastAsia="Arial" w:hAnsi="Arial"/>
                <w:sz w:val="12"/>
                <w:szCs w:val="12"/>
                <w:color w:val="auto"/>
                <w:w w:val="94"/>
              </w:rPr>
              <w:t>Income tax impacts from items above</w:t>
            </w:r>
            <w:r>
              <w:rPr>
                <w:rFonts w:ascii="Arial" w:cs="Arial" w:eastAsia="Arial" w:hAnsi="Arial"/>
                <w:sz w:val="20"/>
                <w:szCs w:val="20"/>
                <w:color w:val="auto"/>
                <w:w w:val="94"/>
                <w:vertAlign w:val="superscript"/>
              </w:rPr>
              <w:t>6</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Non-GAAP Measurement</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3,125</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2,496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3.24</w:t>
            </w: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60"/>
              <w:spacing w:after="0" w:line="126" w:lineRule="exact"/>
              <w:rPr>
                <w:sz w:val="20"/>
                <w:szCs w:val="20"/>
                <w:color w:val="auto"/>
              </w:rPr>
            </w:pPr>
            <w:r>
              <w:rPr>
                <w:rFonts w:ascii="Arial" w:cs="Arial" w:eastAsia="Arial" w:hAnsi="Arial"/>
                <w:sz w:val="12"/>
                <w:szCs w:val="12"/>
                <w:color w:val="auto"/>
              </w:rPr>
              <w:t>Net effect of deferred revenues and</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20" w:type="dxa"/>
            <w:vAlign w:val="bottom"/>
            <w:shd w:val="clear" w:color="auto" w:fill="CCEEFF"/>
          </w:tcPr>
          <w:p>
            <w:pPr>
              <w:ind w:left="160"/>
              <w:spacing w:after="0" w:line="180" w:lineRule="exact"/>
              <w:rPr>
                <w:sz w:val="20"/>
                <w:szCs w:val="20"/>
                <w:color w:val="auto"/>
              </w:rPr>
            </w:pPr>
            <w:r>
              <w:rPr>
                <w:rFonts w:ascii="Arial" w:cs="Arial" w:eastAsia="Arial" w:hAnsi="Arial"/>
                <w:sz w:val="12"/>
                <w:szCs w:val="12"/>
                <w:color w:val="auto"/>
              </w:rPr>
              <w:t>related cost of revenues</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205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0.26</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-1068070</wp:posOffset>
            </wp:positionV>
            <wp:extent cx="3458210" cy="92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8210" cy="9271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-866140</wp:posOffset>
            </wp:positionV>
            <wp:extent cx="3458210" cy="10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58210" cy="10922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-647065</wp:posOffset>
            </wp:positionV>
            <wp:extent cx="3458210" cy="109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58210" cy="10922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-420370</wp:posOffset>
            </wp:positionV>
            <wp:extent cx="3458210" cy="12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58210" cy="12636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-193040</wp:posOffset>
            </wp:positionV>
            <wp:extent cx="3458210" cy="193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58210" cy="193675"/>
                    </a:xfrm>
                    <a:prstGeom prst="rect">
                      <a:avLst/>
                    </a:prstGeom>
                    <a:noFill/>
                  </pic:spPr>
                </pic:pic>
              </a:graphicData>
            </a:graphic>
          </wp:anchor>
        </w:drawing>
      </w:r>
    </w:p>
    <w:p>
      <w:pPr>
        <w:spacing w:after="0" w:line="178"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0"/>
          <w:szCs w:val="10"/>
          <w:color w:val="auto"/>
        </w:rPr>
      </w:pPr>
      <w:r>
        <w:rPr>
          <w:rFonts w:ascii="Arial" w:cs="Arial" w:eastAsia="Arial" w:hAnsi="Arial"/>
          <w:sz w:val="12"/>
          <w:szCs w:val="12"/>
          <w:color w:val="auto"/>
        </w:rPr>
        <w:t>Reflects expenses related to share-based compensation.</w:t>
      </w:r>
    </w:p>
    <w:p>
      <w:pPr>
        <w:spacing w:after="0" w:line="18"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0"/>
          <w:szCs w:val="10"/>
          <w:color w:val="auto"/>
        </w:rPr>
      </w:pPr>
      <w:r>
        <w:rPr>
          <w:rFonts w:ascii="Arial" w:cs="Arial" w:eastAsia="Arial" w:hAnsi="Arial"/>
          <w:sz w:val="12"/>
          <w:szCs w:val="12"/>
          <w:color w:val="auto"/>
        </w:rPr>
        <w:t>Reflects amortization of intangible assets from purchase price accounting.</w:t>
      </w:r>
    </w:p>
    <w:p>
      <w:pPr>
        <w:spacing w:after="0" w:line="8"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0"/>
          <w:szCs w:val="10"/>
          <w:color w:val="auto"/>
        </w:rPr>
      </w:pPr>
      <w:r>
        <w:rPr>
          <w:rFonts w:ascii="Arial" w:cs="Arial" w:eastAsia="Arial" w:hAnsi="Arial"/>
          <w:sz w:val="12"/>
          <w:szCs w:val="12"/>
          <w:color w:val="auto"/>
        </w:rPr>
        <w:t>Reflects restructuring initiatives, primarily severance and other restructuring-related costs.</w:t>
      </w:r>
    </w:p>
    <w:p>
      <w:pPr>
        <w:spacing w:after="0" w:line="8"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online-enabled products, including the effects of taxes.</w:t>
      </w:r>
    </w:p>
    <w:p>
      <w:pPr>
        <w:spacing w:after="0" w:line="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5</w:t>
      </w:r>
      <w:r>
        <w:rPr>
          <w:rFonts w:ascii="Arial" w:cs="Arial" w:eastAsia="Arial" w:hAnsi="Arial"/>
          <w:sz w:val="11"/>
          <w:szCs w:val="11"/>
          <w:color w:val="auto"/>
        </w:rPr>
        <w:t>Reflects the loss on extinguishment of debt from financing activities.</w:t>
      </w:r>
    </w:p>
    <w:p>
      <w:pPr>
        <w:spacing w:after="0" w:line="19" w:lineRule="exact"/>
        <w:rPr>
          <w:rFonts w:ascii="Arial" w:cs="Arial" w:eastAsia="Arial" w:hAnsi="Arial"/>
          <w:sz w:val="10"/>
          <w:szCs w:val="10"/>
          <w:color w:val="auto"/>
        </w:rPr>
      </w:pPr>
    </w:p>
    <w:p>
      <w:pPr>
        <w:ind w:left="320" w:right="120" w:hanging="318"/>
        <w:spacing w:after="0" w:line="244" w:lineRule="auto"/>
        <w:rPr>
          <w:rFonts w:ascii="Arial" w:cs="Arial" w:eastAsia="Arial" w:hAnsi="Arial"/>
          <w:sz w:val="10"/>
          <w:szCs w:val="10"/>
          <w:color w:val="auto"/>
        </w:rPr>
      </w:pPr>
      <w:r>
        <w:rPr>
          <w:rFonts w:ascii="Arial" w:cs="Arial" w:eastAsia="Arial" w:hAnsi="Arial"/>
          <w:sz w:val="10"/>
          <w:szCs w:val="10"/>
          <w:color w:val="auto"/>
        </w:rPr>
        <w:t>6</w:t>
      </w:r>
      <w:r>
        <w:rPr>
          <w:rFonts w:ascii="Arial" w:cs="Arial" w:eastAsia="Arial" w:hAnsi="Arial"/>
          <w:sz w:val="12"/>
          <w:szCs w:val="12"/>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409575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4260" w:type="dxa"/>
            <w:vAlign w:val="bottom"/>
            <w:gridSpan w:val="5"/>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2"/>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OPERATING SEGMENTS INFORMATION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(Amounts in millions)</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 Increase / (Decrease)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Activision</w:t>
            </w:r>
          </w:p>
        </w:tc>
        <w:tc>
          <w:tcPr>
            <w:tcW w:w="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King</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9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Activision</w:t>
            </w: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203"/>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King</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Net Revenues</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2,228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3"/>
              <w:spacing w:after="0"/>
              <w:rPr>
                <w:sz w:val="20"/>
                <w:szCs w:val="20"/>
                <w:color w:val="auto"/>
              </w:rPr>
            </w:pPr>
            <w:r>
              <w:rPr>
                <w:rFonts w:ascii="Arial" w:cs="Arial" w:eastAsia="Arial" w:hAnsi="Arial"/>
                <w:sz w:val="18"/>
                <w:szCs w:val="18"/>
                <w:color w:val="auto"/>
              </w:rPr>
              <w:t>(143)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65"/>
        </w:trPr>
        <w:tc>
          <w:tcPr>
            <w:tcW w:w="3280" w:type="dxa"/>
            <w:vAlign w:val="bottom"/>
            <w:gridSpan w:val="2"/>
            <w:shd w:val="clear" w:color="auto" w:fill="CCEEFF"/>
          </w:tcPr>
          <w:p>
            <w:pPr>
              <w:ind w:left="160"/>
              <w:spacing w:after="0" w:line="265" w:lineRule="exact"/>
              <w:rPr>
                <w:sz w:val="20"/>
                <w:szCs w:val="20"/>
                <w:color w:val="auto"/>
              </w:rPr>
            </w:pPr>
            <w:r>
              <w:rPr>
                <w:rFonts w:ascii="Arial" w:cs="Arial" w:eastAsia="Arial" w:hAnsi="Arial"/>
                <w:sz w:val="18"/>
                <w:szCs w:val="18"/>
                <w:color w:val="auto"/>
              </w:rPr>
              <w:t>Intersegment net revenues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160"/>
              <w:spacing w:after="0"/>
              <w:rPr>
                <w:sz w:val="20"/>
                <w:szCs w:val="20"/>
                <w:color w:val="auto"/>
              </w:rPr>
            </w:pPr>
            <w:r>
              <w:rPr>
                <w:rFonts w:ascii="Arial" w:cs="Arial" w:eastAsia="Arial" w:hAnsi="Arial"/>
                <w:sz w:val="18"/>
                <w:szCs w:val="18"/>
                <w:color w:val="auto"/>
              </w:rPr>
              <w:t>Segment net revenues</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58"/>
        </w:trPr>
        <w:tc>
          <w:tcPr>
            <w:tcW w:w="3280" w:type="dxa"/>
            <w:vAlign w:val="bottom"/>
            <w:gridSpan w:val="2"/>
            <w:vMerge w:val="continue"/>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2,260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vMerge w:val="continue"/>
          </w:tcPr>
          <w:p>
            <w:pPr>
              <w:spacing w:after="0"/>
              <w:rPr>
                <w:sz w:val="22"/>
                <w:szCs w:val="22"/>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3"/>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Activision</w:t>
            </w:r>
          </w:p>
        </w:tc>
        <w:tc>
          <w:tcPr>
            <w:tcW w:w="6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King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Net Revenues</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2,764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280" w:type="dxa"/>
            <w:vAlign w:val="bottom"/>
            <w:gridSpan w:val="2"/>
            <w:shd w:val="clear" w:color="auto" w:fill="CCEEFF"/>
          </w:tcPr>
          <w:p>
            <w:pPr>
              <w:ind w:left="160"/>
              <w:spacing w:after="0" w:line="265" w:lineRule="exact"/>
              <w:rPr>
                <w:sz w:val="20"/>
                <w:szCs w:val="20"/>
                <w:color w:val="auto"/>
              </w:rPr>
            </w:pPr>
            <w:r>
              <w:rPr>
                <w:rFonts w:ascii="Arial" w:cs="Arial" w:eastAsia="Arial" w:hAnsi="Arial"/>
                <w:sz w:val="18"/>
                <w:szCs w:val="18"/>
                <w:color w:val="auto"/>
              </w:rPr>
              <w:t>Intersegment net revenues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160"/>
              <w:spacing w:after="0"/>
              <w:rPr>
                <w:sz w:val="20"/>
                <w:szCs w:val="20"/>
                <w:color w:val="auto"/>
              </w:rPr>
            </w:pPr>
            <w:r>
              <w:rPr>
                <w:rFonts w:ascii="Arial" w:cs="Arial" w:eastAsia="Arial" w:hAnsi="Arial"/>
                <w:sz w:val="18"/>
                <w:szCs w:val="18"/>
                <w:color w:val="auto"/>
              </w:rPr>
              <w:t>Segment net revenues</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80" w:type="dxa"/>
            <w:vAlign w:val="bottom"/>
            <w:gridSpan w:val="2"/>
            <w:vMerge w:val="continue"/>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2,813</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1,182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 Increase / (Decrease)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Activision</w:t>
            </w:r>
          </w:p>
        </w:tc>
        <w:tc>
          <w:tcPr>
            <w:tcW w:w="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King</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9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Activision</w:t>
            </w: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203"/>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King</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Net Revenues</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3,478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7,791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3"/>
              <w:spacing w:after="0"/>
              <w:rPr>
                <w:sz w:val="20"/>
                <w:szCs w:val="20"/>
                <w:color w:val="auto"/>
              </w:rPr>
            </w:pPr>
            <w:r>
              <w:rPr>
                <w:rFonts w:ascii="Arial" w:cs="Arial" w:eastAsia="Arial" w:hAnsi="Arial"/>
                <w:sz w:val="18"/>
                <w:szCs w:val="18"/>
                <w:color w:val="auto"/>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5"/>
        </w:trPr>
        <w:tc>
          <w:tcPr>
            <w:tcW w:w="3280" w:type="dxa"/>
            <w:vAlign w:val="bottom"/>
            <w:gridSpan w:val="2"/>
            <w:shd w:val="clear" w:color="auto" w:fill="CCEEFF"/>
          </w:tcPr>
          <w:p>
            <w:pPr>
              <w:ind w:left="160"/>
              <w:spacing w:after="0" w:line="265" w:lineRule="exact"/>
              <w:rPr>
                <w:sz w:val="20"/>
                <w:szCs w:val="20"/>
                <w:color w:val="auto"/>
              </w:rPr>
            </w:pPr>
            <w:r>
              <w:rPr>
                <w:rFonts w:ascii="Arial" w:cs="Arial" w:eastAsia="Arial" w:hAnsi="Arial"/>
                <w:sz w:val="18"/>
                <w:szCs w:val="18"/>
                <w:color w:val="auto"/>
              </w:rPr>
              <w:t>Intersegment net revenues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160"/>
              <w:spacing w:after="0"/>
              <w:rPr>
                <w:sz w:val="20"/>
                <w:szCs w:val="20"/>
                <w:color w:val="auto"/>
              </w:rPr>
            </w:pPr>
            <w:r>
              <w:rPr>
                <w:rFonts w:ascii="Arial" w:cs="Arial" w:eastAsia="Arial" w:hAnsi="Arial"/>
                <w:sz w:val="18"/>
                <w:szCs w:val="18"/>
                <w:color w:val="auto"/>
              </w:rPr>
              <w:t>Segment net revenues</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3"/>
              <w:spacing w:after="0"/>
              <w:rPr>
                <w:sz w:val="20"/>
                <w:szCs w:val="20"/>
                <w:color w:val="auto"/>
              </w:rPr>
            </w:pPr>
            <w:r>
              <w:rPr>
                <w:rFonts w:ascii="Arial" w:cs="Arial" w:eastAsia="Arial" w:hAnsi="Arial"/>
                <w:sz w:val="15"/>
                <w:szCs w:val="15"/>
                <w:color w:val="auto"/>
                <w:w w:val="79"/>
              </w:rPr>
              <w: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58"/>
        </w:trPr>
        <w:tc>
          <w:tcPr>
            <w:tcW w:w="3280" w:type="dxa"/>
            <w:vAlign w:val="bottom"/>
            <w:gridSpan w:val="2"/>
            <w:vMerge w:val="continue"/>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3,478</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7,885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vMerge w:val="continue"/>
          </w:tcPr>
          <w:p>
            <w:pPr>
              <w:spacing w:after="0"/>
              <w:rPr>
                <w:sz w:val="22"/>
                <w:szCs w:val="22"/>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3"/>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Activision</w:t>
            </w:r>
          </w:p>
        </w:tc>
        <w:tc>
          <w:tcPr>
            <w:tcW w:w="6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Blizzard</w:t>
            </w:r>
          </w:p>
        </w:tc>
        <w:tc>
          <w:tcPr>
            <w:tcW w:w="16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King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Net Revenues</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3,942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280" w:type="dxa"/>
            <w:vAlign w:val="bottom"/>
            <w:gridSpan w:val="2"/>
            <w:shd w:val="clear" w:color="auto" w:fill="CCEEFF"/>
          </w:tcPr>
          <w:p>
            <w:pPr>
              <w:ind w:left="160"/>
              <w:spacing w:after="0" w:line="265" w:lineRule="exact"/>
              <w:rPr>
                <w:sz w:val="20"/>
                <w:szCs w:val="20"/>
                <w:color w:val="auto"/>
              </w:rPr>
            </w:pPr>
            <w:r>
              <w:rPr>
                <w:rFonts w:ascii="Arial" w:cs="Arial" w:eastAsia="Arial" w:hAnsi="Arial"/>
                <w:sz w:val="18"/>
                <w:szCs w:val="18"/>
                <w:color w:val="auto"/>
              </w:rPr>
              <w:t>Intersegment net revenues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160"/>
              <w:spacing w:after="0"/>
              <w:rPr>
                <w:sz w:val="20"/>
                <w:szCs w:val="20"/>
                <w:color w:val="auto"/>
              </w:rPr>
            </w:pPr>
            <w:r>
              <w:rPr>
                <w:rFonts w:ascii="Arial" w:cs="Arial" w:eastAsia="Arial" w:hAnsi="Arial"/>
                <w:sz w:val="18"/>
                <w:szCs w:val="18"/>
                <w:color w:val="auto"/>
              </w:rPr>
              <w:t>Segment net revenues</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280" w:type="dxa"/>
            <w:vAlign w:val="bottom"/>
            <w:gridSpan w:val="2"/>
            <w:vMerge w:val="continue"/>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3,942</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8,011</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3,418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-4351655</wp:posOffset>
            </wp:positionV>
            <wp:extent cx="249047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0470" cy="14287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-4074160</wp:posOffset>
            </wp:positionV>
            <wp:extent cx="2490470"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0470" cy="16827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-3745865</wp:posOffset>
            </wp:positionV>
            <wp:extent cx="2490470" cy="15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0470" cy="15113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-3460115</wp:posOffset>
            </wp:positionV>
            <wp:extent cx="2490470" cy="269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0470" cy="26924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-1171575</wp:posOffset>
            </wp:positionV>
            <wp:extent cx="249047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0470" cy="14287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-894080</wp:posOffset>
            </wp:positionV>
            <wp:extent cx="2490470" cy="168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0470" cy="16827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-565785</wp:posOffset>
            </wp:positionV>
            <wp:extent cx="2490470"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0470" cy="15113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-279400</wp:posOffset>
            </wp:positionV>
            <wp:extent cx="249047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0470" cy="134620"/>
                    </a:xfrm>
                    <a:prstGeom prst="rect">
                      <a:avLst/>
                    </a:prstGeom>
                    <a:noFill/>
                  </pic:spPr>
                </pic:pic>
              </a:graphicData>
            </a:graphic>
          </wp:anchor>
        </w:drawing>
      </w:r>
    </w:p>
    <w:p>
      <w:pPr>
        <w:spacing w:after="0" w:line="156"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2"/>
          <w:szCs w:val="12"/>
          <w:color w:val="auto"/>
        </w:rPr>
      </w:pPr>
      <w:r>
        <w:rPr>
          <w:rFonts w:ascii="Arial" w:cs="Arial" w:eastAsia="Arial" w:hAnsi="Arial"/>
          <w:sz w:val="14"/>
          <w:szCs w:val="14"/>
          <w:color w:val="auto"/>
        </w:rPr>
        <w:t>Intersegment revenues reflect licensing and service fees charged between segments.</w:t>
      </w:r>
    </w:p>
    <w:p>
      <w:pPr>
        <w:spacing w:after="0" w:line="78"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 xml:space="preserve">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accounting for under ASC 718); amortization of intangible assets as a result of purchase price accounting; fees and other expenses (including legal fees, costs, expenses and accruals) related to acquisitions, associated integration activities, and financings; certain restructuring and related costs; and other non-cash charges. </w:t>
      </w:r>
      <w:r>
        <w:rPr>
          <w:rFonts w:ascii="Arial" w:cs="Arial" w:eastAsia="Arial" w:hAnsi="Arial"/>
          <w:sz w:val="13"/>
          <w:szCs w:val="13"/>
          <w:b w:val="1"/>
          <w:bCs w:val="1"/>
          <w:color w:val="auto"/>
        </w:rPr>
        <w:t>See the following page</w:t>
      </w:r>
      <w:r>
        <w:rPr>
          <w:rFonts w:ascii="Arial" w:cs="Arial" w:eastAsia="Arial" w:hAnsi="Arial"/>
          <w:sz w:val="13"/>
          <w:szCs w:val="13"/>
          <w:color w:val="auto"/>
        </w:rPr>
        <w:t xml:space="preserve"> </w:t>
      </w:r>
      <w:r>
        <w:rPr>
          <w:rFonts w:ascii="Arial" w:cs="Arial" w:eastAsia="Arial" w:hAnsi="Arial"/>
          <w:sz w:val="13"/>
          <w:szCs w:val="13"/>
          <w:b w:val="1"/>
          <w:bCs w:val="1"/>
          <w:color w:val="auto"/>
        </w:rPr>
        <w:t>for the reconciliation tables of segment revenues and operating income to consolidated net revenues and consolidated income before income tax expense.</w:t>
      </w:r>
    </w:p>
    <w:p>
      <w:pPr>
        <w:spacing w:after="0" w:line="42"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 Company has been reviewing its overall compensation structure and philosophy and began implementing changes to its compensation payments for 2021, primarily to enhance equity ownership for employees and bring our employee equity compensation more in line with current industry practice. As an aspect of this change, the Company determined to settle amounts not yet paid as of December 31, 2021 under its annual performance plans in stock as opposed to cash and further to provide such incentives at no less than target performance without regard to whether target performance was achieved, resulting in a year-end share-based compensation liability of $194 million. The changes in Q4 2021 resulted in $160 million of expense related to achievement against 2021 performance targets that would have otherwise been included in our segment operating income to instead be excluded from our 2021 segment operating income as it is now part of share-based compensation, accounted for as a liability under ASC 718. The changes increased our Activision, Blizzard, King and non-reportable segment operating income by $43 million, $25 million, $65 million, and $27 million, respectively, for the three months and year ended December 31, 2021. In addition, going forward, to the extent certain of our previously cash-based bonus programs are instead issued as time-based equity or settled via equity, such amounts will be recorded as share-based compensation and will be excluded from segment operating income.</w:t>
      </w:r>
    </w:p>
    <w:p>
      <w:pPr>
        <w:spacing w:after="0" w:line="89" w:lineRule="exact"/>
        <w:rPr>
          <w:sz w:val="20"/>
          <w:szCs w:val="20"/>
          <w:color w:val="auto"/>
        </w:rPr>
      </w:pPr>
    </w:p>
    <w:p>
      <w:pPr>
        <w:ind w:right="540"/>
        <w:spacing w:after="0" w:line="245" w:lineRule="auto"/>
        <w:rPr>
          <w:sz w:val="20"/>
          <w:szCs w:val="20"/>
          <w:color w:val="auto"/>
        </w:rPr>
      </w:pPr>
      <w:r>
        <w:rPr>
          <w:rFonts w:ascii="Arial" w:cs="Arial" w:eastAsia="Arial" w:hAnsi="Arial"/>
          <w:sz w:val="14"/>
          <w:szCs w:val="14"/>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257175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2" w:name="page23"/>
    <w:bookmarkEnd w:id="22"/>
    <w:p>
      <w:pPr>
        <w:ind w:right="260"/>
        <w:spacing w:after="0" w:line="258" w:lineRule="auto"/>
        <w:rPr>
          <w:sz w:val="20"/>
          <w:szCs w:val="20"/>
          <w:color w:val="auto"/>
        </w:rPr>
      </w:pPr>
      <w:r>
        <w:rPr>
          <w:rFonts w:ascii="Arial" w:cs="Arial" w:eastAsia="Arial" w:hAnsi="Arial"/>
          <w:sz w:val="18"/>
          <w:szCs w:val="18"/>
          <w:b w:val="1"/>
          <w:bCs w:val="1"/>
          <w:color w:val="auto"/>
        </w:rPr>
        <w:t>ACTIVISION BLIZZARD, INC. AND SUBSIDIARIES OPERATING SEGMENTS INFORMATION (Amounts 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consolidated net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Segment net revenues</w:t>
      </w:r>
    </w:p>
    <w:p>
      <w:pPr>
        <w:spacing w:after="0" w:line="186" w:lineRule="auto"/>
        <w:rPr>
          <w:sz w:val="20"/>
          <w:szCs w:val="20"/>
          <w:color w:val="auto"/>
        </w:rPr>
      </w:pPr>
      <w:r>
        <w:rPr>
          <w:rFonts w:ascii="Arial" w:cs="Arial" w:eastAsia="Arial" w:hAnsi="Arial"/>
          <w:sz w:val="18"/>
          <w:szCs w:val="18"/>
          <w:color w:val="auto"/>
        </w:rPr>
        <w:t>Revenues from non-reportable segments</w:t>
      </w:r>
      <w:r>
        <w:rPr>
          <w:rFonts w:ascii="Arial" w:cs="Arial" w:eastAsia="Arial" w:hAnsi="Arial"/>
          <w:sz w:val="29"/>
          <w:szCs w:val="29"/>
          <w:color w:val="auto"/>
          <w:vertAlign w:val="superscript"/>
        </w:rPr>
        <w:t>1</w:t>
      </w:r>
    </w:p>
    <w:p>
      <w:pPr>
        <w:spacing w:after="0" w:line="202" w:lineRule="auto"/>
        <w:rPr>
          <w:sz w:val="20"/>
          <w:szCs w:val="20"/>
          <w:color w:val="auto"/>
        </w:rPr>
      </w:pPr>
      <w:r>
        <w:rPr>
          <w:rFonts w:ascii="Arial" w:cs="Arial" w:eastAsia="Arial" w:hAnsi="Arial"/>
          <w:sz w:val="16"/>
          <w:szCs w:val="16"/>
          <w:color w:val="auto"/>
        </w:rPr>
        <w:t>Net effect from recognition (deferral) of deferred net revenues</w:t>
      </w:r>
      <w:r>
        <w:rPr>
          <w:rFonts w:ascii="Arial" w:cs="Arial" w:eastAsia="Arial" w:hAnsi="Arial"/>
          <w:sz w:val="26"/>
          <w:szCs w:val="26"/>
          <w:color w:val="auto"/>
          <w:vertAlign w:val="superscript"/>
        </w:rPr>
        <w:t>2</w:t>
      </w:r>
    </w:p>
    <w:p>
      <w:pPr>
        <w:spacing w:after="0" w:line="191" w:lineRule="auto"/>
        <w:rPr>
          <w:sz w:val="20"/>
          <w:szCs w:val="20"/>
          <w:color w:val="auto"/>
        </w:rPr>
      </w:pPr>
      <w:r>
        <w:rPr>
          <w:rFonts w:ascii="Arial" w:cs="Arial" w:eastAsia="Arial" w:hAnsi="Arial"/>
          <w:sz w:val="18"/>
          <w:szCs w:val="18"/>
          <w:color w:val="auto"/>
        </w:rPr>
        <w:t>Elimination of intersegment revenues</w:t>
      </w:r>
      <w:r>
        <w:rPr>
          <w:rFonts w:ascii="Arial" w:cs="Arial" w:eastAsia="Arial" w:hAnsi="Arial"/>
          <w:sz w:val="29"/>
          <w:szCs w:val="29"/>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w:t>
            </w:r>
          </w:p>
        </w:tc>
      </w:tr>
      <w:tr>
        <w:trPr>
          <w:trHeight w:val="862"/>
        </w:trPr>
        <w:tc>
          <w:tcPr>
            <w:tcW w:w="31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Three Months Ended December 31,</w:t>
            </w:r>
          </w:p>
        </w:tc>
        <w:tc>
          <w:tcPr>
            <w:tcW w:w="260" w:type="dxa"/>
            <w:vAlign w:val="bottom"/>
          </w:tcPr>
          <w:p>
            <w:pPr>
              <w:spacing w:after="0"/>
              <w:rPr>
                <w:sz w:val="24"/>
                <w:szCs w:val="24"/>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9"/>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6"/>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2,260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2,813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7,885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8,011</w:t>
            </w:r>
          </w:p>
        </w:tc>
      </w:tr>
      <w:tr>
        <w:trPr>
          <w:trHeight w:val="252"/>
        </w:trPr>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26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r>
      <w:tr>
        <w:trPr>
          <w:trHeight w:val="252"/>
        </w:trPr>
        <w:tc>
          <w:tcPr>
            <w:tcW w:w="2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(333)</w:t>
            </w:r>
          </w:p>
        </w:tc>
      </w:tr>
      <w:tr>
        <w:trPr>
          <w:trHeight w:val="266"/>
        </w:trPr>
        <w:tc>
          <w:tcPr>
            <w:tcW w:w="28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3"/>
                <w:szCs w:val="23"/>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2,163</w:t>
            </w:r>
          </w:p>
        </w:tc>
        <w:tc>
          <w:tcPr>
            <w:tcW w:w="34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2,413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8,803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8,086</w:t>
            </w:r>
          </w:p>
        </w:tc>
        <w:tc>
          <w:tcPr>
            <w:tcW w:w="80" w:type="dxa"/>
            <w:vAlign w:val="bottom"/>
          </w:tcPr>
          <w:p>
            <w:pPr>
              <w:spacing w:after="0"/>
              <w:rPr>
                <w:sz w:val="19"/>
                <w:szCs w:val="19"/>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-941705</wp:posOffset>
            </wp:positionV>
            <wp:extent cx="713486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-664210</wp:posOffset>
            </wp:positionV>
            <wp:extent cx="7134860" cy="160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-344170</wp:posOffset>
            </wp:positionV>
            <wp:extent cx="71348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80" w:space="700"/>
            <w:col w:w="6060"/>
          </w:cols>
          <w:pgMar w:left="320" w:top="890"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5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8"/>
                <w:szCs w:val="18"/>
                <w:b w:val="1"/>
                <w:bCs w:val="1"/>
                <w:color w:val="auto"/>
                <w:w w:val="90"/>
              </w:rPr>
              <w:t>Reconciliation to consolidated income before income tax expense:</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1,164</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3,505</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180" w:type="dxa"/>
            <w:vAlign w:val="bottom"/>
          </w:tcPr>
          <w:p>
            <w:pPr>
              <w:spacing w:after="0" w:line="252" w:lineRule="exact"/>
              <w:rPr>
                <w:sz w:val="20"/>
                <w:szCs w:val="20"/>
                <w:color w:val="auto"/>
              </w:rPr>
            </w:pPr>
            <w:r>
              <w:rPr>
                <w:rFonts w:ascii="Arial" w:cs="Arial" w:eastAsia="Arial" w:hAnsi="Arial"/>
                <w:sz w:val="18"/>
                <w:szCs w:val="18"/>
                <w:color w:val="auto"/>
              </w:rPr>
              <w:t>Operating income (loss) from non-reportable segments</w:t>
            </w:r>
            <w:r>
              <w:rPr>
                <w:rFonts w:ascii="Arial" w:cs="Arial" w:eastAsia="Arial" w:hAnsi="Arial"/>
                <w:sz w:val="29"/>
                <w:szCs w:val="29"/>
                <w:color w:val="auto"/>
                <w:vertAlign w:val="superscript"/>
              </w:rPr>
              <w:t>1</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effect from recognition (deferral) of deferred net revenues and</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180" w:type="dxa"/>
            <w:vAlign w:val="bottom"/>
            <w:shd w:val="clear" w:color="auto" w:fill="CCEEFF"/>
          </w:tcPr>
          <w:p>
            <w:pPr>
              <w:ind w:left="160"/>
              <w:spacing w:after="0" w:line="262" w:lineRule="exact"/>
              <w:rPr>
                <w:sz w:val="20"/>
                <w:szCs w:val="20"/>
                <w:color w:val="auto"/>
              </w:rPr>
            </w:pPr>
            <w:r>
              <w:rPr>
                <w:rFonts w:ascii="Arial" w:cs="Arial" w:eastAsia="Arial" w:hAnsi="Arial"/>
                <w:sz w:val="18"/>
                <w:szCs w:val="18"/>
                <w:color w:val="auto"/>
              </w:rPr>
              <w:t>related cost of revenues</w:t>
            </w:r>
            <w:r>
              <w:rPr>
                <w:rFonts w:ascii="Arial" w:cs="Arial" w:eastAsia="Arial" w:hAnsi="Arial"/>
                <w:sz w:val="29"/>
                <w:szCs w:val="29"/>
                <w:color w:val="auto"/>
                <w:vertAlign w:val="superscript"/>
              </w:rPr>
              <w:t>2</w:t>
            </w:r>
          </w:p>
        </w:tc>
        <w:tc>
          <w:tcPr>
            <w:tcW w:w="4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4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46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2"/>
        </w:trPr>
        <w:tc>
          <w:tcPr>
            <w:tcW w:w="5180" w:type="dxa"/>
            <w:vAlign w:val="bottom"/>
          </w:tcPr>
          <w:p>
            <w:pPr>
              <w:spacing w:after="0" w:line="252"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9"/>
                <w:szCs w:val="29"/>
                <w:color w:val="auto"/>
                <w:vertAlign w:val="superscript"/>
              </w:rPr>
              <w:t>4</w:t>
            </w:r>
          </w:p>
        </w:tc>
        <w:tc>
          <w:tcPr>
            <w:tcW w:w="4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4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5"/>
        </w:trPr>
        <w:tc>
          <w:tcPr>
            <w:tcW w:w="5180" w:type="dxa"/>
            <w:vAlign w:val="bottom"/>
          </w:tcPr>
          <w:p>
            <w:pPr>
              <w:spacing w:after="0" w:line="265" w:lineRule="exact"/>
              <w:rPr>
                <w:sz w:val="20"/>
                <w:szCs w:val="20"/>
                <w:color w:val="auto"/>
              </w:rPr>
            </w:pPr>
            <w:r>
              <w:rPr>
                <w:rFonts w:ascii="Arial" w:cs="Arial" w:eastAsia="Arial" w:hAnsi="Arial"/>
                <w:sz w:val="18"/>
                <w:szCs w:val="18"/>
                <w:color w:val="auto"/>
              </w:rPr>
              <w:t>Restructuring and related costs</w:t>
            </w:r>
            <w:r>
              <w:rPr>
                <w:rFonts w:ascii="Arial" w:cs="Arial" w:eastAsia="Arial" w:hAnsi="Arial"/>
                <w:sz w:val="29"/>
                <w:szCs w:val="29"/>
                <w:color w:val="auto"/>
                <w:vertAlign w:val="superscript"/>
              </w:rPr>
              <w:t>5</w:t>
            </w:r>
          </w:p>
        </w:tc>
        <w:tc>
          <w:tcPr>
            <w:tcW w:w="48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3"/>
                <w:szCs w:val="2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Consolidated operating income</w:t>
            </w: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682</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594</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3,259</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2,734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Consolidated income before income tax expense (benefit)</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80" w:type="dxa"/>
            <w:vAlign w:val="bottom"/>
            <w:vMerge w:val="continue"/>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8"/>
                <w:szCs w:val="18"/>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563</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3,164</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hanging="314"/>
        <w:spacing w:after="0"/>
        <w:tabs>
          <w:tab w:leader="none" w:pos="320"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Includes other income and expenses outside of our reportable segments, including our distribution business and unallocated corporate income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expenses.</w:t>
      </w:r>
    </w:p>
    <w:p>
      <w:pPr>
        <w:spacing w:after="0" w:line="2" w:lineRule="exact"/>
        <w:rPr>
          <w:sz w:val="20"/>
          <w:szCs w:val="20"/>
          <w:color w:val="auto"/>
        </w:rPr>
      </w:pPr>
    </w:p>
    <w:p>
      <w:pPr>
        <w:ind w:left="320" w:right="420" w:hanging="314"/>
        <w:spacing w:after="0" w:line="188" w:lineRule="auto"/>
        <w:tabs>
          <w:tab w:leader="none" w:pos="3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Reflects the net effect from (deferral) of revenues and recognition of deferred revenues, along with related cost of revenues, on certain of our online-enabled products.</w:t>
      </w:r>
    </w:p>
    <w:p>
      <w:pPr>
        <w:ind w:left="320" w:hanging="314"/>
        <w:spacing w:after="0" w:line="184" w:lineRule="auto"/>
        <w:tabs>
          <w:tab w:leader="none" w:pos="32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Intersegment revenues reflect licensing and service fees charged between segments.</w:t>
      </w:r>
    </w:p>
    <w:p>
      <w:pPr>
        <w:ind w:left="320" w:hanging="314"/>
        <w:spacing w:after="0" w:line="185" w:lineRule="auto"/>
        <w:tabs>
          <w:tab w:leader="none" w:pos="3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Reflects expenses related to share-based compensation, including liability awards accounted for under ASC 718.</w:t>
      </w:r>
    </w:p>
    <w:p>
      <w:pPr>
        <w:ind w:left="320" w:hanging="314"/>
        <w:spacing w:after="0" w:line="184" w:lineRule="auto"/>
        <w:tabs>
          <w:tab w:leader="none" w:pos="32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Reflects restructuring initiatives, primarily severance and other 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2"/>
        </w:trPr>
        <w:tc>
          <w:tcPr>
            <w:tcW w:w="5160" w:type="dxa"/>
            <w:vAlign w:val="bottom"/>
            <w:gridSpan w:val="5"/>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2"/>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NET REVENUES BY DISTRIBUTION CHANNEL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8"/>
                <w:szCs w:val="18"/>
                <w:b w:val="1"/>
                <w:bCs w:val="1"/>
                <w:color w:val="auto"/>
                <w:w w:val="95"/>
              </w:rPr>
              <w:t>Three Months Ended</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5"/>
          </w:tcPr>
          <w:p>
            <w:pPr>
              <w:jc w:val="right"/>
              <w:ind w:right="552"/>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9"/>
                <w:szCs w:val="19"/>
                <w:color w:val="auto"/>
              </w:rPr>
            </w:pPr>
          </w:p>
        </w:tc>
        <w:tc>
          <w:tcPr>
            <w:tcW w:w="2300" w:type="dxa"/>
            <w:vAlign w:val="bottom"/>
            <w:gridSpan w:val="5"/>
          </w:tcPr>
          <w:p>
            <w:pPr>
              <w:jc w:val="right"/>
              <w:ind w:right="572"/>
              <w:spacing w:after="0"/>
              <w:rPr>
                <w:sz w:val="20"/>
                <w:szCs w:val="20"/>
                <w:color w:val="auto"/>
              </w:rPr>
            </w:pPr>
            <w:r>
              <w:rPr>
                <w:rFonts w:ascii="Arial" w:cs="Arial" w:eastAsia="Arial" w:hAnsi="Arial"/>
                <w:sz w:val="18"/>
                <w:szCs w:val="18"/>
                <w:b w:val="1"/>
                <w:bCs w:val="1"/>
                <w:color w:val="auto"/>
                <w:w w:val="99"/>
              </w:rPr>
              <w:t>December 31, 2020</w:t>
            </w:r>
          </w:p>
        </w:tc>
        <w:tc>
          <w:tcPr>
            <w:tcW w:w="1200" w:type="dxa"/>
            <w:vAlign w:val="bottom"/>
            <w:gridSpan w:val="3"/>
          </w:tcPr>
          <w:p>
            <w:pPr>
              <w:jc w:val="right"/>
              <w:ind w:right="243"/>
              <w:spacing w:after="0"/>
              <w:rPr>
                <w:sz w:val="20"/>
                <w:szCs w:val="20"/>
                <w:color w:val="auto"/>
              </w:rPr>
            </w:pPr>
            <w:r>
              <w:rPr>
                <w:rFonts w:ascii="Arial" w:cs="Arial" w:eastAsia="Arial" w:hAnsi="Arial"/>
                <w:sz w:val="18"/>
                <w:szCs w:val="18"/>
                <w:b w:val="1"/>
                <w:bCs w:val="1"/>
                <w:color w:val="auto"/>
                <w:w w:val="97"/>
              </w:rPr>
              <w:t>$ Increase</w:t>
            </w:r>
          </w:p>
        </w:tc>
        <w:tc>
          <w:tcPr>
            <w:tcW w:w="4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w w:val="95"/>
              </w:rPr>
              <w:t>% Increase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w w:val="93"/>
              </w:rPr>
              <w:t>% of Total</w:t>
            </w:r>
            <w:r>
              <w:rPr>
                <w:rFonts w:ascii="Arial" w:cs="Arial" w:eastAsia="Arial" w:hAnsi="Arial"/>
                <w:sz w:val="28"/>
                <w:szCs w:val="28"/>
                <w:b w:val="1"/>
                <w:bCs w:val="1"/>
                <w:color w:val="auto"/>
                <w:w w:val="93"/>
                <w:vertAlign w:val="superscript"/>
              </w:rPr>
              <w:t>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w w:val="93"/>
              </w:rPr>
              <w:t>% of Total</w:t>
            </w:r>
            <w:r>
              <w:rPr>
                <w:rFonts w:ascii="Arial" w:cs="Arial" w:eastAsia="Arial" w:hAnsi="Arial"/>
                <w:sz w:val="28"/>
                <w:szCs w:val="28"/>
                <w:b w:val="1"/>
                <w:bCs w:val="1"/>
                <w:color w:val="auto"/>
                <w:w w:val="93"/>
                <w:vertAlign w:val="superscript"/>
              </w:rPr>
              <w:t>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243"/>
              <w:spacing w:after="0"/>
              <w:rPr>
                <w:sz w:val="20"/>
                <w:szCs w:val="20"/>
                <w:color w:val="auto"/>
              </w:rPr>
            </w:pPr>
            <w:r>
              <w:rPr>
                <w:rFonts w:ascii="Arial" w:cs="Arial" w:eastAsia="Arial" w:hAnsi="Arial"/>
                <w:sz w:val="18"/>
                <w:szCs w:val="18"/>
                <w:b w:val="1"/>
                <w:bCs w:val="1"/>
                <w:color w:val="auto"/>
                <w:w w:val="93"/>
              </w:rPr>
              <w:t>(Decrease)</w:t>
            </w:r>
          </w:p>
        </w:tc>
        <w:tc>
          <w:tcPr>
            <w:tcW w:w="40" w:type="dxa"/>
            <w:vAlign w:val="bottom"/>
          </w:tcPr>
          <w:p>
            <w:pPr>
              <w:spacing w:after="0"/>
              <w:rPr>
                <w:sz w:val="21"/>
                <w:szCs w:val="21"/>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05"/>
        </w:trPr>
        <w:tc>
          <w:tcPr>
            <w:tcW w:w="34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Revenues by Distribution Channel</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160"/>
              <w:spacing w:after="0" w:line="252" w:lineRule="exact"/>
              <w:rPr>
                <w:sz w:val="20"/>
                <w:szCs w:val="20"/>
                <w:color w:val="auto"/>
              </w:rPr>
            </w:pPr>
            <w:r>
              <w:rPr>
                <w:rFonts w:ascii="Arial" w:cs="Arial" w:eastAsia="Arial" w:hAnsi="Arial"/>
                <w:sz w:val="18"/>
                <w:szCs w:val="18"/>
                <w:color w:val="auto"/>
              </w:rPr>
              <w:t>Digital online channels</w:t>
            </w:r>
            <w:r>
              <w:rPr>
                <w:rFonts w:ascii="Arial" w:cs="Arial" w:eastAsia="Arial" w:hAnsi="Arial"/>
                <w:sz w:val="29"/>
                <w:szCs w:val="29"/>
                <w:color w:val="auto"/>
                <w:vertAlign w:val="superscript"/>
              </w:rPr>
              <w:t>2</w:t>
            </w:r>
          </w:p>
        </w:tc>
        <w:tc>
          <w:tcPr>
            <w:tcW w:w="6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21"/>
                <w:szCs w:val="21"/>
                <w:color w:val="auto"/>
              </w:rPr>
            </w:pPr>
          </w:p>
        </w:tc>
        <w:tc>
          <w:tcPr>
            <w:tcW w:w="1200" w:type="dxa"/>
            <w:vAlign w:val="bottom"/>
            <w:gridSpan w:val="3"/>
          </w:tcPr>
          <w:p>
            <w:pPr>
              <w:jc w:val="right"/>
              <w:ind w:right="32"/>
              <w:spacing w:after="0"/>
              <w:rPr>
                <w:sz w:val="20"/>
                <w:szCs w:val="20"/>
                <w:color w:val="auto"/>
              </w:rPr>
            </w:pPr>
            <w:r>
              <w:rPr>
                <w:rFonts w:ascii="Arial" w:cs="Arial" w:eastAsia="Arial" w:hAnsi="Arial"/>
                <w:sz w:val="18"/>
                <w:szCs w:val="18"/>
                <w:color w:val="auto"/>
              </w:rPr>
              <w:t>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1,874</w:t>
            </w:r>
          </w:p>
        </w:tc>
        <w:tc>
          <w:tcPr>
            <w:tcW w:w="200" w:type="dxa"/>
            <w:vAlign w:val="bottom"/>
          </w:tcPr>
          <w:p>
            <w:pPr>
              <w:spacing w:after="0"/>
              <w:rPr>
                <w:sz w:val="21"/>
                <w:szCs w:val="21"/>
                <w:color w:val="auto"/>
              </w:rPr>
            </w:pPr>
          </w:p>
        </w:tc>
        <w:tc>
          <w:tcPr>
            <w:tcW w:w="1220" w:type="dxa"/>
            <w:vAlign w:val="bottom"/>
            <w:gridSpan w:val="3"/>
          </w:tcPr>
          <w:p>
            <w:pPr>
              <w:jc w:val="right"/>
              <w:ind w:right="32"/>
              <w:spacing w:after="0"/>
              <w:rPr>
                <w:sz w:val="20"/>
                <w:szCs w:val="20"/>
                <w:color w:val="auto"/>
              </w:rPr>
            </w:pPr>
            <w:r>
              <w:rPr>
                <w:rFonts w:ascii="Arial" w:cs="Arial" w:eastAsia="Arial" w:hAnsi="Arial"/>
                <w:sz w:val="18"/>
                <w:szCs w:val="18"/>
                <w:color w:val="auto"/>
              </w:rPr>
              <w:t>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3"/>
              <w:spacing w:after="0"/>
              <w:rPr>
                <w:sz w:val="20"/>
                <w:szCs w:val="20"/>
                <w:color w:val="auto"/>
              </w:rPr>
            </w:pPr>
            <w:r>
              <w:rPr>
                <w:rFonts w:ascii="Arial" w:cs="Arial" w:eastAsia="Arial" w:hAnsi="Arial"/>
                <w:sz w:val="18"/>
                <w:szCs w:val="18"/>
                <w:color w:val="auto"/>
              </w:rPr>
              <w:t>(94)</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(109)</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5"/>
        </w:trPr>
        <w:tc>
          <w:tcPr>
            <w:tcW w:w="340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83"/>
              <w:spacing w:after="0"/>
              <w:rPr>
                <w:sz w:val="20"/>
                <w:szCs w:val="20"/>
                <w:color w:val="auto"/>
              </w:rPr>
            </w:pPr>
            <w:r>
              <w:rPr>
                <w:rFonts w:ascii="Arial" w:cs="Arial" w:eastAsia="Arial" w:hAnsi="Arial"/>
                <w:sz w:val="18"/>
                <w:szCs w:val="18"/>
                <w:color w:val="auto"/>
              </w:rPr>
              <w:t>(47)</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jc w:val="right"/>
              <w:ind w:right="32"/>
              <w:spacing w:after="0" w:line="159" w:lineRule="exact"/>
              <w:rPr>
                <w:sz w:val="20"/>
                <w:szCs w:val="20"/>
                <w:color w:val="auto"/>
              </w:rPr>
            </w:pPr>
            <w:r>
              <w:rPr>
                <w:rFonts w:ascii="Arial" w:cs="Arial" w:eastAsia="Arial" w:hAnsi="Arial"/>
                <w:sz w:val="18"/>
                <w:szCs w:val="18"/>
                <w:color w:val="auto"/>
                <w:w w:val="74"/>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vMerge w:val="restart"/>
            <w:shd w:val="clear" w:color="auto" w:fill="CCEEFF"/>
          </w:tcPr>
          <w:p>
            <w:pPr>
              <w:jc w:val="right"/>
              <w:ind w:right="32"/>
              <w:spacing w:after="0" w:line="159" w:lineRule="exact"/>
              <w:rPr>
                <w:sz w:val="20"/>
                <w:szCs w:val="20"/>
                <w:color w:val="auto"/>
              </w:rPr>
            </w:pPr>
            <w:r>
              <w:rPr>
                <w:rFonts w:ascii="Arial" w:cs="Arial" w:eastAsia="Arial" w:hAnsi="Arial"/>
                <w:sz w:val="18"/>
                <w:szCs w:val="18"/>
                <w:color w:val="auto"/>
                <w:w w:val="87"/>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jc w:val="right"/>
              <w:ind w:right="83"/>
              <w:spacing w:after="0" w:line="159" w:lineRule="exact"/>
              <w:rPr>
                <w:sz w:val="20"/>
                <w:szCs w:val="20"/>
                <w:color w:val="auto"/>
              </w:rPr>
            </w:pPr>
            <w:r>
              <w:rPr>
                <w:rFonts w:ascii="Arial" w:cs="Arial" w:eastAsia="Arial" w:hAnsi="Arial"/>
                <w:sz w:val="15"/>
                <w:szCs w:val="15"/>
                <w:color w:val="auto"/>
                <w:w w:val="79"/>
              </w:rPr>
              <w:t>)</w:t>
            </w: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400" w:type="dxa"/>
            <w:vAlign w:val="bottom"/>
            <w:vMerge w:val="restart"/>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consolidated net revenues</w:t>
            </w:r>
          </w:p>
        </w:tc>
        <w:tc>
          <w:tcPr>
            <w:tcW w:w="500" w:type="dxa"/>
            <w:vAlign w:val="bottom"/>
            <w:vMerge w:val="restart"/>
            <w:shd w:val="clear" w:color="auto" w:fill="CCEEFF"/>
          </w:tcPr>
          <w:p>
            <w:pPr>
              <w:spacing w:after="0"/>
              <w:rPr>
                <w:sz w:val="12"/>
                <w:szCs w:val="12"/>
                <w:color w:val="auto"/>
              </w:rPr>
            </w:pPr>
          </w:p>
        </w:tc>
        <w:tc>
          <w:tcPr>
            <w:tcW w:w="160" w:type="dxa"/>
            <w:vAlign w:val="bottom"/>
            <w:tcBorders>
              <w:left w:val="single" w:sz="8" w:color="CCEEFF"/>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vMerge w:val="restart"/>
            <w:shd w:val="clear" w:color="auto" w:fill="CCEEFF"/>
          </w:tcPr>
          <w:p>
            <w:pPr>
              <w:jc w:val="right"/>
              <w:spacing w:after="0" w:line="205" w:lineRule="exact"/>
              <w:rPr>
                <w:sz w:val="20"/>
                <w:szCs w:val="20"/>
                <w:color w:val="auto"/>
              </w:rPr>
            </w:pPr>
            <w:r>
              <w:rPr>
                <w:rFonts w:ascii="Arial" w:cs="Arial" w:eastAsia="Arial" w:hAnsi="Arial"/>
                <w:sz w:val="18"/>
                <w:szCs w:val="18"/>
                <w:color w:val="auto"/>
              </w:rPr>
              <w:t>2,163</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80" w:type="dxa"/>
            <w:vAlign w:val="bottom"/>
            <w:tcBorders>
              <w:left w:val="single" w:sz="8" w:color="CCEEFF"/>
            </w:tcBorders>
            <w:vMerge w:val="restart"/>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vMerge w:val="restart"/>
            <w:shd w:val="clear" w:color="auto" w:fill="CCEEFF"/>
          </w:tcPr>
          <w:p>
            <w:pPr>
              <w:jc w:val="right"/>
              <w:spacing w:after="0" w:line="205" w:lineRule="exact"/>
              <w:rPr>
                <w:sz w:val="20"/>
                <w:szCs w:val="20"/>
                <w:color w:val="auto"/>
              </w:rPr>
            </w:pPr>
            <w:r>
              <w:rPr>
                <w:rFonts w:ascii="Arial" w:cs="Arial" w:eastAsia="Arial" w:hAnsi="Arial"/>
                <w:sz w:val="18"/>
                <w:szCs w:val="18"/>
                <w:color w:val="auto"/>
              </w:rPr>
              <w:t>2,413</w:t>
            </w:r>
          </w:p>
        </w:tc>
        <w:tc>
          <w:tcPr>
            <w:tcW w:w="20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tcBorders>
              <w:right w:val="single" w:sz="8" w:color="CCEEFF"/>
            </w:tcBorders>
            <w:gridSpan w:val="2"/>
            <w:vMerge w:val="continue"/>
            <w:shd w:val="clear" w:color="auto" w:fill="CCEEFF"/>
          </w:tcPr>
          <w:p>
            <w:pPr>
              <w:spacing w:after="0"/>
              <w:rPr>
                <w:sz w:val="12"/>
                <w:szCs w:val="12"/>
                <w:color w:val="auto"/>
              </w:rPr>
            </w:pPr>
          </w:p>
        </w:tc>
        <w:tc>
          <w:tcPr>
            <w:tcW w:w="1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spacing w:after="0"/>
              <w:rPr>
                <w:sz w:val="12"/>
                <w:szCs w:val="12"/>
                <w:color w:val="auto"/>
              </w:rPr>
            </w:pPr>
          </w:p>
        </w:tc>
        <w:tc>
          <w:tcPr>
            <w:tcW w:w="220" w:type="dxa"/>
            <w:vAlign w:val="bottom"/>
            <w:tcBorders>
              <w:left w:val="single" w:sz="8" w:color="CCEEFF"/>
            </w:tcBorders>
            <w:vMerge w:val="continue"/>
            <w:shd w:val="clear" w:color="auto" w:fill="CCEEFF"/>
          </w:tcPr>
          <w:p>
            <w:pPr>
              <w:spacing w:after="0"/>
              <w:rPr>
                <w:sz w:val="12"/>
                <w:szCs w:val="12"/>
                <w:color w:val="auto"/>
              </w:rPr>
            </w:pPr>
          </w:p>
        </w:tc>
        <w:tc>
          <w:tcPr>
            <w:tcW w:w="1200" w:type="dxa"/>
            <w:vAlign w:val="bottom"/>
            <w:gridSpan w:val="4"/>
            <w:vMerge w:val="restart"/>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6"/>
        </w:trPr>
        <w:tc>
          <w:tcPr>
            <w:tcW w:w="340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88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000" w:type="dxa"/>
            <w:vAlign w:val="bottom"/>
            <w:gridSpan w:val="2"/>
            <w:shd w:val="clear" w:color="auto" w:fill="CCEEFF"/>
          </w:tcPr>
          <w:p>
            <w:pPr>
              <w:jc w:val="right"/>
              <w:spacing w:after="0" w:line="67" w:lineRule="exact"/>
              <w:rPr>
                <w:sz w:val="20"/>
                <w:szCs w:val="20"/>
                <w:color w:val="auto"/>
              </w:rPr>
            </w:pPr>
            <w:r>
              <w:rPr>
                <w:rFonts w:ascii="Arial" w:cs="Arial" w:eastAsia="Arial" w:hAnsi="Arial"/>
                <w:sz w:val="7"/>
                <w:szCs w:val="7"/>
                <w:color w:val="auto"/>
              </w:rPr>
              <w:t>100</w:t>
            </w:r>
          </w:p>
        </w:tc>
        <w:tc>
          <w:tcPr>
            <w:tcW w:w="200" w:type="dxa"/>
            <w:vAlign w:val="bottom"/>
            <w:shd w:val="clear" w:color="auto" w:fill="CCEEFF"/>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88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000" w:type="dxa"/>
            <w:vAlign w:val="bottom"/>
            <w:gridSpan w:val="2"/>
            <w:shd w:val="clear" w:color="auto" w:fill="CCEEFF"/>
          </w:tcPr>
          <w:p>
            <w:pPr>
              <w:jc w:val="right"/>
              <w:spacing w:after="0" w:line="67" w:lineRule="exact"/>
              <w:rPr>
                <w:sz w:val="20"/>
                <w:szCs w:val="20"/>
                <w:color w:val="auto"/>
              </w:rPr>
            </w:pPr>
            <w:r>
              <w:rPr>
                <w:rFonts w:ascii="Arial" w:cs="Arial" w:eastAsia="Arial" w:hAnsi="Arial"/>
                <w:sz w:val="7"/>
                <w:szCs w:val="7"/>
                <w:color w:val="auto"/>
              </w:rPr>
              <w:t>100</w:t>
            </w:r>
          </w:p>
        </w:tc>
        <w:tc>
          <w:tcPr>
            <w:tcW w:w="22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vMerge w:val="continue"/>
            <w:shd w:val="clear" w:color="auto" w:fill="CCEEFF"/>
          </w:tcPr>
          <w:p>
            <w:pPr>
              <w:spacing w:after="0"/>
              <w:rPr>
                <w:sz w:val="5"/>
                <w:szCs w:val="5"/>
                <w:color w:val="auto"/>
              </w:rPr>
            </w:pPr>
          </w:p>
        </w:tc>
        <w:tc>
          <w:tcPr>
            <w:tcW w:w="840" w:type="dxa"/>
            <w:vAlign w:val="bottom"/>
            <w:shd w:val="clear" w:color="auto" w:fill="CCEEFF"/>
          </w:tcPr>
          <w:p>
            <w:pPr>
              <w:jc w:val="right"/>
              <w:spacing w:after="0" w:line="67" w:lineRule="exact"/>
              <w:rPr>
                <w:sz w:val="20"/>
                <w:szCs w:val="20"/>
                <w:color w:val="auto"/>
              </w:rPr>
            </w:pPr>
            <w:r>
              <w:rPr>
                <w:rFonts w:ascii="Arial" w:cs="Arial" w:eastAsia="Arial" w:hAnsi="Arial"/>
                <w:sz w:val="7"/>
                <w:szCs w:val="7"/>
                <w:color w:val="auto"/>
              </w:rPr>
              <w:t>(250</w:t>
            </w:r>
          </w:p>
        </w:tc>
        <w:tc>
          <w:tcPr>
            <w:tcW w:w="220" w:type="dxa"/>
            <w:vAlign w:val="bottom"/>
            <w:tcBorders>
              <w:left w:val="single" w:sz="8" w:color="CCEEFF"/>
            </w:tcBorders>
            <w:shd w:val="clear" w:color="auto" w:fill="CCEEFF"/>
          </w:tcPr>
          <w:p>
            <w:pPr>
              <w:spacing w:after="0"/>
              <w:rPr>
                <w:sz w:val="5"/>
                <w:szCs w:val="5"/>
                <w:color w:val="auto"/>
              </w:rPr>
            </w:pPr>
          </w:p>
        </w:tc>
        <w:tc>
          <w:tcPr>
            <w:tcW w:w="120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0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4</w:t>
            </w:r>
          </w:p>
        </w:tc>
        <w:tc>
          <w:tcPr>
            <w:tcW w:w="5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160"/>
              <w:spacing w:after="0" w:line="252" w:lineRule="exact"/>
              <w:rPr>
                <w:sz w:val="20"/>
                <w:szCs w:val="20"/>
                <w:color w:val="auto"/>
              </w:rPr>
            </w:pPr>
            <w:r>
              <w:rPr>
                <w:rFonts w:ascii="Arial" w:cs="Arial" w:eastAsia="Arial" w:hAnsi="Arial"/>
                <w:sz w:val="18"/>
                <w:szCs w:val="18"/>
                <w:color w:val="auto"/>
              </w:rPr>
              <w:t>Digital online channels</w:t>
            </w:r>
            <w:r>
              <w:rPr>
                <w:rFonts w:ascii="Arial" w:cs="Arial" w:eastAsia="Arial" w:hAnsi="Arial"/>
                <w:sz w:val="29"/>
                <w:szCs w:val="29"/>
                <w:color w:val="auto"/>
                <w:vertAlign w:val="superscript"/>
              </w:rPr>
              <w:t>2</w:t>
            </w:r>
          </w:p>
        </w:tc>
        <w:tc>
          <w:tcPr>
            <w:tcW w:w="6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400" w:type="dxa"/>
            <w:vAlign w:val="bottom"/>
            <w:tcBorders>
              <w:top w:val="single" w:sz="8" w:color="CCEEFF"/>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changes in deferred revenues</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638</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5"/>
          </w:tcPr>
          <w:p>
            <w:pPr>
              <w:jc w:val="right"/>
              <w:ind w:right="512"/>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9"/>
                <w:szCs w:val="19"/>
                <w:color w:val="auto"/>
              </w:rPr>
            </w:pPr>
          </w:p>
        </w:tc>
        <w:tc>
          <w:tcPr>
            <w:tcW w:w="2300" w:type="dxa"/>
            <w:vAlign w:val="bottom"/>
            <w:gridSpan w:val="5"/>
          </w:tcPr>
          <w:p>
            <w:pPr>
              <w:jc w:val="right"/>
              <w:ind w:right="512"/>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9"/>
                <w:szCs w:val="19"/>
                <w:color w:val="auto"/>
              </w:rPr>
            </w:pPr>
          </w:p>
        </w:tc>
        <w:tc>
          <w:tcPr>
            <w:tcW w:w="1060" w:type="dxa"/>
            <w:vAlign w:val="bottom"/>
            <w:gridSpan w:val="2"/>
          </w:tcPr>
          <w:p>
            <w:pPr>
              <w:jc w:val="right"/>
              <w:ind w:right="203"/>
              <w:spacing w:after="0"/>
              <w:rPr>
                <w:sz w:val="20"/>
                <w:szCs w:val="20"/>
                <w:color w:val="auto"/>
              </w:rPr>
            </w:pPr>
            <w:r>
              <w:rPr>
                <w:rFonts w:ascii="Arial" w:cs="Arial" w:eastAsia="Arial" w:hAnsi="Arial"/>
                <w:sz w:val="18"/>
                <w:szCs w:val="18"/>
                <w:b w:val="1"/>
                <w:bCs w:val="1"/>
                <w:color w:val="auto"/>
                <w:w w:val="86"/>
              </w:rPr>
              <w:t>$ Increase</w:t>
            </w:r>
          </w:p>
        </w:tc>
        <w:tc>
          <w:tcPr>
            <w:tcW w:w="4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 Increase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Borders>
              <w:top w:val="single" w:sz="8" w:color="auto"/>
            </w:tcBorders>
            <w:gridSpan w:val="2"/>
          </w:tcPr>
          <w:p>
            <w:pPr>
              <w:jc w:val="right"/>
              <w:spacing w:after="0" w:line="245"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1000" w:type="dxa"/>
            <w:vAlign w:val="bottom"/>
            <w:tcBorders>
              <w:top w:val="single" w:sz="8" w:color="auto"/>
            </w:tcBorders>
            <w:gridSpan w:val="2"/>
          </w:tcPr>
          <w:p>
            <w:pPr>
              <w:jc w:val="right"/>
              <w:spacing w:after="0" w:line="245"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83"/>
              <w:spacing w:after="0"/>
              <w:rPr>
                <w:sz w:val="20"/>
                <w:szCs w:val="20"/>
                <w:color w:val="auto"/>
              </w:rPr>
            </w:pPr>
            <w:r>
              <w:rPr>
                <w:rFonts w:ascii="Arial" w:cs="Arial" w:eastAsia="Arial" w:hAnsi="Arial"/>
                <w:sz w:val="18"/>
                <w:szCs w:val="18"/>
                <w:b w:val="1"/>
                <w:bCs w:val="1"/>
                <w:color w:val="auto"/>
                <w:w w:val="84"/>
              </w:rPr>
              <w:t>(Decrease)</w:t>
            </w:r>
          </w:p>
        </w:tc>
        <w:tc>
          <w:tcPr>
            <w:tcW w:w="4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05"/>
        </w:trPr>
        <w:tc>
          <w:tcPr>
            <w:tcW w:w="34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Revenues by Distribution Channel</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160"/>
              <w:spacing w:after="0" w:line="252" w:lineRule="exact"/>
              <w:rPr>
                <w:sz w:val="20"/>
                <w:szCs w:val="20"/>
                <w:color w:val="auto"/>
              </w:rPr>
            </w:pPr>
            <w:r>
              <w:rPr>
                <w:rFonts w:ascii="Arial" w:cs="Arial" w:eastAsia="Arial" w:hAnsi="Arial"/>
                <w:sz w:val="18"/>
                <w:szCs w:val="18"/>
                <w:color w:val="auto"/>
              </w:rPr>
              <w:t>Digital online channels</w:t>
            </w:r>
            <w:r>
              <w:rPr>
                <w:rFonts w:ascii="Arial" w:cs="Arial" w:eastAsia="Arial" w:hAnsi="Arial"/>
                <w:sz w:val="29"/>
                <w:szCs w:val="29"/>
                <w:color w:val="auto"/>
                <w:vertAlign w:val="superscript"/>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7,663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6,658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3"/>
              <w:spacing w:after="0"/>
              <w:rPr>
                <w:sz w:val="20"/>
                <w:szCs w:val="20"/>
                <w:color w:val="auto"/>
              </w:rPr>
            </w:pPr>
            <w:r>
              <w:rPr>
                <w:rFonts w:ascii="Arial" w:cs="Arial" w:eastAsia="Arial" w:hAnsi="Arial"/>
                <w:sz w:val="18"/>
                <w:szCs w:val="18"/>
                <w:color w:val="auto"/>
              </w:rPr>
              <w:t>1,005</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2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18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c>
          <w:tcPr>
            <w:tcW w:w="1220" w:type="dxa"/>
            <w:vAlign w:val="bottom"/>
            <w:tcBorders>
              <w:right w:val="single" w:sz="8" w:color="CCEEFF"/>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14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(262)</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5"/>
        </w:trPr>
        <w:tc>
          <w:tcPr>
            <w:tcW w:w="340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1200" w:type="dxa"/>
            <w:vAlign w:val="bottom"/>
            <w:gridSpan w:val="3"/>
          </w:tcPr>
          <w:p>
            <w:pPr>
              <w:jc w:val="right"/>
              <w:ind w:right="11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687</w:t>
            </w:r>
          </w:p>
        </w:tc>
        <w:tc>
          <w:tcPr>
            <w:tcW w:w="1220" w:type="dxa"/>
            <w:vAlign w:val="bottom"/>
            <w:gridSpan w:val="3"/>
          </w:tcPr>
          <w:p>
            <w:pPr>
              <w:jc w:val="right"/>
              <w:ind w:right="13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(26)</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line="172" w:lineRule="exact"/>
              <w:rPr>
                <w:sz w:val="20"/>
                <w:szCs w:val="20"/>
                <w:color w:val="auto"/>
              </w:rPr>
            </w:pPr>
            <w:r>
              <w:rPr>
                <w:rFonts w:ascii="Arial" w:cs="Arial" w:eastAsia="Arial" w:hAnsi="Arial"/>
                <w:sz w:val="18"/>
                <w:szCs w:val="18"/>
                <w:color w:val="auto"/>
                <w:w w:val="74"/>
              </w:rPr>
              <w:t>%</w:t>
            </w: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jc w:val="right"/>
              <w:spacing w:after="0" w:line="172" w:lineRule="exact"/>
              <w:rPr>
                <w:sz w:val="20"/>
                <w:szCs w:val="20"/>
                <w:color w:val="auto"/>
              </w:rPr>
            </w:pPr>
            <w:r>
              <w:rPr>
                <w:rFonts w:ascii="Arial" w:cs="Arial" w:eastAsia="Arial" w:hAnsi="Arial"/>
                <w:sz w:val="18"/>
                <w:szCs w:val="18"/>
                <w:color w:val="auto"/>
                <w:w w:val="74"/>
              </w:rPr>
              <w:t>%</w:t>
            </w: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Total consolidated net revenues</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8,803</w:t>
            </w:r>
          </w:p>
        </w:tc>
        <w:tc>
          <w:tcPr>
            <w:tcW w:w="1000" w:type="dxa"/>
            <w:vAlign w:val="bottom"/>
            <w:gridSpan w:val="2"/>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8,086</w:t>
            </w:r>
          </w:p>
        </w:tc>
        <w:tc>
          <w:tcPr>
            <w:tcW w:w="1000" w:type="dxa"/>
            <w:vAlign w:val="bottom"/>
            <w:gridSpan w:val="2"/>
            <w:shd w:val="clear" w:color="auto" w:fill="CCEEFF"/>
          </w:tcPr>
          <w:p>
            <w:pPr>
              <w:spacing w:after="0"/>
              <w:rPr>
                <w:sz w:val="13"/>
                <w:szCs w:val="13"/>
                <w:color w:val="auto"/>
              </w:rPr>
            </w:pPr>
          </w:p>
        </w:tc>
        <w:tc>
          <w:tcPr>
            <w:tcW w:w="22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83"/>
              <w:spacing w:after="0"/>
              <w:rPr>
                <w:sz w:val="20"/>
                <w:szCs w:val="20"/>
                <w:color w:val="auto"/>
              </w:rPr>
            </w:pPr>
            <w:r>
              <w:rPr>
                <w:rFonts w:ascii="Arial" w:cs="Arial" w:eastAsia="Arial" w:hAnsi="Arial"/>
                <w:sz w:val="18"/>
                <w:szCs w:val="18"/>
                <w:color w:val="auto"/>
              </w:rPr>
              <w:t>717</w:t>
            </w:r>
          </w:p>
        </w:tc>
        <w:tc>
          <w:tcPr>
            <w:tcW w:w="12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6"/>
        </w:trPr>
        <w:tc>
          <w:tcPr>
            <w:tcW w:w="3400" w:type="dxa"/>
            <w:vAlign w:val="bottom"/>
            <w:vMerge w:val="continue"/>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100" w:type="dxa"/>
            <w:vAlign w:val="bottom"/>
            <w:tcBorders>
              <w:right w:val="single" w:sz="8" w:color="CCEEFF"/>
            </w:tcBorders>
            <w:gridSpan w:val="2"/>
            <w:vMerge w:val="continue"/>
            <w:shd w:val="clear" w:color="auto" w:fill="CCEEFF"/>
          </w:tcPr>
          <w:p>
            <w:pPr>
              <w:spacing w:after="0"/>
              <w:rPr>
                <w:sz w:val="5"/>
                <w:szCs w:val="5"/>
                <w:color w:val="auto"/>
              </w:rPr>
            </w:pPr>
          </w:p>
        </w:tc>
        <w:tc>
          <w:tcPr>
            <w:tcW w:w="1200" w:type="dxa"/>
            <w:vAlign w:val="bottom"/>
            <w:gridSpan w:val="3"/>
            <w:shd w:val="clear" w:color="auto" w:fill="CCEEFF"/>
          </w:tcPr>
          <w:p>
            <w:pPr>
              <w:jc w:val="right"/>
              <w:ind w:right="112"/>
              <w:spacing w:after="0" w:line="67" w:lineRule="exact"/>
              <w:rPr>
                <w:sz w:val="20"/>
                <w:szCs w:val="20"/>
                <w:color w:val="auto"/>
              </w:rPr>
            </w:pPr>
            <w:r>
              <w:rPr>
                <w:rFonts w:ascii="Arial" w:cs="Arial" w:eastAsia="Arial" w:hAnsi="Arial"/>
                <w:sz w:val="7"/>
                <w:szCs w:val="7"/>
                <w:color w:val="auto"/>
              </w:rPr>
              <w:t>100</w:t>
            </w: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1080" w:type="dxa"/>
            <w:vAlign w:val="bottom"/>
            <w:tcBorders>
              <w:right w:val="single" w:sz="8" w:color="CCEEFF"/>
            </w:tcBorders>
            <w:gridSpan w:val="2"/>
            <w:vMerge w:val="continue"/>
            <w:shd w:val="clear" w:color="auto" w:fill="CCEEFF"/>
          </w:tcPr>
          <w:p>
            <w:pPr>
              <w:spacing w:after="0"/>
              <w:rPr>
                <w:sz w:val="5"/>
                <w:szCs w:val="5"/>
                <w:color w:val="auto"/>
              </w:rPr>
            </w:pPr>
          </w:p>
        </w:tc>
        <w:tc>
          <w:tcPr>
            <w:tcW w:w="1220" w:type="dxa"/>
            <w:vAlign w:val="bottom"/>
            <w:tcBorders>
              <w:right w:val="single" w:sz="8" w:color="CCEEFF"/>
            </w:tcBorders>
            <w:gridSpan w:val="3"/>
            <w:shd w:val="clear" w:color="auto" w:fill="CCEEFF"/>
          </w:tcPr>
          <w:p>
            <w:pPr>
              <w:jc w:val="right"/>
              <w:ind w:right="132"/>
              <w:spacing w:after="0" w:line="67" w:lineRule="exact"/>
              <w:rPr>
                <w:sz w:val="20"/>
                <w:szCs w:val="20"/>
                <w:color w:val="auto"/>
              </w:rPr>
            </w:pPr>
            <w:r>
              <w:rPr>
                <w:rFonts w:ascii="Arial" w:cs="Arial" w:eastAsia="Arial" w:hAnsi="Arial"/>
                <w:sz w:val="7"/>
                <w:szCs w:val="7"/>
                <w:color w:val="auto"/>
              </w:rPr>
              <w:t>100</w:t>
            </w:r>
          </w:p>
        </w:tc>
        <w:tc>
          <w:tcPr>
            <w:tcW w:w="140" w:type="dxa"/>
            <w:vAlign w:val="bottom"/>
            <w:tcBorders>
              <w:left w:val="single" w:sz="8" w:color="CCEEFF"/>
            </w:tcBorders>
            <w:vMerge w:val="continue"/>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20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0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4</w:t>
            </w:r>
          </w:p>
        </w:tc>
        <w:tc>
          <w:tcPr>
            <w:tcW w:w="5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160"/>
              <w:spacing w:after="0" w:line="252" w:lineRule="exact"/>
              <w:rPr>
                <w:sz w:val="20"/>
                <w:szCs w:val="20"/>
                <w:color w:val="auto"/>
              </w:rPr>
            </w:pPr>
            <w:r>
              <w:rPr>
                <w:rFonts w:ascii="Arial" w:cs="Arial" w:eastAsia="Arial" w:hAnsi="Arial"/>
                <w:sz w:val="18"/>
                <w:szCs w:val="18"/>
                <w:color w:val="auto"/>
              </w:rPr>
              <w:t>Digital online channels</w:t>
            </w:r>
            <w:r>
              <w:rPr>
                <w:rFonts w:ascii="Arial" w:cs="Arial" w:eastAsia="Arial" w:hAnsi="Arial"/>
                <w:sz w:val="29"/>
                <w:szCs w:val="29"/>
                <w:color w:val="auto"/>
                <w:vertAlign w:val="superscript"/>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Total changes in deferred revenues</w:t>
            </w:r>
          </w:p>
        </w:tc>
        <w:tc>
          <w:tcPr>
            <w:tcW w:w="5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2" w:lineRule="exact"/>
        <w:rPr>
          <w:sz w:val="20"/>
          <w:szCs w:val="20"/>
          <w:color w:val="auto"/>
        </w:rPr>
      </w:pPr>
    </w:p>
    <w:p>
      <w:pPr>
        <w:ind w:left="320" w:right="420" w:hanging="314"/>
        <w:spacing w:after="0" w:line="187" w:lineRule="auto"/>
        <w:tabs>
          <w:tab w:leader="none" w:pos="32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Net revenues from Digital online channels represent revenues from digitally-distributed downloadable content, microtransactions, subscriptions, and products, as well as licensing royalties.</w:t>
      </w:r>
    </w:p>
    <w:p>
      <w:pPr>
        <w:ind w:left="320" w:hanging="314"/>
        <w:spacing w:after="0" w:line="184" w:lineRule="auto"/>
        <w:tabs>
          <w:tab w:leader="none" w:pos="320" w:val="left"/>
        </w:tabs>
        <w:numPr>
          <w:ilvl w:val="0"/>
          <w:numId w:val="46"/>
        </w:numPr>
        <w:rPr>
          <w:rFonts w:ascii="Arial" w:cs="Arial" w:eastAsia="Arial" w:hAnsi="Arial"/>
          <w:sz w:val="24"/>
          <w:szCs w:val="24"/>
          <w:color w:val="auto"/>
          <w:vertAlign w:val="superscript"/>
        </w:rPr>
      </w:pPr>
      <w:r>
        <w:rPr>
          <w:rFonts w:ascii="Arial" w:cs="Arial" w:eastAsia="Arial" w:hAnsi="Arial"/>
          <w:sz w:val="15"/>
          <w:szCs w:val="15"/>
          <w:color w:val="auto"/>
        </w:rPr>
        <w:t>Net revenues from Other primarily includes revenues from our distribution business, the Overwatch League, and the Call of Duty League.</w:t>
      </w:r>
    </w:p>
    <w:p>
      <w:pPr>
        <w:ind w:left="320" w:hanging="314"/>
        <w:spacing w:after="0" w:line="185" w:lineRule="auto"/>
        <w:tabs>
          <w:tab w:leader="none" w:pos="32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Reflects the net effect from deferral of revenues and (recognition) of deferred revenues on certain of our online-enabled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8"/>
                <w:szCs w:val="18"/>
                <w:b w:val="1"/>
                <w:bCs w:val="1"/>
                <w:color w:val="auto"/>
              </w:rPr>
              <w:t>NET REVENUES BY PLATFORM</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8"/>
                <w:szCs w:val="18"/>
                <w:b w:val="1"/>
                <w:bCs w:val="1"/>
                <w:color w:val="auto"/>
                <w:w w:val="89"/>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9"/>
                <w:szCs w:val="19"/>
                <w:color w:val="auto"/>
              </w:rPr>
            </w:pPr>
          </w:p>
        </w:tc>
        <w:tc>
          <w:tcPr>
            <w:tcW w:w="2280" w:type="dxa"/>
            <w:vAlign w:val="bottom"/>
            <w:gridSpan w:val="4"/>
          </w:tcPr>
          <w:p>
            <w:pPr>
              <w:jc w:val="center"/>
              <w:ind w:right="252"/>
              <w:spacing w:after="0"/>
              <w:rPr>
                <w:sz w:val="20"/>
                <w:szCs w:val="20"/>
                <w:color w:val="auto"/>
              </w:rPr>
            </w:pPr>
            <w:r>
              <w:rPr>
                <w:rFonts w:ascii="Arial" w:cs="Arial" w:eastAsia="Arial" w:hAnsi="Arial"/>
                <w:sz w:val="18"/>
                <w:szCs w:val="18"/>
                <w:b w:val="1"/>
                <w:bCs w:val="1"/>
                <w:color w:val="auto"/>
                <w:w w:val="87"/>
              </w:rPr>
              <w:t>December 31, 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Increase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 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ind w:right="323"/>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w w:val="98"/>
              </w:rPr>
              <w:t>% of Total</w:t>
            </w:r>
            <w:r>
              <w:rPr>
                <w:rFonts w:ascii="Arial" w:cs="Arial" w:eastAsia="Arial" w:hAnsi="Arial"/>
                <w:sz w:val="28"/>
                <w:szCs w:val="28"/>
                <w:b w:val="1"/>
                <w:bCs w:val="1"/>
                <w:color w:val="auto"/>
                <w:w w:val="98"/>
                <w:vertAlign w:val="superscript"/>
              </w:rPr>
              <w:t>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(Decrease)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05"/>
        </w:trPr>
        <w:tc>
          <w:tcPr>
            <w:tcW w:w="33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Revenues by Platform</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60"/>
              <w:spacing w:after="0"/>
              <w:rPr>
                <w:sz w:val="20"/>
                <w:szCs w:val="20"/>
                <w:color w:val="auto"/>
              </w:rPr>
            </w:pPr>
            <w:r>
              <w:rPr>
                <w:rFonts w:ascii="Arial" w:cs="Arial" w:eastAsia="Arial" w:hAnsi="Arial"/>
                <w:sz w:val="18"/>
                <w:szCs w:val="18"/>
                <w:color w:val="auto"/>
              </w:rPr>
              <w:t>Console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3"/>
              <w:spacing w:after="0"/>
              <w:rPr>
                <w:sz w:val="20"/>
                <w:szCs w:val="20"/>
                <w:color w:val="auto"/>
              </w:rPr>
            </w:pPr>
            <w:r>
              <w:rPr>
                <w:rFonts w:ascii="Arial" w:cs="Arial" w:eastAsia="Arial" w:hAnsi="Arial"/>
                <w:sz w:val="18"/>
                <w:szCs w:val="18"/>
                <w:color w:val="auto"/>
              </w:rPr>
              <w:t>576</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3"/>
              <w:spacing w:after="0"/>
              <w:rPr>
                <w:sz w:val="20"/>
                <w:szCs w:val="20"/>
                <w:color w:val="auto"/>
              </w:rPr>
            </w:pPr>
            <w:r>
              <w:rPr>
                <w:rFonts w:ascii="Arial" w:cs="Arial" w:eastAsia="Arial" w:hAnsi="Arial"/>
                <w:sz w:val="18"/>
                <w:szCs w:val="18"/>
                <w:color w:val="auto"/>
              </w:rPr>
              <w:t>(264)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496</w:t>
            </w: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(65)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2"/>
        </w:trPr>
        <w:tc>
          <w:tcPr>
            <w:tcW w:w="3340" w:type="dxa"/>
            <w:vAlign w:val="bottom"/>
          </w:tcPr>
          <w:p>
            <w:pPr>
              <w:ind w:left="160"/>
              <w:spacing w:after="0" w:line="252" w:lineRule="exact"/>
              <w:rPr>
                <w:sz w:val="20"/>
                <w:szCs w:val="20"/>
                <w:color w:val="auto"/>
              </w:rPr>
            </w:pPr>
            <w:r>
              <w:rPr>
                <w:rFonts w:ascii="Arial" w:cs="Arial" w:eastAsia="Arial" w:hAnsi="Arial"/>
                <w:sz w:val="18"/>
                <w:szCs w:val="18"/>
                <w:color w:val="auto"/>
              </w:rPr>
              <w:t>Mobile and ancillary</w:t>
            </w:r>
            <w:r>
              <w:rPr>
                <w:rFonts w:ascii="Arial" w:cs="Arial" w:eastAsia="Arial" w:hAnsi="Arial"/>
                <w:sz w:val="29"/>
                <w:szCs w:val="29"/>
                <w:color w:val="auto"/>
                <w:vertAlign w:val="superscript"/>
              </w:rPr>
              <w:t>2</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23"/>
              <w:spacing w:after="0"/>
              <w:rPr>
                <w:sz w:val="20"/>
                <w:szCs w:val="20"/>
                <w:color w:val="auto"/>
              </w:rPr>
            </w:pPr>
            <w:r>
              <w:rPr>
                <w:rFonts w:ascii="Arial" w:cs="Arial" w:eastAsia="Arial" w:hAnsi="Arial"/>
                <w:sz w:val="18"/>
                <w:szCs w:val="18"/>
                <w:color w:val="auto"/>
              </w:rPr>
              <w:t>833</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126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5"/>
        </w:trPr>
        <w:tc>
          <w:tcPr>
            <w:tcW w:w="3340" w:type="dxa"/>
            <w:vAlign w:val="bottom"/>
            <w:shd w:val="clear" w:color="auto" w:fill="CCEEFF"/>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(47)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20"/>
              <w:spacing w:after="0"/>
              <w:rPr>
                <w:sz w:val="20"/>
                <w:szCs w:val="20"/>
                <w:color w:val="auto"/>
              </w:rPr>
            </w:pPr>
            <w:r>
              <w:rPr>
                <w:rFonts w:ascii="Arial" w:cs="Arial" w:eastAsia="Arial" w:hAnsi="Arial"/>
                <w:sz w:val="18"/>
                <w:szCs w:val="18"/>
                <w:color w:val="auto"/>
              </w:rPr>
              <w:t>Total consolidated net revenues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34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vMerge w:val="continue"/>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vMerge w:val="continue"/>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2"/>
        </w:trPr>
        <w:tc>
          <w:tcPr>
            <w:tcW w:w="33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340" w:type="dxa"/>
            <w:vAlign w:val="bottom"/>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4</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276</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60"/>
              <w:spacing w:after="0"/>
              <w:rPr>
                <w:sz w:val="20"/>
                <w:szCs w:val="20"/>
                <w:color w:val="auto"/>
              </w:rPr>
            </w:pPr>
            <w:r>
              <w:rPr>
                <w:rFonts w:ascii="Arial" w:cs="Arial" w:eastAsia="Arial" w:hAnsi="Arial"/>
                <w:sz w:val="18"/>
                <w:szCs w:val="18"/>
                <w:color w:val="auto"/>
              </w:rPr>
              <w:t>PC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4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Mobile and ancillary</w:t>
            </w:r>
            <w:r>
              <w:rPr>
                <w:rFonts w:ascii="Arial" w:cs="Arial" w:eastAsia="Arial" w:hAnsi="Arial"/>
                <w:sz w:val="29"/>
                <w:szCs w:val="29"/>
                <w:color w:val="auto"/>
                <w:vertAlign w:val="superscript"/>
              </w:rPr>
              <w:t>2</w:t>
            </w: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bottom w:val="single" w:sz="8" w:color="CCEEFF"/>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changes in deferred revenues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9"/>
                <w:szCs w:val="19"/>
                <w:color w:val="auto"/>
              </w:rPr>
            </w:pPr>
          </w:p>
        </w:tc>
        <w:tc>
          <w:tcPr>
            <w:tcW w:w="2280" w:type="dxa"/>
            <w:vAlign w:val="bottom"/>
            <w:gridSpan w:val="4"/>
          </w:tcPr>
          <w:p>
            <w:pPr>
              <w:jc w:val="center"/>
              <w:ind w:right="252"/>
              <w:spacing w:after="0"/>
              <w:rPr>
                <w:sz w:val="20"/>
                <w:szCs w:val="20"/>
                <w:color w:val="auto"/>
              </w:rPr>
            </w:pPr>
            <w:r>
              <w:rPr>
                <w:rFonts w:ascii="Arial" w:cs="Arial" w:eastAsia="Arial" w:hAnsi="Arial"/>
                <w:sz w:val="18"/>
                <w:szCs w:val="18"/>
                <w:b w:val="1"/>
                <w:bCs w:val="1"/>
                <w:color w:val="auto"/>
                <w:w w:val="87"/>
              </w:rPr>
              <w:t>December 31, 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Increase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 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ind w:right="323"/>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tcBorders>
              <w:top w:val="single" w:sz="8" w:color="auto"/>
            </w:tcBorders>
          </w:tcPr>
          <w:p>
            <w:pPr>
              <w:jc w:val="right"/>
              <w:spacing w:after="0" w:line="245" w:lineRule="exact"/>
              <w:rPr>
                <w:sz w:val="20"/>
                <w:szCs w:val="20"/>
                <w:color w:val="auto"/>
              </w:rPr>
            </w:pPr>
            <w:r>
              <w:rPr>
                <w:rFonts w:ascii="Arial" w:cs="Arial" w:eastAsia="Arial" w:hAnsi="Arial"/>
                <w:sz w:val="17"/>
                <w:szCs w:val="17"/>
                <w:b w:val="1"/>
                <w:bCs w:val="1"/>
                <w:color w:val="auto"/>
                <w:w w:val="98"/>
              </w:rPr>
              <w:t>% of Total</w:t>
            </w:r>
            <w:r>
              <w:rPr>
                <w:rFonts w:ascii="Arial" w:cs="Arial" w:eastAsia="Arial" w:hAnsi="Arial"/>
                <w:sz w:val="28"/>
                <w:szCs w:val="28"/>
                <w:b w:val="1"/>
                <w:bCs w:val="1"/>
                <w:color w:val="auto"/>
                <w:w w:val="98"/>
                <w:vertAlign w:val="superscript"/>
              </w:rPr>
              <w:t>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(Decrease)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05"/>
        </w:trPr>
        <w:tc>
          <w:tcPr>
            <w:tcW w:w="33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Revenues by Platform</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60"/>
              <w:spacing w:after="0"/>
              <w:rPr>
                <w:sz w:val="20"/>
                <w:szCs w:val="20"/>
                <w:color w:val="auto"/>
              </w:rPr>
            </w:pPr>
            <w:r>
              <w:rPr>
                <w:rFonts w:ascii="Arial" w:cs="Arial" w:eastAsia="Arial" w:hAnsi="Arial"/>
                <w:sz w:val="18"/>
                <w:szCs w:val="18"/>
                <w:color w:val="auto"/>
              </w:rPr>
              <w:t>Console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3"/>
              <w:spacing w:after="0"/>
              <w:rPr>
                <w:sz w:val="20"/>
                <w:szCs w:val="20"/>
                <w:color w:val="auto"/>
              </w:rPr>
            </w:pPr>
            <w:r>
              <w:rPr>
                <w:rFonts w:ascii="Arial" w:cs="Arial" w:eastAsia="Arial" w:hAnsi="Arial"/>
                <w:sz w:val="18"/>
                <w:szCs w:val="18"/>
                <w:color w:val="auto"/>
              </w:rPr>
              <w:t>2,637</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3"/>
              <w:spacing w:after="0"/>
              <w:rPr>
                <w:sz w:val="20"/>
                <w:szCs w:val="20"/>
                <w:color w:val="auto"/>
              </w:rPr>
            </w:pPr>
            <w:r>
              <w:rPr>
                <w:rFonts w:ascii="Arial" w:cs="Arial" w:eastAsia="Arial" w:hAnsi="Arial"/>
                <w:sz w:val="18"/>
                <w:szCs w:val="18"/>
                <w:color w:val="auto"/>
              </w:rPr>
              <w:t>(147)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2,323</w:t>
            </w: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2,056</w:t>
            </w: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267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2"/>
        </w:trPr>
        <w:tc>
          <w:tcPr>
            <w:tcW w:w="3340" w:type="dxa"/>
            <w:vAlign w:val="bottom"/>
          </w:tcPr>
          <w:p>
            <w:pPr>
              <w:ind w:left="160"/>
              <w:spacing w:after="0" w:line="252" w:lineRule="exact"/>
              <w:rPr>
                <w:sz w:val="20"/>
                <w:szCs w:val="20"/>
                <w:color w:val="auto"/>
              </w:rPr>
            </w:pPr>
            <w:r>
              <w:rPr>
                <w:rFonts w:ascii="Arial" w:cs="Arial" w:eastAsia="Arial" w:hAnsi="Arial"/>
                <w:sz w:val="18"/>
                <w:szCs w:val="18"/>
                <w:color w:val="auto"/>
              </w:rPr>
              <w:t>Mobile and ancillary</w:t>
            </w:r>
            <w:r>
              <w:rPr>
                <w:rFonts w:ascii="Arial" w:cs="Arial" w:eastAsia="Arial" w:hAnsi="Arial"/>
                <w:sz w:val="29"/>
                <w:szCs w:val="29"/>
                <w:color w:val="auto"/>
                <w:vertAlign w:val="superscript"/>
              </w:rPr>
              <w:t>2</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23"/>
              <w:spacing w:after="0"/>
              <w:rPr>
                <w:sz w:val="20"/>
                <w:szCs w:val="20"/>
                <w:color w:val="auto"/>
              </w:rPr>
            </w:pPr>
            <w:r>
              <w:rPr>
                <w:rFonts w:ascii="Arial" w:cs="Arial" w:eastAsia="Arial" w:hAnsi="Arial"/>
                <w:sz w:val="18"/>
                <w:szCs w:val="18"/>
                <w:color w:val="auto"/>
              </w:rPr>
              <w:t>3,182</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623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5"/>
        </w:trPr>
        <w:tc>
          <w:tcPr>
            <w:tcW w:w="3340" w:type="dxa"/>
            <w:vAlign w:val="bottom"/>
            <w:shd w:val="clear" w:color="auto" w:fill="CCEEFF"/>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20"/>
              <w:spacing w:after="0"/>
              <w:rPr>
                <w:sz w:val="20"/>
                <w:szCs w:val="20"/>
                <w:color w:val="auto"/>
              </w:rPr>
            </w:pPr>
            <w:r>
              <w:rPr>
                <w:rFonts w:ascii="Arial" w:cs="Arial" w:eastAsia="Arial" w:hAnsi="Arial"/>
                <w:sz w:val="18"/>
                <w:szCs w:val="18"/>
                <w:color w:val="auto"/>
              </w:rPr>
              <w:t>Total consolidated net revenues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34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8,803</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8,086</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vMerge w:val="continue"/>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3"/>
              <w:spacing w:after="0"/>
              <w:rPr>
                <w:sz w:val="20"/>
                <w:szCs w:val="20"/>
                <w:color w:val="auto"/>
              </w:rPr>
            </w:pPr>
            <w:r>
              <w:rPr>
                <w:rFonts w:ascii="Arial" w:cs="Arial" w:eastAsia="Arial" w:hAnsi="Arial"/>
                <w:sz w:val="18"/>
                <w:szCs w:val="18"/>
                <w:color w:val="auto"/>
              </w:rPr>
              <w:t>717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2"/>
        </w:trPr>
        <w:tc>
          <w:tcPr>
            <w:tcW w:w="33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340" w:type="dxa"/>
            <w:vAlign w:val="bottom"/>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4</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(254)</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60"/>
              <w:spacing w:after="0"/>
              <w:rPr>
                <w:sz w:val="20"/>
                <w:szCs w:val="20"/>
                <w:color w:val="auto"/>
              </w:rPr>
            </w:pPr>
            <w:r>
              <w:rPr>
                <w:rFonts w:ascii="Arial" w:cs="Arial" w:eastAsia="Arial" w:hAnsi="Arial"/>
                <w:sz w:val="18"/>
                <w:szCs w:val="18"/>
                <w:color w:val="auto"/>
              </w:rPr>
              <w:t>PC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3"/>
              <w:spacing w:after="0"/>
              <w:rPr>
                <w:sz w:val="20"/>
                <w:szCs w:val="20"/>
                <w:color w:val="auto"/>
              </w:rPr>
            </w:pPr>
            <w:r>
              <w:rPr>
                <w:rFonts w:ascii="Arial" w:cs="Arial" w:eastAsia="Arial" w:hAnsi="Arial"/>
                <w:sz w:val="18"/>
                <w:szCs w:val="18"/>
                <w:color w:val="auto"/>
              </w:rPr>
              <w:t>(228)</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4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Mobile and ancillary</w:t>
            </w:r>
            <w:r>
              <w:rPr>
                <w:rFonts w:ascii="Arial" w:cs="Arial" w:eastAsia="Arial" w:hAnsi="Arial"/>
                <w:sz w:val="29"/>
                <w:szCs w:val="29"/>
                <w:color w:val="auto"/>
                <w:vertAlign w:val="superscript"/>
              </w:rPr>
              <w:t>2</w:t>
            </w: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60"/>
              <w:spacing w:after="0" w:line="26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bottom w:val="single" w:sz="8" w:color="CCEEFF"/>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changes in deferred revenues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hanging="314"/>
        <w:spacing w:after="0"/>
        <w:tabs>
          <w:tab w:leader="none" w:pos="3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2" w:lineRule="exact"/>
        <w:rPr>
          <w:sz w:val="20"/>
          <w:szCs w:val="20"/>
          <w:color w:val="auto"/>
        </w:rPr>
      </w:pPr>
    </w:p>
    <w:p>
      <w:pPr>
        <w:ind w:left="320" w:right="780" w:hanging="314"/>
        <w:spacing w:after="0" w:line="187" w:lineRule="auto"/>
        <w:tabs>
          <w:tab w:leader="none" w:pos="32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Net revenues from Mobile and ancillary include revenues from mobile devices, as well as non-platform specific game related revenues, such as standalone sales of physical merchandise and accessories.</w:t>
      </w:r>
    </w:p>
    <w:p>
      <w:pPr>
        <w:ind w:left="320" w:hanging="314"/>
        <w:spacing w:after="0" w:line="184" w:lineRule="auto"/>
        <w:tabs>
          <w:tab w:leader="none" w:pos="320" w:val="left"/>
        </w:tabs>
        <w:numPr>
          <w:ilvl w:val="0"/>
          <w:numId w:val="50"/>
        </w:numPr>
        <w:rPr>
          <w:rFonts w:ascii="Arial" w:cs="Arial" w:eastAsia="Arial" w:hAnsi="Arial"/>
          <w:sz w:val="24"/>
          <w:szCs w:val="24"/>
          <w:color w:val="auto"/>
          <w:vertAlign w:val="superscript"/>
        </w:rPr>
      </w:pPr>
      <w:r>
        <w:rPr>
          <w:rFonts w:ascii="Arial" w:cs="Arial" w:eastAsia="Arial" w:hAnsi="Arial"/>
          <w:sz w:val="15"/>
          <w:szCs w:val="15"/>
          <w:color w:val="auto"/>
        </w:rPr>
        <w:t>Net revenues from Other primarily includes revenues from our distribution business, the Overwatch League, and the Call of Duty League.</w:t>
      </w:r>
    </w:p>
    <w:p>
      <w:pPr>
        <w:ind w:left="320" w:hanging="314"/>
        <w:spacing w:after="0" w:line="185" w:lineRule="auto"/>
        <w:tabs>
          <w:tab w:leader="none" w:pos="320" w:val="left"/>
        </w:tabs>
        <w:numPr>
          <w:ilvl w:val="0"/>
          <w:numId w:val="51"/>
        </w:numPr>
        <w:rPr>
          <w:rFonts w:ascii="Arial" w:cs="Arial" w:eastAsia="Arial" w:hAnsi="Arial"/>
          <w:sz w:val="24"/>
          <w:szCs w:val="24"/>
          <w:color w:val="auto"/>
          <w:vertAlign w:val="superscript"/>
        </w:rPr>
      </w:pPr>
      <w:r>
        <w:rPr>
          <w:rFonts w:ascii="Arial" w:cs="Arial" w:eastAsia="Arial" w:hAnsi="Arial"/>
          <w:sz w:val="15"/>
          <w:szCs w:val="15"/>
          <w:color w:val="auto"/>
        </w:rPr>
        <w:t>Reflects the net effect from deferral of revenues and (recognition) of deferred revenues on certain of our online-enabled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5220" w:type="dxa"/>
            <w:vAlign w:val="bottom"/>
            <w:gridSpan w:val="5"/>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Arial" w:cs="Arial" w:eastAsia="Arial" w:hAnsi="Arial"/>
                <w:sz w:val="18"/>
                <w:szCs w:val="18"/>
                <w:b w:val="1"/>
                <w:bCs w:val="1"/>
                <w:color w:val="auto"/>
              </w:rPr>
              <w:t>NET REVENUES BY GEOGRAPHIC REGION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566"/>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jc w:val="right"/>
              <w:ind w:right="626"/>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7"/>
                <w:szCs w:val="17"/>
                <w:color w:val="auto"/>
              </w:rPr>
            </w:pPr>
          </w:p>
        </w:tc>
        <w:tc>
          <w:tcPr>
            <w:tcW w:w="2260" w:type="dxa"/>
            <w:vAlign w:val="bottom"/>
            <w:gridSpan w:val="6"/>
          </w:tcPr>
          <w:p>
            <w:pPr>
              <w:jc w:val="right"/>
              <w:ind w:right="626"/>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w w:val="86"/>
              </w:rPr>
              <w:t>$ Increase</w:t>
            </w:r>
          </w:p>
        </w:tc>
        <w:tc>
          <w:tcPr>
            <w:tcW w:w="6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w w:val="95"/>
              </w:rPr>
              <w:t>% Increase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w w:val="99"/>
              </w:rPr>
              <w:t>Amount</w:t>
            </w:r>
          </w:p>
        </w:tc>
        <w:tc>
          <w:tcPr>
            <w:tcW w:w="960" w:type="dxa"/>
            <w:vAlign w:val="bottom"/>
            <w:tcBorders>
              <w:top w:val="single" w:sz="8" w:color="auto"/>
            </w:tcBorders>
          </w:tcPr>
          <w:p>
            <w:pPr>
              <w:jc w:val="right"/>
              <w:spacing w:after="0" w:line="249" w:lineRule="exact"/>
              <w:rPr>
                <w:sz w:val="20"/>
                <w:szCs w:val="20"/>
                <w:color w:val="auto"/>
              </w:rPr>
            </w:pPr>
            <w:r>
              <w:rPr>
                <w:rFonts w:ascii="Arial" w:cs="Arial" w:eastAsia="Arial" w:hAnsi="Arial"/>
                <w:sz w:val="17"/>
                <w:szCs w:val="17"/>
                <w:b w:val="1"/>
                <w:bCs w:val="1"/>
                <w:color w:val="auto"/>
                <w:w w:val="96"/>
              </w:rPr>
              <w:t>% of Total</w:t>
            </w:r>
            <w:r>
              <w:rPr>
                <w:rFonts w:ascii="Arial" w:cs="Arial" w:eastAsia="Arial" w:hAnsi="Arial"/>
                <w:sz w:val="28"/>
                <w:szCs w:val="28"/>
                <w:b w:val="1"/>
                <w:bCs w:val="1"/>
                <w:color w:val="auto"/>
                <w:w w:val="96"/>
                <w:vertAlign w:val="superscript"/>
              </w:rPr>
              <w:t>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w w:val="95"/>
              </w:rPr>
              <w:t>Amount</w:t>
            </w:r>
          </w:p>
        </w:tc>
        <w:tc>
          <w:tcPr>
            <w:tcW w:w="940" w:type="dxa"/>
            <w:vAlign w:val="bottom"/>
            <w:tcBorders>
              <w:top w:val="single" w:sz="8" w:color="auto"/>
            </w:tcBorders>
          </w:tcPr>
          <w:p>
            <w:pPr>
              <w:jc w:val="right"/>
              <w:spacing w:after="0" w:line="249" w:lineRule="exact"/>
              <w:rPr>
                <w:sz w:val="20"/>
                <w:szCs w:val="20"/>
                <w:color w:val="auto"/>
              </w:rPr>
            </w:pPr>
            <w:r>
              <w:rPr>
                <w:rFonts w:ascii="Arial" w:cs="Arial" w:eastAsia="Arial" w:hAnsi="Arial"/>
                <w:sz w:val="17"/>
                <w:szCs w:val="17"/>
                <w:b w:val="1"/>
                <w:bCs w:val="1"/>
                <w:color w:val="auto"/>
                <w:w w:val="93"/>
              </w:rPr>
              <w:t>% of Total</w:t>
            </w:r>
            <w:r>
              <w:rPr>
                <w:rFonts w:ascii="Arial" w:cs="Arial" w:eastAsia="Arial" w:hAnsi="Arial"/>
                <w:sz w:val="28"/>
                <w:szCs w:val="28"/>
                <w:b w:val="1"/>
                <w:bCs w:val="1"/>
                <w:color w:val="auto"/>
                <w:w w:val="93"/>
                <w:vertAlign w:val="superscript"/>
              </w:rPr>
              <w:t>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w w:val="83"/>
              </w:rPr>
              <w:t>(Decrease)</w:t>
            </w:r>
          </w:p>
        </w:tc>
        <w:tc>
          <w:tcPr>
            <w:tcW w:w="6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5"/>
              </w:rPr>
              <w:t>(Decrease)</w:t>
            </w:r>
          </w:p>
        </w:tc>
        <w:tc>
          <w:tcPr>
            <w:tcW w:w="0" w:type="dxa"/>
            <w:vAlign w:val="bottom"/>
          </w:tcPr>
          <w:p>
            <w:pPr>
              <w:spacing w:after="0"/>
              <w:rPr>
                <w:sz w:val="1"/>
                <w:szCs w:val="1"/>
                <w:color w:val="auto"/>
              </w:rPr>
            </w:pPr>
          </w:p>
        </w:tc>
      </w:tr>
      <w:tr>
        <w:trPr>
          <w:trHeight w:val="192"/>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Revenues by Geographic Region</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1,112</w:t>
            </w:r>
          </w:p>
        </w:tc>
        <w:tc>
          <w:tcPr>
            <w:tcW w:w="1200" w:type="dxa"/>
            <w:vAlign w:val="bottom"/>
            <w:gridSpan w:val="3"/>
          </w:tcPr>
          <w:p>
            <w:pPr>
              <w:jc w:val="right"/>
              <w:ind w:right="26"/>
              <w:spacing w:after="0"/>
              <w:rPr>
                <w:sz w:val="20"/>
                <w:szCs w:val="20"/>
                <w:color w:val="auto"/>
              </w:rPr>
            </w:pPr>
            <w:r>
              <w:rPr>
                <w:rFonts w:ascii="Arial" w:cs="Arial" w:eastAsia="Arial" w:hAnsi="Arial"/>
                <w:sz w:val="16"/>
                <w:szCs w:val="16"/>
                <w:color w:val="auto"/>
              </w:rPr>
              <w:t>51%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1,247</w:t>
            </w:r>
          </w:p>
        </w:tc>
        <w:tc>
          <w:tcPr>
            <w:tcW w:w="220" w:type="dxa"/>
            <w:vAlign w:val="bottom"/>
          </w:tcPr>
          <w:p>
            <w:pPr>
              <w:spacing w:after="0"/>
              <w:rPr>
                <w:sz w:val="17"/>
                <w:szCs w:val="17"/>
                <w:color w:val="auto"/>
              </w:rPr>
            </w:pPr>
          </w:p>
        </w:tc>
        <w:tc>
          <w:tcPr>
            <w:tcW w:w="1180" w:type="dxa"/>
            <w:vAlign w:val="bottom"/>
            <w:gridSpan w:val="3"/>
          </w:tcPr>
          <w:p>
            <w:pPr>
              <w:jc w:val="right"/>
              <w:ind w:right="26"/>
              <w:spacing w:after="0"/>
              <w:rPr>
                <w:sz w:val="20"/>
                <w:szCs w:val="20"/>
                <w:color w:val="auto"/>
              </w:rPr>
            </w:pPr>
            <w:r>
              <w:rPr>
                <w:rFonts w:ascii="Arial" w:cs="Arial" w:eastAsia="Arial" w:hAnsi="Arial"/>
                <w:sz w:val="16"/>
                <w:szCs w:val="16"/>
                <w:color w:val="auto"/>
              </w:rPr>
              <w:t>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EMEA</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910</w:t>
            </w: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Asia Pacific</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consolidated net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2,163</w:t>
            </w:r>
          </w:p>
        </w:tc>
        <w:tc>
          <w:tcPr>
            <w:tcW w:w="1200" w:type="dxa"/>
            <w:vAlign w:val="bottom"/>
            <w:gridSpan w:val="3"/>
            <w:shd w:val="clear" w:color="auto" w:fill="CCEEFF"/>
          </w:tcPr>
          <w:p>
            <w:pPr>
              <w:jc w:val="right"/>
              <w:ind w:right="26"/>
              <w:spacing w:after="0"/>
              <w:rPr>
                <w:sz w:val="20"/>
                <w:szCs w:val="20"/>
                <w:color w:val="auto"/>
              </w:rPr>
            </w:pPr>
            <w:r>
              <w:rPr>
                <w:rFonts w:ascii="Arial" w:cs="Arial" w:eastAsia="Arial" w:hAnsi="Arial"/>
                <w:sz w:val="16"/>
                <w:szCs w:val="16"/>
                <w:color w:val="auto"/>
              </w:rPr>
              <w:t>100%</w:t>
            </w:r>
          </w:p>
        </w:tc>
        <w:tc>
          <w:tcPr>
            <w:tcW w:w="180" w:type="dxa"/>
            <w:vAlign w:val="bottom"/>
            <w:tcBorders>
              <w:lef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2,413</w:t>
            </w:r>
          </w:p>
        </w:tc>
        <w:tc>
          <w:tcPr>
            <w:tcW w:w="220" w:type="dxa"/>
            <w:vAlign w:val="bottom"/>
            <w:tcBorders>
              <w:right w:val="single" w:sz="8" w:color="CCEEFF"/>
            </w:tcBorders>
            <w:shd w:val="clear" w:color="auto" w:fill="CCEEFF"/>
          </w:tcPr>
          <w:p>
            <w:pPr>
              <w:spacing w:after="0"/>
              <w:rPr>
                <w:sz w:val="22"/>
                <w:szCs w:val="22"/>
                <w:color w:val="auto"/>
              </w:rPr>
            </w:pPr>
          </w:p>
        </w:tc>
        <w:tc>
          <w:tcPr>
            <w:tcW w:w="1180" w:type="dxa"/>
            <w:vAlign w:val="bottom"/>
            <w:gridSpan w:val="3"/>
            <w:shd w:val="clear" w:color="auto" w:fill="CCEEFF"/>
          </w:tcPr>
          <w:p>
            <w:pPr>
              <w:jc w:val="right"/>
              <w:ind w:right="26"/>
              <w:spacing w:after="0"/>
              <w:rPr>
                <w:sz w:val="20"/>
                <w:szCs w:val="20"/>
                <w:color w:val="auto"/>
              </w:rPr>
            </w:pPr>
            <w:r>
              <w:rPr>
                <w:rFonts w:ascii="Arial" w:cs="Arial" w:eastAsia="Arial" w:hAnsi="Arial"/>
                <w:sz w:val="16"/>
                <w:szCs w:val="16"/>
                <w:color w:val="auto"/>
              </w:rPr>
              <w:t>100%</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390</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EMEA</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w:t>
            </w: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Asia Pacific</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changes in deferred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c>
          <w:tcPr>
            <w:tcW w:w="22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806"/>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jc w:val="right"/>
              <w:ind w:right="606"/>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7"/>
                <w:szCs w:val="17"/>
                <w:color w:val="auto"/>
              </w:rPr>
            </w:pPr>
          </w:p>
        </w:tc>
        <w:tc>
          <w:tcPr>
            <w:tcW w:w="2260" w:type="dxa"/>
            <w:vAlign w:val="bottom"/>
            <w:gridSpan w:val="6"/>
          </w:tcPr>
          <w:p>
            <w:pPr>
              <w:jc w:val="right"/>
              <w:ind w:right="566"/>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 Increase</w:t>
            </w:r>
          </w:p>
        </w:tc>
        <w:tc>
          <w:tcPr>
            <w:tcW w:w="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w w:val="99"/>
              </w:rPr>
              <w:t>Amount</w:t>
            </w:r>
          </w:p>
        </w:tc>
        <w:tc>
          <w:tcPr>
            <w:tcW w:w="1020" w:type="dxa"/>
            <w:vAlign w:val="bottom"/>
            <w:tcBorders>
              <w:top w:val="single" w:sz="8" w:color="auto"/>
            </w:tcBorders>
            <w:gridSpan w:val="2"/>
          </w:tcPr>
          <w:p>
            <w:pPr>
              <w:jc w:val="right"/>
              <w:ind w:right="80"/>
              <w:spacing w:after="0" w:line="249"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gridSpan w:val="2"/>
          </w:tcPr>
          <w:p>
            <w:pPr>
              <w:jc w:val="right"/>
              <w:ind w:right="60"/>
              <w:spacing w:after="0" w:line="249" w:lineRule="exact"/>
              <w:rPr>
                <w:sz w:val="20"/>
                <w:szCs w:val="20"/>
                <w:color w:val="auto"/>
              </w:rPr>
            </w:pPr>
            <w:r>
              <w:rPr>
                <w:rFonts w:ascii="Arial" w:cs="Arial" w:eastAsia="Arial" w:hAnsi="Arial"/>
                <w:sz w:val="17"/>
                <w:szCs w:val="17"/>
                <w:b w:val="1"/>
                <w:bCs w:val="1"/>
                <w:color w:val="auto"/>
              </w:rPr>
              <w:t>% of Total</w:t>
            </w:r>
            <w:r>
              <w:rPr>
                <w:rFonts w:ascii="Arial" w:cs="Arial" w:eastAsia="Arial" w:hAnsi="Arial"/>
                <w:sz w:val="28"/>
                <w:szCs w:val="28"/>
                <w:b w:val="1"/>
                <w:bCs w:val="1"/>
                <w:color w:val="auto"/>
                <w:vertAlign w:val="superscript"/>
              </w:rPr>
              <w:t>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0"/>
              </w:rPr>
              <w:t>(Decrease)</w:t>
            </w:r>
          </w:p>
        </w:tc>
        <w:tc>
          <w:tcPr>
            <w:tcW w:w="60" w:type="dxa"/>
            <w:vAlign w:val="bottom"/>
          </w:tcPr>
          <w:p>
            <w:pPr>
              <w:spacing w:after="0"/>
              <w:rPr>
                <w:sz w:val="21"/>
                <w:szCs w:val="21"/>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92"/>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Revenues by Geographic Region</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4,931</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4,434</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497</w:t>
            </w: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EMEA</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2,680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6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1,075</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972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103</w:t>
            </w:r>
          </w:p>
        </w:tc>
        <w:tc>
          <w:tcPr>
            <w:tcW w:w="1180" w:type="dxa"/>
            <w:vAlign w:val="bottom"/>
            <w:gridSpan w:val="4"/>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Total consolidated net revenues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8,086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717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Change in deferred revenues</w:t>
            </w:r>
            <w:r>
              <w:rPr>
                <w:rFonts w:ascii="Arial" w:cs="Arial" w:eastAsia="Arial" w:hAnsi="Arial"/>
                <w:sz w:val="29"/>
                <w:szCs w:val="29"/>
                <w:b w:val="1"/>
                <w:bCs w:val="1"/>
                <w:color w:val="auto"/>
                <w:vertAlign w:val="superscript"/>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(288)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285</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EMEA</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(136)</w:t>
            </w: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59</w:t>
            </w: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6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(11)</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Total changes in deferred revenues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20" w:type="dxa"/>
            <w:vAlign w:val="bottom"/>
            <w:vMerge w:val="continue"/>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333</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ind w:left="320" w:hanging="314"/>
        <w:spacing w:after="0" w:line="184" w:lineRule="auto"/>
        <w:tabs>
          <w:tab w:leader="none" w:pos="320" w:val="left"/>
        </w:tabs>
        <w:numPr>
          <w:ilvl w:val="0"/>
          <w:numId w:val="53"/>
        </w:numPr>
        <w:rPr>
          <w:rFonts w:ascii="Arial" w:cs="Arial" w:eastAsia="Arial" w:hAnsi="Arial"/>
          <w:sz w:val="24"/>
          <w:szCs w:val="24"/>
          <w:color w:val="auto"/>
          <w:vertAlign w:val="superscript"/>
        </w:rPr>
      </w:pPr>
      <w:r>
        <w:rPr>
          <w:rFonts w:ascii="Arial" w:cs="Arial" w:eastAsia="Arial" w:hAnsi="Arial"/>
          <w:sz w:val="15"/>
          <w:szCs w:val="15"/>
          <w:color w:val="auto"/>
        </w:rPr>
        <w:t>Net revenues from EMEA consist of the Europe, Middle East, and Africa geographic regions.</w:t>
      </w:r>
    </w:p>
    <w:p>
      <w:pPr>
        <w:ind w:left="320" w:hanging="314"/>
        <w:spacing w:after="0" w:line="184" w:lineRule="auto"/>
        <w:tabs>
          <w:tab w:leader="none" w:pos="320" w:val="left"/>
        </w:tabs>
        <w:numPr>
          <w:ilvl w:val="0"/>
          <w:numId w:val="54"/>
        </w:numPr>
        <w:rPr>
          <w:rFonts w:ascii="Arial" w:cs="Arial" w:eastAsia="Arial" w:hAnsi="Arial"/>
          <w:sz w:val="24"/>
          <w:szCs w:val="24"/>
          <w:color w:val="auto"/>
          <w:vertAlign w:val="superscript"/>
        </w:rPr>
      </w:pPr>
      <w:r>
        <w:rPr>
          <w:rFonts w:ascii="Arial" w:cs="Arial" w:eastAsia="Arial" w:hAnsi="Arial"/>
          <w:sz w:val="15"/>
          <w:szCs w:val="15"/>
          <w:color w:val="auto"/>
        </w:rPr>
        <w:t>Reflects the net effect from deferral of revenues and (recognition) of deferred revenues on certain of our online-enabled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2"/>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212"/>
        </w:trPr>
        <w:tc>
          <w:tcPr>
            <w:tcW w:w="3840" w:type="dxa"/>
            <w:vAlign w:val="bottom"/>
          </w:tcPr>
          <w:p>
            <w:pPr>
              <w:spacing w:after="0"/>
              <w:rPr>
                <w:sz w:val="20"/>
                <w:szCs w:val="20"/>
                <w:color w:val="auto"/>
              </w:rPr>
            </w:pPr>
            <w:r>
              <w:rPr>
                <w:rFonts w:ascii="Arial" w:cs="Arial" w:eastAsia="Arial" w:hAnsi="Arial"/>
                <w:sz w:val="18"/>
                <w:szCs w:val="18"/>
                <w:b w:val="1"/>
                <w:bCs w:val="1"/>
                <w:color w:val="auto"/>
              </w:rPr>
              <w:t>EBITDA AND ADJUSTED EBITDA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Trailing Twelve</w:t>
            </w:r>
          </w:p>
        </w:tc>
      </w:tr>
      <w:tr>
        <w:trPr>
          <w:trHeight w:val="212"/>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Months Ended</w:t>
            </w:r>
          </w:p>
        </w:tc>
      </w:tr>
      <w:tr>
        <w:trPr>
          <w:trHeight w:val="212"/>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38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Borders>
              <w:bottom w:val="single" w:sz="8" w:color="CCEEFF"/>
            </w:tcBorders>
          </w:tcPr>
          <w:p>
            <w:pPr>
              <w:spacing w:after="0"/>
              <w:rPr>
                <w:sz w:val="19"/>
                <w:szCs w:val="19"/>
                <w:color w:val="auto"/>
              </w:rPr>
            </w:pPr>
          </w:p>
        </w:tc>
      </w:tr>
      <w:tr>
        <w:trPr>
          <w:trHeight w:val="206"/>
        </w:trPr>
        <w:tc>
          <w:tcPr>
            <w:tcW w:w="38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GAAP Net Income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7"/>
                <w:szCs w:val="17"/>
                <w:color w:val="auto"/>
              </w:rPr>
            </w:pPr>
          </w:p>
        </w:tc>
      </w:tr>
      <w:tr>
        <w:trPr>
          <w:trHeight w:val="212"/>
        </w:trPr>
        <w:tc>
          <w:tcPr>
            <w:tcW w:w="3840" w:type="dxa"/>
            <w:vAlign w:val="bottom"/>
          </w:tcPr>
          <w:p>
            <w:pPr>
              <w:ind w:left="160"/>
              <w:spacing w:after="0"/>
              <w:rPr>
                <w:sz w:val="20"/>
                <w:szCs w:val="20"/>
                <w:color w:val="auto"/>
              </w:rPr>
            </w:pPr>
            <w:r>
              <w:rPr>
                <w:rFonts w:ascii="Arial" w:cs="Arial" w:eastAsia="Arial" w:hAnsi="Arial"/>
                <w:sz w:val="18"/>
                <w:szCs w:val="18"/>
                <w:color w:val="auto"/>
              </w:rPr>
              <w:t>Interest and other expense (income),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2"/>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25"/>
        </w:trPr>
        <w:tc>
          <w:tcPr>
            <w:tcW w:w="3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06"/>
        </w:trPr>
        <w:tc>
          <w:tcPr>
            <w:tcW w:w="384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EBITDA</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828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987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851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709</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3,375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840" w:type="dxa"/>
            <w:vAlign w:val="bottom"/>
            <w:shd w:val="clear" w:color="auto" w:fill="CCEEFF"/>
          </w:tcPr>
          <w:p>
            <w:pPr>
              <w:ind w:left="160"/>
              <w:spacing w:after="0" w:line="252"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65"/>
        </w:trPr>
        <w:tc>
          <w:tcPr>
            <w:tcW w:w="3840" w:type="dxa"/>
            <w:vAlign w:val="bottom"/>
          </w:tcPr>
          <w:p>
            <w:pPr>
              <w:ind w:left="160"/>
              <w:spacing w:after="0" w:line="265" w:lineRule="exact"/>
              <w:rPr>
                <w:sz w:val="20"/>
                <w:szCs w:val="20"/>
                <w:color w:val="auto"/>
              </w:rPr>
            </w:pPr>
            <w:r>
              <w:rPr>
                <w:rFonts w:ascii="Arial" w:cs="Arial" w:eastAsia="Arial" w:hAnsi="Arial"/>
                <w:sz w:val="18"/>
                <w:szCs w:val="18"/>
                <w:color w:val="auto"/>
              </w:rPr>
              <w:t>Restructuring and related costs</w:t>
            </w:r>
            <w:r>
              <w:rPr>
                <w:rFonts w:ascii="Arial" w:cs="Arial" w:eastAsia="Arial" w:hAnsi="Arial"/>
                <w:sz w:val="29"/>
                <w:szCs w:val="29"/>
                <w:color w:val="auto"/>
                <w:vertAlign w:val="superscript"/>
              </w:rPr>
              <w:t>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8"/>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Change in deferred net revenues and related cost of</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2"/>
        </w:trPr>
        <w:tc>
          <w:tcPr>
            <w:tcW w:w="384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3</w:t>
            </w:r>
          </w:p>
        </w:tc>
        <w:tc>
          <w:tcPr>
            <w:tcW w:w="4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r>
    </w:tbl>
    <w:p>
      <w:pPr>
        <w:spacing w:after="0" w:line="90" w:lineRule="exact"/>
        <w:rPr>
          <w:sz w:val="20"/>
          <w:szCs w:val="20"/>
          <w:color w:val="auto"/>
        </w:rPr>
      </w:pPr>
    </w:p>
    <w:p>
      <w:pPr>
        <w:ind w:left="320" w:hanging="314"/>
        <w:spacing w:after="0"/>
        <w:tabs>
          <w:tab w:leader="none" w:pos="32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Reflects expenses related to share-based compensation, including liability awards accounted for under ASC 718.</w:t>
      </w:r>
    </w:p>
    <w:p>
      <w:pPr>
        <w:ind w:left="320" w:hanging="314"/>
        <w:spacing w:after="0" w:line="184" w:lineRule="auto"/>
        <w:tabs>
          <w:tab w:leader="none" w:pos="320" w:val="left"/>
        </w:tabs>
        <w:numPr>
          <w:ilvl w:val="0"/>
          <w:numId w:val="56"/>
        </w:numPr>
        <w:rPr>
          <w:rFonts w:ascii="Arial" w:cs="Arial" w:eastAsia="Arial" w:hAnsi="Arial"/>
          <w:sz w:val="24"/>
          <w:szCs w:val="24"/>
          <w:color w:val="auto"/>
          <w:vertAlign w:val="superscript"/>
        </w:rPr>
      </w:pPr>
      <w:r>
        <w:rPr>
          <w:rFonts w:ascii="Arial" w:cs="Arial" w:eastAsia="Arial" w:hAnsi="Arial"/>
          <w:sz w:val="15"/>
          <w:szCs w:val="15"/>
          <w:color w:val="auto"/>
        </w:rPr>
        <w:t>Reflects restructuring initiatives, primarily severance and other restructuring-related costs.</w:t>
      </w:r>
    </w:p>
    <w:p>
      <w:pPr>
        <w:spacing w:after="0" w:line="3" w:lineRule="exact"/>
        <w:rPr>
          <w:sz w:val="20"/>
          <w:szCs w:val="20"/>
          <w:color w:val="auto"/>
        </w:rPr>
      </w:pPr>
    </w:p>
    <w:p>
      <w:pPr>
        <w:ind w:left="320" w:right="420" w:hanging="314"/>
        <w:spacing w:after="0" w:line="187" w:lineRule="auto"/>
        <w:tabs>
          <w:tab w:leader="none" w:pos="32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Reflects the net effect from deferral of revenues and (recognition) of deferred revenues, along with related cost of revenues, on certain of our online-enabled products.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Trailing twelve months amounts are presented as calculated. Therefore, the sum of the four quarters,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436880</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ACTIVISION BLIZZARD, INC. AND SUBSIDIARIES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r>
      <w:tr>
        <w:trPr>
          <w:trHeight w:val="212"/>
        </w:trPr>
        <w:tc>
          <w:tcPr>
            <w:tcW w:w="234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8"/>
                <w:szCs w:val="18"/>
                <w:b w:val="1"/>
                <w:bCs w:val="1"/>
                <w:color w:val="auto"/>
              </w:rPr>
              <w:t>(Amounts in millions)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86"/>
        </w:trPr>
        <w:tc>
          <w:tcPr>
            <w:tcW w:w="2340" w:type="dxa"/>
            <w:vAlign w:val="bottom"/>
          </w:tcPr>
          <w:p>
            <w:pPr>
              <w:spacing w:after="0"/>
              <w:rPr>
                <w:sz w:val="20"/>
                <w:szCs w:val="20"/>
                <w:color w:val="auto"/>
              </w:rPr>
            </w:pPr>
            <w:r>
              <w:rPr>
                <w:rFonts w:ascii="Arial" w:cs="Arial" w:eastAsia="Arial" w:hAnsi="Arial"/>
                <w:sz w:val="18"/>
                <w:szCs w:val="18"/>
                <w:b w:val="1"/>
                <w:bCs w:val="1"/>
                <w:color w:val="auto"/>
              </w:rPr>
              <w:t>Net Bookings</w:t>
            </w:r>
            <w:r>
              <w:rPr>
                <w:rFonts w:ascii="Arial" w:cs="Arial" w:eastAsia="Arial" w:hAnsi="Arial"/>
                <w:sz w:val="29"/>
                <w:szCs w:val="29"/>
                <w:b w:val="1"/>
                <w:bCs w:val="1"/>
                <w:color w:val="auto"/>
                <w:vertAlign w:val="superscript"/>
              </w:rPr>
              <w:t>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5"/>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11"/>
          </w:tcPr>
          <w:p>
            <w:pPr>
              <w:jc w:val="right"/>
              <w:ind w:right="1060"/>
              <w:spacing w:after="0"/>
              <w:rPr>
                <w:sz w:val="20"/>
                <w:szCs w:val="20"/>
                <w:color w:val="auto"/>
              </w:rPr>
            </w:pPr>
            <w:r>
              <w:rPr>
                <w:rFonts w:ascii="Arial" w:cs="Arial" w:eastAsia="Arial" w:hAnsi="Arial"/>
                <w:sz w:val="18"/>
                <w:szCs w:val="18"/>
                <w:b w:val="1"/>
                <w:bCs w:val="1"/>
                <w:color w:val="auto"/>
              </w:rPr>
              <w:t>Three Months Ended December 31,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7"/>
          </w:tcPr>
          <w:p>
            <w:pPr>
              <w:ind w:left="20"/>
              <w:spacing w:after="0"/>
              <w:rPr>
                <w:sz w:val="20"/>
                <w:szCs w:val="20"/>
                <w:color w:val="auto"/>
              </w:rPr>
            </w:pPr>
            <w:r>
              <w:rPr>
                <w:rFonts w:ascii="Arial" w:cs="Arial" w:eastAsia="Arial" w:hAnsi="Arial"/>
                <w:sz w:val="18"/>
                <w:szCs w:val="18"/>
                <w:b w:val="1"/>
                <w:bCs w:val="1"/>
                <w:color w:val="auto"/>
                <w:w w:val="97"/>
              </w:rPr>
              <w:t>Year Ended December 31,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8"/>
        </w:trPr>
        <w:tc>
          <w:tcPr>
            <w:tcW w:w="2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60"/>
              <w:spacing w:after="0" w:line="188" w:lineRule="exact"/>
              <w:rPr>
                <w:sz w:val="20"/>
                <w:szCs w:val="20"/>
                <w:color w:val="auto"/>
              </w:rPr>
            </w:pPr>
            <w:r>
              <w:rPr>
                <w:rFonts w:ascii="Arial" w:cs="Arial" w:eastAsia="Arial" w:hAnsi="Arial"/>
                <w:sz w:val="18"/>
                <w:szCs w:val="18"/>
                <w:b w:val="1"/>
                <w:bCs w:val="1"/>
                <w:color w:val="auto"/>
              </w:rPr>
              <w:t>$ Increase</w:t>
            </w:r>
          </w:p>
        </w:tc>
        <w:tc>
          <w:tcPr>
            <w:tcW w:w="8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b w:val="1"/>
                <w:bCs w:val="1"/>
                <w:color w:val="auto"/>
                <w:w w:val="89"/>
              </w:rPr>
              <w:t>% Increase</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280"/>
              <w:spacing w:after="0" w:line="188" w:lineRule="exact"/>
              <w:rPr>
                <w:sz w:val="20"/>
                <w:szCs w:val="20"/>
                <w:color w:val="auto"/>
              </w:rPr>
            </w:pPr>
            <w:r>
              <w:rPr>
                <w:rFonts w:ascii="Arial" w:cs="Arial" w:eastAsia="Arial" w:hAnsi="Arial"/>
                <w:sz w:val="18"/>
                <w:szCs w:val="18"/>
                <w:b w:val="1"/>
                <w:bCs w:val="1"/>
                <w:color w:val="auto"/>
                <w:w w:val="90"/>
              </w:rPr>
              <w:t>$ Increase</w:t>
            </w:r>
          </w:p>
        </w:tc>
        <w:tc>
          <w:tcPr>
            <w:tcW w:w="88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b w:val="1"/>
                <w:bCs w:val="1"/>
                <w:color w:val="auto"/>
                <w:w w:val="91"/>
              </w:rPr>
              <w:t>% Increase</w:t>
            </w:r>
          </w:p>
        </w:tc>
        <w:tc>
          <w:tcPr>
            <w:tcW w:w="220" w:type="dxa"/>
            <w:vAlign w:val="bottom"/>
          </w:tcPr>
          <w:p>
            <w:pPr>
              <w:spacing w:after="0"/>
              <w:rPr>
                <w:sz w:val="16"/>
                <w:szCs w:val="16"/>
                <w:color w:val="auto"/>
              </w:rPr>
            </w:pPr>
          </w:p>
        </w:tc>
      </w:tr>
      <w:tr>
        <w:trPr>
          <w:trHeight w:val="230"/>
        </w:trPr>
        <w:tc>
          <w:tcPr>
            <w:tcW w:w="2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(Decrease)</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(Decrease)</w:t>
            </w:r>
          </w:p>
        </w:tc>
        <w:tc>
          <w:tcPr>
            <w:tcW w:w="220" w:type="dxa"/>
            <w:vAlign w:val="bottom"/>
            <w:tcBorders>
              <w:bottom w:val="single" w:sz="8" w:color="CCEEFF"/>
            </w:tcBorders>
          </w:tcPr>
          <w:p>
            <w:pPr>
              <w:spacing w:after="0"/>
              <w:rPr>
                <w:sz w:val="19"/>
                <w:szCs w:val="19"/>
                <w:color w:val="auto"/>
              </w:rPr>
            </w:pPr>
          </w:p>
        </w:tc>
      </w:tr>
      <w:tr>
        <w:trPr>
          <w:trHeight w:val="232"/>
        </w:trPr>
        <w:tc>
          <w:tcPr>
            <w:tcW w:w="234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Net bookings</w:t>
            </w:r>
            <w:r>
              <w:rPr>
                <w:rFonts w:ascii="Arial" w:cs="Arial" w:eastAsia="Arial" w:hAnsi="Arial"/>
                <w:sz w:val="26"/>
                <w:szCs w:val="26"/>
                <w:color w:val="auto"/>
                <w:vertAlign w:val="superscript"/>
              </w:rPr>
              <w:t>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3,051</w:t>
            </w: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w:t>
            </w:r>
          </w:p>
        </w:tc>
        <w:tc>
          <w:tcPr>
            <w:tcW w:w="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84"/>
        </w:trPr>
        <w:tc>
          <w:tcPr>
            <w:tcW w:w="2340" w:type="dxa"/>
            <w:vAlign w:val="bottom"/>
          </w:tcPr>
          <w:p>
            <w:pPr>
              <w:spacing w:after="0"/>
              <w:rPr>
                <w:sz w:val="20"/>
                <w:szCs w:val="20"/>
                <w:color w:val="auto"/>
              </w:rPr>
            </w:pPr>
            <w:r>
              <w:rPr>
                <w:rFonts w:ascii="Arial" w:cs="Arial" w:eastAsia="Arial" w:hAnsi="Arial"/>
                <w:sz w:val="18"/>
                <w:szCs w:val="18"/>
                <w:color w:val="auto"/>
              </w:rPr>
              <w:t>In-game net bookings</w:t>
            </w:r>
            <w:r>
              <w:rPr>
                <w:rFonts w:ascii="Arial" w:cs="Arial" w:eastAsia="Arial" w:hAnsi="Arial"/>
                <w:sz w:val="29"/>
                <w:szCs w:val="29"/>
                <w:color w:val="auto"/>
                <w:vertAlign w:val="superscript"/>
              </w:rPr>
              <w:t>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1,324</w:t>
            </w: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107" w:lineRule="exact"/>
        <w:rPr>
          <w:sz w:val="20"/>
          <w:szCs w:val="20"/>
          <w:color w:val="auto"/>
        </w:rPr>
      </w:pPr>
    </w:p>
    <w:p>
      <w:pPr>
        <w:ind w:right="40" w:firstLine="6"/>
        <w:spacing w:after="0" w:line="216" w:lineRule="auto"/>
        <w:tabs>
          <w:tab w:leader="none" w:pos="118" w:val="left"/>
        </w:tabs>
        <w:numPr>
          <w:ilvl w:val="0"/>
          <w:numId w:val="58"/>
        </w:numPr>
        <w:rPr>
          <w:rFonts w:ascii="Arial" w:cs="Arial" w:eastAsia="Arial" w:hAnsi="Arial"/>
          <w:sz w:val="29"/>
          <w:szCs w:val="29"/>
          <w:color w:val="auto"/>
          <w:vertAlign w:val="superscript"/>
        </w:rPr>
      </w:pPr>
      <w:r>
        <w:rPr>
          <w:rFonts w:ascii="Arial" w:cs="Arial" w:eastAsia="Arial" w:hAnsi="Arial"/>
          <w:sz w:val="18"/>
          <w:szCs w:val="18"/>
          <w:color w:val="auto"/>
        </w:rPr>
        <w:t>We monitor net bookings as a key operating metric in evaluating the performance of our business because it enables an analysis of performance based on the timing of actual transactions with our customers and provides more timely indications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228" w:lineRule="exact"/>
        <w:rPr>
          <w:sz w:val="20"/>
          <w:szCs w:val="20"/>
          <w:color w:val="auto"/>
        </w:rPr>
      </w:pPr>
    </w:p>
    <w:p>
      <w:pPr>
        <w:ind w:right="160" w:firstLine="6"/>
        <w:spacing w:after="0" w:line="193" w:lineRule="auto"/>
        <w:tabs>
          <w:tab w:leader="none" w:pos="118"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In-game net bookings primarily includes the net amount of downloadable content and microtransactions sold during the period, and is equal to in-game net revenues excluding the impact from deferrals.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2940" w:type="dxa"/>
            <w:vAlign w:val="bottom"/>
          </w:tcPr>
          <w:p>
            <w:pPr>
              <w:spacing w:after="0"/>
              <w:rPr>
                <w:sz w:val="20"/>
                <w:szCs w:val="20"/>
                <w:color w:val="auto"/>
              </w:rPr>
            </w:pPr>
            <w:r>
              <w:rPr>
                <w:rFonts w:ascii="Arial" w:cs="Arial" w:eastAsia="Arial" w:hAnsi="Arial"/>
                <w:sz w:val="18"/>
                <w:szCs w:val="18"/>
                <w:b w:val="1"/>
                <w:bCs w:val="1"/>
                <w:color w:val="auto"/>
              </w:rPr>
              <w:t>Monthly Active Users</w:t>
            </w:r>
            <w:r>
              <w:rPr>
                <w:rFonts w:ascii="Arial" w:cs="Arial" w:eastAsia="Arial" w:hAnsi="Arial"/>
                <w:sz w:val="29"/>
                <w:szCs w:val="29"/>
                <w:b w:val="1"/>
                <w:bCs w:val="1"/>
                <w:color w:val="auto"/>
                <w:vertAlign w:val="superscript"/>
              </w:rPr>
              <w:t>3</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9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 2021</w:t>
            </w: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2021</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9"/>
              </w:rPr>
              <w:t>September 30, 2021</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06"/>
        </w:trPr>
        <w:tc>
          <w:tcPr>
            <w:tcW w:w="29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Activision</w:t>
            </w:r>
          </w:p>
        </w:tc>
        <w:tc>
          <w:tcPr>
            <w:tcW w:w="14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128</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127</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119</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Blizzard</w:t>
            </w: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MAUs</w:t>
            </w: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4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60" w:firstLine="6"/>
        <w:spacing w:after="0" w:line="258" w:lineRule="auto"/>
        <w:tabs>
          <w:tab w:leader="none" w:pos="118" w:val="left"/>
        </w:tabs>
        <w:numPr>
          <w:ilvl w:val="0"/>
          <w:numId w:val="60"/>
        </w:numPr>
        <w:rPr>
          <w:rFonts w:ascii="Arial" w:cs="Arial" w:eastAsia="Arial" w:hAnsi="Arial"/>
          <w:sz w:val="26"/>
          <w:szCs w:val="26"/>
          <w:color w:val="auto"/>
          <w:vertAlign w:val="superscript"/>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bullet"/>
      <w:start w:val="1"/>
    </w:lvl>
  </w:abstractNum>
  <w:abstractNum w:abstractNumId="8">
    <w:nsid w:val="419AC241"/>
    <w:multiLevelType w:val="hybridMultilevel"/>
    <w:lvl w:ilvl="0">
      <w:lvlJc w:val="left"/>
      <w:lvlText w:val="A"/>
      <w:numFmt w:val="bullet"/>
      <w:start w:val="1"/>
    </w:lvl>
  </w:abstractNum>
  <w:abstractNum w:abstractNumId="9">
    <w:nsid w:val="5577F8E1"/>
    <w:multiLevelType w:val="hybridMultilevel"/>
    <w:lvl w:ilvl="0">
      <w:lvlJc w:val="left"/>
      <w:lvlText w:val="B"/>
      <w:numFmt w:val="bullet"/>
      <w:start w:val="1"/>
    </w:lvl>
  </w:abstractNum>
  <w:abstractNum w:abstractNumId="10">
    <w:nsid w:val="440BADFC"/>
    <w:multiLevelType w:val="hybridMultilevel"/>
    <w:lvl w:ilvl="0">
      <w:lvlJc w:val="left"/>
      <w:lvlText w:val="C"/>
      <w:numFmt w:val="bullet"/>
      <w:start w:val="1"/>
    </w:lvl>
  </w:abstractNum>
  <w:abstractNum w:abstractNumId="11">
    <w:nsid w:val="5072367"/>
    <w:multiLevelType w:val="hybridMultilevel"/>
    <w:lvl w:ilvl="0">
      <w:lvlJc w:val="left"/>
      <w:lvlText w:val="D"/>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bullet"/>
      <w:start w:val="1"/>
    </w:lvl>
  </w:abstractNum>
  <w:abstractNum w:abstractNumId="14">
    <w:nsid w:val="7724C67E"/>
    <w:multiLevelType w:val="hybridMultilevel"/>
    <w:lvl w:ilvl="0">
      <w:lvlJc w:val="left"/>
      <w:lvlText w:val="1"/>
      <w:numFmt w:val="bullet"/>
      <w:start w:val="1"/>
    </w:lvl>
  </w:abstractNum>
  <w:abstractNum w:abstractNumId="15">
    <w:nsid w:val="5C482A97"/>
    <w:multiLevelType w:val="hybridMultilevel"/>
    <w:lvl w:ilvl="0">
      <w:lvlJc w:val="left"/>
      <w:lvlText w:val="2"/>
      <w:numFmt w:val="bullet"/>
      <w:start w:val="1"/>
    </w:lvl>
  </w:abstractNum>
  <w:abstractNum w:abstractNumId="16">
    <w:nsid w:val="2463B9EA"/>
    <w:multiLevelType w:val="hybridMultilevel"/>
    <w:lvl w:ilvl="0">
      <w:lvlJc w:val="left"/>
      <w:lvlText w:val="1"/>
      <w:numFmt w:val="bullet"/>
      <w:start w:val="1"/>
    </w:lvl>
  </w:abstractNum>
  <w:abstractNum w:abstractNumId="17">
    <w:nsid w:val="5E884ADC"/>
    <w:multiLevelType w:val="hybridMultilevel"/>
    <w:lvl w:ilvl="0">
      <w:lvlJc w:val="left"/>
      <w:lvlText w:val="2"/>
      <w:numFmt w:val="bullet"/>
      <w:start w:val="1"/>
    </w:lvl>
  </w:abstractNum>
  <w:abstractNum w:abstractNumId="18">
    <w:nsid w:val="51EAD36B"/>
    <w:multiLevelType w:val="hybridMultilevel"/>
    <w:lvl w:ilvl="0">
      <w:lvlJc w:val="left"/>
      <w:lvlText w:val="1"/>
      <w:numFmt w:val="bullet"/>
      <w:start w:val="1"/>
    </w:lvl>
  </w:abstractNum>
  <w:abstractNum w:abstractNumId="19">
    <w:nsid w:val="2D517796"/>
    <w:multiLevelType w:val="hybridMultilevel"/>
    <w:lvl w:ilvl="0">
      <w:lvlJc w:val="left"/>
      <w:lvlText w:val="2"/>
      <w:numFmt w:val="bullet"/>
      <w:start w:val="1"/>
    </w:lvl>
  </w:abstractNum>
  <w:abstractNum w:abstractNumId="20">
    <w:nsid w:val="580BD78F"/>
    <w:multiLevelType w:val="hybridMultilevel"/>
    <w:lvl w:ilvl="0">
      <w:lvlJc w:val="left"/>
      <w:lvlText w:val="3"/>
      <w:numFmt w:val="bullet"/>
      <w:start w:val="1"/>
    </w:lvl>
  </w:abstractNum>
  <w:abstractNum w:abstractNumId="21">
    <w:nsid w:val="153EA438"/>
    <w:multiLevelType w:val="hybridMultilevel"/>
    <w:lvl w:ilvl="0">
      <w:lvlJc w:val="left"/>
      <w:lvlText w:val="4"/>
      <w:numFmt w:val="bullet"/>
      <w:start w:val="1"/>
    </w:lvl>
  </w:abstractNum>
  <w:abstractNum w:abstractNumId="22">
    <w:nsid w:val="3855585C"/>
    <w:multiLevelType w:val="hybridMultilevel"/>
    <w:lvl w:ilvl="0">
      <w:lvlJc w:val="left"/>
      <w:lvlText w:val="5"/>
      <w:numFmt w:val="bullet"/>
      <w:start w:val="1"/>
    </w:lvl>
  </w:abstractNum>
  <w:abstractNum w:abstractNumId="23">
    <w:nsid w:val="70A64E2A"/>
    <w:multiLevelType w:val="hybridMultilevel"/>
    <w:lvl w:ilvl="0">
      <w:lvlJc w:val="left"/>
      <w:lvlText w:val="1"/>
      <w:numFmt w:val="bullet"/>
      <w:start w:val="1"/>
    </w:lvl>
  </w:abstractNum>
  <w:abstractNum w:abstractNumId="24">
    <w:nsid w:val="6A2342EC"/>
    <w:multiLevelType w:val="hybridMultilevel"/>
    <w:lvl w:ilvl="0">
      <w:lvlJc w:val="left"/>
      <w:lvlText w:val="2"/>
      <w:numFmt w:val="bullet"/>
      <w:start w:val="1"/>
    </w:lvl>
  </w:abstractNum>
  <w:abstractNum w:abstractNumId="25">
    <w:nsid w:val="2A487CB0"/>
    <w:multiLevelType w:val="hybridMultilevel"/>
    <w:lvl w:ilvl="0">
      <w:lvlJc w:val="left"/>
      <w:lvlText w:val="3"/>
      <w:numFmt w:val="bullet"/>
      <w:start w:val="1"/>
    </w:lvl>
  </w:abstractNum>
  <w:abstractNum w:abstractNumId="26">
    <w:nsid w:val="1D4ED43B"/>
    <w:multiLevelType w:val="hybridMultilevel"/>
    <w:lvl w:ilvl="0">
      <w:lvlJc w:val="left"/>
      <w:lvlText w:val="4"/>
      <w:numFmt w:val="bullet"/>
      <w:start w:val="1"/>
    </w:lvl>
  </w:abstractNum>
  <w:abstractNum w:abstractNumId="27">
    <w:nsid w:val="725A06FB"/>
    <w:multiLevelType w:val="hybridMultilevel"/>
    <w:lvl w:ilvl="0">
      <w:lvlJc w:val="left"/>
      <w:lvlText w:val="5"/>
      <w:numFmt w:val="bullet"/>
      <w:start w:val="1"/>
    </w:lvl>
  </w:abstractNum>
  <w:abstractNum w:abstractNumId="28">
    <w:nsid w:val="2CD89A32"/>
    <w:multiLevelType w:val="hybridMultilevel"/>
    <w:lvl w:ilvl="0">
      <w:lvlJc w:val="left"/>
      <w:lvlText w:val="1"/>
      <w:numFmt w:val="bullet"/>
      <w:start w:val="1"/>
    </w:lvl>
  </w:abstractNum>
  <w:abstractNum w:abstractNumId="29">
    <w:nsid w:val="57E4CCAF"/>
    <w:multiLevelType w:val="hybridMultilevel"/>
    <w:lvl w:ilvl="0">
      <w:lvlJc w:val="left"/>
      <w:lvlText w:val="2"/>
      <w:numFmt w:val="bullet"/>
      <w:start w:val="1"/>
    </w:lvl>
  </w:abstractNum>
  <w:abstractNum w:abstractNumId="30">
    <w:nsid w:val="7A6D8D3C"/>
    <w:multiLevelType w:val="hybridMultilevel"/>
    <w:lvl w:ilvl="0">
      <w:lvlJc w:val="left"/>
      <w:lvlText w:val="3"/>
      <w:numFmt w:val="bullet"/>
      <w:start w:val="1"/>
    </w:lvl>
  </w:abstractNum>
  <w:abstractNum w:abstractNumId="31">
    <w:nsid w:val="4B588F54"/>
    <w:multiLevelType w:val="hybridMultilevel"/>
    <w:lvl w:ilvl="0">
      <w:lvlJc w:val="left"/>
      <w:lvlText w:val="4"/>
      <w:numFmt w:val="bullet"/>
      <w:start w:val="1"/>
    </w:lvl>
  </w:abstractNum>
  <w:abstractNum w:abstractNumId="32">
    <w:nsid w:val="542289EC"/>
    <w:multiLevelType w:val="hybridMultilevel"/>
    <w:lvl w:ilvl="0">
      <w:lvlJc w:val="left"/>
      <w:lvlText w:val="5"/>
      <w:numFmt w:val="bullet"/>
      <w:start w:val="1"/>
    </w:lvl>
  </w:abstractNum>
  <w:abstractNum w:abstractNumId="33">
    <w:nsid w:val="6DE91B18"/>
    <w:multiLevelType w:val="hybridMultilevel"/>
    <w:lvl w:ilvl="0">
      <w:lvlJc w:val="left"/>
      <w:lvlText w:val="1"/>
      <w:numFmt w:val="bullet"/>
      <w:start w:val="1"/>
    </w:lvl>
  </w:abstractNum>
  <w:abstractNum w:abstractNumId="34">
    <w:nsid w:val="38437FDB"/>
    <w:multiLevelType w:val="hybridMultilevel"/>
    <w:lvl w:ilvl="0">
      <w:lvlJc w:val="left"/>
      <w:lvlText w:val="2"/>
      <w:numFmt w:val="bullet"/>
      <w:start w:val="1"/>
    </w:lvl>
  </w:abstractNum>
  <w:abstractNum w:abstractNumId="35">
    <w:nsid w:val="7644A45C"/>
    <w:multiLevelType w:val="hybridMultilevel"/>
    <w:lvl w:ilvl="0">
      <w:lvlJc w:val="left"/>
      <w:lvlText w:val="3"/>
      <w:numFmt w:val="bullet"/>
      <w:start w:val="1"/>
    </w:lvl>
  </w:abstractNum>
  <w:abstractNum w:abstractNumId="36">
    <w:nsid w:val="32FFF902"/>
    <w:multiLevelType w:val="hybridMultilevel"/>
    <w:lvl w:ilvl="0">
      <w:lvlJc w:val="left"/>
      <w:lvlText w:val="4"/>
      <w:numFmt w:val="bullet"/>
      <w:start w:val="1"/>
    </w:lvl>
  </w:abstractNum>
  <w:abstractNum w:abstractNumId="37">
    <w:nsid w:val="684A481A"/>
    <w:multiLevelType w:val="hybridMultilevel"/>
    <w:lvl w:ilvl="0">
      <w:lvlJc w:val="left"/>
      <w:lvlText w:val="1"/>
      <w:numFmt w:val="bullet"/>
      <w:start w:val="1"/>
    </w:lvl>
  </w:abstractNum>
  <w:abstractNum w:abstractNumId="38">
    <w:nsid w:val="579478FE"/>
    <w:multiLevelType w:val="hybridMultilevel"/>
    <w:lvl w:ilvl="0">
      <w:lvlJc w:val="left"/>
      <w:lvlText w:val="1"/>
      <w:numFmt w:val="bullet"/>
      <w:start w:val="1"/>
    </w:lvl>
  </w:abstractNum>
  <w:abstractNum w:abstractNumId="39">
    <w:nsid w:val="749ABB43"/>
    <w:multiLevelType w:val="hybridMultilevel"/>
    <w:lvl w:ilvl="0">
      <w:lvlJc w:val="left"/>
      <w:lvlText w:val="2"/>
      <w:numFmt w:val="bullet"/>
      <w:start w:val="1"/>
    </w:lvl>
  </w:abstractNum>
  <w:abstractNum w:abstractNumId="40">
    <w:nsid w:val="3DC240FB"/>
    <w:multiLevelType w:val="hybridMultilevel"/>
    <w:lvl w:ilvl="0">
      <w:lvlJc w:val="left"/>
      <w:lvlText w:val="3"/>
      <w:numFmt w:val="bullet"/>
      <w:start w:val="1"/>
    </w:lvl>
  </w:abstractNum>
  <w:abstractNum w:abstractNumId="41">
    <w:nsid w:val="1BA026FA"/>
    <w:multiLevelType w:val="hybridMultilevel"/>
    <w:lvl w:ilvl="0">
      <w:lvlJc w:val="left"/>
      <w:lvlText w:val="4"/>
      <w:numFmt w:val="bullet"/>
      <w:start w:val="1"/>
    </w:lvl>
  </w:abstractNum>
  <w:abstractNum w:abstractNumId="42">
    <w:nsid w:val="79A1DEAA"/>
    <w:multiLevelType w:val="hybridMultilevel"/>
    <w:lvl w:ilvl="0">
      <w:lvlJc w:val="left"/>
      <w:lvlText w:val="5"/>
      <w:numFmt w:val="bullet"/>
      <w:start w:val="1"/>
    </w:lvl>
  </w:abstractNum>
  <w:abstractNum w:abstractNumId="43">
    <w:nsid w:val="75C6C33A"/>
    <w:multiLevelType w:val="hybridMultilevel"/>
    <w:lvl w:ilvl="0">
      <w:lvlJc w:val="left"/>
      <w:lvlText w:val="1"/>
      <w:numFmt w:val="bullet"/>
      <w:start w:val="1"/>
    </w:lvl>
  </w:abstractNum>
  <w:abstractNum w:abstractNumId="44">
    <w:nsid w:val="12E685FB"/>
    <w:multiLevelType w:val="hybridMultilevel"/>
    <w:lvl w:ilvl="0">
      <w:lvlJc w:val="left"/>
      <w:lvlText w:val="2"/>
      <w:numFmt w:val="bullet"/>
      <w:start w:val="1"/>
    </w:lvl>
  </w:abstractNum>
  <w:abstractNum w:abstractNumId="45">
    <w:nsid w:val="70C6A529"/>
    <w:multiLevelType w:val="hybridMultilevel"/>
    <w:lvl w:ilvl="0">
      <w:lvlJc w:val="left"/>
      <w:lvlText w:val="3"/>
      <w:numFmt w:val="bullet"/>
      <w:start w:val="1"/>
    </w:lvl>
  </w:abstractNum>
  <w:abstractNum w:abstractNumId="46">
    <w:nsid w:val="520EEDD1"/>
    <w:multiLevelType w:val="hybridMultilevel"/>
    <w:lvl w:ilvl="0">
      <w:lvlJc w:val="left"/>
      <w:lvlText w:val="4"/>
      <w:numFmt w:val="bullet"/>
      <w:start w:val="1"/>
    </w:lvl>
  </w:abstractNum>
  <w:abstractNum w:abstractNumId="47">
    <w:nsid w:val="374A3FE6"/>
    <w:multiLevelType w:val="hybridMultilevel"/>
    <w:lvl w:ilvl="0">
      <w:lvlJc w:val="left"/>
      <w:lvlText w:val="1"/>
      <w:numFmt w:val="bullet"/>
      <w:start w:val="1"/>
    </w:lvl>
  </w:abstractNum>
  <w:abstractNum w:abstractNumId="48">
    <w:nsid w:val="4F4EF005"/>
    <w:multiLevelType w:val="hybridMultilevel"/>
    <w:lvl w:ilvl="0">
      <w:lvlJc w:val="left"/>
      <w:lvlText w:val="2"/>
      <w:numFmt w:val="bullet"/>
      <w:start w:val="1"/>
    </w:lvl>
  </w:abstractNum>
  <w:abstractNum w:abstractNumId="49">
    <w:nsid w:val="23F9C13C"/>
    <w:multiLevelType w:val="hybridMultilevel"/>
    <w:lvl w:ilvl="0">
      <w:lvlJc w:val="left"/>
      <w:lvlText w:val="3"/>
      <w:numFmt w:val="bullet"/>
      <w:start w:val="1"/>
    </w:lvl>
  </w:abstractNum>
  <w:abstractNum w:abstractNumId="50">
    <w:nsid w:val="649BB77C"/>
    <w:multiLevelType w:val="hybridMultilevel"/>
    <w:lvl w:ilvl="0">
      <w:lvlJc w:val="left"/>
      <w:lvlText w:val="4"/>
      <w:numFmt w:val="bullet"/>
      <w:start w:val="1"/>
    </w:lvl>
  </w:abstractNum>
  <w:abstractNum w:abstractNumId="51">
    <w:nsid w:val="275AC794"/>
    <w:multiLevelType w:val="hybridMultilevel"/>
    <w:lvl w:ilvl="0">
      <w:lvlJc w:val="left"/>
      <w:lvlText w:val="1"/>
      <w:numFmt w:val="bullet"/>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3"/>
      <w:numFmt w:val="bullet"/>
      <w:start w:val="1"/>
    </w:lvl>
  </w:abstractNum>
  <w:abstractNum w:abstractNumId="54">
    <w:nsid w:val="180115BE"/>
    <w:multiLevelType w:val="hybridMultilevel"/>
    <w:lvl w:ilvl="0">
      <w:lvlJc w:val="left"/>
      <w:lvlText w:val="1"/>
      <w:numFmt w:val="bullet"/>
      <w:start w:val="1"/>
    </w:lvl>
  </w:abstractNum>
  <w:abstractNum w:abstractNumId="55">
    <w:nsid w:val="235BA861"/>
    <w:multiLevelType w:val="hybridMultilevel"/>
    <w:lvl w:ilvl="0">
      <w:lvlJc w:val="left"/>
      <w:lvlText w:val="2"/>
      <w:numFmt w:val="bullet"/>
      <w:start w:val="1"/>
    </w:lvl>
  </w:abstractNum>
  <w:abstractNum w:abstractNumId="56">
    <w:nsid w:val="47398C89"/>
    <w:multiLevelType w:val="hybridMultilevel"/>
    <w:lvl w:ilvl="0">
      <w:lvlJc w:val="left"/>
      <w:lvlText w:val="3"/>
      <w:numFmt w:val="bullet"/>
      <w:start w:val="1"/>
    </w:lvl>
  </w:abstractNum>
  <w:abstractNum w:abstractNumId="57">
    <w:nsid w:val="354FE9F9"/>
    <w:multiLevelType w:val="hybridMultilevel"/>
    <w:lvl w:ilvl="0">
      <w:lvlJc w:val="left"/>
      <w:lvlText w:val="1"/>
      <w:numFmt w:val="bullet"/>
      <w:start w:val="1"/>
    </w:lvl>
  </w:abstractNum>
  <w:abstractNum w:abstractNumId="58">
    <w:nsid w:val="15B5AF5C"/>
    <w:multiLevelType w:val="hybridMultilevel"/>
    <w:lvl w:ilvl="0">
      <w:lvlJc w:val="left"/>
      <w:lvlText w:val="2"/>
      <w:numFmt w:val="bullet"/>
      <w:start w:val="1"/>
    </w:lvl>
  </w:abstractNum>
  <w:abstractNum w:abstractNumId="59">
    <w:nsid w:val="741226B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2022-02-03T15:51:24Z</dcterms:created>
  <dcterms:modified xsi:type="dcterms:W3CDTF">2022-02-03T15:51:24Z</dcterms:modified>
</cp:coreProperties>
</file>