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153670</wp:posOffset>
            </wp:positionH>
            <wp:positionV relativeFrom="page">
              <wp:posOffset>494030</wp:posOffset>
            </wp:positionV>
            <wp:extent cx="725424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1651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93" w:lineRule="exact"/>
        <w:rPr>
          <w:sz w:val="24"/>
          <w:szCs w:val="24"/>
          <w:color w:val="auto"/>
        </w:rPr>
      </w:pPr>
    </w:p>
    <w:p>
      <w:pPr>
        <w:ind w:left="1960" w:hanging="328"/>
        <w:spacing w:after="0"/>
        <w:tabs>
          <w:tab w:leader="none" w:pos="19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ANNUAL REPORT PURSUANT TO SECTION 13 OR 15(d) OF THE SECURITIES EXCHANGE ACT OF 1934</w:t>
      </w:r>
    </w:p>
    <w:p>
      <w:pPr>
        <w:spacing w:after="0" w:line="162"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For the Fiscal Year Ended December 31, 2019</w:t>
      </w:r>
    </w:p>
    <w:p>
      <w:pPr>
        <w:spacing w:after="0" w:line="111" w:lineRule="exact"/>
        <w:rPr>
          <w:sz w:val="24"/>
          <w:szCs w:val="24"/>
          <w:color w:val="auto"/>
        </w:rPr>
      </w:pPr>
    </w:p>
    <w:p>
      <w:pPr>
        <w:ind w:left="5580"/>
        <w:spacing w:after="0"/>
        <w:rPr>
          <w:sz w:val="20"/>
          <w:szCs w:val="20"/>
          <w:color w:val="auto"/>
        </w:rPr>
      </w:pPr>
      <w:r>
        <w:rPr>
          <w:rFonts w:ascii="Arial" w:cs="Arial" w:eastAsia="Arial" w:hAnsi="Arial"/>
          <w:sz w:val="17"/>
          <w:szCs w:val="17"/>
          <w:b w:val="1"/>
          <w:bCs w:val="1"/>
          <w:color w:val="auto"/>
        </w:rPr>
        <w:t>OR</w:t>
      </w:r>
    </w:p>
    <w:p>
      <w:pPr>
        <w:spacing w:after="0" w:line="82" w:lineRule="exact"/>
        <w:rPr>
          <w:sz w:val="24"/>
          <w:szCs w:val="24"/>
          <w:color w:val="auto"/>
        </w:rPr>
      </w:pPr>
    </w:p>
    <w:p>
      <w:pPr>
        <w:ind w:left="154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TRANSITION REPORT PURSUANT TO SECTION 13 OR 15(d) OF THE SECURITIES EXCHANGE ACT OF 1934</w:t>
      </w:r>
    </w:p>
    <w:p>
      <w:pPr>
        <w:spacing w:after="0" w:line="139" w:lineRule="exact"/>
        <w:rPr>
          <w:sz w:val="24"/>
          <w:szCs w:val="24"/>
          <w:color w:val="auto"/>
        </w:rPr>
      </w:pPr>
    </w:p>
    <w:p>
      <w:pPr>
        <w:ind w:left="4160"/>
        <w:spacing w:after="0"/>
        <w:tabs>
          <w:tab w:leader="none" w:pos="72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1" w:lineRule="exact"/>
        <w:rPr>
          <w:sz w:val="24"/>
          <w:szCs w:val="24"/>
          <w:color w:val="auto"/>
        </w:rPr>
      </w:pPr>
    </w:p>
    <w:p>
      <w:pPr>
        <w:ind w:left="4480"/>
        <w:spacing w:after="0"/>
        <w:rPr>
          <w:sz w:val="20"/>
          <w:szCs w:val="20"/>
          <w:color w:val="auto"/>
        </w:rPr>
      </w:pPr>
      <w:r>
        <w:rPr>
          <w:rFonts w:ascii="Arial" w:cs="Arial" w:eastAsia="Arial" w:hAnsi="Arial"/>
          <w:sz w:val="17"/>
          <w:szCs w:val="17"/>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2996565</wp:posOffset>
            </wp:positionH>
            <wp:positionV relativeFrom="paragraph">
              <wp:posOffset>48260</wp:posOffset>
            </wp:positionV>
            <wp:extent cx="1271270" cy="396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1270" cy="396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ACTIVISION BLIZZARD, INC.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320" w:type="dxa"/>
            <w:vAlign w:val="bottom"/>
          </w:tcPr>
          <w:p>
            <w:pPr>
              <w:jc w:val="center"/>
              <w:ind w:left="2215"/>
              <w:spacing w:after="0"/>
              <w:rPr>
                <w:sz w:val="20"/>
                <w:szCs w:val="20"/>
                <w:color w:val="auto"/>
              </w:rPr>
            </w:pPr>
            <w:r>
              <w:rPr>
                <w:rFonts w:ascii="Arial" w:cs="Arial" w:eastAsia="Arial" w:hAnsi="Arial"/>
                <w:sz w:val="17"/>
                <w:szCs w:val="17"/>
                <w:b w:val="1"/>
                <w:bCs w:val="1"/>
                <w:color w:val="auto"/>
                <w:w w:val="93"/>
              </w:rPr>
              <w:t>Delaware</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jc w:val="right"/>
              <w:ind w:right="2235"/>
              <w:spacing w:after="0"/>
              <w:rPr>
                <w:sz w:val="20"/>
                <w:szCs w:val="20"/>
                <w:color w:val="auto"/>
              </w:rPr>
            </w:pPr>
            <w:r>
              <w:rPr>
                <w:rFonts w:ascii="Arial" w:cs="Arial" w:eastAsia="Arial" w:hAnsi="Arial"/>
                <w:sz w:val="17"/>
                <w:szCs w:val="17"/>
                <w:b w:val="1"/>
                <w:bCs w:val="1"/>
                <w:color w:val="auto"/>
              </w:rPr>
              <w:t>95-4803544</w:t>
            </w:r>
          </w:p>
        </w:tc>
      </w:tr>
      <w:tr>
        <w:trPr>
          <w:trHeight w:val="27"/>
        </w:trPr>
        <w:tc>
          <w:tcPr>
            <w:tcW w:w="4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1"/>
        </w:trPr>
        <w:tc>
          <w:tcPr>
            <w:tcW w:w="4920" w:type="dxa"/>
            <w:vAlign w:val="bottom"/>
            <w:gridSpan w:val="3"/>
          </w:tcPr>
          <w:p>
            <w:pPr>
              <w:jc w:val="center"/>
              <w:ind w:left="615"/>
              <w:spacing w:after="0"/>
              <w:rPr>
                <w:sz w:val="20"/>
                <w:szCs w:val="20"/>
                <w:color w:val="auto"/>
              </w:rPr>
            </w:pPr>
            <w:r>
              <w:rPr>
                <w:rFonts w:ascii="Arial" w:cs="Arial" w:eastAsia="Arial" w:hAnsi="Arial"/>
                <w:sz w:val="17"/>
                <w:szCs w:val="17"/>
                <w:color w:val="auto"/>
                <w:w w:val="92"/>
              </w:rPr>
              <w:t>(State or other jurisdiction of incorporation or organization)</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jc w:val="center"/>
              <w:ind w:right="935"/>
              <w:spacing w:after="0"/>
              <w:rPr>
                <w:sz w:val="20"/>
                <w:szCs w:val="20"/>
                <w:color w:val="auto"/>
              </w:rPr>
            </w:pPr>
            <w:r>
              <w:rPr>
                <w:rFonts w:ascii="Arial" w:cs="Arial" w:eastAsia="Arial" w:hAnsi="Arial"/>
                <w:sz w:val="17"/>
                <w:szCs w:val="17"/>
                <w:color w:val="auto"/>
                <w:w w:val="93"/>
              </w:rPr>
              <w:t>(I.R.S. Employer Identification No.)</w:t>
            </w:r>
          </w:p>
        </w:tc>
      </w:tr>
      <w:tr>
        <w:trPr>
          <w:trHeight w:val="255"/>
        </w:trPr>
        <w:tc>
          <w:tcPr>
            <w:tcW w:w="3320" w:type="dxa"/>
            <w:vAlign w:val="bottom"/>
          </w:tcPr>
          <w:p>
            <w:pPr>
              <w:ind w:left="420"/>
              <w:spacing w:after="0"/>
              <w:rPr>
                <w:sz w:val="20"/>
                <w:szCs w:val="20"/>
                <w:color w:val="auto"/>
              </w:rPr>
            </w:pPr>
            <w:r>
              <w:rPr>
                <w:rFonts w:ascii="Arial" w:cs="Arial" w:eastAsia="Arial" w:hAnsi="Arial"/>
                <w:sz w:val="17"/>
                <w:szCs w:val="17"/>
                <w:b w:val="1"/>
                <w:bCs w:val="1"/>
                <w:color w:val="auto"/>
              </w:rPr>
              <w:t>3100 Ocean Park Boulevard</w:t>
            </w:r>
          </w:p>
        </w:tc>
        <w:tc>
          <w:tcPr>
            <w:tcW w:w="1600" w:type="dxa"/>
            <w:vAlign w:val="bottom"/>
            <w:gridSpan w:val="2"/>
          </w:tcPr>
          <w:p>
            <w:pPr>
              <w:ind w:left="180"/>
              <w:spacing w:after="0"/>
              <w:rPr>
                <w:sz w:val="20"/>
                <w:szCs w:val="20"/>
                <w:color w:val="auto"/>
              </w:rPr>
            </w:pPr>
            <w:r>
              <w:rPr>
                <w:rFonts w:ascii="Arial" w:cs="Arial" w:eastAsia="Arial" w:hAnsi="Arial"/>
                <w:sz w:val="17"/>
                <w:szCs w:val="17"/>
                <w:b w:val="1"/>
                <w:bCs w:val="1"/>
                <w:color w:val="auto"/>
              </w:rPr>
              <w:t>Santa Monica,</w:t>
            </w:r>
          </w:p>
        </w:tc>
        <w:tc>
          <w:tcPr>
            <w:tcW w:w="2060" w:type="dxa"/>
            <w:vAlign w:val="bottom"/>
            <w:gridSpan w:val="4"/>
          </w:tcPr>
          <w:p>
            <w:pPr>
              <w:ind w:left="340"/>
              <w:spacing w:after="0"/>
              <w:rPr>
                <w:sz w:val="20"/>
                <w:szCs w:val="20"/>
                <w:color w:val="auto"/>
              </w:rPr>
            </w:pPr>
            <w:r>
              <w:rPr>
                <w:rFonts w:ascii="Arial" w:cs="Arial" w:eastAsia="Arial" w:hAnsi="Arial"/>
                <w:sz w:val="17"/>
                <w:szCs w:val="17"/>
                <w:b w:val="1"/>
                <w:bCs w:val="1"/>
                <w:color w:val="auto"/>
              </w:rPr>
              <w:t>CA</w:t>
            </w:r>
          </w:p>
        </w:tc>
        <w:tc>
          <w:tcPr>
            <w:tcW w:w="4440" w:type="dxa"/>
            <w:vAlign w:val="bottom"/>
          </w:tcPr>
          <w:p>
            <w:pPr>
              <w:jc w:val="right"/>
              <w:ind w:right="2435"/>
              <w:spacing w:after="0"/>
              <w:rPr>
                <w:sz w:val="20"/>
                <w:szCs w:val="20"/>
                <w:color w:val="auto"/>
              </w:rPr>
            </w:pPr>
            <w:r>
              <w:rPr>
                <w:rFonts w:ascii="Arial" w:cs="Arial" w:eastAsia="Arial" w:hAnsi="Arial"/>
                <w:sz w:val="17"/>
                <w:szCs w:val="17"/>
                <w:b w:val="1"/>
                <w:bCs w:val="1"/>
                <w:color w:val="auto"/>
              </w:rPr>
              <w:t>90405</w:t>
            </w:r>
          </w:p>
        </w:tc>
      </w:tr>
      <w:tr>
        <w:trPr>
          <w:trHeight w:val="27"/>
        </w:trPr>
        <w:tc>
          <w:tcPr>
            <w:tcW w:w="4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1"/>
        </w:trPr>
        <w:tc>
          <w:tcPr>
            <w:tcW w:w="4920" w:type="dxa"/>
            <w:vAlign w:val="bottom"/>
            <w:gridSpan w:val="3"/>
          </w:tcPr>
          <w:p>
            <w:pPr>
              <w:jc w:val="center"/>
              <w:ind w:left="615"/>
              <w:spacing w:after="0"/>
              <w:rPr>
                <w:sz w:val="20"/>
                <w:szCs w:val="20"/>
                <w:color w:val="auto"/>
              </w:rPr>
            </w:pPr>
            <w:r>
              <w:rPr>
                <w:rFonts w:ascii="Arial" w:cs="Arial" w:eastAsia="Arial" w:hAnsi="Arial"/>
                <w:sz w:val="17"/>
                <w:szCs w:val="17"/>
                <w:color w:val="auto"/>
                <w:w w:val="92"/>
              </w:rPr>
              <w:t>(Address of principal executive offices)</w:t>
            </w: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jc w:val="center"/>
              <w:ind w:right="955"/>
              <w:spacing w:after="0"/>
              <w:rPr>
                <w:sz w:val="20"/>
                <w:szCs w:val="20"/>
                <w:color w:val="auto"/>
              </w:rPr>
            </w:pPr>
            <w:r>
              <w:rPr>
                <w:rFonts w:ascii="Arial" w:cs="Arial" w:eastAsia="Arial" w:hAnsi="Arial"/>
                <w:sz w:val="17"/>
                <w:szCs w:val="17"/>
                <w:color w:val="auto"/>
                <w:w w:val="94"/>
              </w:rPr>
              <w:t>(Zip Code)</w:t>
            </w:r>
          </w:p>
        </w:tc>
      </w:tr>
      <w:tr>
        <w:trPr>
          <w:trHeight w:val="218"/>
        </w:trPr>
        <w:tc>
          <w:tcPr>
            <w:tcW w:w="3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right"/>
              <w:ind w:right="640"/>
              <w:spacing w:after="0"/>
              <w:rPr>
                <w:sz w:val="20"/>
                <w:szCs w:val="20"/>
                <w:color w:val="auto"/>
              </w:rPr>
            </w:pPr>
            <w:r>
              <w:rPr>
                <w:rFonts w:ascii="Arial" w:cs="Arial" w:eastAsia="Arial" w:hAnsi="Arial"/>
                <w:sz w:val="17"/>
                <w:szCs w:val="17"/>
                <w:b w:val="1"/>
                <w:bCs w:val="1"/>
                <w:color w:val="auto"/>
              </w:rPr>
              <w:t>(310) 255-2000</w:t>
            </w:r>
          </w:p>
        </w:tc>
        <w:tc>
          <w:tcPr>
            <w:tcW w:w="1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215"/>
        </w:trPr>
        <w:tc>
          <w:tcPr>
            <w:tcW w:w="3320" w:type="dxa"/>
            <w:vAlign w:val="bottom"/>
          </w:tcPr>
          <w:p>
            <w:pPr>
              <w:spacing w:after="0"/>
              <w:rPr>
                <w:sz w:val="18"/>
                <w:szCs w:val="18"/>
                <w:color w:val="auto"/>
              </w:rPr>
            </w:pPr>
          </w:p>
        </w:tc>
        <w:tc>
          <w:tcPr>
            <w:tcW w:w="8100" w:type="dxa"/>
            <w:vAlign w:val="bottom"/>
            <w:gridSpan w:val="7"/>
          </w:tcPr>
          <w:p>
            <w:pPr>
              <w:jc w:val="center"/>
              <w:ind w:right="3215"/>
              <w:spacing w:after="0"/>
              <w:rPr>
                <w:sz w:val="20"/>
                <w:szCs w:val="20"/>
                <w:color w:val="auto"/>
              </w:rPr>
            </w:pPr>
            <w:r>
              <w:rPr>
                <w:rFonts w:ascii="Arial" w:cs="Arial" w:eastAsia="Arial" w:hAnsi="Arial"/>
                <w:sz w:val="17"/>
                <w:szCs w:val="17"/>
                <w:color w:val="auto"/>
                <w:w w:val="90"/>
              </w:rPr>
              <w:t>(Registrant’s telephone number, including area code)</w:t>
            </w:r>
          </w:p>
        </w:tc>
      </w:tr>
      <w:tr>
        <w:trPr>
          <w:trHeight w:val="306"/>
        </w:trPr>
        <w:tc>
          <w:tcPr>
            <w:tcW w:w="4920" w:type="dxa"/>
            <w:vAlign w:val="bottom"/>
            <w:gridSpan w:val="3"/>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tcPr>
          <w:p>
            <w:pPr>
              <w:spacing w:after="0"/>
              <w:rPr>
                <w:sz w:val="24"/>
                <w:szCs w:val="24"/>
                <w:color w:val="auto"/>
              </w:rPr>
            </w:pPr>
          </w:p>
        </w:tc>
      </w:tr>
      <w:tr>
        <w:trPr>
          <w:trHeight w:val="357"/>
        </w:trPr>
        <w:tc>
          <w:tcPr>
            <w:tcW w:w="3320" w:type="dxa"/>
            <w:vAlign w:val="bottom"/>
          </w:tcPr>
          <w:p>
            <w:pPr>
              <w:jc w:val="center"/>
              <w:ind w:left="1395"/>
              <w:spacing w:after="0"/>
              <w:rPr>
                <w:sz w:val="20"/>
                <w:szCs w:val="20"/>
                <w:color w:val="auto"/>
              </w:rPr>
            </w:pPr>
            <w:r>
              <w:rPr>
                <w:rFonts w:ascii="Arial" w:cs="Arial" w:eastAsia="Arial" w:hAnsi="Arial"/>
                <w:sz w:val="17"/>
                <w:szCs w:val="17"/>
                <w:b w:val="1"/>
                <w:bCs w:val="1"/>
                <w:color w:val="auto"/>
                <w:w w:val="87"/>
              </w:rPr>
              <w:t>Title of each class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1"/>
              </w:rPr>
              <w:t>Trading Symbol(s)</w:t>
            </w:r>
          </w:p>
        </w:tc>
        <w:tc>
          <w:tcPr>
            <w:tcW w:w="4440" w:type="dxa"/>
            <w:vAlign w:val="bottom"/>
          </w:tcPr>
          <w:p>
            <w:pPr>
              <w:jc w:val="center"/>
              <w:spacing w:after="0"/>
              <w:rPr>
                <w:sz w:val="20"/>
                <w:szCs w:val="20"/>
                <w:color w:val="auto"/>
              </w:rPr>
            </w:pPr>
            <w:r>
              <w:rPr>
                <w:rFonts w:ascii="Arial" w:cs="Arial" w:eastAsia="Arial" w:hAnsi="Arial"/>
                <w:sz w:val="17"/>
                <w:szCs w:val="17"/>
                <w:b w:val="1"/>
                <w:bCs w:val="1"/>
                <w:color w:val="auto"/>
                <w:w w:val="88"/>
              </w:rPr>
              <w:t>Name of each exchange on which registered</w:t>
            </w:r>
          </w:p>
        </w:tc>
      </w:tr>
      <w:tr>
        <w:trPr>
          <w:trHeight w:val="27"/>
        </w:trPr>
        <w:tc>
          <w:tcPr>
            <w:tcW w:w="48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1"/>
        </w:trPr>
        <w:tc>
          <w:tcPr>
            <w:tcW w:w="4920" w:type="dxa"/>
            <w:vAlign w:val="bottom"/>
            <w:gridSpan w:val="3"/>
          </w:tcPr>
          <w:p>
            <w:pPr>
              <w:jc w:val="center"/>
              <w:ind w:right="120"/>
              <w:spacing w:after="0"/>
              <w:rPr>
                <w:sz w:val="20"/>
                <w:szCs w:val="20"/>
                <w:color w:val="auto"/>
              </w:rPr>
            </w:pPr>
            <w:r>
              <w:rPr>
                <w:rFonts w:ascii="Arial" w:cs="Arial" w:eastAsia="Arial" w:hAnsi="Arial"/>
                <w:sz w:val="17"/>
                <w:szCs w:val="17"/>
                <w:color w:val="auto"/>
                <w:w w:val="89"/>
              </w:rPr>
              <w:t>Common Stock, par value $0.000001 per share</w:t>
            </w:r>
          </w:p>
        </w:tc>
        <w:tc>
          <w:tcPr>
            <w:tcW w:w="700" w:type="dxa"/>
            <w:vAlign w:val="bottom"/>
          </w:tcPr>
          <w:p>
            <w:pPr>
              <w:spacing w:after="0"/>
              <w:rPr>
                <w:sz w:val="19"/>
                <w:szCs w:val="19"/>
                <w:color w:val="auto"/>
              </w:rPr>
            </w:pPr>
          </w:p>
        </w:tc>
        <w:tc>
          <w:tcPr>
            <w:tcW w:w="1360" w:type="dxa"/>
            <w:vAlign w:val="bottom"/>
            <w:gridSpan w:val="3"/>
          </w:tcPr>
          <w:p>
            <w:pPr>
              <w:jc w:val="center"/>
              <w:ind w:right="800"/>
              <w:spacing w:after="0"/>
              <w:rPr>
                <w:sz w:val="20"/>
                <w:szCs w:val="20"/>
                <w:color w:val="auto"/>
              </w:rPr>
            </w:pPr>
            <w:r>
              <w:rPr>
                <w:rFonts w:ascii="Arial" w:cs="Arial" w:eastAsia="Arial" w:hAnsi="Arial"/>
                <w:sz w:val="17"/>
                <w:szCs w:val="17"/>
                <w:color w:val="auto"/>
              </w:rPr>
              <w:t>ATVI</w:t>
            </w:r>
          </w:p>
        </w:tc>
        <w:tc>
          <w:tcPr>
            <w:tcW w:w="4440" w:type="dxa"/>
            <w:vAlign w:val="bottom"/>
          </w:tcPr>
          <w:p>
            <w:pPr>
              <w:jc w:val="center"/>
              <w:spacing w:after="0"/>
              <w:rPr>
                <w:sz w:val="20"/>
                <w:szCs w:val="20"/>
                <w:color w:val="auto"/>
              </w:rPr>
            </w:pPr>
            <w:r>
              <w:rPr>
                <w:rFonts w:ascii="Arial" w:cs="Arial" w:eastAsia="Arial" w:hAnsi="Arial"/>
                <w:sz w:val="17"/>
                <w:szCs w:val="17"/>
                <w:color w:val="auto"/>
                <w:w w:val="90"/>
              </w:rPr>
              <w:t>The Nasdaq Global Select Market</w:t>
            </w:r>
          </w:p>
        </w:tc>
      </w:tr>
    </w:tbl>
    <w:p>
      <w:pPr>
        <w:spacing w:after="0" w:line="1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12(g) of the Act:</w:t>
      </w:r>
    </w:p>
    <w:p>
      <w:pPr>
        <w:spacing w:after="0" w:line="107" w:lineRule="exact"/>
        <w:rPr>
          <w:sz w:val="24"/>
          <w:szCs w:val="24"/>
          <w:color w:val="auto"/>
        </w:rPr>
      </w:pPr>
    </w:p>
    <w:p>
      <w:pPr>
        <w:ind w:left="5520"/>
        <w:spacing w:after="0"/>
        <w:rPr>
          <w:sz w:val="20"/>
          <w:szCs w:val="20"/>
          <w:color w:val="auto"/>
        </w:rPr>
      </w:pPr>
      <w:r>
        <w:rPr>
          <w:rFonts w:ascii="Arial" w:cs="Arial" w:eastAsia="Arial" w:hAnsi="Arial"/>
          <w:sz w:val="17"/>
          <w:szCs w:val="17"/>
          <w:b w:val="1"/>
          <w:bCs w:val="1"/>
          <w:color w:val="auto"/>
        </w:rPr>
        <w:t>None</w:t>
      </w:r>
    </w:p>
    <w:p>
      <w:pPr>
        <w:spacing w:after="0" w:line="133" w:lineRule="exact"/>
        <w:rPr>
          <w:sz w:val="24"/>
          <w:szCs w:val="24"/>
          <w:color w:val="auto"/>
        </w:rPr>
      </w:pPr>
    </w:p>
    <w:p>
      <w:pPr>
        <w:ind w:left="300"/>
        <w:spacing w:after="0" w:line="196" w:lineRule="exact"/>
        <w:rPr>
          <w:sz w:val="20"/>
          <w:szCs w:val="20"/>
          <w:color w:val="auto"/>
        </w:rPr>
      </w:pPr>
      <w:r>
        <w:rPr>
          <w:rFonts w:ascii="Arial" w:cs="Arial" w:eastAsia="Arial" w:hAnsi="Arial"/>
          <w:sz w:val="17"/>
          <w:szCs w:val="17"/>
          <w:color w:val="auto"/>
        </w:rPr>
        <w:t>Indicate by check mark if the registrant is a well</w:t>
      </w:r>
      <w:r>
        <w:rPr>
          <w:rFonts w:ascii="MS PGothic" w:cs="MS PGothic" w:eastAsia="MS PGothic" w:hAnsi="MS PGothic"/>
          <w:sz w:val="17"/>
          <w:szCs w:val="17"/>
          <w:color w:val="auto"/>
        </w:rPr>
        <w:t>‑</w:t>
      </w:r>
      <w:r>
        <w:rPr>
          <w:rFonts w:ascii="Arial" w:cs="Arial" w:eastAsia="Arial" w:hAnsi="Arial"/>
          <w:sz w:val="17"/>
          <w:szCs w:val="17"/>
          <w:color w:val="auto"/>
        </w:rPr>
        <w:t xml:space="preserve">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2" w:lineRule="exact"/>
        <w:rPr>
          <w:sz w:val="24"/>
          <w:szCs w:val="24"/>
          <w:color w:val="auto"/>
        </w:rPr>
      </w:pPr>
    </w:p>
    <w:p>
      <w:pPr>
        <w:ind w:left="300"/>
        <w:spacing w:after="0" w:line="196" w:lineRule="exact"/>
        <w:rPr>
          <w:sz w:val="20"/>
          <w:szCs w:val="20"/>
          <w:color w:val="auto"/>
        </w:rPr>
      </w:pPr>
      <w:r>
        <w:rPr>
          <w:rFonts w:ascii="Arial" w:cs="Arial" w:eastAsia="Arial" w:hAnsi="Arial"/>
          <w:sz w:val="17"/>
          <w:szCs w:val="17"/>
          <w:color w:val="auto"/>
        </w:rPr>
        <w:t xml:space="preserve">Indicate by check mark if the registrant is not required to file reports pursuant to Section 13 or Section 15 (d)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94" w:lineRule="exact"/>
        <w:rPr>
          <w:sz w:val="24"/>
          <w:szCs w:val="24"/>
          <w:color w:val="auto"/>
        </w:rPr>
      </w:pPr>
    </w:p>
    <w:p>
      <w:pPr>
        <w:ind w:firstLine="306"/>
        <w:spacing w:after="0" w:line="21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2" w:lineRule="exact"/>
        <w:rPr>
          <w:sz w:val="24"/>
          <w:szCs w:val="24"/>
          <w:color w:val="auto"/>
        </w:rPr>
      </w:pPr>
    </w:p>
    <w:p>
      <w:pPr>
        <w:ind w:right="60" w:firstLine="306"/>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3" w:lineRule="exact"/>
        <w:rPr>
          <w:sz w:val="24"/>
          <w:szCs w:val="24"/>
          <w:color w:val="auto"/>
        </w:rPr>
      </w:pPr>
    </w:p>
    <w:p>
      <w:pPr>
        <w:jc w:val="both"/>
        <w:ind w:right="180" w:firstLine="306"/>
        <w:spacing w:after="0" w:line="26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p>
      <w:pPr>
        <w:ind w:left="60"/>
        <w:spacing w:after="0" w:line="196" w:lineRule="exact"/>
        <w:tabs>
          <w:tab w:leader="none" w:pos="2220" w:val="left"/>
          <w:tab w:leader="none" w:pos="3920" w:val="left"/>
          <w:tab w:leader="none" w:pos="4440" w:val="left"/>
          <w:tab w:leader="none" w:pos="5880" w:val="left"/>
          <w:tab w:leader="none" w:pos="6340" w:val="left"/>
          <w:tab w:leader="none" w:pos="8440" w:val="left"/>
          <w:tab w:leader="none" w:pos="9000" w:val="left"/>
          <w:tab w:leader="none" w:pos="11160" w:val="left"/>
        </w:tabs>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Smaller reporting company</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7"/>
          <w:szCs w:val="17"/>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17" w:lineRule="exact"/>
        <w:rPr>
          <w:sz w:val="24"/>
          <w:szCs w:val="24"/>
          <w:color w:val="auto"/>
        </w:rPr>
      </w:pPr>
    </w:p>
    <w:p>
      <w:pPr>
        <w:ind w:right="480" w:firstLine="306"/>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left="3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45" w:lineRule="exact"/>
        <w:rPr>
          <w:sz w:val="24"/>
          <w:szCs w:val="24"/>
          <w:color w:val="auto"/>
        </w:rPr>
      </w:pPr>
    </w:p>
    <w:p>
      <w:pPr>
        <w:ind w:right="160" w:firstLine="306"/>
        <w:spacing w:after="0" w:line="274" w:lineRule="auto"/>
        <w:rPr>
          <w:sz w:val="20"/>
          <w:szCs w:val="20"/>
          <w:color w:val="auto"/>
        </w:rPr>
      </w:pPr>
      <w:r>
        <w:rPr>
          <w:rFonts w:ascii="Arial" w:cs="Arial" w:eastAsia="Arial" w:hAnsi="Arial"/>
          <w:sz w:val="17"/>
          <w:szCs w:val="17"/>
          <w:color w:val="auto"/>
        </w:rPr>
        <w:t>The aggregate market value of the registrant’s Common Stock held by non-affiliates on June 30, 2019 (based on the closing sale price as reported on the Nasdaq) was $35,743,039,830.</w:t>
      </w:r>
    </w:p>
    <w:p>
      <w:pPr>
        <w:spacing w:after="0" w:line="166" w:lineRule="exact"/>
        <w:rPr>
          <w:sz w:val="24"/>
          <w:szCs w:val="24"/>
          <w:color w:val="auto"/>
        </w:rPr>
      </w:pPr>
    </w:p>
    <w:p>
      <w:pPr>
        <w:ind w:left="300"/>
        <w:spacing w:after="0"/>
        <w:rPr>
          <w:sz w:val="20"/>
          <w:szCs w:val="20"/>
          <w:color w:val="auto"/>
        </w:rPr>
      </w:pPr>
      <w:r>
        <w:rPr>
          <w:rFonts w:ascii="Arial" w:cs="Arial" w:eastAsia="Arial" w:hAnsi="Arial"/>
          <w:sz w:val="17"/>
          <w:szCs w:val="17"/>
          <w:color w:val="auto"/>
        </w:rPr>
        <w:t>The number of shares of the registrant’s Common Stock outstanding at February 20, 2020 was 769,221,524.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64" w:lineRule="exact"/>
        <w:rPr>
          <w:sz w:val="24"/>
          <w:szCs w:val="24"/>
          <w:color w:val="auto"/>
        </w:rPr>
      </w:pPr>
    </w:p>
    <w:p>
      <w:pPr>
        <w:ind w:right="460" w:firstLine="306"/>
        <w:spacing w:after="0" w:line="274" w:lineRule="auto"/>
        <w:rPr>
          <w:sz w:val="20"/>
          <w:szCs w:val="20"/>
          <w:color w:val="auto"/>
        </w:rPr>
      </w:pPr>
      <w:r>
        <w:rPr>
          <w:rFonts w:ascii="Arial" w:cs="Arial" w:eastAsia="Arial" w:hAnsi="Arial"/>
          <w:sz w:val="17"/>
          <w:szCs w:val="17"/>
          <w:color w:val="auto"/>
        </w:rPr>
        <w:t>Portions of the registrant’s definitive Proxy Statement, to be filed with the Securities and Exchange Commission with respect to the 2020 Annual Meeting of Shareholders which is expected to be held on June 11, 2020, are incorporated by reference into Part III of this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725424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888" w:right="239" w:bottom="1440" w:gutter="0" w:footer="0" w:header="0"/>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40" w:type="dxa"/>
            <w:vAlign w:val="bottom"/>
            <w:gridSpan w:val="11"/>
          </w:tcPr>
          <w:p>
            <w:pPr>
              <w:jc w:val="center"/>
              <w:ind w:right="2540"/>
              <w:spacing w:after="0"/>
              <w:rPr>
                <w:sz w:val="20"/>
                <w:szCs w:val="20"/>
                <w:color w:val="auto"/>
              </w:rPr>
            </w:pPr>
            <w:r>
              <w:rPr>
                <w:rFonts w:ascii="Arial" w:cs="Arial" w:eastAsia="Arial" w:hAnsi="Arial"/>
                <w:sz w:val="17"/>
                <w:szCs w:val="17"/>
                <w:b w:val="1"/>
                <w:bCs w:val="1"/>
                <w:color w:val="auto"/>
              </w:rPr>
              <w:t>ACTIVISION BLIZZARD, INC. AND SUBSIDIARIES</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40" w:type="dxa"/>
            <w:vAlign w:val="bottom"/>
            <w:gridSpan w:val="8"/>
          </w:tcPr>
          <w:p>
            <w:pPr>
              <w:jc w:val="center"/>
              <w:ind w:right="3720"/>
              <w:spacing w:after="0"/>
              <w:rPr>
                <w:sz w:val="20"/>
                <w:szCs w:val="20"/>
                <w:color w:val="auto"/>
              </w:rPr>
            </w:pPr>
            <w:r>
              <w:rPr>
                <w:rFonts w:ascii="Arial" w:cs="Arial" w:eastAsia="Arial" w:hAnsi="Arial"/>
                <w:sz w:val="17"/>
                <w:szCs w:val="17"/>
                <w:b w:val="1"/>
                <w:bCs w:val="1"/>
                <w:color w:val="auto"/>
                <w:w w:val="89"/>
              </w:rPr>
              <w:t>Table of Contents</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4"/>
        </w:trPr>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Page No.</w:t>
            </w:r>
          </w:p>
        </w:tc>
      </w:tr>
      <w:tr>
        <w:trPr>
          <w:trHeight w:val="178"/>
        </w:trPr>
        <w:tc>
          <w:tcPr>
            <w:tcW w:w="560" w:type="dxa"/>
            <w:vAlign w:val="bottom"/>
            <w:gridSpan w:val="2"/>
          </w:tcPr>
          <w:p>
            <w:pPr>
              <w:spacing w:after="0" w:line="159"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PART I.</w:t>
              </w:r>
            </w:hyperlink>
          </w:p>
        </w:tc>
        <w:tc>
          <w:tcPr>
            <w:tcW w:w="940" w:type="dxa"/>
            <w:vAlign w:val="bottom"/>
            <w:gridSpan w:val="9"/>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00" w:type="dxa"/>
            <w:vAlign w:val="bottom"/>
            <w:gridSpan w:val="5"/>
          </w:tcPr>
          <w:p>
            <w:pPr>
              <w:jc w:val="right"/>
              <w:ind w:right="20"/>
              <w:spacing w:after="0" w:line="159"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6"/>
        </w:trPr>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6"/>
          </w:tcPr>
          <w:p>
            <w:pPr>
              <w:spacing w:after="0"/>
              <w:rPr>
                <w:rFonts w:ascii="Arial" w:cs="Arial" w:eastAsia="Arial" w:hAnsi="Arial"/>
                <w:sz w:val="17"/>
                <w:szCs w:val="17"/>
                <w:color w:val="0000EE"/>
                <w:w w:val="86"/>
              </w:rPr>
            </w:pPr>
            <w:hyperlink w:anchor="page3">
              <w:r>
                <w:rPr>
                  <w:rFonts w:ascii="Arial" w:cs="Arial" w:eastAsia="Arial" w:hAnsi="Arial"/>
                  <w:sz w:val="17"/>
                  <w:szCs w:val="17"/>
                  <w:color w:val="0000EE"/>
                  <w:w w:val="86"/>
                </w:rPr>
                <w:t>Cautionary Statement</w:t>
              </w:r>
            </w:hyperlink>
          </w:p>
        </w:tc>
        <w:tc>
          <w:tcPr>
            <w:tcW w:w="7520" w:type="dxa"/>
            <w:vAlign w:val="bottom"/>
            <w:gridSpan w:val="14"/>
          </w:tcPr>
          <w:p>
            <w:pPr>
              <w:spacing w:after="0"/>
              <w:rPr>
                <w:sz w:val="21"/>
                <w:szCs w:val="21"/>
                <w:color w:val="auto"/>
              </w:rPr>
            </w:pPr>
          </w:p>
        </w:tc>
        <w:tc>
          <w:tcPr>
            <w:tcW w:w="900" w:type="dxa"/>
            <w:vAlign w:val="bottom"/>
            <w:gridSpan w:val="5"/>
          </w:tcPr>
          <w:p>
            <w:pPr>
              <w:jc w:val="right"/>
              <w:ind w:right="20"/>
              <w:spacing w:after="0"/>
              <w:rPr>
                <w:rFonts w:ascii="Arial" w:cs="Arial" w:eastAsia="Arial" w:hAnsi="Arial"/>
                <w:sz w:val="17"/>
                <w:szCs w:val="17"/>
                <w:color w:val="0000EE"/>
              </w:rPr>
            </w:pPr>
            <w:hyperlink w:anchor="page3">
              <w:r>
                <w:rPr>
                  <w:rFonts w:ascii="Arial" w:cs="Arial" w:eastAsia="Arial" w:hAnsi="Arial"/>
                  <w:sz w:val="17"/>
                  <w:szCs w:val="17"/>
                  <w:color w:val="0000EE"/>
                </w:rPr>
                <w:t>3</w:t>
              </w:r>
            </w:hyperlink>
          </w:p>
        </w:tc>
      </w:tr>
      <w:tr>
        <w:trPr>
          <w:trHeight w:val="20"/>
        </w:trPr>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480" w:type="dxa"/>
            <w:vAlign w:val="bottom"/>
            <w:gridSpan w:val="2"/>
          </w:tcPr>
          <w:p>
            <w:pPr>
              <w:spacing w:after="0"/>
              <w:rPr>
                <w:rFonts w:ascii="Arial" w:cs="Arial" w:eastAsia="Arial" w:hAnsi="Arial"/>
                <w:sz w:val="17"/>
                <w:szCs w:val="17"/>
                <w:color w:val="0000EE"/>
                <w:w w:val="84"/>
              </w:rPr>
            </w:pPr>
            <w:hyperlink w:anchor="page4">
              <w:r>
                <w:rPr>
                  <w:rFonts w:ascii="Arial" w:cs="Arial" w:eastAsia="Arial" w:hAnsi="Arial"/>
                  <w:sz w:val="17"/>
                  <w:szCs w:val="17"/>
                  <w:color w:val="0000EE"/>
                  <w:w w:val="84"/>
                </w:rPr>
                <w:t>Item 1.</w:t>
              </w:r>
            </w:hyperlink>
          </w:p>
        </w:tc>
        <w:tc>
          <w:tcPr>
            <w:tcW w:w="880" w:type="dxa"/>
            <w:vAlign w:val="bottom"/>
            <w:gridSpan w:val="8"/>
          </w:tcPr>
          <w:p>
            <w:pPr>
              <w:spacing w:after="0"/>
              <w:rPr>
                <w:sz w:val="20"/>
                <w:szCs w:val="20"/>
                <w:color w:val="auto"/>
              </w:rPr>
            </w:pPr>
          </w:p>
        </w:tc>
        <w:tc>
          <w:tcPr>
            <w:tcW w:w="1460" w:type="dxa"/>
            <w:vAlign w:val="bottom"/>
            <w:gridSpan w:val="6"/>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7520" w:type="dxa"/>
            <w:vAlign w:val="bottom"/>
            <w:gridSpan w:val="14"/>
          </w:tcPr>
          <w:p>
            <w:pPr>
              <w:spacing w:after="0"/>
              <w:rPr>
                <w:sz w:val="20"/>
                <w:szCs w:val="20"/>
                <w:color w:val="auto"/>
              </w:rPr>
            </w:pPr>
          </w:p>
        </w:tc>
        <w:tc>
          <w:tcPr>
            <w:tcW w:w="900" w:type="dxa"/>
            <w:vAlign w:val="bottom"/>
            <w:gridSpan w:val="5"/>
          </w:tcPr>
          <w:p>
            <w:pPr>
              <w:jc w:val="right"/>
              <w:ind w:right="20"/>
              <w:spacing w:after="0"/>
              <w:rPr>
                <w:rFonts w:ascii="Arial" w:cs="Arial" w:eastAsia="Arial" w:hAnsi="Arial"/>
                <w:sz w:val="17"/>
                <w:szCs w:val="17"/>
                <w:color w:val="0000EE"/>
              </w:rPr>
            </w:pPr>
            <w:hyperlink w:anchor="page4">
              <w:r>
                <w:rPr>
                  <w:rFonts w:ascii="Arial" w:cs="Arial" w:eastAsia="Arial" w:hAnsi="Arial"/>
                  <w:sz w:val="17"/>
                  <w:szCs w:val="17"/>
                  <w:color w:val="0000EE"/>
                </w:rPr>
                <w:t>4</w:t>
              </w:r>
            </w:hyperlink>
          </w:p>
        </w:tc>
      </w:tr>
      <w:tr>
        <w:trPr>
          <w:trHeight w:val="20"/>
        </w:trPr>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60" w:type="dxa"/>
            <w:vAlign w:val="bottom"/>
            <w:tcBorders>
              <w:bottom w:val="single" w:sz="8" w:color="0000EE"/>
            </w:tcBorders>
            <w:gridSpan w:val="7"/>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Item 1A.</w:t>
              </w:r>
            </w:hyperlink>
          </w:p>
        </w:tc>
        <w:tc>
          <w:tcPr>
            <w:tcW w:w="700" w:type="dxa"/>
            <w:vAlign w:val="bottom"/>
            <w:gridSpan w:val="3"/>
          </w:tcPr>
          <w:p>
            <w:pPr>
              <w:spacing w:after="0"/>
              <w:rPr>
                <w:sz w:val="20"/>
                <w:szCs w:val="20"/>
                <w:color w:val="auto"/>
              </w:rPr>
            </w:pPr>
          </w:p>
        </w:tc>
        <w:tc>
          <w:tcPr>
            <w:tcW w:w="860" w:type="dxa"/>
            <w:vAlign w:val="bottom"/>
            <w:tcBorders>
              <w:bottom w:val="single" w:sz="8" w:color="0000EE"/>
            </w:tcBorders>
            <w:gridSpan w:val="3"/>
          </w:tcPr>
          <w:p>
            <w:pPr>
              <w:spacing w:after="0"/>
              <w:rPr>
                <w:rFonts w:ascii="Arial" w:cs="Arial" w:eastAsia="Arial" w:hAnsi="Arial"/>
                <w:sz w:val="17"/>
                <w:szCs w:val="17"/>
                <w:color w:val="0000EE"/>
                <w:w w:val="88"/>
              </w:rPr>
            </w:pPr>
            <w:hyperlink w:anchor="page10">
              <w:r>
                <w:rPr>
                  <w:rFonts w:ascii="Arial" w:cs="Arial" w:eastAsia="Arial" w:hAnsi="Arial"/>
                  <w:sz w:val="17"/>
                  <w:szCs w:val="17"/>
                  <w:color w:val="0000EE"/>
                  <w:w w:val="88"/>
                </w:rPr>
                <w:t>Risk Factors</w:t>
              </w:r>
            </w:hyperlink>
          </w:p>
        </w:tc>
        <w:tc>
          <w:tcPr>
            <w:tcW w:w="8120" w:type="dxa"/>
            <w:vAlign w:val="bottom"/>
            <w:gridSpan w:val="17"/>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10">
              <w:r>
                <w:rPr>
                  <w:rFonts w:ascii="Arial" w:cs="Arial" w:eastAsia="Arial" w:hAnsi="Arial"/>
                  <w:sz w:val="17"/>
                  <w:szCs w:val="17"/>
                  <w:color w:val="0000EE"/>
                  <w:w w:val="84"/>
                </w:rPr>
                <w:t>10</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640" w:type="dxa"/>
            <w:vAlign w:val="bottom"/>
            <w:tcBorders>
              <w:bottom w:val="single" w:sz="8" w:color="0000EE"/>
            </w:tcBorders>
            <w:gridSpan w:val="6"/>
          </w:tcPr>
          <w:p>
            <w:pPr>
              <w:spacing w:after="0"/>
              <w:rPr>
                <w:rFonts w:ascii="Arial" w:cs="Arial" w:eastAsia="Arial" w:hAnsi="Arial"/>
                <w:sz w:val="17"/>
                <w:szCs w:val="17"/>
                <w:color w:val="0000EE"/>
                <w:w w:val="94"/>
              </w:rPr>
            </w:pPr>
            <w:hyperlink w:anchor="page27">
              <w:r>
                <w:rPr>
                  <w:rFonts w:ascii="Arial" w:cs="Arial" w:eastAsia="Arial" w:hAnsi="Arial"/>
                  <w:sz w:val="17"/>
                  <w:szCs w:val="17"/>
                  <w:color w:val="0000EE"/>
                  <w:w w:val="94"/>
                </w:rPr>
                <w:t>Item 1B.</w:t>
              </w:r>
            </w:hyperlink>
          </w:p>
        </w:tc>
        <w:tc>
          <w:tcPr>
            <w:tcW w:w="720" w:type="dxa"/>
            <w:vAlign w:val="bottom"/>
            <w:gridSpan w:val="4"/>
          </w:tcPr>
          <w:p>
            <w:pPr>
              <w:spacing w:after="0"/>
              <w:rPr>
                <w:sz w:val="20"/>
                <w:szCs w:val="20"/>
                <w:color w:val="auto"/>
              </w:rPr>
            </w:pPr>
          </w:p>
        </w:tc>
        <w:tc>
          <w:tcPr>
            <w:tcW w:w="1940" w:type="dxa"/>
            <w:vAlign w:val="bottom"/>
            <w:tcBorders>
              <w:bottom w:val="single" w:sz="8" w:color="0000EE"/>
            </w:tcBorders>
            <w:gridSpan w:val="9"/>
          </w:tcPr>
          <w:p>
            <w:pPr>
              <w:spacing w:after="0"/>
              <w:rPr>
                <w:rFonts w:ascii="Arial" w:cs="Arial" w:eastAsia="Arial" w:hAnsi="Arial"/>
                <w:sz w:val="17"/>
                <w:szCs w:val="17"/>
                <w:color w:val="0000EE"/>
                <w:w w:val="90"/>
              </w:rPr>
            </w:pPr>
            <w:hyperlink w:anchor="page27">
              <w:r>
                <w:rPr>
                  <w:rFonts w:ascii="Arial" w:cs="Arial" w:eastAsia="Arial" w:hAnsi="Arial"/>
                  <w:sz w:val="17"/>
                  <w:szCs w:val="17"/>
                  <w:color w:val="0000EE"/>
                  <w:w w:val="90"/>
                </w:rPr>
                <w:t>Unresolved Staff Comments</w:t>
              </w:r>
            </w:hyperlink>
          </w:p>
        </w:tc>
        <w:tc>
          <w:tcPr>
            <w:tcW w:w="7040" w:type="dxa"/>
            <w:vAlign w:val="bottom"/>
            <w:gridSpan w:val="11"/>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7">
              <w:r>
                <w:rPr>
                  <w:rFonts w:ascii="Arial" w:cs="Arial" w:eastAsia="Arial" w:hAnsi="Arial"/>
                  <w:sz w:val="17"/>
                  <w:szCs w:val="17"/>
                  <w:color w:val="0000EE"/>
                  <w:w w:val="84"/>
                </w:rPr>
                <w:t>27</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480" w:type="dxa"/>
            <w:vAlign w:val="bottom"/>
            <w:gridSpan w:val="2"/>
          </w:tcPr>
          <w:p>
            <w:pPr>
              <w:spacing w:after="0"/>
              <w:rPr>
                <w:rFonts w:ascii="Arial" w:cs="Arial" w:eastAsia="Arial" w:hAnsi="Arial"/>
                <w:sz w:val="17"/>
                <w:szCs w:val="17"/>
                <w:color w:val="0000EE"/>
                <w:w w:val="84"/>
              </w:rPr>
            </w:pPr>
            <w:hyperlink w:anchor="page27">
              <w:r>
                <w:rPr>
                  <w:rFonts w:ascii="Arial" w:cs="Arial" w:eastAsia="Arial" w:hAnsi="Arial"/>
                  <w:sz w:val="17"/>
                  <w:szCs w:val="17"/>
                  <w:color w:val="0000EE"/>
                  <w:w w:val="84"/>
                </w:rPr>
                <w:t>Item 2.</w:t>
              </w:r>
            </w:hyperlink>
          </w:p>
        </w:tc>
        <w:tc>
          <w:tcPr>
            <w:tcW w:w="880" w:type="dxa"/>
            <w:vAlign w:val="bottom"/>
            <w:gridSpan w:val="8"/>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Properties</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27</w:t>
              </w:r>
            </w:hyperlink>
          </w:p>
        </w:tc>
      </w:tr>
      <w:tr>
        <w:trPr>
          <w:trHeight w:val="20"/>
        </w:trPr>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48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27">
              <w:r>
                <w:rPr>
                  <w:rFonts w:ascii="Arial" w:cs="Arial" w:eastAsia="Arial" w:hAnsi="Arial"/>
                  <w:sz w:val="17"/>
                  <w:szCs w:val="17"/>
                  <w:color w:val="0000EE"/>
                  <w:w w:val="84"/>
                </w:rPr>
                <w:t>Item 3.</w:t>
              </w:r>
            </w:hyperlink>
          </w:p>
        </w:tc>
        <w:tc>
          <w:tcPr>
            <w:tcW w:w="880" w:type="dxa"/>
            <w:vAlign w:val="bottom"/>
            <w:gridSpan w:val="8"/>
          </w:tcPr>
          <w:p>
            <w:pPr>
              <w:spacing w:after="0"/>
              <w:rPr>
                <w:sz w:val="20"/>
                <w:szCs w:val="20"/>
                <w:color w:val="auto"/>
              </w:rPr>
            </w:pPr>
          </w:p>
        </w:tc>
        <w:tc>
          <w:tcPr>
            <w:tcW w:w="1260" w:type="dxa"/>
            <w:vAlign w:val="bottom"/>
            <w:tcBorders>
              <w:bottom w:val="single" w:sz="8" w:color="0000EE"/>
            </w:tcBorders>
            <w:gridSpan w:val="5"/>
          </w:tcPr>
          <w:p>
            <w:pPr>
              <w:spacing w:after="0"/>
              <w:rPr>
                <w:rFonts w:ascii="Arial" w:cs="Arial" w:eastAsia="Arial" w:hAnsi="Arial"/>
                <w:sz w:val="17"/>
                <w:szCs w:val="17"/>
                <w:color w:val="0000EE"/>
                <w:w w:val="88"/>
              </w:rPr>
            </w:pPr>
            <w:hyperlink w:anchor="page27">
              <w:r>
                <w:rPr>
                  <w:rFonts w:ascii="Arial" w:cs="Arial" w:eastAsia="Arial" w:hAnsi="Arial"/>
                  <w:sz w:val="17"/>
                  <w:szCs w:val="17"/>
                  <w:color w:val="0000EE"/>
                  <w:w w:val="88"/>
                </w:rPr>
                <w:t>Legal Proceedings</w:t>
              </w:r>
            </w:hyperlink>
          </w:p>
        </w:tc>
        <w:tc>
          <w:tcPr>
            <w:tcW w:w="7720" w:type="dxa"/>
            <w:vAlign w:val="bottom"/>
            <w:gridSpan w:val="15"/>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7">
              <w:r>
                <w:rPr>
                  <w:rFonts w:ascii="Arial" w:cs="Arial" w:eastAsia="Arial" w:hAnsi="Arial"/>
                  <w:sz w:val="17"/>
                  <w:szCs w:val="17"/>
                  <w:color w:val="0000EE"/>
                  <w:w w:val="84"/>
                </w:rPr>
                <w:t>27</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480" w:type="dxa"/>
            <w:vAlign w:val="bottom"/>
            <w:gridSpan w:val="2"/>
          </w:tcPr>
          <w:p>
            <w:pPr>
              <w:spacing w:after="0"/>
              <w:rPr>
                <w:rFonts w:ascii="Arial" w:cs="Arial" w:eastAsia="Arial" w:hAnsi="Arial"/>
                <w:sz w:val="17"/>
                <w:szCs w:val="17"/>
                <w:color w:val="0000EE"/>
                <w:w w:val="84"/>
              </w:rPr>
            </w:pPr>
            <w:hyperlink w:anchor="page27">
              <w:r>
                <w:rPr>
                  <w:rFonts w:ascii="Arial" w:cs="Arial" w:eastAsia="Arial" w:hAnsi="Arial"/>
                  <w:sz w:val="17"/>
                  <w:szCs w:val="17"/>
                  <w:color w:val="0000EE"/>
                  <w:w w:val="84"/>
                </w:rPr>
                <w:t>Item 4.</w:t>
              </w:r>
            </w:hyperlink>
          </w:p>
        </w:tc>
        <w:tc>
          <w:tcPr>
            <w:tcW w:w="880" w:type="dxa"/>
            <w:vAlign w:val="bottom"/>
            <w:gridSpan w:val="8"/>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Mine Safety Disclosures</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27</w:t>
              </w:r>
            </w:hyperlink>
          </w:p>
        </w:tc>
      </w:tr>
      <w:tr>
        <w:trPr>
          <w:trHeight w:val="20"/>
        </w:trPr>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660" w:type="dxa"/>
            <w:vAlign w:val="bottom"/>
            <w:tcBorders>
              <w:bottom w:val="single" w:sz="8" w:color="0000EE"/>
            </w:tcBorders>
            <w:gridSpan w:val="4"/>
          </w:tcPr>
          <w:p>
            <w:pPr>
              <w:spacing w:after="0"/>
              <w:rPr>
                <w:rFonts w:ascii="Arial" w:cs="Arial" w:eastAsia="Arial" w:hAnsi="Arial"/>
                <w:sz w:val="17"/>
                <w:szCs w:val="17"/>
                <w:color w:val="0000EE"/>
                <w:w w:val="99"/>
              </w:rPr>
            </w:pPr>
            <w:hyperlink w:anchor="page28">
              <w:r>
                <w:rPr>
                  <w:rFonts w:ascii="Arial" w:cs="Arial" w:eastAsia="Arial" w:hAnsi="Arial"/>
                  <w:sz w:val="17"/>
                  <w:szCs w:val="17"/>
                  <w:color w:val="0000EE"/>
                  <w:w w:val="99"/>
                </w:rPr>
                <w:t>PART II.</w:t>
              </w:r>
            </w:hyperlink>
          </w:p>
        </w:tc>
        <w:tc>
          <w:tcPr>
            <w:tcW w:w="840" w:type="dxa"/>
            <w:vAlign w:val="bottom"/>
            <w:gridSpan w:val="7"/>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8">
              <w:r>
                <w:rPr>
                  <w:rFonts w:ascii="Arial" w:cs="Arial" w:eastAsia="Arial" w:hAnsi="Arial"/>
                  <w:sz w:val="17"/>
                  <w:szCs w:val="17"/>
                  <w:color w:val="0000EE"/>
                  <w:w w:val="84"/>
                </w:rPr>
                <w:t>28</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48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28">
              <w:r>
                <w:rPr>
                  <w:rFonts w:ascii="Arial" w:cs="Arial" w:eastAsia="Arial" w:hAnsi="Arial"/>
                  <w:sz w:val="17"/>
                  <w:szCs w:val="17"/>
                  <w:color w:val="0000EE"/>
                  <w:w w:val="84"/>
                </w:rPr>
                <w:t>Item 5.</w:t>
              </w:r>
            </w:hyperlink>
          </w:p>
        </w:tc>
        <w:tc>
          <w:tcPr>
            <w:tcW w:w="880" w:type="dxa"/>
            <w:vAlign w:val="bottom"/>
            <w:gridSpan w:val="8"/>
          </w:tcPr>
          <w:p>
            <w:pPr>
              <w:spacing w:after="0"/>
              <w:rPr>
                <w:sz w:val="20"/>
                <w:szCs w:val="20"/>
                <w:color w:val="auto"/>
              </w:rPr>
            </w:pPr>
          </w:p>
        </w:tc>
        <w:tc>
          <w:tcPr>
            <w:tcW w:w="7660" w:type="dxa"/>
            <w:vAlign w:val="bottom"/>
            <w:tcBorders>
              <w:bottom w:val="single" w:sz="8" w:color="0000EE"/>
            </w:tcBorders>
            <w:gridSpan w:val="19"/>
          </w:tcPr>
          <w:p>
            <w:pPr>
              <w:spacing w:after="0"/>
              <w:rPr>
                <w:rFonts w:ascii="Arial" w:cs="Arial" w:eastAsia="Arial" w:hAnsi="Arial"/>
                <w:sz w:val="17"/>
                <w:szCs w:val="17"/>
                <w:color w:val="0000EE"/>
                <w:w w:val="90"/>
              </w:rPr>
            </w:pPr>
            <w:hyperlink w:anchor="page28">
              <w:r>
                <w:rPr>
                  <w:rFonts w:ascii="Arial" w:cs="Arial" w:eastAsia="Arial" w:hAnsi="Arial"/>
                  <w:sz w:val="17"/>
                  <w:szCs w:val="17"/>
                  <w:color w:val="0000EE"/>
                  <w:w w:val="90"/>
                </w:rPr>
                <w:t>Market for Registrant's Common Equity, Related Stockholder Matters, and Issuer Purchases of Equity Securities</w:t>
              </w:r>
            </w:hyperlink>
          </w:p>
        </w:tc>
        <w:tc>
          <w:tcPr>
            <w:tcW w:w="13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28">
              <w:r>
                <w:rPr>
                  <w:rFonts w:ascii="Arial" w:cs="Arial" w:eastAsia="Arial" w:hAnsi="Arial"/>
                  <w:sz w:val="17"/>
                  <w:szCs w:val="17"/>
                  <w:color w:val="0000EE"/>
                  <w:w w:val="84"/>
                </w:rPr>
                <w:t>28</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48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30">
              <w:r>
                <w:rPr>
                  <w:rFonts w:ascii="Arial" w:cs="Arial" w:eastAsia="Arial" w:hAnsi="Arial"/>
                  <w:sz w:val="17"/>
                  <w:szCs w:val="17"/>
                  <w:color w:val="0000EE"/>
                  <w:w w:val="84"/>
                </w:rPr>
                <w:t>Item 6.</w:t>
              </w:r>
            </w:hyperlink>
          </w:p>
        </w:tc>
        <w:tc>
          <w:tcPr>
            <w:tcW w:w="880" w:type="dxa"/>
            <w:vAlign w:val="bottom"/>
            <w:gridSpan w:val="8"/>
          </w:tcPr>
          <w:p>
            <w:pPr>
              <w:spacing w:after="0"/>
              <w:rPr>
                <w:sz w:val="20"/>
                <w:szCs w:val="20"/>
                <w:color w:val="auto"/>
              </w:rPr>
            </w:pPr>
          </w:p>
        </w:tc>
        <w:tc>
          <w:tcPr>
            <w:tcW w:w="1660" w:type="dxa"/>
            <w:vAlign w:val="bottom"/>
            <w:tcBorders>
              <w:bottom w:val="single" w:sz="8" w:color="0000EE"/>
            </w:tcBorders>
            <w:gridSpan w:val="7"/>
          </w:tcPr>
          <w:p>
            <w:pPr>
              <w:spacing w:after="0"/>
              <w:rPr>
                <w:rFonts w:ascii="Arial" w:cs="Arial" w:eastAsia="Arial" w:hAnsi="Arial"/>
                <w:sz w:val="17"/>
                <w:szCs w:val="17"/>
                <w:color w:val="0000EE"/>
                <w:w w:val="90"/>
              </w:rPr>
            </w:pPr>
            <w:hyperlink w:anchor="page30">
              <w:r>
                <w:rPr>
                  <w:rFonts w:ascii="Arial" w:cs="Arial" w:eastAsia="Arial" w:hAnsi="Arial"/>
                  <w:sz w:val="17"/>
                  <w:szCs w:val="17"/>
                  <w:color w:val="0000EE"/>
                  <w:w w:val="90"/>
                </w:rPr>
                <w:t>Selected Financial Data</w:t>
              </w:r>
            </w:hyperlink>
          </w:p>
        </w:tc>
        <w:tc>
          <w:tcPr>
            <w:tcW w:w="7320" w:type="dxa"/>
            <w:vAlign w:val="bottom"/>
            <w:gridSpan w:val="13"/>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30">
              <w:r>
                <w:rPr>
                  <w:rFonts w:ascii="Arial" w:cs="Arial" w:eastAsia="Arial" w:hAnsi="Arial"/>
                  <w:sz w:val="17"/>
                  <w:szCs w:val="17"/>
                  <w:color w:val="0000EE"/>
                  <w:w w:val="84"/>
                </w:rPr>
                <w:t>30</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480" w:type="dxa"/>
            <w:vAlign w:val="bottom"/>
            <w:gridSpan w:val="2"/>
          </w:tcPr>
          <w:p>
            <w:pPr>
              <w:spacing w:after="0"/>
              <w:rPr>
                <w:rFonts w:ascii="Arial" w:cs="Arial" w:eastAsia="Arial" w:hAnsi="Arial"/>
                <w:sz w:val="17"/>
                <w:szCs w:val="17"/>
                <w:color w:val="0000EE"/>
                <w:w w:val="84"/>
              </w:rPr>
            </w:pPr>
            <w:hyperlink w:anchor="page31">
              <w:r>
                <w:rPr>
                  <w:rFonts w:ascii="Arial" w:cs="Arial" w:eastAsia="Arial" w:hAnsi="Arial"/>
                  <w:sz w:val="17"/>
                  <w:szCs w:val="17"/>
                  <w:color w:val="0000EE"/>
                  <w:w w:val="84"/>
                </w:rPr>
                <w:t>Item 7.</w:t>
              </w:r>
            </w:hyperlink>
          </w:p>
        </w:tc>
        <w:tc>
          <w:tcPr>
            <w:tcW w:w="880" w:type="dxa"/>
            <w:vAlign w:val="bottom"/>
            <w:gridSpan w:val="8"/>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Management's Discussion and Analysis of Financial Condition and Results of Operations</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31">
              <w:r>
                <w:rPr>
                  <w:rFonts w:ascii="Arial" w:cs="Arial" w:eastAsia="Arial" w:hAnsi="Arial"/>
                  <w:sz w:val="17"/>
                  <w:szCs w:val="17"/>
                  <w:color w:val="0000EE"/>
                </w:rPr>
                <w:t>31</w:t>
              </w:r>
            </w:hyperlink>
          </w:p>
        </w:tc>
      </w:tr>
      <w:tr>
        <w:trPr>
          <w:trHeight w:val="20"/>
        </w:trPr>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60" w:type="dxa"/>
            <w:vAlign w:val="bottom"/>
            <w:gridSpan w:val="7"/>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Item 7A.</w:t>
              </w:r>
            </w:hyperlink>
          </w:p>
        </w:tc>
        <w:tc>
          <w:tcPr>
            <w:tcW w:w="700" w:type="dxa"/>
            <w:vAlign w:val="bottom"/>
            <w:gridSpan w:val="3"/>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Quantitative and Qualitative Disclosures about Market Risk</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60">
              <w:r>
                <w:rPr>
                  <w:rFonts w:ascii="Arial" w:cs="Arial" w:eastAsia="Arial" w:hAnsi="Arial"/>
                  <w:sz w:val="17"/>
                  <w:szCs w:val="17"/>
                  <w:color w:val="0000EE"/>
                </w:rPr>
                <w:t>60</w:t>
              </w:r>
            </w:hyperlink>
          </w:p>
        </w:tc>
      </w:tr>
      <w:tr>
        <w:trPr>
          <w:trHeight w:val="235"/>
        </w:trPr>
        <w:tc>
          <w:tcPr>
            <w:tcW w:w="140" w:type="dxa"/>
            <w:vAlign w:val="bottom"/>
          </w:tcPr>
          <w:p>
            <w:pPr>
              <w:spacing w:after="0"/>
              <w:rPr>
                <w:sz w:val="20"/>
                <w:szCs w:val="20"/>
                <w:color w:val="auto"/>
              </w:rPr>
            </w:pPr>
          </w:p>
        </w:tc>
        <w:tc>
          <w:tcPr>
            <w:tcW w:w="480" w:type="dxa"/>
            <w:vAlign w:val="bottom"/>
            <w:tcBorders>
              <w:top w:val="single" w:sz="8" w:color="0000EE"/>
            </w:tcBorders>
            <w:gridSpan w:val="2"/>
          </w:tcPr>
          <w:p>
            <w:pPr>
              <w:spacing w:after="0"/>
              <w:rPr>
                <w:rFonts w:ascii="Arial" w:cs="Arial" w:eastAsia="Arial" w:hAnsi="Arial"/>
                <w:sz w:val="17"/>
                <w:szCs w:val="17"/>
                <w:color w:val="0000EE"/>
                <w:w w:val="84"/>
              </w:rPr>
            </w:pPr>
            <w:hyperlink w:anchor="page62">
              <w:r>
                <w:rPr>
                  <w:rFonts w:ascii="Arial" w:cs="Arial" w:eastAsia="Arial" w:hAnsi="Arial"/>
                  <w:sz w:val="17"/>
                  <w:szCs w:val="17"/>
                  <w:color w:val="0000EE"/>
                  <w:w w:val="84"/>
                </w:rPr>
                <w:t>Item 8.</w:t>
              </w:r>
            </w:hyperlink>
          </w:p>
        </w:tc>
        <w:tc>
          <w:tcPr>
            <w:tcW w:w="180" w:type="dxa"/>
            <w:vAlign w:val="bottom"/>
            <w:tcBorders>
              <w:top w:val="single" w:sz="8" w:color="0000EE"/>
            </w:tcBorders>
            <w:gridSpan w:val="5"/>
          </w:tcPr>
          <w:p>
            <w:pPr>
              <w:spacing w:after="0"/>
              <w:rPr>
                <w:sz w:val="20"/>
                <w:szCs w:val="20"/>
                <w:color w:val="auto"/>
              </w:rPr>
            </w:pPr>
          </w:p>
        </w:tc>
        <w:tc>
          <w:tcPr>
            <w:tcW w:w="700" w:type="dxa"/>
            <w:vAlign w:val="bottom"/>
            <w:gridSpan w:val="3"/>
          </w:tcPr>
          <w:p>
            <w:pPr>
              <w:spacing w:after="0"/>
              <w:rPr>
                <w:sz w:val="20"/>
                <w:szCs w:val="20"/>
                <w:color w:val="auto"/>
              </w:rPr>
            </w:pPr>
          </w:p>
        </w:tc>
        <w:tc>
          <w:tcPr>
            <w:tcW w:w="4060" w:type="dxa"/>
            <w:vAlign w:val="bottom"/>
            <w:tcBorders>
              <w:top w:val="single" w:sz="8" w:color="0000EE"/>
            </w:tcBorders>
            <w:gridSpan w:val="14"/>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Financial Statements and Supplementary Data</w:t>
              </w:r>
            </w:hyperlink>
          </w:p>
        </w:tc>
        <w:tc>
          <w:tcPr>
            <w:tcW w:w="4920" w:type="dxa"/>
            <w:vAlign w:val="bottom"/>
            <w:gridSpan w:val="6"/>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2">
              <w:r>
                <w:rPr>
                  <w:rFonts w:ascii="Arial" w:cs="Arial" w:eastAsia="Arial" w:hAnsi="Arial"/>
                  <w:sz w:val="17"/>
                  <w:szCs w:val="17"/>
                  <w:color w:val="0000EE"/>
                  <w:w w:val="84"/>
                </w:rPr>
                <w:t>62</w:t>
              </w:r>
            </w:hyperlink>
          </w:p>
        </w:tc>
        <w:tc>
          <w:tcPr>
            <w:tcW w:w="2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480" w:type="dxa"/>
            <w:vAlign w:val="bottom"/>
            <w:tcBorders>
              <w:bottom w:val="single" w:sz="8" w:color="0000EE"/>
            </w:tcBorders>
            <w:gridSpan w:val="2"/>
          </w:tcPr>
          <w:p>
            <w:pPr>
              <w:spacing w:after="0"/>
              <w:rPr>
                <w:rFonts w:ascii="Arial" w:cs="Arial" w:eastAsia="Arial" w:hAnsi="Arial"/>
                <w:sz w:val="17"/>
                <w:szCs w:val="17"/>
                <w:color w:val="0000EE"/>
                <w:w w:val="84"/>
              </w:rPr>
            </w:pPr>
            <w:hyperlink w:anchor="page62">
              <w:r>
                <w:rPr>
                  <w:rFonts w:ascii="Arial" w:cs="Arial" w:eastAsia="Arial" w:hAnsi="Arial"/>
                  <w:sz w:val="17"/>
                  <w:szCs w:val="17"/>
                  <w:color w:val="0000EE"/>
                  <w:w w:val="84"/>
                </w:rPr>
                <w:t>Item 9.</w:t>
              </w:r>
            </w:hyperlink>
          </w:p>
        </w:tc>
        <w:tc>
          <w:tcPr>
            <w:tcW w:w="880" w:type="dxa"/>
            <w:vAlign w:val="bottom"/>
            <w:gridSpan w:val="8"/>
          </w:tcPr>
          <w:p>
            <w:pPr>
              <w:spacing w:after="0"/>
              <w:rPr>
                <w:sz w:val="20"/>
                <w:szCs w:val="20"/>
                <w:color w:val="auto"/>
              </w:rPr>
            </w:pPr>
          </w:p>
        </w:tc>
        <w:tc>
          <w:tcPr>
            <w:tcW w:w="6120" w:type="dxa"/>
            <w:vAlign w:val="bottom"/>
            <w:tcBorders>
              <w:bottom w:val="single" w:sz="8" w:color="0000EE"/>
            </w:tcBorders>
            <w:gridSpan w:val="17"/>
          </w:tcPr>
          <w:p>
            <w:pPr>
              <w:spacing w:after="0"/>
              <w:rPr>
                <w:rFonts w:ascii="Arial" w:cs="Arial" w:eastAsia="Arial" w:hAnsi="Arial"/>
                <w:sz w:val="17"/>
                <w:szCs w:val="17"/>
                <w:color w:val="0000EE"/>
                <w:w w:val="90"/>
              </w:rPr>
            </w:pPr>
            <w:hyperlink w:anchor="page62">
              <w:r>
                <w:rPr>
                  <w:rFonts w:ascii="Arial" w:cs="Arial" w:eastAsia="Arial" w:hAnsi="Arial"/>
                  <w:sz w:val="17"/>
                  <w:szCs w:val="17"/>
                  <w:color w:val="0000EE"/>
                  <w:w w:val="90"/>
                </w:rPr>
                <w:t>Changes in and Disagreements with Accountants on Accounting and Financial Disclosure</w:t>
              </w:r>
            </w:hyperlink>
          </w:p>
        </w:tc>
        <w:tc>
          <w:tcPr>
            <w:tcW w:w="2860" w:type="dxa"/>
            <w:vAlign w:val="bottom"/>
            <w:gridSpan w:val="3"/>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2">
              <w:r>
                <w:rPr>
                  <w:rFonts w:ascii="Arial" w:cs="Arial" w:eastAsia="Arial" w:hAnsi="Arial"/>
                  <w:sz w:val="17"/>
                  <w:szCs w:val="17"/>
                  <w:color w:val="0000EE"/>
                  <w:w w:val="84"/>
                </w:rPr>
                <w:t>62</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660" w:type="dxa"/>
            <w:vAlign w:val="bottom"/>
            <w:gridSpan w:val="7"/>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Item 9A.</w:t>
              </w:r>
            </w:hyperlink>
          </w:p>
        </w:tc>
        <w:tc>
          <w:tcPr>
            <w:tcW w:w="700" w:type="dxa"/>
            <w:vAlign w:val="bottom"/>
            <w:gridSpan w:val="3"/>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2">
              <w:r>
                <w:rPr>
                  <w:rFonts w:ascii="Arial" w:cs="Arial" w:eastAsia="Arial" w:hAnsi="Arial"/>
                  <w:sz w:val="17"/>
                  <w:szCs w:val="17"/>
                  <w:color w:val="0000EE"/>
                </w:rPr>
                <w:t>Controls and Procedures</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62">
              <w:r>
                <w:rPr>
                  <w:rFonts w:ascii="Arial" w:cs="Arial" w:eastAsia="Arial" w:hAnsi="Arial"/>
                  <w:sz w:val="17"/>
                  <w:szCs w:val="17"/>
                  <w:color w:val="0000EE"/>
                </w:rPr>
                <w:t>62</w:t>
              </w:r>
            </w:hyperlink>
          </w:p>
        </w:tc>
      </w:tr>
      <w:tr>
        <w:trPr>
          <w:trHeight w:val="235"/>
        </w:trPr>
        <w:tc>
          <w:tcPr>
            <w:tcW w:w="140" w:type="dxa"/>
            <w:vAlign w:val="bottom"/>
          </w:tcPr>
          <w:p>
            <w:pPr>
              <w:spacing w:after="0"/>
              <w:rPr>
                <w:sz w:val="20"/>
                <w:szCs w:val="20"/>
                <w:color w:val="auto"/>
              </w:rPr>
            </w:pPr>
          </w:p>
        </w:tc>
        <w:tc>
          <w:tcPr>
            <w:tcW w:w="640" w:type="dxa"/>
            <w:vAlign w:val="bottom"/>
            <w:tcBorders>
              <w:top w:val="single" w:sz="8" w:color="0000EE"/>
            </w:tcBorders>
            <w:gridSpan w:val="6"/>
          </w:tcPr>
          <w:p>
            <w:pPr>
              <w:spacing w:after="0"/>
              <w:rPr>
                <w:rFonts w:ascii="Arial" w:cs="Arial" w:eastAsia="Arial" w:hAnsi="Arial"/>
                <w:sz w:val="17"/>
                <w:szCs w:val="17"/>
                <w:color w:val="0000EE"/>
                <w:w w:val="94"/>
              </w:rPr>
            </w:pPr>
            <w:hyperlink w:anchor="page63">
              <w:r>
                <w:rPr>
                  <w:rFonts w:ascii="Arial" w:cs="Arial" w:eastAsia="Arial" w:hAnsi="Arial"/>
                  <w:sz w:val="17"/>
                  <w:szCs w:val="17"/>
                  <w:color w:val="0000EE"/>
                  <w:w w:val="94"/>
                </w:rPr>
                <w:t>Item 9B.</w:t>
              </w:r>
            </w:hyperlink>
          </w:p>
        </w:tc>
        <w:tc>
          <w:tcPr>
            <w:tcW w:w="20" w:type="dxa"/>
            <w:vAlign w:val="bottom"/>
            <w:tcBorders>
              <w:top w:val="single" w:sz="8" w:color="0000EE"/>
            </w:tcBorders>
          </w:tcPr>
          <w:p>
            <w:pPr>
              <w:spacing w:after="0"/>
              <w:rPr>
                <w:sz w:val="20"/>
                <w:szCs w:val="20"/>
                <w:color w:val="auto"/>
              </w:rPr>
            </w:pPr>
          </w:p>
        </w:tc>
        <w:tc>
          <w:tcPr>
            <w:tcW w:w="700" w:type="dxa"/>
            <w:vAlign w:val="bottom"/>
            <w:gridSpan w:val="3"/>
          </w:tcPr>
          <w:p>
            <w:pPr>
              <w:spacing w:after="0"/>
              <w:rPr>
                <w:sz w:val="20"/>
                <w:szCs w:val="20"/>
                <w:color w:val="auto"/>
              </w:rPr>
            </w:pPr>
          </w:p>
        </w:tc>
        <w:tc>
          <w:tcPr>
            <w:tcW w:w="1660" w:type="dxa"/>
            <w:vAlign w:val="bottom"/>
            <w:tcBorders>
              <w:top w:val="single" w:sz="8" w:color="0000EE"/>
            </w:tcBorders>
            <w:gridSpan w:val="7"/>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Other Information</w:t>
              </w:r>
            </w:hyperlink>
          </w:p>
        </w:tc>
        <w:tc>
          <w:tcPr>
            <w:tcW w:w="7320" w:type="dxa"/>
            <w:vAlign w:val="bottom"/>
            <w:gridSpan w:val="13"/>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3">
              <w:r>
                <w:rPr>
                  <w:rFonts w:ascii="Arial" w:cs="Arial" w:eastAsia="Arial" w:hAnsi="Arial"/>
                  <w:sz w:val="17"/>
                  <w:szCs w:val="17"/>
                  <w:color w:val="0000EE"/>
                  <w:w w:val="84"/>
                </w:rPr>
                <w:t>63</w:t>
              </w:r>
            </w:hyperlink>
          </w:p>
        </w:tc>
        <w:tc>
          <w:tcPr>
            <w:tcW w:w="2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780" w:type="dxa"/>
            <w:vAlign w:val="bottom"/>
            <w:tcBorders>
              <w:bottom w:val="single" w:sz="8" w:color="0000EE"/>
            </w:tcBorders>
            <w:gridSpan w:val="7"/>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PART III.</w:t>
              </w:r>
            </w:hyperlink>
          </w:p>
        </w:tc>
        <w:tc>
          <w:tcPr>
            <w:tcW w:w="72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64</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Item 10.</w:t>
              </w:r>
            </w:hyperlink>
          </w:p>
        </w:tc>
        <w:tc>
          <w:tcPr>
            <w:tcW w:w="800" w:type="dxa"/>
            <w:vAlign w:val="bottom"/>
            <w:gridSpan w:val="6"/>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Directors, Executive Officers, and Corporate Governance</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64">
              <w:r>
                <w:rPr>
                  <w:rFonts w:ascii="Arial" w:cs="Arial" w:eastAsia="Arial" w:hAnsi="Arial"/>
                  <w:sz w:val="17"/>
                  <w:szCs w:val="17"/>
                  <w:color w:val="0000EE"/>
                </w:rPr>
                <w:t>64</w:t>
              </w:r>
            </w:hyperlink>
          </w:p>
        </w:tc>
      </w:tr>
      <w:tr>
        <w:trPr>
          <w:trHeight w:val="235"/>
        </w:trPr>
        <w:tc>
          <w:tcPr>
            <w:tcW w:w="140" w:type="dxa"/>
            <w:vAlign w:val="bottom"/>
          </w:tcPr>
          <w:p>
            <w:pPr>
              <w:spacing w:after="0"/>
              <w:rPr>
                <w:sz w:val="20"/>
                <w:szCs w:val="20"/>
                <w:color w:val="auto"/>
              </w:rPr>
            </w:pPr>
          </w:p>
        </w:tc>
        <w:tc>
          <w:tcPr>
            <w:tcW w:w="560" w:type="dxa"/>
            <w:vAlign w:val="bottom"/>
            <w:tcBorders>
              <w:top w:val="single" w:sz="8" w:color="0000EE"/>
            </w:tcBorders>
            <w:gridSpan w:val="4"/>
          </w:tcPr>
          <w:p>
            <w:pPr>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Item 11.</w:t>
              </w:r>
            </w:hyperlink>
          </w:p>
        </w:tc>
        <w:tc>
          <w:tcPr>
            <w:tcW w:w="800" w:type="dxa"/>
            <w:vAlign w:val="bottom"/>
            <w:gridSpan w:val="6"/>
          </w:tcPr>
          <w:p>
            <w:pPr>
              <w:spacing w:after="0"/>
              <w:rPr>
                <w:sz w:val="20"/>
                <w:szCs w:val="20"/>
                <w:color w:val="auto"/>
              </w:rPr>
            </w:pPr>
          </w:p>
        </w:tc>
        <w:tc>
          <w:tcPr>
            <w:tcW w:w="3900" w:type="dxa"/>
            <w:vAlign w:val="bottom"/>
            <w:tcBorders>
              <w:top w:val="single" w:sz="8" w:color="0000EE"/>
            </w:tcBorders>
            <w:gridSpan w:val="13"/>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Executive Compensation</w:t>
              </w:r>
            </w:hyperlink>
          </w:p>
        </w:tc>
        <w:tc>
          <w:tcPr>
            <w:tcW w:w="5080" w:type="dxa"/>
            <w:vAlign w:val="bottom"/>
            <w:gridSpan w:val="7"/>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64</w:t>
              </w:r>
            </w:hyperlink>
          </w:p>
        </w:tc>
        <w:tc>
          <w:tcPr>
            <w:tcW w:w="2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40" w:type="dxa"/>
            <w:vAlign w:val="bottom"/>
          </w:tcPr>
          <w:p>
            <w:pPr>
              <w:spacing w:after="0"/>
              <w:rPr>
                <w:sz w:val="20"/>
                <w:szCs w:val="20"/>
                <w:color w:val="auto"/>
              </w:rPr>
            </w:pPr>
          </w:p>
        </w:tc>
        <w:tc>
          <w:tcPr>
            <w:tcW w:w="600" w:type="dxa"/>
            <w:vAlign w:val="bottom"/>
            <w:gridSpan w:val="5"/>
          </w:tcPr>
          <w:p>
            <w:pPr>
              <w:spacing w:after="0"/>
              <w:rPr>
                <w:rFonts w:ascii="Arial" w:cs="Arial" w:eastAsia="Arial" w:hAnsi="Arial"/>
                <w:sz w:val="17"/>
                <w:szCs w:val="17"/>
                <w:color w:val="0000EE"/>
                <w:w w:val="94"/>
              </w:rPr>
            </w:pPr>
            <w:hyperlink w:anchor="page64">
              <w:r>
                <w:rPr>
                  <w:rFonts w:ascii="Arial" w:cs="Arial" w:eastAsia="Arial" w:hAnsi="Arial"/>
                  <w:sz w:val="17"/>
                  <w:szCs w:val="17"/>
                  <w:color w:val="0000EE"/>
                  <w:w w:val="94"/>
                </w:rPr>
                <w:t>Item 12.</w:t>
              </w:r>
            </w:hyperlink>
          </w:p>
        </w:tc>
        <w:tc>
          <w:tcPr>
            <w:tcW w:w="760" w:type="dxa"/>
            <w:vAlign w:val="bottom"/>
            <w:gridSpan w:val="5"/>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Security Ownership of Certain Beneficial Owners and Management and Related Stockholder Matters</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64">
              <w:r>
                <w:rPr>
                  <w:rFonts w:ascii="Arial" w:cs="Arial" w:eastAsia="Arial" w:hAnsi="Arial"/>
                  <w:sz w:val="17"/>
                  <w:szCs w:val="17"/>
                  <w:color w:val="0000EE"/>
                </w:rPr>
                <w:t>64</w:t>
              </w:r>
            </w:hyperlink>
          </w:p>
        </w:tc>
      </w:tr>
      <w:tr>
        <w:trPr>
          <w:trHeight w:val="235"/>
        </w:trPr>
        <w:tc>
          <w:tcPr>
            <w:tcW w:w="140" w:type="dxa"/>
            <w:vAlign w:val="bottom"/>
          </w:tcPr>
          <w:p>
            <w:pPr>
              <w:spacing w:after="0"/>
              <w:rPr>
                <w:sz w:val="20"/>
                <w:szCs w:val="20"/>
                <w:color w:val="auto"/>
              </w:rPr>
            </w:pPr>
          </w:p>
        </w:tc>
        <w:tc>
          <w:tcPr>
            <w:tcW w:w="600" w:type="dxa"/>
            <w:vAlign w:val="bottom"/>
            <w:tcBorders>
              <w:top w:val="single" w:sz="8" w:color="0000EE"/>
            </w:tcBorders>
            <w:gridSpan w:val="5"/>
          </w:tcPr>
          <w:p>
            <w:pPr>
              <w:spacing w:after="0"/>
              <w:rPr>
                <w:rFonts w:ascii="Arial" w:cs="Arial" w:eastAsia="Arial" w:hAnsi="Arial"/>
                <w:sz w:val="17"/>
                <w:szCs w:val="17"/>
                <w:color w:val="0000EE"/>
                <w:w w:val="94"/>
              </w:rPr>
            </w:pPr>
            <w:hyperlink w:anchor="page64">
              <w:r>
                <w:rPr>
                  <w:rFonts w:ascii="Arial" w:cs="Arial" w:eastAsia="Arial" w:hAnsi="Arial"/>
                  <w:sz w:val="17"/>
                  <w:szCs w:val="17"/>
                  <w:color w:val="0000EE"/>
                  <w:w w:val="94"/>
                </w:rPr>
                <w:t>Item 13.</w:t>
              </w:r>
            </w:hyperlink>
          </w:p>
        </w:tc>
        <w:tc>
          <w:tcPr>
            <w:tcW w:w="760" w:type="dxa"/>
            <w:vAlign w:val="bottom"/>
            <w:gridSpan w:val="5"/>
          </w:tcPr>
          <w:p>
            <w:pPr>
              <w:spacing w:after="0"/>
              <w:rPr>
                <w:sz w:val="20"/>
                <w:szCs w:val="20"/>
                <w:color w:val="auto"/>
              </w:rPr>
            </w:pPr>
          </w:p>
        </w:tc>
        <w:tc>
          <w:tcPr>
            <w:tcW w:w="6880" w:type="dxa"/>
            <w:vAlign w:val="bottom"/>
            <w:tcBorders>
              <w:top w:val="single" w:sz="8" w:color="0000EE"/>
            </w:tcBorders>
            <w:gridSpan w:val="18"/>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Certain Relationships and Related Transactions, and Director Independence</w:t>
              </w:r>
            </w:hyperlink>
          </w:p>
        </w:tc>
        <w:tc>
          <w:tcPr>
            <w:tcW w:w="2100" w:type="dxa"/>
            <w:vAlign w:val="bottom"/>
            <w:gridSpan w:val="2"/>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64</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560" w:type="dxa"/>
            <w:vAlign w:val="bottom"/>
            <w:tcBorders>
              <w:top w:val="single" w:sz="8" w:color="0000EE"/>
            </w:tcBorders>
            <w:gridSpan w:val="4"/>
          </w:tcPr>
          <w:p>
            <w:pPr>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Item 14.</w:t>
              </w:r>
            </w:hyperlink>
          </w:p>
        </w:tc>
        <w:tc>
          <w:tcPr>
            <w:tcW w:w="40" w:type="dxa"/>
            <w:vAlign w:val="bottom"/>
            <w:tcBorders>
              <w:top w:val="single" w:sz="8" w:color="0000EE"/>
            </w:tcBorders>
          </w:tcPr>
          <w:p>
            <w:pPr>
              <w:spacing w:after="0"/>
              <w:rPr>
                <w:sz w:val="20"/>
                <w:szCs w:val="20"/>
                <w:color w:val="auto"/>
              </w:rPr>
            </w:pPr>
          </w:p>
        </w:tc>
        <w:tc>
          <w:tcPr>
            <w:tcW w:w="760" w:type="dxa"/>
            <w:vAlign w:val="bottom"/>
            <w:gridSpan w:val="5"/>
          </w:tcPr>
          <w:p>
            <w:pPr>
              <w:spacing w:after="0"/>
              <w:rPr>
                <w:sz w:val="20"/>
                <w:szCs w:val="20"/>
                <w:color w:val="auto"/>
              </w:rPr>
            </w:pPr>
          </w:p>
        </w:tc>
        <w:tc>
          <w:tcPr>
            <w:tcW w:w="5140" w:type="dxa"/>
            <w:vAlign w:val="bottom"/>
            <w:tcBorders>
              <w:top w:val="single" w:sz="8" w:color="0000EE"/>
            </w:tcBorders>
            <w:gridSpan w:val="15"/>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Principal Accounting Fees and Services</w:t>
              </w:r>
            </w:hyperlink>
          </w:p>
        </w:tc>
        <w:tc>
          <w:tcPr>
            <w:tcW w:w="3840" w:type="dxa"/>
            <w:vAlign w:val="bottom"/>
            <w:gridSpan w:val="5"/>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top w:val="single" w:sz="8" w:color="0000EE"/>
            </w:tcBorders>
            <w:gridSpan w:val="2"/>
          </w:tcPr>
          <w:p>
            <w:pPr>
              <w:jc w:val="right"/>
              <w:spacing w:after="0"/>
              <w:rPr>
                <w:rFonts w:ascii="Arial" w:cs="Arial" w:eastAsia="Arial" w:hAnsi="Arial"/>
                <w:sz w:val="17"/>
                <w:szCs w:val="17"/>
                <w:color w:val="0000EE"/>
                <w:w w:val="84"/>
              </w:rPr>
            </w:pPr>
            <w:hyperlink w:anchor="page64">
              <w:r>
                <w:rPr>
                  <w:rFonts w:ascii="Arial" w:cs="Arial" w:eastAsia="Arial" w:hAnsi="Arial"/>
                  <w:sz w:val="17"/>
                  <w:szCs w:val="17"/>
                  <w:color w:val="0000EE"/>
                  <w:w w:val="84"/>
                </w:rPr>
                <w:t>64</w:t>
              </w:r>
            </w:hyperlink>
          </w:p>
        </w:tc>
        <w:tc>
          <w:tcPr>
            <w:tcW w:w="20" w:type="dxa"/>
            <w:vAlign w:val="bottom"/>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700" w:type="dxa"/>
            <w:vAlign w:val="bottom"/>
            <w:tcBorders>
              <w:bottom w:val="single" w:sz="8" w:color="0000EE"/>
            </w:tcBorders>
            <w:gridSpan w:val="5"/>
          </w:tcPr>
          <w:p>
            <w:pPr>
              <w:spacing w:after="0"/>
              <w:rPr>
                <w:rFonts w:ascii="Arial" w:cs="Arial" w:eastAsia="Arial" w:hAnsi="Arial"/>
                <w:sz w:val="17"/>
                <w:szCs w:val="17"/>
                <w:color w:val="0000EE"/>
                <w:w w:val="93"/>
              </w:rPr>
            </w:pPr>
            <w:hyperlink w:anchor="page65">
              <w:r>
                <w:rPr>
                  <w:rFonts w:ascii="Arial" w:cs="Arial" w:eastAsia="Arial" w:hAnsi="Arial"/>
                  <w:sz w:val="17"/>
                  <w:szCs w:val="17"/>
                  <w:color w:val="0000EE"/>
                  <w:w w:val="93"/>
                </w:rPr>
                <w:t>PART IV.</w:t>
              </w:r>
            </w:hyperlink>
          </w:p>
        </w:tc>
        <w:tc>
          <w:tcPr>
            <w:tcW w:w="800" w:type="dxa"/>
            <w:vAlign w:val="bottom"/>
            <w:gridSpan w:val="6"/>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5">
              <w:r>
                <w:rPr>
                  <w:rFonts w:ascii="Arial" w:cs="Arial" w:eastAsia="Arial" w:hAnsi="Arial"/>
                  <w:sz w:val="17"/>
                  <w:szCs w:val="17"/>
                  <w:color w:val="0000EE"/>
                  <w:w w:val="84"/>
                </w:rPr>
                <w:t>65</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600" w:type="dxa"/>
            <w:vAlign w:val="bottom"/>
            <w:tcBorders>
              <w:bottom w:val="single" w:sz="8" w:color="0000EE"/>
            </w:tcBorders>
            <w:gridSpan w:val="5"/>
          </w:tcPr>
          <w:p>
            <w:pPr>
              <w:spacing w:after="0"/>
              <w:rPr>
                <w:rFonts w:ascii="Arial" w:cs="Arial" w:eastAsia="Arial" w:hAnsi="Arial"/>
                <w:sz w:val="17"/>
                <w:szCs w:val="17"/>
                <w:color w:val="0000EE"/>
                <w:w w:val="94"/>
              </w:rPr>
            </w:pPr>
            <w:hyperlink w:anchor="page65">
              <w:r>
                <w:rPr>
                  <w:rFonts w:ascii="Arial" w:cs="Arial" w:eastAsia="Arial" w:hAnsi="Arial"/>
                  <w:sz w:val="17"/>
                  <w:szCs w:val="17"/>
                  <w:color w:val="0000EE"/>
                  <w:w w:val="94"/>
                </w:rPr>
                <w:t>Item 15.</w:t>
              </w:r>
            </w:hyperlink>
          </w:p>
        </w:tc>
        <w:tc>
          <w:tcPr>
            <w:tcW w:w="760" w:type="dxa"/>
            <w:vAlign w:val="bottom"/>
            <w:gridSpan w:val="5"/>
          </w:tcPr>
          <w:p>
            <w:pPr>
              <w:spacing w:after="0"/>
              <w:rPr>
                <w:sz w:val="20"/>
                <w:szCs w:val="20"/>
                <w:color w:val="auto"/>
              </w:rPr>
            </w:pPr>
          </w:p>
        </w:tc>
        <w:tc>
          <w:tcPr>
            <w:tcW w:w="2740" w:type="dxa"/>
            <w:vAlign w:val="bottom"/>
            <w:tcBorders>
              <w:bottom w:val="single" w:sz="8" w:color="0000EE"/>
            </w:tcBorders>
            <w:gridSpan w:val="11"/>
          </w:tcPr>
          <w:p>
            <w:pPr>
              <w:spacing w:after="0"/>
              <w:rPr>
                <w:rFonts w:ascii="Arial" w:cs="Arial" w:eastAsia="Arial" w:hAnsi="Arial"/>
                <w:sz w:val="17"/>
                <w:szCs w:val="17"/>
                <w:color w:val="0000EE"/>
                <w:w w:val="89"/>
              </w:rPr>
            </w:pPr>
            <w:hyperlink w:anchor="page65">
              <w:r>
                <w:rPr>
                  <w:rFonts w:ascii="Arial" w:cs="Arial" w:eastAsia="Arial" w:hAnsi="Arial"/>
                  <w:sz w:val="17"/>
                  <w:szCs w:val="17"/>
                  <w:color w:val="0000EE"/>
                  <w:w w:val="89"/>
                </w:rPr>
                <w:t>Exhibits, Financial Statement Schedules</w:t>
              </w:r>
            </w:hyperlink>
          </w:p>
        </w:tc>
        <w:tc>
          <w:tcPr>
            <w:tcW w:w="6240" w:type="dxa"/>
            <w:vAlign w:val="bottom"/>
            <w:gridSpan w:val="9"/>
          </w:tcPr>
          <w:p>
            <w:pPr>
              <w:spacing w:after="0"/>
              <w:rPr>
                <w:sz w:val="20"/>
                <w:szCs w:val="20"/>
                <w:color w:val="auto"/>
              </w:rPr>
            </w:pPr>
          </w:p>
        </w:tc>
        <w:tc>
          <w:tcPr>
            <w:tcW w:w="700" w:type="dxa"/>
            <w:vAlign w:val="bottom"/>
            <w:gridSpan w:val="2"/>
          </w:tcPr>
          <w:p>
            <w:pPr>
              <w:spacing w:after="0"/>
              <w:rPr>
                <w:sz w:val="20"/>
                <w:szCs w:val="20"/>
                <w:color w:val="auto"/>
              </w:rPr>
            </w:pPr>
          </w:p>
        </w:tc>
        <w:tc>
          <w:tcPr>
            <w:tcW w:w="180" w:type="dxa"/>
            <w:vAlign w:val="bottom"/>
            <w:tcBorders>
              <w:bottom w:val="single" w:sz="8" w:color="0000EE"/>
            </w:tcBorders>
            <w:gridSpan w:val="2"/>
          </w:tcPr>
          <w:p>
            <w:pPr>
              <w:jc w:val="right"/>
              <w:spacing w:after="0"/>
              <w:rPr>
                <w:rFonts w:ascii="Arial" w:cs="Arial" w:eastAsia="Arial" w:hAnsi="Arial"/>
                <w:sz w:val="17"/>
                <w:szCs w:val="17"/>
                <w:color w:val="0000EE"/>
                <w:w w:val="84"/>
              </w:rPr>
            </w:pPr>
            <w:hyperlink w:anchor="page65">
              <w:r>
                <w:rPr>
                  <w:rFonts w:ascii="Arial" w:cs="Arial" w:eastAsia="Arial" w:hAnsi="Arial"/>
                  <w:sz w:val="17"/>
                  <w:szCs w:val="17"/>
                  <w:color w:val="0000EE"/>
                  <w:w w:val="84"/>
                </w:rPr>
                <w:t>65</w:t>
              </w:r>
            </w:hyperlink>
          </w:p>
        </w:tc>
        <w:tc>
          <w:tcPr>
            <w:tcW w:w="20" w:type="dxa"/>
            <w:vAlign w:val="bottom"/>
          </w:tcPr>
          <w:p>
            <w:pPr>
              <w:spacing w:after="0"/>
              <w:rPr>
                <w:sz w:val="20"/>
                <w:szCs w:val="20"/>
                <w:color w:val="auto"/>
              </w:rPr>
            </w:pPr>
          </w:p>
        </w:tc>
      </w:tr>
      <w:tr>
        <w:trPr>
          <w:trHeight w:val="235"/>
        </w:trPr>
        <w:tc>
          <w:tcPr>
            <w:tcW w:w="140" w:type="dxa"/>
            <w:vAlign w:val="bottom"/>
          </w:tcPr>
          <w:p>
            <w:pPr>
              <w:spacing w:after="0"/>
              <w:rPr>
                <w:sz w:val="20"/>
                <w:szCs w:val="20"/>
                <w:color w:val="auto"/>
              </w:rPr>
            </w:pPr>
          </w:p>
        </w:tc>
        <w:tc>
          <w:tcPr>
            <w:tcW w:w="600" w:type="dxa"/>
            <w:vAlign w:val="bottom"/>
            <w:gridSpan w:val="5"/>
          </w:tcPr>
          <w:p>
            <w:pPr>
              <w:spacing w:after="0"/>
              <w:rPr>
                <w:rFonts w:ascii="Arial" w:cs="Arial" w:eastAsia="Arial" w:hAnsi="Arial"/>
                <w:sz w:val="17"/>
                <w:szCs w:val="17"/>
                <w:color w:val="0000EE"/>
                <w:w w:val="94"/>
              </w:rPr>
            </w:pPr>
            <w:hyperlink w:anchor="page65">
              <w:r>
                <w:rPr>
                  <w:rFonts w:ascii="Arial" w:cs="Arial" w:eastAsia="Arial" w:hAnsi="Arial"/>
                  <w:sz w:val="17"/>
                  <w:szCs w:val="17"/>
                  <w:color w:val="0000EE"/>
                  <w:w w:val="94"/>
                </w:rPr>
                <w:t>Item 16.</w:t>
              </w:r>
            </w:hyperlink>
          </w:p>
        </w:tc>
        <w:tc>
          <w:tcPr>
            <w:tcW w:w="760" w:type="dxa"/>
            <w:vAlign w:val="bottom"/>
            <w:gridSpan w:val="5"/>
          </w:tcPr>
          <w:p>
            <w:pPr>
              <w:spacing w:after="0"/>
              <w:rPr>
                <w:sz w:val="20"/>
                <w:szCs w:val="20"/>
                <w:color w:val="auto"/>
              </w:rPr>
            </w:pPr>
          </w:p>
        </w:tc>
        <w:tc>
          <w:tcPr>
            <w:tcW w:w="8980" w:type="dxa"/>
            <w:vAlign w:val="bottom"/>
            <w:gridSpan w:val="20"/>
          </w:tcPr>
          <w:p>
            <w:pPr>
              <w:spacing w:after="0"/>
              <w:rPr>
                <w:rFonts w:ascii="Arial" w:cs="Arial" w:eastAsia="Arial" w:hAnsi="Arial"/>
                <w:sz w:val="17"/>
                <w:szCs w:val="17"/>
                <w:color w:val="0000EE"/>
              </w:rPr>
            </w:pPr>
            <w:hyperlink w:anchor="page65">
              <w:r>
                <w:rPr>
                  <w:rFonts w:ascii="Arial" w:cs="Arial" w:eastAsia="Arial" w:hAnsi="Arial"/>
                  <w:sz w:val="17"/>
                  <w:szCs w:val="17"/>
                  <w:color w:val="0000EE"/>
                </w:rPr>
                <w:t>Form 10-K Summary</w:t>
              </w:r>
            </w:hyperlink>
          </w:p>
        </w:tc>
        <w:tc>
          <w:tcPr>
            <w:tcW w:w="900" w:type="dxa"/>
            <w:vAlign w:val="bottom"/>
            <w:gridSpan w:val="5"/>
          </w:tcPr>
          <w:p>
            <w:pPr>
              <w:jc w:val="right"/>
              <w:ind w:right="20"/>
              <w:spacing w:after="0"/>
              <w:rPr>
                <w:rFonts w:ascii="Arial" w:cs="Arial" w:eastAsia="Arial" w:hAnsi="Arial"/>
                <w:sz w:val="17"/>
                <w:szCs w:val="17"/>
                <w:color w:val="0000EE"/>
              </w:rPr>
            </w:pPr>
            <w:hyperlink w:anchor="page65">
              <w:r>
                <w:rPr>
                  <w:rFonts w:ascii="Arial" w:cs="Arial" w:eastAsia="Arial" w:hAnsi="Arial"/>
                  <w:sz w:val="17"/>
                  <w:szCs w:val="17"/>
                  <w:color w:val="0000EE"/>
                </w:rPr>
                <w:t>65</w:t>
              </w:r>
            </w:hyperlink>
          </w:p>
        </w:tc>
      </w:tr>
      <w:tr>
        <w:trPr>
          <w:trHeight w:val="20"/>
        </w:trPr>
        <w:tc>
          <w:tcPr>
            <w:tcW w:w="140" w:type="dxa"/>
            <w:vAlign w:val="bottom"/>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940" w:type="dxa"/>
            <w:vAlign w:val="bottom"/>
            <w:tcBorders>
              <w:bottom w:val="single" w:sz="8" w:color="0000EE"/>
            </w:tcBorders>
            <w:gridSpan w:val="9"/>
          </w:tcPr>
          <w:p>
            <w:pPr>
              <w:spacing w:after="0"/>
              <w:rPr>
                <w:rFonts w:ascii="Arial" w:cs="Arial" w:eastAsia="Arial" w:hAnsi="Arial"/>
                <w:sz w:val="17"/>
                <w:szCs w:val="17"/>
                <w:color w:val="0000EE"/>
                <w:w w:val="94"/>
              </w:rPr>
            </w:pPr>
            <w:hyperlink w:anchor="page124">
              <w:r>
                <w:rPr>
                  <w:rFonts w:ascii="Arial" w:cs="Arial" w:eastAsia="Arial" w:hAnsi="Arial"/>
                  <w:sz w:val="17"/>
                  <w:szCs w:val="17"/>
                  <w:color w:val="0000EE"/>
                  <w:w w:val="94"/>
                </w:rPr>
                <w:t>Exhibit Index</w:t>
              </w:r>
            </w:hyperlink>
          </w:p>
        </w:tc>
        <w:tc>
          <w:tcPr>
            <w:tcW w:w="560" w:type="dxa"/>
            <w:vAlign w:val="bottom"/>
            <w:gridSpan w:val="2"/>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0000EE"/>
            </w:tcBorders>
            <w:gridSpan w:val="3"/>
          </w:tcPr>
          <w:p>
            <w:pPr>
              <w:jc w:val="right"/>
              <w:spacing w:after="0"/>
              <w:rPr>
                <w:rFonts w:ascii="Arial" w:cs="Arial" w:eastAsia="Arial" w:hAnsi="Arial"/>
                <w:sz w:val="17"/>
                <w:szCs w:val="17"/>
                <w:color w:val="0000EE"/>
                <w:w w:val="90"/>
              </w:rPr>
            </w:pPr>
            <w:hyperlink w:anchor="page124">
              <w:r>
                <w:rPr>
                  <w:rFonts w:ascii="Arial" w:cs="Arial" w:eastAsia="Arial" w:hAnsi="Arial"/>
                  <w:sz w:val="17"/>
                  <w:szCs w:val="17"/>
                  <w:color w:val="0000EE"/>
                  <w:w w:val="90"/>
                </w:rPr>
                <w:t>E-1</w:t>
              </w:r>
            </w:hyperlink>
          </w:p>
        </w:tc>
        <w:tc>
          <w:tcPr>
            <w:tcW w:w="20" w:type="dxa"/>
            <w:vAlign w:val="bottom"/>
          </w:tcPr>
          <w:p>
            <w:pPr>
              <w:spacing w:after="0"/>
              <w:rPr>
                <w:sz w:val="20"/>
                <w:szCs w:val="20"/>
                <w:color w:val="auto"/>
              </w:rPr>
            </w:pPr>
          </w:p>
        </w:tc>
      </w:tr>
      <w:tr>
        <w:trPr>
          <w:trHeight w:val="235"/>
        </w:trPr>
        <w:tc>
          <w:tcPr>
            <w:tcW w:w="1500" w:type="dxa"/>
            <w:vAlign w:val="bottom"/>
            <w:gridSpan w:val="11"/>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SIGNATURES</w:t>
              </w:r>
            </w:hyperlink>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gridSpan w:val="4"/>
          </w:tcPr>
          <w:p>
            <w:pPr>
              <w:jc w:val="right"/>
              <w:ind w:right="20"/>
              <w:spacing w:after="0"/>
              <w:rPr>
                <w:rFonts w:ascii="Arial" w:cs="Arial" w:eastAsia="Arial" w:hAnsi="Arial"/>
                <w:sz w:val="17"/>
                <w:szCs w:val="17"/>
                <w:color w:val="0000EE"/>
                <w:w w:val="90"/>
              </w:rPr>
            </w:pPr>
            <w:hyperlink w:anchor="page128">
              <w:r>
                <w:rPr>
                  <w:rFonts w:ascii="Arial" w:cs="Arial" w:eastAsia="Arial" w:hAnsi="Arial"/>
                  <w:sz w:val="17"/>
                  <w:szCs w:val="17"/>
                  <w:color w:val="0000EE"/>
                  <w:w w:val="90"/>
                </w:rPr>
                <w:t>E-5</w:t>
              </w:r>
            </w:hyperlink>
          </w:p>
        </w:tc>
      </w:tr>
      <w:tr>
        <w:trPr>
          <w:trHeight w:val="451"/>
        </w:trPr>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gridSpan w:val="15"/>
          </w:tcPr>
          <w:p>
            <w:pPr>
              <w:jc w:val="center"/>
              <w:ind w:left="3175"/>
              <w:spacing w:after="0"/>
              <w:rPr>
                <w:sz w:val="20"/>
                <w:szCs w:val="20"/>
                <w:color w:val="auto"/>
              </w:rPr>
            </w:pPr>
            <w:r>
              <w:rPr>
                <w:rFonts w:ascii="Arial" w:cs="Arial" w:eastAsia="Arial" w:hAnsi="Arial"/>
                <w:sz w:val="17"/>
                <w:szCs w:val="17"/>
                <w:color w:val="auto"/>
                <w:w w:val="84"/>
              </w:rPr>
              <w:t>2</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CAUTIONARY STATEMENT</w:t>
      </w:r>
    </w:p>
    <w:p>
      <w:pPr>
        <w:spacing w:after="0" w:line="217" w:lineRule="exact"/>
        <w:rPr>
          <w:sz w:val="20"/>
          <w:szCs w:val="20"/>
          <w:color w:val="auto"/>
        </w:rPr>
      </w:pPr>
    </w:p>
    <w:p>
      <w:pPr>
        <w:ind w:firstLine="382"/>
        <w:spacing w:after="0" w:line="287" w:lineRule="auto"/>
        <w:rPr>
          <w:sz w:val="20"/>
          <w:szCs w:val="20"/>
          <w:color w:val="auto"/>
        </w:rPr>
      </w:pPr>
      <w:r>
        <w:rPr>
          <w:rFonts w:ascii="Arial" w:cs="Arial" w:eastAsia="Arial" w:hAnsi="Arial"/>
          <w:sz w:val="15"/>
          <w:szCs w:val="15"/>
          <w:i w:val="1"/>
          <w:iCs w:val="1"/>
          <w:color w:val="auto"/>
        </w:rPr>
        <w:t>This Annual Report on Form 10-K contains, or incorporates by reference, certain forward-looking statements within the meaning of the Private Securities Litigation Reform Act of 1995. Such statements consist of any statement other than a recitation of historical facts and include, but are not limited to: (1) projections of revenues, expenses, income or loss, earnings or loss per share, cash flow, or other financial items; (2) statements of our plans and objectives, including those related to releases of products or services and restructuring activities; (3) statements of future financial or operating performance, including the impact of tax items thereon; and</w:t>
      </w:r>
    </w:p>
    <w:p>
      <w:pPr>
        <w:spacing w:after="0" w:line="2" w:lineRule="exact"/>
        <w:rPr>
          <w:sz w:val="20"/>
          <w:szCs w:val="20"/>
          <w:color w:val="auto"/>
        </w:rPr>
      </w:pPr>
    </w:p>
    <w:p>
      <w:pPr>
        <w:ind w:left="240" w:hanging="238"/>
        <w:spacing w:after="0"/>
        <w:tabs>
          <w:tab w:leader="none" w:pos="24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statements of assumptions underlying such statements. Activision Blizzard, Inc. generally uses words such as “outlook,” “forecast,” “will,” “could,” “should,”</w:t>
      </w:r>
    </w:p>
    <w:p>
      <w:pPr>
        <w:spacing w:after="0" w:line="20" w:lineRule="exact"/>
        <w:rPr>
          <w:rFonts w:ascii="Arial" w:cs="Arial" w:eastAsia="Arial" w:hAnsi="Arial"/>
          <w:sz w:val="16"/>
          <w:szCs w:val="16"/>
          <w:i w:val="1"/>
          <w:iCs w:val="1"/>
          <w:color w:val="auto"/>
        </w:rPr>
      </w:pPr>
    </w:p>
    <w:p>
      <w:pPr>
        <w:spacing w:after="0" w:line="253" w:lineRule="auto"/>
        <w:rPr>
          <w:rFonts w:ascii="Arial" w:cs="Arial" w:eastAsia="Arial" w:hAnsi="Arial"/>
          <w:sz w:val="16"/>
          <w:szCs w:val="16"/>
          <w:i w:val="1"/>
          <w:iCs w:val="1"/>
          <w:color w:val="auto"/>
        </w:rPr>
      </w:pPr>
      <w:r>
        <w:rPr>
          <w:rFonts w:ascii="Arial" w:cs="Arial" w:eastAsia="Arial" w:hAnsi="Arial"/>
          <w:sz w:val="17"/>
          <w:szCs w:val="17"/>
          <w:i w:val="1"/>
          <w:iCs w:val="1"/>
          <w:color w:val="auto"/>
        </w:rPr>
        <w:t>“would,”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w:t>
      </w:r>
    </w:p>
    <w:p>
      <w:pPr>
        <w:spacing w:after="0" w:line="184" w:lineRule="exact"/>
        <w:rPr>
          <w:sz w:val="20"/>
          <w:szCs w:val="20"/>
          <w:color w:val="auto"/>
        </w:rPr>
      </w:pPr>
    </w:p>
    <w:p>
      <w:pPr>
        <w:ind w:right="120" w:firstLine="382"/>
        <w:spacing w:after="0" w:line="254" w:lineRule="auto"/>
        <w:rPr>
          <w:sz w:val="20"/>
          <w:szCs w:val="20"/>
          <w:color w:val="auto"/>
        </w:rPr>
      </w:pPr>
      <w:r>
        <w:rPr>
          <w:rFonts w:ascii="Arial" w:cs="Arial" w:eastAsia="Arial" w:hAnsi="Arial"/>
          <w:sz w:val="17"/>
          <w:szCs w:val="17"/>
          <w:i w:val="1"/>
          <w:iCs w:val="1"/>
          <w:color w:val="auto"/>
        </w:rPr>
        <w:t>The company cautions that a number of important factors could cause Activision Blizzard, Inc.’s actual future results and other future circumstances to differ materially from those expressed in any forward-looking statements. Some of the risk factors that could cause our actual results to differ from those stated in forward-looking statements can be found in “Risk Factors” included in Part I, Item 1A of this Annual Report on Form 10-K. The forward-looking statements contained herein are based upon information available to us as of the date of this Annual Report on Form 10-K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84" w:lineRule="exact"/>
        <w:rPr>
          <w:sz w:val="20"/>
          <w:szCs w:val="20"/>
          <w:color w:val="auto"/>
        </w:rPr>
      </w:pPr>
    </w:p>
    <w:p>
      <w:pPr>
        <w:ind w:right="200" w:firstLine="382"/>
        <w:spacing w:after="0" w:line="262" w:lineRule="auto"/>
        <w:rPr>
          <w:sz w:val="20"/>
          <w:szCs w:val="20"/>
          <w:color w:val="auto"/>
        </w:rPr>
      </w:pPr>
      <w:r>
        <w:rPr>
          <w:rFonts w:ascii="Arial" w:cs="Arial" w:eastAsia="Arial" w:hAnsi="Arial"/>
          <w:sz w:val="17"/>
          <w:szCs w:val="17"/>
          <w:i w:val="1"/>
          <w:iCs w:val="1"/>
          <w:color w:val="auto"/>
        </w:rPr>
        <w:t>Activision Blizzard Inc.’s names, abbreviations thereof, logos, and product and service designators are all either the registered or unregistered trademarks or trade names of Activision Blizzard. All other product or service names are the property of their respective owners. All dollar amounts referred to in, or contemplated by, this Annual Report on Form 10-K refer to U.S. dollars, unless otherwise explicitly stated to the contrary.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7" w:right="25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13"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our content. The terms “Activision Blizzard,” the “Company,” “we,” “us,” and “our” are used to refer collectively to Activision Blizzard, Inc. and its subsidiaries.</w:t>
      </w:r>
    </w:p>
    <w:p>
      <w:pPr>
        <w:spacing w:after="0" w:line="158" w:lineRule="exact"/>
        <w:rPr>
          <w:sz w:val="20"/>
          <w:szCs w:val="20"/>
          <w:color w:val="auto"/>
        </w:rPr>
      </w:pPr>
    </w:p>
    <w:p>
      <w:pPr>
        <w:ind w:right="160" w:firstLine="382"/>
        <w:spacing w:after="0" w:line="258" w:lineRule="auto"/>
        <w:rPr>
          <w:sz w:val="20"/>
          <w:szCs w:val="20"/>
          <w:color w:val="auto"/>
        </w:rPr>
      </w:pPr>
      <w:r>
        <w:rPr>
          <w:rFonts w:ascii="Arial" w:cs="Arial" w:eastAsia="Arial" w:hAnsi="Arial"/>
          <w:sz w:val="17"/>
          <w:szCs w:val="17"/>
          <w:color w:val="auto"/>
        </w:rPr>
        <w:t>The Company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(“Blizzard”), we were renamed Activision Blizzard, Inc. On February 23, 2016, we acquired King Digital Entertainment plc, a leading interactive mobile entertainment company ("King"), by purchasing all of its outstanding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Strategy and Vision</w:t>
      </w:r>
    </w:p>
    <w:p>
      <w:pPr>
        <w:spacing w:after="0" w:line="213" w:lineRule="exact"/>
        <w:rPr>
          <w:sz w:val="20"/>
          <w:szCs w:val="20"/>
          <w:color w:val="auto"/>
        </w:rPr>
      </w:pPr>
    </w:p>
    <w:p>
      <w:pPr>
        <w:ind w:right="20" w:firstLine="382"/>
        <w:spacing w:after="0" w:line="262" w:lineRule="auto"/>
        <w:rPr>
          <w:sz w:val="20"/>
          <w:szCs w:val="20"/>
          <w:color w:val="auto"/>
        </w:rPr>
      </w:pPr>
      <w:r>
        <w:rPr>
          <w:rFonts w:ascii="Arial" w:cs="Arial" w:eastAsia="Arial" w:hAnsi="Arial"/>
          <w:sz w:val="17"/>
          <w:szCs w:val="17"/>
          <w:color w:val="auto"/>
        </w:rPr>
        <w:t>Our objective is to continue to be a worldwide leader in the development, publishing, and distribution of high-quality interactive entertainment content and services, as well as related media, that deliver engaging entertainment experiences on a year-round basis. In pursuit of this objective, we focus on three strategic pillars: expanding audience reach; driving deep consumer engagement; and providing more opportunities for player investment.</w:t>
      </w:r>
    </w:p>
    <w:p>
      <w:pPr>
        <w:spacing w:after="0" w:line="176" w:lineRule="exact"/>
        <w:rPr>
          <w:sz w:val="20"/>
          <w:szCs w:val="20"/>
          <w:color w:val="auto"/>
        </w:rPr>
      </w:pPr>
    </w:p>
    <w:p>
      <w:pPr>
        <w:ind w:right="120" w:firstLine="382"/>
        <w:spacing w:after="0" w:line="258" w:lineRule="auto"/>
        <w:rPr>
          <w:sz w:val="20"/>
          <w:szCs w:val="20"/>
          <w:color w:val="auto"/>
        </w:rPr>
      </w:pPr>
      <w:r>
        <w:rPr>
          <w:rFonts w:ascii="Arial" w:cs="Arial" w:eastAsia="Arial" w:hAnsi="Arial"/>
          <w:sz w:val="17"/>
          <w:szCs w:val="17"/>
          <w:i w:val="1"/>
          <w:iCs w:val="1"/>
          <w:color w:val="auto"/>
        </w:rPr>
        <w:t xml:space="preserve">Expanding audience reach. </w:t>
      </w:r>
      <w:r>
        <w:rPr>
          <w:rFonts w:ascii="Arial" w:cs="Arial" w:eastAsia="Arial" w:hAnsi="Arial"/>
          <w:sz w:val="17"/>
          <w:szCs w:val="17"/>
          <w:color w:val="auto"/>
        </w:rPr>
        <w:t>Building on our strong established franchises and creating new franchises through compelling new content is at the core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We endeavor to reach as many consumers as possible either through: (1) the purchase of our content and services; (2) engagement in our free-to-play games, which allow consumers to play games with no up-front cost but provide for player investment through sales of downloadable content or via microtransactions; or (3) engagement in other types of media based on our franchises, such as esports.</w:t>
      </w:r>
    </w:p>
    <w:p>
      <w:pPr>
        <w:spacing w:after="0" w:line="179" w:lineRule="exact"/>
        <w:rPr>
          <w:sz w:val="20"/>
          <w:szCs w:val="20"/>
          <w:color w:val="auto"/>
        </w:rPr>
      </w:pPr>
    </w:p>
    <w:p>
      <w:pPr>
        <w:jc w:val="both"/>
        <w:ind w:right="260" w:firstLine="382"/>
        <w:spacing w:after="0" w:line="262" w:lineRule="auto"/>
        <w:rPr>
          <w:sz w:val="20"/>
          <w:szCs w:val="20"/>
          <w:color w:val="auto"/>
        </w:rPr>
      </w:pPr>
      <w:r>
        <w:rPr>
          <w:rFonts w:ascii="Arial" w:cs="Arial" w:eastAsia="Arial" w:hAnsi="Arial"/>
          <w:sz w:val="17"/>
          <w:szCs w:val="17"/>
          <w:i w:val="1"/>
          <w:iCs w:val="1"/>
          <w:color w:val="auto"/>
        </w:rPr>
        <w:t>Driving deep consumer engagement</w:t>
      </w:r>
      <w:r>
        <w:rPr>
          <w:rFonts w:ascii="Arial" w:cs="Arial" w:eastAsia="Arial" w:hAnsi="Arial"/>
          <w:sz w:val="17"/>
          <w:szCs w:val="17"/>
          <w:color w:val="auto"/>
        </w:rPr>
        <w:t>. Our high-quality entertainment content not only expands our audience reach, but it also drives deep engagement with our</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franchises. We design our games, as well as related media, to provide a depth of content that keeps consumers engaged for a long period of time following a game’s release, delivering more value to our players and additional growth opportunities for our franchises.</w:t>
      </w:r>
    </w:p>
    <w:p>
      <w:pPr>
        <w:spacing w:after="0" w:line="176" w:lineRule="exact"/>
        <w:rPr>
          <w:sz w:val="20"/>
          <w:szCs w:val="20"/>
          <w:color w:val="auto"/>
        </w:rPr>
      </w:pPr>
    </w:p>
    <w:p>
      <w:pPr>
        <w:ind w:right="20" w:firstLine="382"/>
        <w:spacing w:after="0" w:line="272" w:lineRule="auto"/>
        <w:rPr>
          <w:sz w:val="20"/>
          <w:szCs w:val="20"/>
          <w:color w:val="auto"/>
        </w:rPr>
      </w:pPr>
      <w:r>
        <w:rPr>
          <w:rFonts w:ascii="Arial" w:cs="Arial" w:eastAsia="Arial" w:hAnsi="Arial"/>
          <w:sz w:val="16"/>
          <w:szCs w:val="16"/>
          <w:i w:val="1"/>
          <w:iCs w:val="1"/>
          <w:color w:val="auto"/>
        </w:rPr>
        <w:t xml:space="preserve">Providing more opportunities for player investment. </w:t>
      </w:r>
      <w:r>
        <w:rPr>
          <w:rFonts w:ascii="Arial" w:cs="Arial" w:eastAsia="Arial" w:hAnsi="Arial"/>
          <w:sz w:val="16"/>
          <w:szCs w:val="16"/>
          <w:color w:val="auto"/>
        </w:rPr>
        <w:t>Increasingly, our consumers are connected to our games online through consoles, PCs, and mobile devices.</w:t>
      </w:r>
      <w:r>
        <w:rPr>
          <w:rFonts w:ascii="Arial" w:cs="Arial" w:eastAsia="Arial" w:hAnsi="Arial"/>
          <w:sz w:val="16"/>
          <w:szCs w:val="16"/>
          <w:i w:val="1"/>
          <w:iCs w:val="1"/>
          <w:color w:val="auto"/>
        </w:rPr>
        <w:t xml:space="preserve"> </w:t>
      </w:r>
      <w:r>
        <w:rPr>
          <w:rFonts w:ascii="Arial" w:cs="Arial" w:eastAsia="Arial" w:hAnsi="Arial"/>
          <w:sz w:val="16"/>
          <w:szCs w:val="16"/>
          <w:color w:val="auto"/>
        </w:rPr>
        <w:t>This allows us to offer additional digital player investment opportunities directly to our consumers on a year-round basis. In addition to purchasing full games or subscriptions, players can invest in certain of our games and franchises by purchasing incremental “in-game” content (including larger downloadable content or smaller content, via microtransactions). These digital revenue streams tend to be more recurring and have relatively higher profit margins. Further, if executed properly, additional player investment can increase engagement as it provides more frequent and incremental content for our players. In addition, we generate revenue through offering advertising within certain of our franchises, and we believe there are opportunities to grow new forms of player investment through esports and consumer products. We are still in the early stages of developing these new revenue streams.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Based upon our organizational structure, we conduct our business through three reportable segments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13" w:lineRule="exact"/>
        <w:rPr>
          <w:sz w:val="20"/>
          <w:szCs w:val="20"/>
          <w:color w:val="auto"/>
        </w:rPr>
      </w:pPr>
    </w:p>
    <w:p>
      <w:pPr>
        <w:ind w:right="100" w:firstLine="382"/>
        <w:spacing w:after="0" w:line="261" w:lineRule="auto"/>
        <w:rPr>
          <w:sz w:val="20"/>
          <w:szCs w:val="20"/>
          <w:color w:val="auto"/>
        </w:rPr>
      </w:pPr>
      <w:r>
        <w:rPr>
          <w:rFonts w:ascii="Arial" w:cs="Arial" w:eastAsia="Arial" w:hAnsi="Arial"/>
          <w:sz w:val="17"/>
          <w:szCs w:val="17"/>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Activision also includes the activities of the Call of Duty League, a global professional esports league with city-based teams for Call of Duty</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7"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 xml:space="preserve">Activision’s key product franchise is Call of Duty, a first-person action title for the console and PC platforms and, following the October 1, 2019 launch of </w:t>
      </w:r>
      <w:r>
        <w:rPr>
          <w:rFonts w:ascii="Arial" w:cs="Arial" w:eastAsia="Arial" w:hAnsi="Arial"/>
          <w:sz w:val="17"/>
          <w:szCs w:val="17"/>
          <w:i w:val="1"/>
          <w:iCs w:val="1"/>
          <w:color w:val="auto"/>
        </w:rPr>
        <w:t>Call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Duty: Mobile, </w:t>
      </w:r>
      <w:r>
        <w:rPr>
          <w:rFonts w:ascii="Arial" w:cs="Arial" w:eastAsia="Arial" w:hAnsi="Arial"/>
          <w:sz w:val="17"/>
          <w:szCs w:val="17"/>
          <w:color w:val="auto"/>
        </w:rPr>
        <w:t>the mobile platform, including for Google Inc.’s (“Google”) Android and Apple Inc.’s (“Apple”) iOS. Call of Duty has been the number one console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franchise globally for 10 of the last 11 years, based on data from The NPD Group, GfK Chart-Track, and GSD, and our internal estimates of upfront console sales. Additionally,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installs exceeded 150 million, ending the fourth quarter of 2019 in the top-15 grossing games in U.S. app stores per App Annie Intelligence and internal estimates.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for the PC platform. Blizzard</w:t>
      </w:r>
    </w:p>
    <w:p>
      <w:pPr>
        <w:spacing w:after="0" w:line="31"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2"/>
          <w:szCs w:val="22"/>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22"/>
          <w:szCs w:val="22"/>
          <w:color w:val="auto"/>
          <w:vertAlign w:val="superscript"/>
        </w:rPr>
        <w:t>TM</w:t>
      </w:r>
      <w:r>
        <w:rPr>
          <w:rFonts w:ascii="Arial" w:cs="Arial" w:eastAsia="Arial" w:hAnsi="Arial"/>
          <w:sz w:val="16"/>
          <w:szCs w:val="16"/>
          <w:color w:val="auto"/>
        </w:rPr>
        <w:t>, the first major global professional esports league with city-based teams.</w:t>
      </w:r>
    </w:p>
    <w:p>
      <w:pPr>
        <w:spacing w:after="0" w:line="93" w:lineRule="exact"/>
        <w:rPr>
          <w:sz w:val="20"/>
          <w:szCs w:val="20"/>
          <w:color w:val="auto"/>
        </w:rPr>
      </w:pPr>
    </w:p>
    <w:p>
      <w:pPr>
        <w:jc w:val="both"/>
        <w:ind w:firstLine="382"/>
        <w:spacing w:after="0" w:line="189" w:lineRule="auto"/>
        <w:rPr>
          <w:sz w:val="20"/>
          <w:szCs w:val="20"/>
          <w:color w:val="auto"/>
        </w:rPr>
      </w:pPr>
      <w:r>
        <w:rPr>
          <w:rFonts w:ascii="Arial" w:cs="Arial" w:eastAsia="Arial" w:hAnsi="Arial"/>
          <w:sz w:val="17"/>
          <w:szCs w:val="17"/>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7"/>
          <w:szCs w:val="17"/>
          <w:color w:val="auto"/>
        </w:rPr>
        <w:t>, a subscription-based massive multi-player online role-playing game for the PC platform; Diablo</w:t>
      </w:r>
      <w:r>
        <w:rPr>
          <w:rFonts w:ascii="Arial" w:cs="Arial" w:eastAsia="Arial" w:hAnsi="Arial"/>
          <w:sz w:val="23"/>
          <w:szCs w:val="23"/>
          <w:color w:val="auto"/>
          <w:vertAlign w:val="superscript"/>
        </w:rPr>
        <w:t>®</w:t>
      </w:r>
      <w:r>
        <w:rPr>
          <w:rFonts w:ascii="Arial" w:cs="Arial" w:eastAsia="Arial" w:hAnsi="Arial"/>
          <w:sz w:val="17"/>
          <w:szCs w:val="17"/>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7"/>
          <w:szCs w:val="17"/>
          <w:color w:val="auto"/>
        </w:rPr>
        <w:t>, an online collectible card franchise for the PC and mobile platforms; and Overwatch</w:t>
      </w:r>
      <w:r>
        <w:rPr>
          <w:rFonts w:ascii="Arial" w:cs="Arial" w:eastAsia="Arial" w:hAnsi="Arial"/>
          <w:sz w:val="23"/>
          <w:szCs w:val="23"/>
          <w:color w:val="auto"/>
          <w:vertAlign w:val="superscript"/>
        </w:rPr>
        <w:t>®</w:t>
      </w:r>
      <w:r>
        <w:rPr>
          <w:rFonts w:ascii="Arial" w:cs="Arial" w:eastAsia="Arial" w:hAnsi="Arial"/>
          <w:sz w:val="17"/>
          <w:szCs w:val="17"/>
          <w:color w:val="auto"/>
        </w:rPr>
        <w:t>, a team-based first-person action title for the PC and console platforms.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13" w:lineRule="exact"/>
        <w:rPr>
          <w:sz w:val="20"/>
          <w:szCs w:val="20"/>
          <w:color w:val="auto"/>
        </w:rPr>
      </w:pPr>
    </w:p>
    <w:p>
      <w:pPr>
        <w:jc w:val="both"/>
        <w:ind w:right="220" w:firstLine="382"/>
        <w:spacing w:after="0" w:line="313" w:lineRule="auto"/>
        <w:rPr>
          <w:sz w:val="20"/>
          <w:szCs w:val="20"/>
          <w:color w:val="auto"/>
        </w:rPr>
      </w:pPr>
      <w:r>
        <w:rPr>
          <w:rFonts w:ascii="Arial" w:cs="Arial" w:eastAsia="Arial" w:hAnsi="Arial"/>
          <w:sz w:val="15"/>
          <w:szCs w:val="15"/>
          <w:color w:val="auto"/>
        </w:rPr>
        <w:t>King is a leading global developer and publisher of interactive entertainment content and services, particularly for the mobile platform, including for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King’s key product franchise is Candy Crush™, which features “match three” games for the mobile and PC platforms.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13" w:lineRule="exact"/>
        <w:rPr>
          <w:sz w:val="20"/>
          <w:szCs w:val="20"/>
          <w:color w:val="auto"/>
        </w:rPr>
      </w:pPr>
    </w:p>
    <w:p>
      <w:pPr>
        <w:ind w:right="140" w:firstLine="382"/>
        <w:spacing w:after="0" w:line="262"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Products</w:t>
      </w:r>
    </w:p>
    <w:p>
      <w:pPr>
        <w:spacing w:after="0" w:line="213" w:lineRule="exact"/>
        <w:rPr>
          <w:sz w:val="20"/>
          <w:szCs w:val="20"/>
          <w:color w:val="auto"/>
        </w:rPr>
      </w:pPr>
    </w:p>
    <w:p>
      <w:pPr>
        <w:ind w:right="100" w:firstLine="382"/>
        <w:spacing w:after="0" w:line="262" w:lineRule="auto"/>
        <w:rPr>
          <w:sz w:val="20"/>
          <w:szCs w:val="20"/>
          <w:color w:val="auto"/>
        </w:rPr>
      </w:pPr>
      <w:r>
        <w:rPr>
          <w:rFonts w:ascii="Arial" w:cs="Arial" w:eastAsia="Arial" w:hAnsi="Arial"/>
          <w:sz w:val="17"/>
          <w:szCs w:val="17"/>
          <w:color w:val="auto"/>
        </w:rPr>
        <w:t>We develop interactive entertainment content and services, principally for console, PC, and mobile devices, and we market and sell our games through retail and digital distribution channels. Our products span various genres, including first- and third-person action/adventure, role-playing, strategy, and “match three,” among others. We primarily offer the following products and services:</w:t>
      </w:r>
    </w:p>
    <w:p>
      <w:pPr>
        <w:spacing w:after="0" w:line="176" w:lineRule="exact"/>
        <w:rPr>
          <w:sz w:val="20"/>
          <w:szCs w:val="20"/>
          <w:color w:val="auto"/>
        </w:rPr>
      </w:pPr>
    </w:p>
    <w:p>
      <w:pPr>
        <w:ind w:left="920" w:hanging="306"/>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full-games, which typically provide access to main game content, primarily for console or PC;</w:t>
      </w:r>
    </w:p>
    <w:p>
      <w:pPr>
        <w:spacing w:after="0" w:line="19" w:lineRule="exact"/>
        <w:rPr>
          <w:rFonts w:ascii="Arial" w:cs="Arial" w:eastAsia="Arial" w:hAnsi="Arial"/>
          <w:sz w:val="17"/>
          <w:szCs w:val="17"/>
          <w:color w:val="auto"/>
        </w:rPr>
      </w:pPr>
    </w:p>
    <w:p>
      <w:pPr>
        <w:ind w:left="920" w:hanging="306"/>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downloadable content, which provides players with additional in-game content to purchase following the purchase of a full game;</w:t>
      </w:r>
    </w:p>
    <w:p>
      <w:pPr>
        <w:spacing w:after="0" w:line="8" w:lineRule="exact"/>
        <w:rPr>
          <w:rFonts w:ascii="Arial" w:cs="Arial" w:eastAsia="Arial" w:hAnsi="Arial"/>
          <w:sz w:val="17"/>
          <w:szCs w:val="17"/>
          <w:color w:val="auto"/>
        </w:rPr>
      </w:pPr>
    </w:p>
    <w:p>
      <w:pPr>
        <w:ind w:left="920" w:right="40" w:hanging="306"/>
        <w:spacing w:after="0" w:line="250"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microtransactions, which typically provide relatively small pieces of additional in-game content or enhancements to gameplay, generally at relatively low price points; and</w:t>
      </w:r>
    </w:p>
    <w:p>
      <w:pPr>
        <w:ind w:left="920" w:hanging="306"/>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subscriptions for players in our World of Warcraft franchise that provide for continual access to the game content.</w:t>
      </w:r>
    </w:p>
    <w:p>
      <w:pPr>
        <w:spacing w:after="0" w:line="201" w:lineRule="exact"/>
        <w:rPr>
          <w:sz w:val="20"/>
          <w:szCs w:val="20"/>
          <w:color w:val="auto"/>
        </w:rPr>
      </w:pPr>
    </w:p>
    <w:p>
      <w:pPr>
        <w:ind w:right="600" w:firstLine="382"/>
        <w:spacing w:after="0" w:line="343" w:lineRule="auto"/>
        <w:rPr>
          <w:sz w:val="20"/>
          <w:szCs w:val="20"/>
          <w:color w:val="auto"/>
        </w:rPr>
      </w:pPr>
      <w:r>
        <w:rPr>
          <w:rFonts w:ascii="Arial" w:cs="Arial" w:eastAsia="Arial" w:hAnsi="Arial"/>
          <w:sz w:val="15"/>
          <w:szCs w:val="15"/>
          <w:color w:val="auto"/>
        </w:rPr>
        <w:t>Providing additional opportunities for player investment outside of full-game purchases has allowed us to shift from our historical seasonality to a more consistently recurring and year-round revenue model. In addition, if executed properly, it allows us to increase player engagement with our games and content.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7" w:right="2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and Support</w:t>
      </w:r>
    </w:p>
    <w:p>
      <w:pPr>
        <w:spacing w:after="0" w:line="213"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We focus on developing enduring franchises backed by well-designed, high-quality games with regular content updates. We build interactive entertainment content with the potential for broad reach, sustainable engagement and year-round player investment. It is our experience that enduring franchises then serve as the basis for sequels, prequels, and related new products and content that can be released over an extended period of time. We believe that the development and distribution of products and content based on established franchises enhances predictability of revenues and the probability of high unit volume sales and operating profits. We intend to continue development of content based on our owned franchises in the future.</w:t>
      </w:r>
    </w:p>
    <w:p>
      <w:pPr>
        <w:spacing w:after="0" w:line="181" w:lineRule="exact"/>
        <w:rPr>
          <w:sz w:val="20"/>
          <w:szCs w:val="20"/>
          <w:color w:val="auto"/>
        </w:rPr>
      </w:pPr>
    </w:p>
    <w:p>
      <w:pPr>
        <w:ind w:right="180" w:firstLine="382"/>
        <w:spacing w:after="0" w:line="303" w:lineRule="auto"/>
        <w:rPr>
          <w:sz w:val="20"/>
          <w:szCs w:val="20"/>
          <w:color w:val="auto"/>
        </w:rPr>
      </w:pPr>
      <w:r>
        <w:rPr>
          <w:rFonts w:ascii="Arial" w:cs="Arial" w:eastAsia="Arial" w:hAnsi="Arial"/>
          <w:sz w:val="15"/>
          <w:szCs w:val="15"/>
          <w:color w:val="auto"/>
        </w:rPr>
        <w:t>We develop and produce our titles using a model in which a group of creative, technical, and production professionals, including designers, producers, programmers, artists, and sound engineers, in coordination with our marketing, finance, analytics, sales, and other professionals, has responsibility for the entire development and production process, including the supervision and coordination of internal and, where appropriate, external resources. We believe this model allows us to deploy the best resources for a given task, by supplementing our internal expertise with top-quality external resources on an as-needed basis.</w:t>
      </w:r>
    </w:p>
    <w:p>
      <w:pPr>
        <w:spacing w:after="0" w:line="149" w:lineRule="exact"/>
        <w:rPr>
          <w:sz w:val="20"/>
          <w:szCs w:val="20"/>
          <w:color w:val="auto"/>
        </w:rPr>
      </w:pPr>
    </w:p>
    <w:p>
      <w:pPr>
        <w:jc w:val="both"/>
        <w:ind w:right="80" w:firstLine="408"/>
        <w:spacing w:after="0" w:line="262" w:lineRule="auto"/>
        <w:rPr>
          <w:sz w:val="20"/>
          <w:szCs w:val="20"/>
          <w:color w:val="auto"/>
        </w:rPr>
      </w:pPr>
      <w:r>
        <w:rPr>
          <w:rFonts w:ascii="Arial" w:cs="Arial" w:eastAsia="Arial" w:hAnsi="Arial"/>
          <w:sz w:val="17"/>
          <w:szCs w:val="17"/>
          <w:color w:val="auto"/>
        </w:rPr>
        <w:t>While most of the content for our franchises is developed by our internal studios, we periodically engage independent third-party developers to create content on our behalf. From time to time, we also acquire the license rights to publish and/or distribute software products that are, or will be, independently created by third-party developers.</w:t>
      </w:r>
    </w:p>
    <w:p>
      <w:pPr>
        <w:spacing w:after="0" w:line="176" w:lineRule="exact"/>
        <w:rPr>
          <w:sz w:val="20"/>
          <w:szCs w:val="20"/>
          <w:color w:val="auto"/>
        </w:rPr>
      </w:pPr>
    </w:p>
    <w:p>
      <w:pPr>
        <w:ind w:right="20" w:firstLine="382"/>
        <w:spacing w:after="0" w:line="303" w:lineRule="auto"/>
        <w:rPr>
          <w:sz w:val="20"/>
          <w:szCs w:val="20"/>
          <w:color w:val="auto"/>
        </w:rPr>
      </w:pPr>
      <w:r>
        <w:rPr>
          <w:rFonts w:ascii="Arial" w:cs="Arial" w:eastAsia="Arial" w:hAnsi="Arial"/>
          <w:sz w:val="15"/>
          <w:szCs w:val="15"/>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24-hour game support to players through various means, primarily online and by telephone.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Sales, and Distribution</w:t>
      </w:r>
    </w:p>
    <w:p>
      <w:pPr>
        <w:spacing w:after="0" w:line="213" w:lineRule="exact"/>
        <w:rPr>
          <w:sz w:val="20"/>
          <w:szCs w:val="20"/>
          <w:color w:val="auto"/>
        </w:rPr>
      </w:pPr>
    </w:p>
    <w:p>
      <w:pPr>
        <w:ind w:right="120" w:firstLine="382"/>
        <w:spacing w:after="0" w:line="254" w:lineRule="auto"/>
        <w:rPr>
          <w:sz w:val="20"/>
          <w:szCs w:val="20"/>
          <w:color w:val="auto"/>
        </w:rPr>
      </w:pPr>
      <w:r>
        <w:rPr>
          <w:rFonts w:ascii="Arial" w:cs="Arial" w:eastAsia="Arial" w:hAnsi="Arial"/>
          <w:sz w:val="17"/>
          <w:szCs w:val="17"/>
          <w:color w:val="auto"/>
        </w:rPr>
        <w:t>Many of our products contain software that enables us to connect with our gamers directly. This allows us to communicate and market directly to our customers, including through customized advertising and in-game messaging based on customer preferences and trends. Our marketing efforts also include activities on: online social networks; other online advertising; other public relations activities;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From time to time, we also receive marketing support from hardware manufacturers, producers of consumer products related to a game, and retailers in connection with their own promotional efforts, as well as co-marketing from promotional partners.</w:t>
      </w:r>
    </w:p>
    <w:p>
      <w:pPr>
        <w:spacing w:after="0" w:line="184" w:lineRule="exact"/>
        <w:rPr>
          <w:sz w:val="20"/>
          <w:szCs w:val="20"/>
          <w:color w:val="auto"/>
        </w:rPr>
      </w:pPr>
    </w:p>
    <w:p>
      <w:pPr>
        <w:ind w:right="20" w:firstLine="382"/>
        <w:spacing w:after="0" w:line="262" w:lineRule="auto"/>
        <w:rPr>
          <w:sz w:val="20"/>
          <w:szCs w:val="20"/>
          <w:color w:val="auto"/>
        </w:rPr>
      </w:pPr>
      <w:r>
        <w:rPr>
          <w:rFonts w:ascii="Arial" w:cs="Arial" w:eastAsia="Arial" w:hAnsi="Arial"/>
          <w:sz w:val="17"/>
          <w:szCs w:val="17"/>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or through third-party distribution and licensing arrangements.</w:t>
      </w:r>
    </w:p>
    <w:p>
      <w:pPr>
        <w:spacing w:after="0" w:line="176" w:lineRule="exact"/>
        <w:rPr>
          <w:sz w:val="20"/>
          <w:szCs w:val="20"/>
          <w:color w:val="auto"/>
        </w:rPr>
      </w:pPr>
    </w:p>
    <w:p>
      <w:pPr>
        <w:ind w:right="80" w:firstLine="382"/>
        <w:spacing w:after="0" w:line="258" w:lineRule="auto"/>
        <w:rPr>
          <w:sz w:val="20"/>
          <w:szCs w:val="20"/>
          <w:color w:val="auto"/>
        </w:rPr>
      </w:pPr>
      <w:r>
        <w:rPr>
          <w:rFonts w:ascii="Arial" w:cs="Arial" w:eastAsia="Arial" w:hAnsi="Arial"/>
          <w:sz w:val="17"/>
          <w:szCs w:val="17"/>
          <w:color w:val="auto"/>
        </w:rPr>
        <w:t>Most of our products and content are also available in a digital format, which allows consumers to purchase and download the content at their convenience directly to their console, PC, or mobile device through our platform partners, including Apple, Facebook, Google, Microsoft Corporation (“Microsoft”), Nintendo Co., Ltd. (“Nintendo”), and Sony Interactive Entertainment Inc. (“Sony”). Blizzard utilizes its proprietary online gaming service, Blizzard Battle.net, to distribute most of Blizzard’s content and selected Activision content directly to PC consumers.</w:t>
      </w:r>
    </w:p>
    <w:p>
      <w:pPr>
        <w:spacing w:after="0" w:line="179" w:lineRule="exact"/>
        <w:rPr>
          <w:sz w:val="20"/>
          <w:szCs w:val="20"/>
          <w:color w:val="auto"/>
        </w:rPr>
      </w:pPr>
    </w:p>
    <w:p>
      <w:pPr>
        <w:jc w:val="both"/>
        <w:ind w:right="480" w:firstLine="382"/>
        <w:spacing w:after="0" w:line="262" w:lineRule="auto"/>
        <w:rPr>
          <w:sz w:val="20"/>
          <w:szCs w:val="20"/>
          <w:color w:val="auto"/>
        </w:rPr>
      </w:pPr>
      <w:r>
        <w:rPr>
          <w:rFonts w:ascii="Arial" w:cs="Arial" w:eastAsia="Arial" w:hAnsi="Arial"/>
          <w:sz w:val="17"/>
          <w:szCs w:val="17"/>
          <w:color w:val="auto"/>
        </w:rPr>
        <w:t>In addition to serving as a distribution platform, Blizzard Battle.net offers players communications features, social networking, player matching and digital content delivery and is designed to allow people to connect regardless of which of our games on Blizzard Battle.net they are playing. It attracts millions of active players, making it one of the largest online game-related services in the world.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w:t>
      </w:r>
    </w:p>
    <w:p>
      <w:pPr>
        <w:spacing w:after="0" w:line="213" w:lineRule="exact"/>
        <w:rPr>
          <w:sz w:val="20"/>
          <w:szCs w:val="20"/>
          <w:color w:val="auto"/>
        </w:rPr>
      </w:pPr>
    </w:p>
    <w:p>
      <w:pPr>
        <w:ind w:right="180" w:firstLine="408"/>
        <w:spacing w:after="0" w:line="262" w:lineRule="auto"/>
        <w:rPr>
          <w:sz w:val="20"/>
          <w:szCs w:val="20"/>
          <w:color w:val="auto"/>
        </w:rPr>
      </w:pPr>
      <w:r>
        <w:rPr>
          <w:rFonts w:ascii="Arial" w:cs="Arial" w:eastAsia="Arial" w:hAnsi="Arial"/>
          <w:sz w:val="17"/>
          <w:szCs w:val="17"/>
          <w:color w:val="auto"/>
        </w:rPr>
        <w:t>We prepare master program copies for our products on each release platform. With respect to products for Microsoft, Sony, and Nintendo consoles, our disk duplication, packaging, printing, manufacturing, warehousing, assembly, and shipping are performed by third-party subcontractors or distribution facilities owned by us.</w:t>
      </w:r>
    </w:p>
    <w:p>
      <w:pPr>
        <w:spacing w:after="0" w:line="176" w:lineRule="exact"/>
        <w:rPr>
          <w:sz w:val="20"/>
          <w:szCs w:val="20"/>
          <w:color w:val="auto"/>
        </w:rPr>
      </w:pPr>
    </w:p>
    <w:p>
      <w:pPr>
        <w:jc w:val="both"/>
        <w:ind w:firstLine="408"/>
        <w:spacing w:after="0" w:line="286" w:lineRule="auto"/>
        <w:rPr>
          <w:sz w:val="20"/>
          <w:szCs w:val="20"/>
          <w:color w:val="auto"/>
        </w:rPr>
      </w:pPr>
      <w:r>
        <w:rPr>
          <w:rFonts w:ascii="Arial" w:cs="Arial" w:eastAsia="Arial" w:hAnsi="Arial"/>
          <w:sz w:val="16"/>
          <w:szCs w:val="16"/>
          <w:color w:val="auto"/>
        </w:rPr>
        <w:t>Microsoft, Sony, and Nintendo generally specify or control the manufacturing and assembly of finished products and license their hardware technologies to us. In return, we pay an applicable royalty per unit once the manufacturer fills the product order, even if the units do not ultimately sell. We deliver the master materials to the licensor or its approved replicator, who then manufactures the finished goods and delivers them to us for distribution under our label.</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Customers and Top Franchises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Customers</w:t>
      </w:r>
    </w:p>
    <w:p>
      <w:pPr>
        <w:spacing w:after="0" w:line="213" w:lineRule="exact"/>
        <w:rPr>
          <w:sz w:val="20"/>
          <w:szCs w:val="20"/>
          <w:color w:val="auto"/>
        </w:rPr>
      </w:pPr>
    </w:p>
    <w:p>
      <w:pPr>
        <w:ind w:right="80" w:firstLine="408"/>
        <w:spacing w:after="0" w:line="256" w:lineRule="auto"/>
        <w:rPr>
          <w:sz w:val="20"/>
          <w:szCs w:val="20"/>
          <w:color w:val="auto"/>
        </w:rPr>
      </w:pPr>
      <w:r>
        <w:rPr>
          <w:rFonts w:ascii="Arial" w:cs="Arial" w:eastAsia="Arial" w:hAnsi="Arial"/>
          <w:sz w:val="17"/>
          <w:szCs w:val="17"/>
          <w:color w:val="auto"/>
        </w:rPr>
        <w:t>While the Company does sell directly to end consumers in certain instances, such as sales through Blizzard Battle.net, in other instances our customers may be platform providers, such as Sony, Microsoft, Google, and Apple, or retailers, such as Walmart and GameStop, who act as distributors of our content to end consumers. For the years ended December 31, 2019, 2018, and 2017, Apple, Google, and Sony have been our most significant customers with revenues of 17%, 13%, and 11%, respectively, for 2019, 15%, 11%, and 13%, respectively, for 2018, and 16%, 10%, and 14%, respectively, for 2017. No other customer accounted for 10% or more of our net revenues in the periods discussed above.</w:t>
      </w:r>
    </w:p>
    <w:p>
      <w:pPr>
        <w:spacing w:after="0" w:line="181" w:lineRule="exact"/>
        <w:rPr>
          <w:sz w:val="20"/>
          <w:szCs w:val="20"/>
          <w:color w:val="auto"/>
        </w:rPr>
      </w:pPr>
    </w:p>
    <w:p>
      <w:pPr>
        <w:jc w:val="both"/>
        <w:ind w:right="100" w:firstLine="408"/>
        <w:spacing w:after="0" w:line="262" w:lineRule="auto"/>
        <w:rPr>
          <w:sz w:val="20"/>
          <w:szCs w:val="20"/>
          <w:color w:val="auto"/>
        </w:rPr>
      </w:pPr>
      <w:r>
        <w:rPr>
          <w:rFonts w:ascii="Arial" w:cs="Arial" w:eastAsia="Arial" w:hAnsi="Arial"/>
          <w:sz w:val="17"/>
          <w:szCs w:val="17"/>
          <w:color w:val="auto"/>
        </w:rPr>
        <w:t>We had two customers—Sony and Microsoft—who accounted for 18% and 11%, respectively, of consolidated gross receivables at December 31, 2019. We had two customers—Sony and NetEase, Inc.—who accounted for 15% and 12%, respectively, of consolidated gross receivables at December 31, 2018. No other customer accounted for 10% or more of our consolidated gross receivables in the periods discussed above.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Top Franchises</w:t>
      </w:r>
    </w:p>
    <w:p>
      <w:pPr>
        <w:spacing w:after="0" w:line="213" w:lineRule="exact"/>
        <w:rPr>
          <w:sz w:val="20"/>
          <w:szCs w:val="20"/>
          <w:color w:val="auto"/>
        </w:rPr>
      </w:pPr>
    </w:p>
    <w:p>
      <w:pPr>
        <w:jc w:val="both"/>
        <w:ind w:right="40" w:firstLine="382"/>
        <w:spacing w:after="0" w:line="279" w:lineRule="auto"/>
        <w:rPr>
          <w:sz w:val="20"/>
          <w:szCs w:val="20"/>
          <w:color w:val="auto"/>
        </w:rPr>
      </w:pPr>
      <w:r>
        <w:rPr>
          <w:rFonts w:ascii="Arial" w:cs="Arial" w:eastAsia="Arial" w:hAnsi="Arial"/>
          <w:sz w:val="16"/>
          <w:szCs w:val="16"/>
          <w:color w:val="auto"/>
        </w:rPr>
        <w:t>For the year ended December 31, 2019, our top three franchises—Call of Duty, Candy Crush, and World of Warcraft—collectively accounted for 67% of our net revenues. For the year ended December 31, 2018, our top three franchises—Call of Duty, Candy Crush, and World of Warcraft—collectively accounted for 58% of our net revenues. For the year ended December 31, 2017, our top four franchises—Call of Duty, Candy Crush, World of Warcraft, and Overwatch—collectively accounted for 66% of our net revenues. No other franchise comprised 10% or more of our net revenues in the periods discussed above.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w:t>
      </w:r>
    </w:p>
    <w:p>
      <w:pPr>
        <w:spacing w:after="0" w:line="213" w:lineRule="exact"/>
        <w:rPr>
          <w:sz w:val="20"/>
          <w:szCs w:val="20"/>
          <w:color w:val="auto"/>
        </w:rPr>
      </w:pPr>
    </w:p>
    <w:p>
      <w:pPr>
        <w:ind w:right="160" w:firstLine="408"/>
        <w:spacing w:after="0" w:line="274" w:lineRule="auto"/>
        <w:rPr>
          <w:sz w:val="20"/>
          <w:szCs w:val="20"/>
          <w:color w:val="auto"/>
        </w:rPr>
      </w:pPr>
      <w:r>
        <w:rPr>
          <w:rFonts w:ascii="Arial" w:cs="Arial" w:eastAsia="Arial" w:hAnsi="Arial"/>
          <w:sz w:val="17"/>
          <w:szCs w:val="17"/>
          <w:color w:val="auto"/>
        </w:rPr>
        <w:t>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66" w:lineRule="exact"/>
        <w:rPr>
          <w:sz w:val="20"/>
          <w:szCs w:val="20"/>
          <w:color w:val="auto"/>
        </w:rPr>
      </w:pPr>
    </w:p>
    <w:p>
      <w:pPr>
        <w:ind w:right="120" w:firstLine="408"/>
        <w:spacing w:after="0" w:line="258" w:lineRule="auto"/>
        <w:rPr>
          <w:sz w:val="20"/>
          <w:szCs w:val="20"/>
          <w:color w:val="auto"/>
        </w:rPr>
      </w:pPr>
      <w:r>
        <w:rPr>
          <w:rFonts w:ascii="Arial" w:cs="Arial" w:eastAsia="Arial" w:hAnsi="Arial"/>
          <w:sz w:val="17"/>
          <w:szCs w:val="17"/>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of content; marketing support; and quality of customer service.</w:t>
      </w:r>
    </w:p>
    <w:p>
      <w:pPr>
        <w:spacing w:after="0" w:line="179" w:lineRule="exact"/>
        <w:rPr>
          <w:sz w:val="20"/>
          <w:szCs w:val="20"/>
          <w:color w:val="auto"/>
        </w:rPr>
      </w:pPr>
    </w:p>
    <w:p>
      <w:pPr>
        <w:jc w:val="both"/>
        <w:ind w:right="320" w:firstLine="408"/>
        <w:spacing w:after="0" w:line="262" w:lineRule="auto"/>
        <w:rPr>
          <w:sz w:val="20"/>
          <w:szCs w:val="20"/>
          <w:color w:val="auto"/>
        </w:rPr>
      </w:pPr>
      <w:r>
        <w:rPr>
          <w:rFonts w:ascii="Arial" w:cs="Arial" w:eastAsia="Arial" w:hAnsi="Arial"/>
          <w:sz w:val="17"/>
          <w:szCs w:val="17"/>
          <w:color w:val="auto"/>
        </w:rPr>
        <w:t>We compete with other publishers of video game console, PC, and mobile interactive entertainment software. In addition to third-party software competitors, integrated video game console hardware and software companies, such as Microsoft, Sony, and Nintendo, compete directly with us in the development of software titles for their respective platforms.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w:t>
      </w:r>
    </w:p>
    <w:p>
      <w:pPr>
        <w:spacing w:after="0" w:line="213" w:lineRule="exact"/>
        <w:rPr>
          <w:sz w:val="20"/>
          <w:szCs w:val="20"/>
          <w:color w:val="auto"/>
        </w:rPr>
      </w:pPr>
    </w:p>
    <w:p>
      <w:pPr>
        <w:ind w:right="20" w:firstLine="408"/>
        <w:spacing w:after="0" w:line="258" w:lineRule="auto"/>
        <w:rPr>
          <w:sz w:val="20"/>
          <w:szCs w:val="20"/>
          <w:color w:val="auto"/>
        </w:rPr>
      </w:pPr>
      <w:r>
        <w:rPr>
          <w:rFonts w:ascii="Arial" w:cs="Arial" w:eastAsia="Arial" w:hAnsi="Arial"/>
          <w:sz w:val="17"/>
          <w:szCs w:val="17"/>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 that we use to develop and run our games. Other intellectual property is in the form of copyrighted audio-visual elements that consumers can see, hear, and interact with when they are playing our games.</w:t>
      </w:r>
    </w:p>
    <w:p>
      <w:pPr>
        <w:spacing w:after="0" w:line="179" w:lineRule="exact"/>
        <w:rPr>
          <w:sz w:val="20"/>
          <w:szCs w:val="20"/>
          <w:color w:val="auto"/>
        </w:rPr>
      </w:pPr>
    </w:p>
    <w:p>
      <w:pPr>
        <w:ind w:right="100" w:firstLine="408"/>
        <w:spacing w:after="0" w:line="276" w:lineRule="auto"/>
        <w:rPr>
          <w:sz w:val="20"/>
          <w:szCs w:val="20"/>
          <w:color w:val="auto"/>
        </w:rPr>
      </w:pPr>
      <w:r>
        <w:rPr>
          <w:rFonts w:ascii="Arial" w:cs="Arial" w:eastAsia="Arial" w:hAnsi="Arial"/>
          <w:sz w:val="16"/>
          <w:szCs w:val="16"/>
          <w:color w:val="auto"/>
        </w:rPr>
        <w:t>We develop a majority of our products based on wholly-owned intellectual properties, such as Call of Duty, World of Warcraft, and Candy Crush. In other cases, we obtain intellectual property through licenses and service agreements.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66" w:lineRule="exact"/>
        <w:rPr>
          <w:sz w:val="20"/>
          <w:szCs w:val="20"/>
          <w:color w:val="auto"/>
        </w:rPr>
      </w:pPr>
    </w:p>
    <w:p>
      <w:pPr>
        <w:ind w:right="20" w:firstLine="408"/>
        <w:spacing w:after="0" w:line="256" w:lineRule="auto"/>
        <w:rPr>
          <w:sz w:val="20"/>
          <w:szCs w:val="20"/>
          <w:color w:val="auto"/>
        </w:rPr>
      </w:pPr>
      <w:r>
        <w:rPr>
          <w:rFonts w:ascii="Arial" w:cs="Arial" w:eastAsia="Arial" w:hAnsi="Arial"/>
          <w:sz w:val="17"/>
          <w:szCs w:val="17"/>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Information about our Executive Officers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executive officers and their biographical summaries are provided below:</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00" w:type="dxa"/>
            <w:vAlign w:val="bottom"/>
          </w:tcPr>
          <w:p>
            <w:pPr>
              <w:ind w:left="20"/>
              <w:spacing w:after="0"/>
              <w:rPr>
                <w:sz w:val="20"/>
                <w:szCs w:val="20"/>
                <w:color w:val="auto"/>
              </w:rPr>
            </w:pPr>
            <w:r>
              <w:rPr>
                <w:rFonts w:ascii="Arial" w:cs="Arial" w:eastAsia="Arial" w:hAnsi="Arial"/>
                <w:sz w:val="17"/>
                <w:szCs w:val="17"/>
                <w:b w:val="1"/>
                <w:bCs w:val="1"/>
                <w:color w:val="auto"/>
              </w:rPr>
              <w:t>Name</w:t>
            </w:r>
          </w:p>
        </w:tc>
        <w:tc>
          <w:tcPr>
            <w:tcW w:w="1100" w:type="dxa"/>
            <w:vAlign w:val="bottom"/>
          </w:tcPr>
          <w:p>
            <w:pPr>
              <w:jc w:val="center"/>
              <w:ind w:left="455"/>
              <w:spacing w:after="0"/>
              <w:rPr>
                <w:sz w:val="20"/>
                <w:szCs w:val="20"/>
                <w:color w:val="auto"/>
              </w:rPr>
            </w:pPr>
            <w:r>
              <w:rPr>
                <w:rFonts w:ascii="Arial" w:cs="Arial" w:eastAsia="Arial" w:hAnsi="Arial"/>
                <w:sz w:val="17"/>
                <w:szCs w:val="17"/>
                <w:b w:val="1"/>
                <w:bCs w:val="1"/>
                <w:color w:val="auto"/>
                <w:w w:val="87"/>
              </w:rPr>
              <w:t>Age</w:t>
            </w:r>
          </w:p>
        </w:tc>
        <w:tc>
          <w:tcPr>
            <w:tcW w:w="8220" w:type="dxa"/>
            <w:vAlign w:val="bottom"/>
          </w:tcPr>
          <w:p>
            <w:pPr>
              <w:ind w:left="140"/>
              <w:spacing w:after="0"/>
              <w:rPr>
                <w:sz w:val="20"/>
                <w:szCs w:val="20"/>
                <w:color w:val="auto"/>
              </w:rPr>
            </w:pPr>
            <w:r>
              <w:rPr>
                <w:rFonts w:ascii="Arial" w:cs="Arial" w:eastAsia="Arial" w:hAnsi="Arial"/>
                <w:sz w:val="17"/>
                <w:szCs w:val="17"/>
                <w:b w:val="1"/>
                <w:bCs w:val="1"/>
                <w:color w:val="auto"/>
              </w:rPr>
              <w:t>Position</w:t>
            </w:r>
          </w:p>
        </w:tc>
      </w:tr>
      <w:tr>
        <w:trPr>
          <w:trHeight w:val="27"/>
        </w:trPr>
        <w:tc>
          <w:tcPr>
            <w:tcW w:w="2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220" w:type="dxa"/>
            <w:vAlign w:val="bottom"/>
            <w:tcBorders>
              <w:bottom w:val="single" w:sz="8" w:color="auto"/>
            </w:tcBorders>
          </w:tcPr>
          <w:p>
            <w:pPr>
              <w:spacing w:after="0"/>
              <w:rPr>
                <w:sz w:val="2"/>
                <w:szCs w:val="2"/>
                <w:color w:val="auto"/>
              </w:rPr>
            </w:pPr>
          </w:p>
        </w:tc>
      </w:tr>
      <w:tr>
        <w:trPr>
          <w:trHeight w:val="228"/>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Robert A. Kotick</w:t>
            </w:r>
          </w:p>
        </w:tc>
        <w:tc>
          <w:tcPr>
            <w:tcW w:w="1100" w:type="dxa"/>
            <w:vAlign w:val="bottom"/>
            <w:tcBorders>
              <w:bottom w:val="single" w:sz="8" w:color="CCEEFF"/>
            </w:tcBorders>
            <w:shd w:val="clear" w:color="auto" w:fill="CCEEFF"/>
          </w:tcPr>
          <w:p>
            <w:pPr>
              <w:jc w:val="center"/>
              <w:ind w:left="455"/>
              <w:spacing w:after="0"/>
              <w:rPr>
                <w:sz w:val="20"/>
                <w:szCs w:val="20"/>
                <w:color w:val="auto"/>
              </w:rPr>
            </w:pPr>
            <w:r>
              <w:rPr>
                <w:rFonts w:ascii="Arial" w:cs="Arial" w:eastAsia="Arial" w:hAnsi="Arial"/>
                <w:sz w:val="17"/>
                <w:szCs w:val="17"/>
                <w:color w:val="auto"/>
                <w:w w:val="84"/>
              </w:rPr>
              <w:t>56</w:t>
            </w:r>
          </w:p>
        </w:tc>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Chief Executive Officer of Activision Blizzard</w:t>
            </w:r>
          </w:p>
        </w:tc>
      </w:tr>
      <w:tr>
        <w:trPr>
          <w:trHeight w:val="228"/>
        </w:trPr>
        <w:tc>
          <w:tcPr>
            <w:tcW w:w="2100" w:type="dxa"/>
            <w:vAlign w:val="bottom"/>
          </w:tcPr>
          <w:p>
            <w:pPr>
              <w:ind w:left="20"/>
              <w:spacing w:after="0"/>
              <w:rPr>
                <w:sz w:val="20"/>
                <w:szCs w:val="20"/>
                <w:color w:val="auto"/>
              </w:rPr>
            </w:pPr>
            <w:r>
              <w:rPr>
                <w:rFonts w:ascii="Arial" w:cs="Arial" w:eastAsia="Arial" w:hAnsi="Arial"/>
                <w:sz w:val="17"/>
                <w:szCs w:val="17"/>
                <w:color w:val="auto"/>
              </w:rPr>
              <w:t>Collister Johnson</w:t>
            </w:r>
          </w:p>
        </w:tc>
        <w:tc>
          <w:tcPr>
            <w:tcW w:w="1100" w:type="dxa"/>
            <w:vAlign w:val="bottom"/>
          </w:tcPr>
          <w:p>
            <w:pPr>
              <w:jc w:val="center"/>
              <w:ind w:left="455"/>
              <w:spacing w:after="0"/>
              <w:rPr>
                <w:sz w:val="20"/>
                <w:szCs w:val="20"/>
                <w:color w:val="auto"/>
              </w:rPr>
            </w:pPr>
            <w:r>
              <w:rPr>
                <w:rFonts w:ascii="Arial" w:cs="Arial" w:eastAsia="Arial" w:hAnsi="Arial"/>
                <w:sz w:val="17"/>
                <w:szCs w:val="17"/>
                <w:color w:val="auto"/>
                <w:w w:val="84"/>
              </w:rPr>
              <w:t>43</w:t>
            </w:r>
          </w:p>
        </w:tc>
        <w:tc>
          <w:tcPr>
            <w:tcW w:w="8220" w:type="dxa"/>
            <w:vAlign w:val="bottom"/>
          </w:tcPr>
          <w:p>
            <w:pPr>
              <w:ind w:left="140"/>
              <w:spacing w:after="0"/>
              <w:rPr>
                <w:sz w:val="20"/>
                <w:szCs w:val="20"/>
                <w:color w:val="auto"/>
              </w:rPr>
            </w:pPr>
            <w:r>
              <w:rPr>
                <w:rFonts w:ascii="Arial" w:cs="Arial" w:eastAsia="Arial" w:hAnsi="Arial"/>
                <w:sz w:val="17"/>
                <w:szCs w:val="17"/>
                <w:color w:val="auto"/>
              </w:rPr>
              <w:t>President and Chief Operating Officer of Activision Blizzard</w:t>
            </w:r>
          </w:p>
        </w:tc>
      </w:tr>
      <w:tr>
        <w:trPr>
          <w:trHeight w:val="27"/>
        </w:trPr>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20" w:type="dxa"/>
            <w:vAlign w:val="bottom"/>
          </w:tcPr>
          <w:p>
            <w:pPr>
              <w:spacing w:after="0"/>
              <w:rPr>
                <w:sz w:val="2"/>
                <w:szCs w:val="2"/>
                <w:color w:val="auto"/>
              </w:rPr>
            </w:pPr>
          </w:p>
        </w:tc>
      </w:tr>
      <w:tr>
        <w:trPr>
          <w:trHeight w:val="23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Dennis Durkin</w:t>
            </w:r>
          </w:p>
        </w:tc>
        <w:tc>
          <w:tcPr>
            <w:tcW w:w="1100" w:type="dxa"/>
            <w:vAlign w:val="bottom"/>
            <w:tcBorders>
              <w:bottom w:val="single" w:sz="8" w:color="CCEEFF"/>
            </w:tcBorders>
            <w:shd w:val="clear" w:color="auto" w:fill="CCEEFF"/>
          </w:tcPr>
          <w:p>
            <w:pPr>
              <w:jc w:val="center"/>
              <w:ind w:left="455"/>
              <w:spacing w:after="0"/>
              <w:rPr>
                <w:sz w:val="20"/>
                <w:szCs w:val="20"/>
                <w:color w:val="auto"/>
              </w:rPr>
            </w:pPr>
            <w:r>
              <w:rPr>
                <w:rFonts w:ascii="Arial" w:cs="Arial" w:eastAsia="Arial" w:hAnsi="Arial"/>
                <w:sz w:val="17"/>
                <w:szCs w:val="17"/>
                <w:color w:val="auto"/>
                <w:w w:val="84"/>
              </w:rPr>
              <w:t>49</w:t>
            </w:r>
          </w:p>
        </w:tc>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Chief Financial Officer of Activision Blizzard and President of Emerging Businesses</w:t>
            </w:r>
          </w:p>
        </w:tc>
      </w:tr>
      <w:tr>
        <w:trPr>
          <w:trHeight w:val="228"/>
        </w:trPr>
        <w:tc>
          <w:tcPr>
            <w:tcW w:w="2100" w:type="dxa"/>
            <w:vAlign w:val="bottom"/>
          </w:tcPr>
          <w:p>
            <w:pPr>
              <w:ind w:left="20"/>
              <w:spacing w:after="0"/>
              <w:rPr>
                <w:sz w:val="20"/>
                <w:szCs w:val="20"/>
                <w:color w:val="auto"/>
              </w:rPr>
            </w:pPr>
            <w:r>
              <w:rPr>
                <w:rFonts w:ascii="Arial" w:cs="Arial" w:eastAsia="Arial" w:hAnsi="Arial"/>
                <w:sz w:val="17"/>
                <w:szCs w:val="17"/>
                <w:color w:val="auto"/>
              </w:rPr>
              <w:t>Claudine Naughton</w:t>
            </w:r>
          </w:p>
        </w:tc>
        <w:tc>
          <w:tcPr>
            <w:tcW w:w="1100" w:type="dxa"/>
            <w:vAlign w:val="bottom"/>
          </w:tcPr>
          <w:p>
            <w:pPr>
              <w:jc w:val="center"/>
              <w:ind w:left="455"/>
              <w:spacing w:after="0"/>
              <w:rPr>
                <w:sz w:val="20"/>
                <w:szCs w:val="20"/>
                <w:color w:val="auto"/>
              </w:rPr>
            </w:pPr>
            <w:r>
              <w:rPr>
                <w:rFonts w:ascii="Arial" w:cs="Arial" w:eastAsia="Arial" w:hAnsi="Arial"/>
                <w:sz w:val="17"/>
                <w:szCs w:val="17"/>
                <w:color w:val="auto"/>
                <w:w w:val="84"/>
              </w:rPr>
              <w:t>51</w:t>
            </w:r>
          </w:p>
        </w:tc>
        <w:tc>
          <w:tcPr>
            <w:tcW w:w="8220" w:type="dxa"/>
            <w:vAlign w:val="bottom"/>
          </w:tcPr>
          <w:p>
            <w:pPr>
              <w:ind w:left="140"/>
              <w:spacing w:after="0"/>
              <w:rPr>
                <w:sz w:val="20"/>
                <w:szCs w:val="20"/>
                <w:color w:val="auto"/>
              </w:rPr>
            </w:pPr>
            <w:r>
              <w:rPr>
                <w:rFonts w:ascii="Arial" w:cs="Arial" w:eastAsia="Arial" w:hAnsi="Arial"/>
                <w:sz w:val="17"/>
                <w:szCs w:val="17"/>
                <w:color w:val="auto"/>
              </w:rPr>
              <w:t>Chief People Officer of Activision Blizzard</w:t>
            </w:r>
          </w:p>
        </w:tc>
      </w:tr>
      <w:tr>
        <w:trPr>
          <w:trHeight w:val="27"/>
        </w:trPr>
        <w:tc>
          <w:tcPr>
            <w:tcW w:w="2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20" w:type="dxa"/>
            <w:vAlign w:val="bottom"/>
          </w:tcPr>
          <w:p>
            <w:pPr>
              <w:spacing w:after="0"/>
              <w:rPr>
                <w:sz w:val="2"/>
                <w:szCs w:val="2"/>
                <w:color w:val="auto"/>
              </w:rPr>
            </w:pPr>
          </w:p>
        </w:tc>
      </w:tr>
      <w:tr>
        <w:trPr>
          <w:trHeight w:val="228"/>
        </w:trPr>
        <w:tc>
          <w:tcPr>
            <w:tcW w:w="2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Christopher Walther</w:t>
            </w:r>
          </w:p>
        </w:tc>
        <w:tc>
          <w:tcPr>
            <w:tcW w:w="1100" w:type="dxa"/>
            <w:vAlign w:val="bottom"/>
            <w:shd w:val="clear" w:color="auto" w:fill="CCEEFF"/>
          </w:tcPr>
          <w:p>
            <w:pPr>
              <w:jc w:val="center"/>
              <w:ind w:left="455"/>
              <w:spacing w:after="0"/>
              <w:rPr>
                <w:sz w:val="20"/>
                <w:szCs w:val="20"/>
                <w:color w:val="auto"/>
              </w:rPr>
            </w:pPr>
            <w:r>
              <w:rPr>
                <w:rFonts w:ascii="Arial" w:cs="Arial" w:eastAsia="Arial" w:hAnsi="Arial"/>
                <w:sz w:val="17"/>
                <w:szCs w:val="17"/>
                <w:color w:val="auto"/>
                <w:w w:val="84"/>
              </w:rPr>
              <w:t>53</w:t>
            </w:r>
          </w:p>
        </w:tc>
        <w:tc>
          <w:tcPr>
            <w:tcW w:w="82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Chief Legal Officer of Activision Blizzard</w:t>
            </w:r>
          </w:p>
        </w:tc>
      </w:tr>
      <w:tr>
        <w:trPr>
          <w:trHeight w:val="27"/>
        </w:trPr>
        <w:tc>
          <w:tcPr>
            <w:tcW w:w="2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22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Robert A. Kotick, Chief Executive Officer of Activision Blizzard</w:t>
      </w:r>
    </w:p>
    <w:p>
      <w:pPr>
        <w:spacing w:after="0" w:line="213" w:lineRule="exact"/>
        <w:rPr>
          <w:sz w:val="20"/>
          <w:szCs w:val="20"/>
          <w:color w:val="auto"/>
        </w:rPr>
      </w:pPr>
    </w:p>
    <w:p>
      <w:pPr>
        <w:ind w:right="60" w:firstLine="408"/>
        <w:spacing w:after="0" w:line="272" w:lineRule="auto"/>
        <w:rPr>
          <w:sz w:val="20"/>
          <w:szCs w:val="20"/>
          <w:color w:val="auto"/>
        </w:rPr>
      </w:pPr>
      <w:r>
        <w:rPr>
          <w:rFonts w:ascii="Arial" w:cs="Arial" w:eastAsia="Arial" w:hAnsi="Arial"/>
          <w:sz w:val="16"/>
          <w:szCs w:val="16"/>
          <w:color w:val="auto"/>
        </w:rPr>
        <w:t>Robert A. Kotick, who serves as our Chief Executive Officer,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He served as our President from July 2008 until June 2017, when Mr. Johnson began serving as our President and Chief Operating Officer. Mr. Kotick is also a member of the board of directors of The Coca-Cola Company, a multinational beverage corporation, and the boards of trustees for The Center for Early Education and Harvard-Westlake School. He is also the Vice Chairman of the Board and Chairman of the Committee of trustees of the Los Angeles County Museum of Art. In addition, Mr. Kotick is the co-founder and co-chairman of the Call of Duty Endowment, a nonprofit, public benefit corporation that seeks to help organizations that provide job placement and training services for veterans.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Collister Johnson, President and Chief Operating Officer of Activision Blizzard</w:t>
      </w:r>
    </w:p>
    <w:p>
      <w:pPr>
        <w:spacing w:after="0" w:line="213" w:lineRule="exact"/>
        <w:rPr>
          <w:sz w:val="20"/>
          <w:szCs w:val="20"/>
          <w:color w:val="auto"/>
        </w:rPr>
      </w:pPr>
    </w:p>
    <w:p>
      <w:pPr>
        <w:ind w:firstLine="382"/>
        <w:spacing w:after="0" w:line="298" w:lineRule="auto"/>
        <w:rPr>
          <w:sz w:val="20"/>
          <w:szCs w:val="20"/>
          <w:color w:val="auto"/>
        </w:rPr>
      </w:pPr>
      <w:r>
        <w:rPr>
          <w:rFonts w:ascii="Arial" w:cs="Arial" w:eastAsia="Arial" w:hAnsi="Arial"/>
          <w:sz w:val="15"/>
          <w:szCs w:val="15"/>
          <w:color w:val="auto"/>
        </w:rPr>
        <w:t>Collister “Coddy” Johnson has served as our President and Chief Operating Officer since June 2017. From April 2016 until May 2017, he served as the chief operating officer and co-founder of Altschool, a public benefit, education technology company, where he continues to serve on the board of directors. Prior to joining Altschool, he held a number of positions of increasing responsibility at our Company from 2008 to 2016, serving as the Chief Financial Officer and Head of Operations of Activision, one of our principal operating units, the Chief Operating Officer of studios for Activision, and the Senior Vice President and Chief of Staff to our Chief Executive Officer. Mr. Johnson holds a B.A. degree in ethics, politics, and economics from Yale University and an M.B.A. degree from Stanford University.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Dennis Durkin, Chief Financial Officer of Activision Blizzard and President of Emerging Businesses</w:t>
      </w:r>
    </w:p>
    <w:p>
      <w:pPr>
        <w:spacing w:after="0" w:line="213" w:lineRule="exact"/>
        <w:rPr>
          <w:sz w:val="20"/>
          <w:szCs w:val="20"/>
          <w:color w:val="auto"/>
        </w:rPr>
      </w:pPr>
    </w:p>
    <w:p>
      <w:pPr>
        <w:ind w:right="40" w:firstLine="382"/>
        <w:spacing w:after="0" w:line="293" w:lineRule="auto"/>
        <w:rPr>
          <w:sz w:val="20"/>
          <w:szCs w:val="20"/>
          <w:color w:val="auto"/>
        </w:rPr>
      </w:pPr>
      <w:r>
        <w:rPr>
          <w:rFonts w:ascii="Arial" w:cs="Arial" w:eastAsia="Arial" w:hAnsi="Arial"/>
          <w:sz w:val="15"/>
          <w:szCs w:val="15"/>
          <w:color w:val="auto"/>
        </w:rPr>
        <w:t>Dennis Durkin has served as our Chief Financial Officer and President of Emerging Businesses since January 2019. Mr. Durkin joined the Company in March 2012 as our Chief Financial Officer and served in that role until May 2017. He served as our Chief Corporate Officer from May 2017 until January 2019. Prior to joining the Company in 2012, Mr. Durkin held a number of positions of increasing responsibility at Microsoft, a computing software and hardware manufacturer, most recently serving as the Corporate Vice President and Chief Operating and Financial Officer of Microsoft’s interactive entertainment business, which included the Xbox console business. Prior to joining Microsoft’s interactive entertainment business in 2006, Mr. Durkin spent seven years on Microsoft’s corporate development and strategy team, including two years where he was based in London, England, driving pan-European activity. Before joining Microsoft, Mr. Durkin was a financial analyst at Alex. Brown and Company. Mr. Durkin holds a B.A. degree in government from Dartmouth College and an M.B.A. degree from Harvard University.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Claudine Naughton, Chief People Officer of Activision Blizzard</w:t>
      </w:r>
    </w:p>
    <w:p>
      <w:pPr>
        <w:spacing w:after="0" w:line="213" w:lineRule="exact"/>
        <w:rPr>
          <w:sz w:val="20"/>
          <w:szCs w:val="20"/>
          <w:color w:val="auto"/>
        </w:rPr>
      </w:pPr>
    </w:p>
    <w:p>
      <w:pPr>
        <w:ind w:right="140" w:firstLine="382"/>
        <w:spacing w:after="0" w:line="258" w:lineRule="auto"/>
        <w:rPr>
          <w:sz w:val="20"/>
          <w:szCs w:val="20"/>
          <w:color w:val="auto"/>
        </w:rPr>
      </w:pPr>
      <w:r>
        <w:rPr>
          <w:rFonts w:ascii="Arial" w:cs="Arial" w:eastAsia="Arial" w:hAnsi="Arial"/>
          <w:sz w:val="17"/>
          <w:szCs w:val="17"/>
          <w:color w:val="auto"/>
        </w:rPr>
        <w:t>Claudine Naughton has served as our Chief People Officer since August 2019. Prior to joining the Company, Ms. Naughton held a number of positions of increasing responsibility within the human resources department of American International Group, Inc. (AIG) from 1997 to 2018, including serving as the company's Executive Vice President and Chief Human Resources Officer. Prior to joining AIG, Ms. Naughton served as the Regional Manager and Director of Training for Fairways Golf Corporation. Ms. Naughton holds a B.A degree in political science from Stockton University.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Christopher Walther, Chief Legal Officer of Activision Blizzard</w:t>
      </w:r>
    </w:p>
    <w:p>
      <w:pPr>
        <w:spacing w:after="0" w:line="213" w:lineRule="exact"/>
        <w:rPr>
          <w:sz w:val="20"/>
          <w:szCs w:val="20"/>
          <w:color w:val="auto"/>
        </w:rPr>
      </w:pPr>
    </w:p>
    <w:p>
      <w:pPr>
        <w:ind w:firstLine="382"/>
        <w:spacing w:after="0" w:line="271" w:lineRule="auto"/>
        <w:rPr>
          <w:sz w:val="20"/>
          <w:szCs w:val="20"/>
          <w:color w:val="auto"/>
        </w:rPr>
      </w:pPr>
      <w:r>
        <w:rPr>
          <w:rFonts w:ascii="Arial" w:cs="Arial" w:eastAsia="Arial" w:hAnsi="Arial"/>
          <w:sz w:val="16"/>
          <w:szCs w:val="16"/>
          <w:color w:val="auto"/>
        </w:rPr>
        <w:t>Christopher Walther has served as our Chief Legal Officer since November 2009 and served as our Secretary from February 2010 until February 2011. Prior to joining us, Mr. Walther held a number of positions of increasing responsibility within the legal department of The Procter &amp; Gamble Company from 1992 to 2009, including serving as the General Counsel for Central and Eastern Europe, Middle East, and Africa, General Counsel for Northeast Asia and, most recently, as General Counsel for Western Europe. Mr. Walther also led Procter &amp; Gamble’s corporate and securities and mergers and acquisitions practices. Before joining Procter &amp; Gamble, Mr. Walther served as a law clerk for Senior Judge Harry W. Wellford of the United States Sixth Circuit Court of Appeals. Since 2012, Mr. Walther has served on the board of directors of the Alliance for Children’s Rights and currently serves as its co-chair. Mr. Walther has also served as our representative on the board of directors of the Entertainment Software Association since 2013 and on its executive committee. Mr. Walther holds a B.A. degree in history and Spanish from Centre College and a J.D. degree from the University of Kentucky College of Law.</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213" w:lineRule="exact"/>
        <w:rPr>
          <w:sz w:val="20"/>
          <w:szCs w:val="20"/>
          <w:color w:val="auto"/>
        </w:rPr>
      </w:pPr>
    </w:p>
    <w:p>
      <w:pPr>
        <w:ind w:right="640" w:firstLine="408"/>
        <w:spacing w:after="0" w:line="274" w:lineRule="auto"/>
        <w:rPr>
          <w:sz w:val="20"/>
          <w:szCs w:val="20"/>
          <w:color w:val="auto"/>
        </w:rPr>
      </w:pPr>
      <w:r>
        <w:rPr>
          <w:rFonts w:ascii="Arial" w:cs="Arial" w:eastAsia="Arial" w:hAnsi="Arial"/>
          <w:sz w:val="17"/>
          <w:szCs w:val="17"/>
          <w:color w:val="auto"/>
        </w:rPr>
        <w:t>At December 31, 2019, we had approximately 9,200 total full-time and part-time employees. At December 31, 2019, approximately 120 of our full-time employees were subject to fixed-term employment agreements with us.</w:t>
      </w:r>
    </w:p>
    <w:p>
      <w:pPr>
        <w:spacing w:after="0" w:line="166" w:lineRule="exact"/>
        <w:rPr>
          <w:sz w:val="20"/>
          <w:szCs w:val="20"/>
          <w:color w:val="auto"/>
        </w:rPr>
      </w:pPr>
    </w:p>
    <w:p>
      <w:pPr>
        <w:ind w:right="220" w:firstLine="408"/>
        <w:spacing w:after="0" w:line="343" w:lineRule="auto"/>
        <w:rPr>
          <w:sz w:val="20"/>
          <w:szCs w:val="20"/>
          <w:color w:val="auto"/>
        </w:rPr>
      </w:pPr>
      <w:r>
        <w:rPr>
          <w:rFonts w:ascii="Arial" w:cs="Arial" w:eastAsia="Arial" w:hAnsi="Arial"/>
          <w:sz w:val="15"/>
          <w:szCs w:val="15"/>
          <w:color w:val="auto"/>
        </w:rPr>
        <w:t>The majority of our employees in France, Germany, and Spain are subject to collective agreements as a part of normal business practices in those countries. In addition, certain employees in those countries are subject to collective bargaining agreements. To date, we have not experienced any labor-related work stoppages.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Additional Financial Information</w:t>
      </w:r>
    </w:p>
    <w:p>
      <w:pPr>
        <w:spacing w:after="0" w:line="213" w:lineRule="exact"/>
        <w:rPr>
          <w:sz w:val="20"/>
          <w:szCs w:val="20"/>
          <w:color w:val="auto"/>
        </w:rPr>
      </w:pPr>
    </w:p>
    <w:p>
      <w:pPr>
        <w:ind w:right="140" w:firstLine="408"/>
        <w:spacing w:after="0" w:line="258" w:lineRule="auto"/>
        <w:rPr>
          <w:rFonts w:ascii="Arial" w:cs="Arial" w:eastAsia="Arial" w:hAnsi="Arial"/>
          <w:sz w:val="17"/>
          <w:szCs w:val="17"/>
          <w:color w:val="0000EE"/>
        </w:rPr>
      </w:pPr>
      <w:r>
        <w:rPr>
          <w:rFonts w:ascii="Arial" w:cs="Arial" w:eastAsia="Arial" w:hAnsi="Arial"/>
          <w:sz w:val="17"/>
          <w:szCs w:val="17"/>
          <w:color w:val="auto"/>
        </w:rPr>
        <w:t xml:space="preserve">See the </w:t>
      </w:r>
      <w:hyperlink w:anchor="page53">
        <w:r>
          <w:rPr>
            <w:rFonts w:ascii="Arial" w:cs="Arial" w:eastAsia="Arial" w:hAnsi="Arial"/>
            <w:sz w:val="17"/>
            <w:szCs w:val="17"/>
            <w:u w:val="single" w:color="auto"/>
            <w:color w:val="0000EE"/>
          </w:rPr>
          <w:t>“Critical Accounting Policies and Estimates”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section under Item 7 “Management’s Discussion and Analysis of Financial Condition and Results of </w:t>
      </w:r>
      <w:hyperlink w:anchor="page35">
        <w:r>
          <w:rPr>
            <w:rFonts w:ascii="Arial" w:cs="Arial" w:eastAsia="Arial" w:hAnsi="Arial"/>
            <w:sz w:val="17"/>
            <w:szCs w:val="17"/>
            <w:color w:val="auto"/>
          </w:rPr>
          <w:t xml:space="preserve">Operations” for a discussion of our practices with regard to several working capital items, such as rights of return. See the </w:t>
        </w:r>
        <w:r>
          <w:rPr>
            <w:rFonts w:ascii="Arial" w:cs="Arial" w:eastAsia="Arial" w:hAnsi="Arial"/>
            <w:sz w:val="17"/>
            <w:szCs w:val="17"/>
            <w:u w:val="single" w:color="auto"/>
            <w:color w:val="0000EE"/>
          </w:rPr>
          <w:t>“Management’s Overview of Business</w:t>
        </w:r>
      </w:hyperlink>
      <w:r>
        <w:rPr>
          <w:rFonts w:ascii="Arial" w:cs="Arial" w:eastAsia="Arial" w:hAnsi="Arial"/>
          <w:sz w:val="17"/>
          <w:szCs w:val="17"/>
          <w:color w:val="auto"/>
        </w:rPr>
        <w:t xml:space="preserve"> </w:t>
      </w:r>
      <w:hyperlink w:anchor="page35">
        <w:r>
          <w:rPr>
            <w:rFonts w:ascii="Arial" w:cs="Arial" w:eastAsia="Arial" w:hAnsi="Arial"/>
            <w:sz w:val="17"/>
            <w:szCs w:val="17"/>
            <w:u w:val="single" w:color="auto"/>
            <w:color w:val="0000EE"/>
          </w:rPr>
          <w:t>Trends”</w:t>
        </w:r>
        <w:r>
          <w:rPr>
            <w:rFonts w:ascii="Arial" w:cs="Arial" w:eastAsia="Arial" w:hAnsi="Arial"/>
            <w:sz w:val="17"/>
            <w:szCs w:val="17"/>
            <w:color w:val="0000EE"/>
          </w:rPr>
          <w:t xml:space="preserve"> </w:t>
        </w:r>
        <w:r>
          <w:rPr>
            <w:rFonts w:ascii="Arial" w:cs="Arial" w:eastAsia="Arial" w:hAnsi="Arial"/>
            <w:sz w:val="17"/>
            <w:szCs w:val="17"/>
            <w:color w:val="000000"/>
          </w:rPr>
          <w:t xml:space="preserve">under Item 7 “Management’s Discussion and Analysis of Financial Condition and Results of Operations” for a discussion of the impact of seasonality on </w:t>
        </w:r>
      </w:hyperlink>
      <w:r>
        <w:rPr>
          <w:rFonts w:ascii="Arial" w:cs="Arial" w:eastAsia="Arial" w:hAnsi="Arial"/>
          <w:sz w:val="17"/>
          <w:szCs w:val="17"/>
          <w:color w:val="0000EE"/>
        </w:rPr>
        <w:t xml:space="preserve">our </w:t>
      </w:r>
      <w:r>
        <w:rPr>
          <w:rFonts w:ascii="Arial" w:cs="Arial" w:eastAsia="Arial" w:hAnsi="Arial"/>
          <w:sz w:val="17"/>
          <w:szCs w:val="17"/>
          <w:color w:val="000000"/>
        </w:rPr>
        <w:t>business.</w:t>
      </w:r>
    </w:p>
    <w:p>
      <w:pPr>
        <w:spacing w:after="0" w:line="179" w:lineRule="exact"/>
        <w:rPr>
          <w:rFonts w:ascii="Arial" w:cs="Arial" w:eastAsia="Arial" w:hAnsi="Arial"/>
          <w:sz w:val="17"/>
          <w:szCs w:val="17"/>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213" w:lineRule="exact"/>
        <w:rPr>
          <w:rFonts w:ascii="Arial" w:cs="Arial" w:eastAsia="Arial" w:hAnsi="Arial"/>
          <w:sz w:val="17"/>
          <w:szCs w:val="17"/>
          <w:color w:val="auto"/>
        </w:rPr>
      </w:pPr>
    </w:p>
    <w:p>
      <w:pPr>
        <w:ind w:firstLine="408"/>
        <w:spacing w:after="0" w:line="258" w:lineRule="auto"/>
        <w:rPr>
          <w:sz w:val="20"/>
          <w:szCs w:val="20"/>
          <w:color w:val="auto"/>
        </w:rPr>
      </w:pPr>
      <w:r>
        <w:rPr>
          <w:rFonts w:ascii="Arial" w:cs="Arial" w:eastAsia="Arial" w:hAnsi="Arial"/>
          <w:sz w:val="17"/>
          <w:szCs w:val="17"/>
          <w:color w:val="auto"/>
        </w:rPr>
        <w:t>Our website, located at https://www.activisionblizzard.com, allows free-of-charge access to our annual reports on Form 10-K, quarterly reports on Form 10-Q, current reports on Form 8-K, proxy statements and amendments to those documents filed or furnished pursuant to Section 13(a) or 15(d) of the Securities Exchange Act of 1934, as amended (the “Exchange Act”). The information found on our website is not a part of, and is not incorporated by reference into, this or any other report that we file with or furnish to the Securities and Exchange Commission (“SEC”).</w:t>
      </w:r>
    </w:p>
    <w:p>
      <w:pPr>
        <w:spacing w:after="0" w:line="179" w:lineRule="exact"/>
        <w:rPr>
          <w:rFonts w:ascii="Arial" w:cs="Arial" w:eastAsia="Arial" w:hAnsi="Arial"/>
          <w:sz w:val="17"/>
          <w:szCs w:val="17"/>
          <w:color w:val="auto"/>
        </w:rPr>
      </w:pPr>
    </w:p>
    <w:p>
      <w:pPr>
        <w:ind w:left="420"/>
        <w:spacing w:after="0"/>
        <w:rPr>
          <w:sz w:val="20"/>
          <w:szCs w:val="20"/>
          <w:color w:val="auto"/>
        </w:rPr>
      </w:pPr>
      <w:r>
        <w:rPr>
          <w:rFonts w:ascii="Arial" w:cs="Arial" w:eastAsia="Arial" w:hAnsi="Arial"/>
          <w:sz w:val="17"/>
          <w:szCs w:val="17"/>
          <w:color w:val="auto"/>
        </w:rPr>
        <w:t>Our SEC filings are also available to the public over the Internet at the SEC’s website at https://www.sec.gov.</w:t>
      </w:r>
    </w:p>
    <w:p>
      <w:pPr>
        <w:spacing w:after="0" w:line="213" w:lineRule="exact"/>
        <w:rPr>
          <w:rFonts w:ascii="Arial" w:cs="Arial" w:eastAsia="Arial" w:hAnsi="Arial"/>
          <w:sz w:val="17"/>
          <w:szCs w:val="17"/>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127" w:right="25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3" w:lineRule="exact"/>
        <w:rPr>
          <w:sz w:val="20"/>
          <w:szCs w:val="20"/>
          <w:color w:val="auto"/>
        </w:rPr>
      </w:pPr>
    </w:p>
    <w:p>
      <w:pPr>
        <w:ind w:right="160" w:firstLine="382"/>
        <w:spacing w:after="0" w:line="256" w:lineRule="auto"/>
        <w:rPr>
          <w:sz w:val="20"/>
          <w:szCs w:val="20"/>
          <w:color w:val="auto"/>
        </w:rPr>
      </w:pPr>
      <w:r>
        <w:rPr>
          <w:rFonts w:ascii="Arial" w:cs="Arial" w:eastAsia="Arial" w:hAnsi="Arial"/>
          <w:sz w:val="17"/>
          <w:szCs w:val="17"/>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forward-looking statements contained in this document or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income, revenue, profitability, cash flows, liquidity, or stock price.</w:t>
      </w:r>
    </w:p>
    <w:p>
      <w:pPr>
        <w:spacing w:after="0" w:line="181"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b w:val="1"/>
          <w:bCs w:val="1"/>
          <w:i w:val="1"/>
          <w:iCs w:val="1"/>
          <w:color w:val="auto"/>
        </w:rPr>
        <w:t>If we do not consistently deliver popular, high-quality content in a timely manner, or if consumers prefer competing products, our business may be negatively impacted.</w:t>
      </w:r>
    </w:p>
    <w:p>
      <w:pPr>
        <w:spacing w:after="0" w:line="166" w:lineRule="exact"/>
        <w:rPr>
          <w:sz w:val="20"/>
          <w:szCs w:val="20"/>
          <w:color w:val="auto"/>
        </w:rPr>
      </w:pPr>
    </w:p>
    <w:p>
      <w:pPr>
        <w:ind w:firstLine="382"/>
        <w:spacing w:after="0" w:line="205" w:lineRule="exact"/>
        <w:rPr>
          <w:sz w:val="20"/>
          <w:szCs w:val="20"/>
          <w:color w:val="auto"/>
        </w:rPr>
      </w:pPr>
      <w:r>
        <w:rPr>
          <w:rFonts w:ascii="Arial" w:cs="Arial" w:eastAsia="Arial" w:hAnsi="Arial"/>
          <w:sz w:val="15"/>
          <w:szCs w:val="15"/>
          <w:color w:val="auto"/>
        </w:rPr>
        <w:t>Consumer preferences for games are usually cyclical and difficult to predict. Even the most successful games remain popular for only limited periods of time, and this popularity is increasingly dependent on the games being refreshed with new content or other enhancements. In order to remain competitive, we must continuously develop new products or new content for, or other enhancements to, our existing products. These products or enhancements may not be well</w:t>
      </w:r>
      <w:r>
        <w:rPr>
          <w:rFonts w:ascii="MS PGothic" w:cs="MS PGothic" w:eastAsia="MS PGothic" w:hAnsi="MS PGothic"/>
          <w:sz w:val="15"/>
          <w:szCs w:val="15"/>
          <w:color w:val="auto"/>
        </w:rPr>
        <w:t>‑</w:t>
      </w:r>
      <w:r>
        <w:rPr>
          <w:rFonts w:ascii="Arial" w:cs="Arial" w:eastAsia="Arial" w:hAnsi="Arial"/>
          <w:sz w:val="15"/>
          <w:szCs w:val="15"/>
          <w:color w:val="auto"/>
        </w:rPr>
        <w:t>received by consumers, even if well</w:t>
      </w:r>
      <w:r>
        <w:rPr>
          <w:rFonts w:ascii="MS PGothic" w:cs="MS PGothic" w:eastAsia="MS PGothic" w:hAnsi="MS PGothic"/>
          <w:sz w:val="15"/>
          <w:szCs w:val="15"/>
          <w:color w:val="auto"/>
        </w:rPr>
        <w:t>‑</w:t>
      </w:r>
      <w:r>
        <w:rPr>
          <w:rFonts w:ascii="Arial" w:cs="Arial" w:eastAsia="Arial" w:hAnsi="Arial"/>
          <w:sz w:val="15"/>
          <w:szCs w:val="15"/>
          <w:color w:val="auto"/>
        </w:rPr>
        <w:t>reviewed and of high quality. Further, competitors may develop content that imitates or competes with our best</w:t>
      </w:r>
      <w:r>
        <w:rPr>
          <w:rFonts w:ascii="MS PGothic" w:cs="MS PGothic" w:eastAsia="MS PGothic" w:hAnsi="MS PGothic"/>
          <w:sz w:val="15"/>
          <w:szCs w:val="15"/>
          <w:color w:val="auto"/>
        </w:rPr>
        <w:t>‑</w:t>
      </w:r>
      <w:r>
        <w:rPr>
          <w:rFonts w:ascii="Arial" w:cs="Arial" w:eastAsia="Arial" w:hAnsi="Arial"/>
          <w:sz w:val="15"/>
          <w:szCs w:val="15"/>
          <w:color w:val="auto"/>
        </w:rPr>
        <w: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w:t>
      </w:r>
      <w:r>
        <w:rPr>
          <w:rFonts w:ascii="MS PGothic" w:cs="MS PGothic" w:eastAsia="MS PGothic" w:hAnsi="MS PGothic"/>
          <w:sz w:val="15"/>
          <w:szCs w:val="15"/>
          <w:color w:val="auto"/>
        </w:rPr>
        <w:t>‑</w:t>
      </w:r>
      <w:r>
        <w:rPr>
          <w:rFonts w:ascii="Arial" w:cs="Arial" w:eastAsia="Arial" w:hAnsi="Arial"/>
          <w:sz w:val="15"/>
          <w:szCs w:val="15"/>
          <w:color w:val="auto"/>
        </w:rPr>
        <w:t>quality and well</w:t>
      </w:r>
      <w:r>
        <w:rPr>
          <w:rFonts w:ascii="MS PGothic" w:cs="MS PGothic" w:eastAsia="MS PGothic" w:hAnsi="MS PGothic"/>
          <w:sz w:val="15"/>
          <w:szCs w:val="15"/>
          <w:color w:val="auto"/>
        </w:rPr>
        <w:t>‑</w:t>
      </w:r>
      <w:r>
        <w:rPr>
          <w:rFonts w:ascii="Arial" w:cs="Arial" w:eastAsia="Arial" w:hAnsi="Arial"/>
          <w:sz w:val="15"/>
          <w:szCs w:val="15"/>
          <w:color w:val="auto"/>
        </w:rPr>
        <w:t>received games or enhancements to those games, if our marketing fails to resonate with our consumers, or if consumers lose interest in a genre of games we produce, our revenues and profit margins could decline. In addition, our own best</w:t>
      </w:r>
      <w:r>
        <w:rPr>
          <w:rFonts w:ascii="MS PGothic" w:cs="MS PGothic" w:eastAsia="MS PGothic" w:hAnsi="MS PGothic"/>
          <w:sz w:val="15"/>
          <w:szCs w:val="15"/>
          <w:color w:val="auto"/>
        </w:rPr>
        <w:t>‑</w:t>
      </w:r>
      <w:r>
        <w:rPr>
          <w:rFonts w:ascii="Arial" w:cs="Arial" w:eastAsia="Arial" w:hAnsi="Arial"/>
          <w:sz w:val="15"/>
          <w:szCs w:val="15"/>
          <w:color w:val="auto"/>
        </w:rPr>
        <w:t>selling products could compete with our other games, reducing sales for those other games. Further, a failure by us to develop a high</w:t>
      </w:r>
      <w:r>
        <w:rPr>
          <w:rFonts w:ascii="MS PGothic" w:cs="MS PGothic" w:eastAsia="MS PGothic" w:hAnsi="MS PGothic"/>
          <w:sz w:val="15"/>
          <w:szCs w:val="15"/>
          <w:color w:val="auto"/>
        </w:rPr>
        <w:t>‑</w:t>
      </w:r>
      <w:r>
        <w:rPr>
          <w:rFonts w:ascii="Arial" w:cs="Arial" w:eastAsia="Arial" w:hAnsi="Arial"/>
          <w:sz w:val="15"/>
          <w:szCs w:val="15"/>
          <w:color w:val="auto"/>
        </w:rPr>
        <w:t>quality product, or our development of a product that is otherwise not well</w:t>
      </w:r>
      <w:r>
        <w:rPr>
          <w:rFonts w:ascii="MS PGothic" w:cs="MS PGothic" w:eastAsia="MS PGothic" w:hAnsi="MS PGothic"/>
          <w:sz w:val="15"/>
          <w:szCs w:val="15"/>
          <w:color w:val="auto"/>
        </w:rPr>
        <w:t>‑</w:t>
      </w:r>
      <w:r>
        <w:rPr>
          <w:rFonts w:ascii="Arial" w:cs="Arial" w:eastAsia="Arial" w:hAnsi="Arial"/>
          <w:sz w:val="15"/>
          <w:szCs w:val="15"/>
          <w:color w:val="auto"/>
        </w:rPr>
        <w:t>received, could potentially result in additional expenditures to respond to consumer demands, harm our reputation, and increase the likelihood that our future products will not be well</w:t>
      </w:r>
      <w:r>
        <w:rPr>
          <w:rFonts w:ascii="MS PGothic" w:cs="MS PGothic" w:eastAsia="MS PGothic" w:hAnsi="MS PGothic"/>
          <w:sz w:val="15"/>
          <w:szCs w:val="15"/>
          <w:color w:val="auto"/>
        </w:rPr>
        <w:t>‑</w:t>
      </w:r>
      <w:r>
        <w:rPr>
          <w:rFonts w:ascii="Arial" w:cs="Arial" w:eastAsia="Arial" w:hAnsi="Arial"/>
          <w:sz w:val="15"/>
          <w:szCs w:val="15"/>
          <w:color w:val="auto"/>
        </w:rPr>
        <w:t>received. The increased importance of downloadable content to our business amplifies these risks, as downloadable content for poorly</w:t>
      </w:r>
      <w:r>
        <w:rPr>
          <w:rFonts w:ascii="MS PGothic" w:cs="MS PGothic" w:eastAsia="MS PGothic" w:hAnsi="MS PGothic"/>
          <w:sz w:val="15"/>
          <w:szCs w:val="15"/>
          <w:color w:val="auto"/>
        </w:rPr>
        <w:t>‑</w:t>
      </w:r>
      <w:r>
        <w:rPr>
          <w:rFonts w:ascii="Arial" w:cs="Arial" w:eastAsia="Arial" w:hAnsi="Arial"/>
          <w:sz w:val="15"/>
          <w:szCs w:val="15"/>
          <w:color w:val="auto"/>
        </w:rPr>
        <w:t>received games typically generates lower</w:t>
      </w:r>
      <w:r>
        <w:rPr>
          <w:rFonts w:ascii="MS PGothic" w:cs="MS PGothic" w:eastAsia="MS PGothic" w:hAnsi="MS PGothic"/>
          <w:sz w:val="15"/>
          <w:szCs w:val="15"/>
          <w:color w:val="auto"/>
        </w:rPr>
        <w:t>‑</w:t>
      </w:r>
      <w:r>
        <w:rPr>
          <w:rFonts w:ascii="Arial" w:cs="Arial" w:eastAsia="Arial" w:hAnsi="Arial"/>
          <w:sz w:val="15"/>
          <w:szCs w:val="15"/>
          <w:color w:val="auto"/>
        </w:rPr>
        <w:t>than</w:t>
      </w:r>
      <w:r>
        <w:rPr>
          <w:rFonts w:ascii="MS PGothic" w:cs="MS PGothic" w:eastAsia="MS PGothic" w:hAnsi="MS PGothic"/>
          <w:sz w:val="15"/>
          <w:szCs w:val="15"/>
          <w:color w:val="auto"/>
        </w:rPr>
        <w:t>‑</w:t>
      </w:r>
      <w:r>
        <w:rPr>
          <w:rFonts w:ascii="Arial" w:cs="Arial" w:eastAsia="Arial" w:hAnsi="Arial"/>
          <w:sz w:val="15"/>
          <w:szCs w:val="15"/>
          <w:color w:val="auto"/>
        </w:rPr>
        <w:t>expected sales. The increased demand for consistent enhancement to our products also requires a greater allocation of financial resources to those products.</w:t>
      </w:r>
    </w:p>
    <w:p>
      <w:pPr>
        <w:spacing w:after="0" w:line="194"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72" w:lineRule="exact"/>
        <w:rPr>
          <w:sz w:val="20"/>
          <w:szCs w:val="20"/>
          <w:color w:val="auto"/>
        </w:rPr>
      </w:pPr>
    </w:p>
    <w:p>
      <w:pPr>
        <w:ind w:right="20" w:firstLine="382"/>
        <w:spacing w:after="0" w:line="258" w:lineRule="auto"/>
        <w:rPr>
          <w:sz w:val="20"/>
          <w:szCs w:val="20"/>
          <w:color w:val="auto"/>
        </w:rPr>
      </w:pPr>
      <w:r>
        <w:rPr>
          <w:rFonts w:ascii="Arial" w:cs="Arial" w:eastAsia="Arial" w:hAnsi="Arial"/>
          <w:sz w:val="17"/>
          <w:szCs w:val="17"/>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79" w:lineRule="exact"/>
        <w:rPr>
          <w:sz w:val="20"/>
          <w:szCs w:val="20"/>
          <w:color w:val="auto"/>
        </w:rPr>
      </w:pPr>
    </w:p>
    <w:p>
      <w:pPr>
        <w:ind w:right="200" w:firstLine="382"/>
        <w:spacing w:after="0" w:line="258" w:lineRule="auto"/>
        <w:rPr>
          <w:sz w:val="20"/>
          <w:szCs w:val="20"/>
          <w:color w:val="auto"/>
        </w:rPr>
      </w:pPr>
      <w:r>
        <w:rPr>
          <w:rFonts w:ascii="Arial" w:cs="Arial" w:eastAsia="Arial" w:hAnsi="Arial"/>
          <w:sz w:val="17"/>
          <w:szCs w:val="17"/>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127"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a relatively small number of franchises for a significant portion of our revenues and profits.</w:t>
      </w:r>
    </w:p>
    <w:p>
      <w:pPr>
        <w:spacing w:after="0" w:line="213" w:lineRule="exact"/>
        <w:rPr>
          <w:sz w:val="20"/>
          <w:szCs w:val="20"/>
          <w:color w:val="auto"/>
        </w:rPr>
      </w:pPr>
    </w:p>
    <w:p>
      <w:pPr>
        <w:ind w:right="20" w:firstLine="382"/>
        <w:spacing w:after="0" w:line="272" w:lineRule="auto"/>
        <w:rPr>
          <w:sz w:val="20"/>
          <w:szCs w:val="20"/>
          <w:color w:val="auto"/>
        </w:rPr>
      </w:pPr>
      <w:r>
        <w:rPr>
          <w:rFonts w:ascii="Arial" w:cs="Arial" w:eastAsia="Arial" w:hAnsi="Arial"/>
          <w:sz w:val="16"/>
          <w:szCs w:val="16"/>
          <w:color w:val="auto"/>
        </w:rPr>
        <w:t>We follow a franchise model, and a significant portion of our revenues has historically been derived from products based on a relatively small number of popular franchises. These products are also responsible for a disproportionately high percentage of our profits. For example, in 2019, revenues associated with the Call of Duty, Candy Crush, and World of Warcraft franchises, collectively, accounted for approximately 67% of our net revenues—and a significantly higher percentage of our operating income.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continue to attract, retain, and motivate skilled personnel, we will be unable to effectively conduct our business.</w:t>
      </w:r>
    </w:p>
    <w:p>
      <w:pPr>
        <w:spacing w:after="0" w:line="213" w:lineRule="exact"/>
        <w:rPr>
          <w:sz w:val="20"/>
          <w:szCs w:val="20"/>
          <w:color w:val="auto"/>
        </w:rPr>
      </w:pPr>
    </w:p>
    <w:p>
      <w:pPr>
        <w:ind w:right="160" w:firstLine="382"/>
        <w:spacing w:after="0" w:line="255" w:lineRule="auto"/>
        <w:rPr>
          <w:sz w:val="20"/>
          <w:szCs w:val="20"/>
          <w:color w:val="auto"/>
        </w:rPr>
      </w:pPr>
      <w:r>
        <w:rPr>
          <w:rFonts w:ascii="Arial" w:cs="Arial" w:eastAsia="Arial" w:hAnsi="Arial"/>
          <w:sz w:val="17"/>
          <w:szCs w:val="17"/>
          <w:color w:val="auto"/>
        </w:rPr>
        <w:t>Our success depends significantly on our ability to identify, attract, hire, retain, motivate, and utilize the abilities of qualified personnel, particularly personnel with the specialized skills needed to create and sell the high-quality, well-received content upon which our business is substantially dependent. Our industry is generally characterized by a high level of employee mobility, competitive compensation programs, and aggressive recruiting among competitors for employees with technical, marketing, sales, engineering, product development, creative, and/or management skills. We may have difficulties in attracting and retaining skilled personnel or may incur significant costs to do so. If we are unable to attract additional qualified employees or retain and utilize the services of key personnel, it could have a negative impact on our business.</w:t>
      </w:r>
    </w:p>
    <w:p>
      <w:pPr>
        <w:spacing w:after="0" w:line="182"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66" w:lineRule="exact"/>
        <w:rPr>
          <w:sz w:val="20"/>
          <w:szCs w:val="20"/>
          <w:color w:val="auto"/>
        </w:rPr>
      </w:pPr>
    </w:p>
    <w:p>
      <w:pPr>
        <w:ind w:right="220" w:firstLine="382"/>
        <w:spacing w:after="0" w:line="271"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to emerging technologies, such as cloud-based game streaming, and business models, such as subscription-based access to a portfolio of interactive content, to stay competitive. Forecasting the financial impact of these emerging technologies and business models is inherently uncertain and volatile. Supporting a new technology or business model may require partnering with a new platform, business, or technology partner, which may be on terms that are less favorable to us than those for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70" w:lineRule="exact"/>
        <w:rPr>
          <w:sz w:val="20"/>
          <w:szCs w:val="20"/>
          <w:color w:val="auto"/>
        </w:rPr>
      </w:pPr>
    </w:p>
    <w:p>
      <w:pPr>
        <w:ind w:firstLine="382"/>
        <w:spacing w:after="0" w:line="313" w:lineRule="auto"/>
        <w:rPr>
          <w:sz w:val="20"/>
          <w:szCs w:val="20"/>
          <w:color w:val="auto"/>
        </w:rPr>
      </w:pPr>
      <w:r>
        <w:rPr>
          <w:rFonts w:ascii="Arial" w:cs="Arial" w:eastAsia="Arial" w:hAnsi="Arial"/>
          <w:sz w:val="15"/>
          <w:szCs w:val="15"/>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Competition within, and to, the interactive entertainment industry is intense, and competitors may succeed in reducing our sales.</w:t>
      </w:r>
    </w:p>
    <w:p>
      <w:pPr>
        <w:spacing w:after="0" w:line="213" w:lineRule="exact"/>
        <w:rPr>
          <w:sz w:val="20"/>
          <w:szCs w:val="20"/>
          <w:color w:val="auto"/>
        </w:rPr>
      </w:pPr>
    </w:p>
    <w:p>
      <w:pPr>
        <w:ind w:right="60" w:firstLine="382"/>
        <w:spacing w:after="0" w:line="274" w:lineRule="auto"/>
        <w:rPr>
          <w:sz w:val="20"/>
          <w:szCs w:val="20"/>
          <w:color w:val="auto"/>
        </w:rPr>
      </w:pPr>
      <w:r>
        <w:rPr>
          <w:rFonts w:ascii="Arial" w:cs="Arial" w:eastAsia="Arial" w:hAnsi="Arial"/>
          <w:sz w:val="16"/>
          <w:szCs w:val="16"/>
          <w:color w:val="auto"/>
        </w:rPr>
        <w:t>We compete with other publishers of interactive entertainment software, both within and outside the United States.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portfolios and popular games typically have greater influence with platform providers, retailers, distributors and other customers who may, in turn, provide more favorable support to those competitors’ games.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127" w:right="25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220" w:firstLine="382"/>
        <w:spacing w:after="0" w:line="279" w:lineRule="auto"/>
        <w:rPr>
          <w:sz w:val="20"/>
          <w:szCs w:val="20"/>
          <w:color w:val="auto"/>
        </w:rPr>
      </w:pPr>
      <w:r>
        <w:rPr>
          <w:rFonts w:ascii="Arial" w:cs="Arial" w:eastAsia="Arial" w:hAnsi="Arial"/>
          <w:sz w:val="16"/>
          <w:szCs w:val="16"/>
          <w:color w:val="auto"/>
        </w:rPr>
        <w:t>Additionally, we compete with other forms of entertainment and leisure activities. As our business continues to expand in complexity and scope, we have increased exposure to additional competitors, including those with access to large existing user bases and control over distribution channels.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213"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The proportion of our revenues derived from digital distribution channels, as compared to traditional retail sales, continues to increase. The increased importance of digital channels in our industry increases our potential competition, as the minimum capital needed to produce and publish a digitally delivered game, particularly a game for a mobile platform, may be significantly less than that needed to produce and publish one that is purchased through retail distribution and is played on a game console or PC. Also, while digitally-distributed products generally have higher profit margins than retail sales, as business shifts to digital distribution, the volume of orders from retailers for physical discs has been, and may continue to be, reduced. Further, some of the providers of the platforms through which we digitally distribute content are also publishers of their own content distributed on those platforms, and, therefore, a platform provider may give priority to its own products or those of our competitors.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importance of retail sales to our business exposes us to the risks of that business model.</w:t>
      </w:r>
    </w:p>
    <w:p>
      <w:pPr>
        <w:spacing w:after="0" w:line="213"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While the proportion of our revenues derived from digital distribution channels, as compared to traditional retail sales, continues to increase, retail sales remain important to our business. In the United States and Canada, our “boxed” products are often sold on a direct basis to mass-market retailers, consumer electronics stores, discount warehouses, and game specialty stores. Our “boxed” products are sold internationally on a direct-to-retail basis, through third-party distribution and licensing arrangements, and through our wholly-owned European distribution subsidiaries. Our sales are made primarily on a purchase order basis without long-term agreements or other forms of commitments, and due to the increased proportion of our revenue from digital distribution channels, our retail customers and distributors have generally been reducing the levels of inventory they are willing to carry. The loss of, or significant reduction in sales to, any of Activision’s principal retail customers or distributors could have adverse consequences.</w:t>
      </w:r>
    </w:p>
    <w:p>
      <w:pPr>
        <w:spacing w:after="0" w:line="184" w:lineRule="exact"/>
        <w:rPr>
          <w:sz w:val="20"/>
          <w:szCs w:val="20"/>
          <w:color w:val="auto"/>
        </w:rPr>
      </w:pPr>
    </w:p>
    <w:p>
      <w:pPr>
        <w:ind w:firstLine="382"/>
        <w:spacing w:after="0" w:line="270" w:lineRule="auto"/>
        <w:rPr>
          <w:sz w:val="20"/>
          <w:szCs w:val="20"/>
          <w:color w:val="auto"/>
        </w:rPr>
      </w:pPr>
      <w:r>
        <w:rPr>
          <w:rFonts w:ascii="Arial" w:cs="Arial" w:eastAsia="Arial" w:hAnsi="Arial"/>
          <w:sz w:val="16"/>
          <w:szCs w:val="16"/>
          <w:color w:val="auto"/>
        </w:rPr>
        <w:t>Moreover, the importance of retail sales to our business exposes us to the risk of product returns and price protection with respect to our distributors and retailers. In some cases, return policies allow distributors and retailers to return defective, shelf-worn, damaged, and certain other products in accordance with terms granted. Price protection, when granted and applicable, allows these distributors and retailers a credit against amounts owed with respect to merchandise unsold by them. We may permit product returns from, or grant price protection to, distributors and retail customers who meet certain conditions. These conditions may include compliance with applicable payment terms, delivery of weekly inventory and sales information and consistent participation in the launches of premium title releases. We may also consider other factors, including the facilitation of slow-moving inventory and other industry factors. Activision also offers a limited warranty to end users that Activision products will be free from manufacturing defects. Although we maintain a reserve for returns and price protection, and although we may place limits on product returns and price protection, we could be forced to accept substantial product returns and provide substantial price protection to maintain our relationships with retailers and our access to distribution channels. We face similar issues and risks, including exposure to risk of chargebacks, with respect to end users to whom we sell products directly, whether through our proprietary online gaming service or otherwise.</w:t>
      </w:r>
    </w:p>
    <w:p>
      <w:pPr>
        <w:spacing w:after="0" w:line="174" w:lineRule="exact"/>
        <w:rPr>
          <w:sz w:val="20"/>
          <w:szCs w:val="20"/>
          <w:color w:val="auto"/>
        </w:rPr>
      </w:pPr>
    </w:p>
    <w:p>
      <w:pPr>
        <w:ind w:firstLine="382"/>
        <w:spacing w:after="0" w:line="271" w:lineRule="auto"/>
        <w:rPr>
          <w:sz w:val="20"/>
          <w:szCs w:val="20"/>
          <w:color w:val="auto"/>
        </w:rPr>
      </w:pPr>
      <w:r>
        <w:rPr>
          <w:rFonts w:ascii="Arial" w:cs="Arial" w:eastAsia="Arial" w:hAnsi="Arial"/>
          <w:sz w:val="16"/>
          <w:szCs w:val="16"/>
          <w:color w:val="auto"/>
        </w:rPr>
        <w:t>Further, retailers typically have a limited amount of “brick and mortar” shelf space and promotional resources, and there is intense competition for high-quality retail shelf space and promotional support from retailers. Similarly, for online retail sales, there is increasing competition for premium placements on websites. Competition for shelf space or premium online placement may intensify and may require us to increase our marketing expenditures. Further, retailers with limited shelf space typically devote the most and highest quality shelf space to those products expected to be best sellers. We cannot be certain that our new products will consistently achieve such “best seller” status. Due to increased competition for limited shelf space, retailers and distributors are in an increasingly better position to negotiate favorable terms of sale, including price discounts, price protection, marketing and display fees, and product return policies. Our products 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127" w:right="27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b w:val="1"/>
          <w:bCs w:val="1"/>
          <w:i w:val="1"/>
          <w:iCs w:val="1"/>
          <w:color w:val="auto"/>
        </w:rPr>
        <w:t>We may be unable to effectively manage the continued growth in the scope and complexity of our business, including our expansion into new business models that are untested and into adjacent business opportunities with large, established competitors.</w:t>
      </w:r>
    </w:p>
    <w:p>
      <w:pPr>
        <w:spacing w:after="0" w:line="166" w:lineRule="exact"/>
        <w:rPr>
          <w:sz w:val="20"/>
          <w:szCs w:val="20"/>
          <w:color w:val="auto"/>
        </w:rPr>
      </w:pPr>
    </w:p>
    <w:p>
      <w:pPr>
        <w:ind w:right="20" w:firstLine="382"/>
        <w:spacing w:after="0" w:line="205" w:lineRule="exact"/>
        <w:rPr>
          <w:sz w:val="20"/>
          <w:szCs w:val="20"/>
          <w:color w:val="auto"/>
        </w:rPr>
      </w:pPr>
      <w:r>
        <w:rPr>
          <w:rFonts w:ascii="Arial" w:cs="Arial" w:eastAsia="Arial" w:hAnsi="Arial"/>
          <w:sz w:val="15"/>
          <w:szCs w:val="15"/>
          <w:color w:val="auto"/>
        </w:rPr>
        <w:t>We have experienced significant growth in the scope and complexity of our business, including through acquisitions and the development of our esports, advertising, and consumer products businesses. Our future success depends, in part, on our ability to manage this expanded business and our aspirations for continued expansion. We have dedicated resources both to new business models that are largely untested, as is the case with esports, and to adjacent business opportunities in which very large competitors have an established presence, as is the case with our advertising and consumer products businesses. We do not know to what extent our future expansions will be successful. Further, even if successful, the growth of these adjacent businesses could create significant challenges for our management, operational, and financial resources, and could increase existing strain on, and divert focus from, our core businesses. If not managed effectively, this growth could result in the over</w:t>
      </w:r>
      <w:r>
        <w:rPr>
          <w:rFonts w:ascii="MS PGothic" w:cs="MS PGothic" w:eastAsia="MS PGothic" w:hAnsi="MS PGothic"/>
          <w:sz w:val="15"/>
          <w:szCs w:val="15"/>
          <w:color w:val="auto"/>
        </w:rPr>
        <w:t>‑</w:t>
      </w:r>
      <w:r>
        <w:rPr>
          <w:rFonts w:ascii="Arial" w:cs="Arial" w:eastAsia="Arial" w:hAnsi="Arial"/>
          <w:sz w:val="15"/>
          <w:szCs w:val="15"/>
          <w:color w:val="auto"/>
        </w:rPr>
        <w:t>extension of our operating infrastructure, and our management systems, information technology systems, and internal controls and procedures may not be adequate to support this growth. Failure to adequately manage our growth in any of these ways may cause damage to our brand or otherwise negatively impact our business. Further, any failure by these new businesses may damage our reputation or otherwise negatively impact our core business of interactive software products and entertainment content. Conversely, the success of these new businesses is, in large part, contingent on the success of our underlying franchises and, as such, a decline in the popularity of a franchise may impact the success of the new businesses adjacent to that franchise.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Due to our reliance on third-party platforms, platform providers are frequently able to influence our products and costs.</w:t>
      </w:r>
    </w:p>
    <w:p>
      <w:pPr>
        <w:spacing w:after="0" w:line="213" w:lineRule="exact"/>
        <w:rPr>
          <w:sz w:val="20"/>
          <w:szCs w:val="20"/>
          <w:color w:val="auto"/>
        </w:rPr>
      </w:pPr>
    </w:p>
    <w:p>
      <w:pPr>
        <w:ind w:right="40" w:firstLine="382"/>
        <w:spacing w:after="0" w:line="253" w:lineRule="auto"/>
        <w:rPr>
          <w:sz w:val="20"/>
          <w:szCs w:val="20"/>
          <w:color w:val="auto"/>
        </w:rPr>
      </w:pPr>
      <w:r>
        <w:rPr>
          <w:rFonts w:ascii="Arial" w:cs="Arial" w:eastAsia="Arial" w:hAnsi="Arial"/>
          <w:sz w:val="17"/>
          <w:szCs w:val="17"/>
          <w:color w:val="auto"/>
        </w:rPr>
        <w:t>Generally, when we develop interactive entertainment software products for hardware platforms offered by companies such as Sony, Microsoft, or Nintendo, the physical products are replicated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During a console transition, like the one that is expected to occur in 2020, as described below, these manufacturers may seek to change the terms governing our relationships with them. In addition, because each of the manufacturers is also a publisher of games for its own hardware platforms and may manufacture products for other licensees, a manufacturer may give priority to its own products or those of our competitors. Accordingly, console manufacturers could cause unanticipated delays in the release of our products, as well as increases to projected development, manufacturing, marketing, or distribution costs, any of which could negatively impact our business.</w:t>
      </w:r>
    </w:p>
    <w:p>
      <w:pPr>
        <w:spacing w:after="0" w:line="185"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Sony, Microsoft and Nintendo are also platform providers which control the networks over which consumers purchase digital products and services for their platforms and through which we provide online game capabilities for our products. The control that these platform providers have over consumer access to our games and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providers are the exclusive means of selling and distributing this content. Further, increased competition for limited premium “digital shelf space” has placed the platform providers in an increasingly better position to negotiate favorable terms of sale. If the platform provider establishes terms that restrict our offerings on its platform, significantly alters the financial terms on which these products or services are offered, or does not approve the inclusion of online capabilities in our console products, our business could be negatively impacted.</w:t>
      </w:r>
    </w:p>
    <w:p>
      <w:pPr>
        <w:spacing w:after="0" w:line="188" w:lineRule="exact"/>
        <w:rPr>
          <w:sz w:val="20"/>
          <w:szCs w:val="20"/>
          <w:color w:val="auto"/>
        </w:rPr>
      </w:pPr>
    </w:p>
    <w:p>
      <w:pPr>
        <w:ind w:firstLine="382"/>
        <w:spacing w:after="0" w:line="291" w:lineRule="auto"/>
        <w:rPr>
          <w:sz w:val="20"/>
          <w:szCs w:val="20"/>
          <w:color w:val="auto"/>
        </w:rPr>
      </w:pPr>
      <w:r>
        <w:rPr>
          <w:rFonts w:ascii="Arial" w:cs="Arial" w:eastAsia="Arial" w:hAnsi="Arial"/>
          <w:sz w:val="15"/>
          <w:szCs w:val="15"/>
          <w:color w:val="auto"/>
        </w:rPr>
        <w:t>We also derive significant revenues from distribution on third-party mobile and web platforms, such as the Apple App Store, the Google Play Store, and Facebook, some of which are also our direct competitors, and most of the virtual currency we sell is purchased using the payment processing systems of these platform providers. These platforms also serve as significant online distribution platforms for, and/or provide other services critical for the operation of, a number of our games. If these platforms deny access to our games, modify their current discovery mechanisms, communication channels available to developers, operating systems, terms of service or other policies (including fees), or they develop their own competitive offerings, our business could be negatively impacted. Additionally, if these platform providers are required to change how they label free-to-play games or take payment for in-app purchases or change how the personal information of consumers is made available to developers, our business could be negatively impacted. These platform providers or their services may be unavailable or experience issues with their in-app purchasing functionality. If either of these events occurs on a prolonged, or even short-term, basis or other similar issues arise that impact players’ ability to access our games, access social features or make purchases, it may result in lost revenues and otherwise negatively impact our business.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Transitions to next-generation consoles could adversely affect the market for interactive entertainment software.</w:t>
      </w:r>
    </w:p>
    <w:p>
      <w:pPr>
        <w:spacing w:after="0" w:line="213" w:lineRule="exact"/>
        <w:rPr>
          <w:sz w:val="20"/>
          <w:szCs w:val="20"/>
          <w:color w:val="auto"/>
        </w:rPr>
      </w:pPr>
    </w:p>
    <w:p>
      <w:pPr>
        <w:ind w:left="380"/>
        <w:spacing w:after="0" w:line="173" w:lineRule="exact"/>
        <w:rPr>
          <w:sz w:val="20"/>
          <w:szCs w:val="20"/>
          <w:color w:val="auto"/>
        </w:rPr>
      </w:pPr>
      <w:r>
        <w:rPr>
          <w:rFonts w:ascii="Arial" w:cs="Arial" w:eastAsia="Arial" w:hAnsi="Arial"/>
          <w:sz w:val="15"/>
          <w:szCs w:val="15"/>
          <w:color w:val="auto"/>
        </w:rPr>
        <w:t>Each of Sony and Microsoft is each expected to launch its next</w:t>
      </w:r>
      <w:r>
        <w:rPr>
          <w:rFonts w:ascii="MS PGothic" w:cs="MS PGothic" w:eastAsia="MS PGothic" w:hAnsi="MS PGothic"/>
          <w:sz w:val="15"/>
          <w:szCs w:val="15"/>
          <w:color w:val="auto"/>
        </w:rPr>
        <w:t>‑</w:t>
      </w:r>
      <w:r>
        <w:rPr>
          <w:rFonts w:ascii="Arial" w:cs="Arial" w:eastAsia="Arial" w:hAnsi="Arial"/>
          <w:sz w:val="15"/>
          <w:szCs w:val="15"/>
          <w:color w:val="auto"/>
        </w:rPr>
        <w:t>generation console later this year, and we may develop games for these new console systems.</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When next-generation consoles are announced or introduced into the market, consumers have typically reduced their purchases of game console entertainment software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products for prior-generation consoles in anticipation of purchasing a next-generation console and products for that console. During these periods, sales of the game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console entertainment software products we publish may decline until new platforms achieve wide consumer acceptance. Console transitions may have a comparable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impact on sales of downloadable content, amplifying the impact on our revenues. This decline may not be offset by increased sales of products for the next-generation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consoles. In addition, as console hardware moves through its life cycle, hardware manufacturers typically enact price reductions, and decreasing prices may put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downward pressure on software prices. During console transitions, we may simultaneously incur costs both in continuing to develop and market new titles for</w:t>
      </w:r>
    </w:p>
    <w:p>
      <w:pPr>
        <w:spacing w:after="0" w:line="20"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prior</w:t>
      </w:r>
      <w:r>
        <w:rPr>
          <w:rFonts w:ascii="MS PGothic" w:cs="MS PGothic" w:eastAsia="MS PGothic" w:hAnsi="MS PGothic"/>
          <w:sz w:val="15"/>
          <w:szCs w:val="15"/>
          <w:color w:val="auto"/>
        </w:rPr>
        <w:t>‑</w:t>
      </w:r>
      <w:r>
        <w:rPr>
          <w:rFonts w:ascii="Arial" w:cs="Arial" w:eastAsia="Arial" w:hAnsi="Arial"/>
          <w:sz w:val="15"/>
          <w:szCs w:val="15"/>
          <w:color w:val="auto"/>
        </w:rPr>
        <w:t>generation video game platforms, which may not sell at premium prices, and also in developing products for next</w:t>
      </w:r>
      <w:r>
        <w:rPr>
          <w:rFonts w:ascii="MS PGothic" w:cs="MS PGothic" w:eastAsia="MS PGothic" w:hAnsi="MS PGothic"/>
          <w:sz w:val="15"/>
          <w:szCs w:val="15"/>
          <w:color w:val="auto"/>
        </w:rPr>
        <w:t>‑</w:t>
      </w:r>
      <w:r>
        <w:rPr>
          <w:rFonts w:ascii="Arial" w:cs="Arial" w:eastAsia="Arial" w:hAnsi="Arial"/>
          <w:sz w:val="15"/>
          <w:szCs w:val="15"/>
          <w:color w:val="auto"/>
        </w:rPr>
        <w:t>generation platforms, which may not generate</w:t>
      </w:r>
    </w:p>
    <w:p>
      <w:pPr>
        <w:spacing w:after="0" w:line="3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immediate or near</w:t>
      </w:r>
      <w:r>
        <w:rPr>
          <w:rFonts w:ascii="MS PGothic" w:cs="MS PGothic" w:eastAsia="MS PGothic" w:hAnsi="MS PGothic"/>
          <w:sz w:val="15"/>
          <w:szCs w:val="15"/>
          <w:color w:val="auto"/>
        </w:rPr>
        <w:t>‑</w:t>
      </w:r>
      <w:r>
        <w:rPr>
          <w:rFonts w:ascii="Arial" w:cs="Arial" w:eastAsia="Arial" w:hAnsi="Arial"/>
          <w:sz w:val="15"/>
          <w:szCs w:val="15"/>
          <w:color w:val="auto"/>
        </w:rPr>
        <w:t>term revenues. As a result, our business and operating results may be more volatile and difficult to predict during console transitions than during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times.</w:t>
      </w:r>
    </w:p>
    <w:p>
      <w:pPr>
        <w:spacing w:after="0" w:line="201" w:lineRule="exact"/>
        <w:rPr>
          <w:sz w:val="20"/>
          <w:szCs w:val="20"/>
          <w:color w:val="auto"/>
        </w:rPr>
      </w:pPr>
    </w:p>
    <w:p>
      <w:pPr>
        <w:ind w:right="880"/>
        <w:spacing w:after="0" w:line="274" w:lineRule="auto"/>
        <w:rPr>
          <w:sz w:val="20"/>
          <w:szCs w:val="20"/>
          <w:color w:val="auto"/>
        </w:rPr>
      </w:pPr>
      <w:r>
        <w:rPr>
          <w:rFonts w:ascii="Arial" w:cs="Arial" w:eastAsia="Arial" w:hAnsi="Arial"/>
          <w:sz w:val="17"/>
          <w:szCs w:val="17"/>
          <w:b w:val="1"/>
          <w:bCs w:val="1"/>
          <w:i w:val="1"/>
          <w:iCs w:val="1"/>
          <w:color w:val="auto"/>
        </w:rPr>
        <w:t>Our business is highly dependent on the success and availability of video game consoles manufactured by third parties, as well as our ability to develop commercially successful products for these consoles.</w:t>
      </w:r>
    </w:p>
    <w:p>
      <w:pPr>
        <w:spacing w:after="0" w:line="166"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We derive a substantial portion of our revenues from the sale of products for play on video game consoles manufactured by third parties, such as Sony’s PS4, Microsoft’s Xbox One, and Nintendo’s Switch. Sales of products for consoles accounted for 30% of our consolidated net revenues in 2019. The success of our console business is driven in large part by our ability to accurately predict which consoles will be successful in the marketplace and our ability to develop commercially successful products for these consoles. We also rely on the availability of an adequate supply of these video game consoles and the continued support for these consoles by their manufacturers, including our ability to reach consumers via the online networks operated by these console manufacturers. If increased costs are not offset by higher revenues and other cost efficiencies, our business could be negatively impacted. If the consoles for which we develop new software products or modify existing products do not attain significant consumer acceptance, we may not be able to recover our development costs, which could be significant.</w:t>
      </w:r>
    </w:p>
    <w:p>
      <w:pPr>
        <w:spacing w:after="0" w:line="158"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66" w:lineRule="exact"/>
        <w:rPr>
          <w:sz w:val="20"/>
          <w:szCs w:val="20"/>
          <w:color w:val="auto"/>
        </w:rPr>
      </w:pPr>
    </w:p>
    <w:p>
      <w:pPr>
        <w:ind w:firstLine="382"/>
        <w:spacing w:after="0" w:line="205" w:lineRule="exact"/>
        <w:rPr>
          <w:sz w:val="20"/>
          <w:szCs w:val="20"/>
          <w:color w:val="auto"/>
        </w:rPr>
      </w:pPr>
      <w:r>
        <w:rPr>
          <w:rFonts w:ascii="Arial" w:cs="Arial" w:eastAsia="Arial" w:hAnsi="Arial"/>
          <w:sz w:val="16"/>
          <w:szCs w:val="16"/>
          <w:color w:val="auto"/>
        </w:rPr>
        <w:t>We are increasingly dependent on our ability to develop, enhance, and monetize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 xml:space="preserve">play games, such as the games in our Candy Crush franchise,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As such, we are increasingly exposed to the risks of the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business model. For example, we may invest in the development of new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interactive entertainment products that do not achieve significant commercial success, in which case our revenues from those products likely will be lower than anticipated and we may not recover our development costs. Further, our business may be negatively impacted if: (1) we are unable to continue to encourage consumers to purchase our virtual items; (2) we fail to offer monetization features that appeal to these consumers; (3) these consumers do not continue to play our game or purchase virtual items at the same rate; (4) our platform providers make it more difficult or expensive for players to purchase our virtual items; (5) we cannot encourage significant additional consumers to purchase virtual items in our game; and/or (6) our free-to-play releases reduce sales of our other games. In addition, a continuing industry shift to free</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play games could result in fewer consumers of premium versions of our games.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mobile gaming to our business exposes us to increased competition.</w:t>
      </w:r>
    </w:p>
    <w:p>
      <w:pPr>
        <w:spacing w:after="0" w:line="213" w:lineRule="exact"/>
        <w:rPr>
          <w:sz w:val="20"/>
          <w:szCs w:val="20"/>
          <w:color w:val="auto"/>
        </w:rPr>
      </w:pPr>
    </w:p>
    <w:p>
      <w:pPr>
        <w:ind w:firstLine="382"/>
        <w:spacing w:after="0" w:line="206" w:lineRule="exact"/>
        <w:rPr>
          <w:sz w:val="20"/>
          <w:szCs w:val="20"/>
          <w:color w:val="auto"/>
        </w:rPr>
      </w:pPr>
      <w:r>
        <w:rPr>
          <w:rFonts w:ascii="Arial" w:cs="Arial" w:eastAsia="Arial" w:hAnsi="Arial"/>
          <w:sz w:val="17"/>
          <w:szCs w:val="17"/>
          <w:color w:val="auto"/>
        </w:rPr>
        <w:t>We have seen, and expect to continue to see new competitors enter the market for mobile games and existing competitors to allocate more resources to developing and marketing competing mobile games and applications. We compete, or may compete, with a vast number of small companies and individuals who are able to create and launch casual games and other content using relatively limited resources and with relatively limited start</w:t>
      </w:r>
      <w:r>
        <w:rPr>
          <w:rFonts w:ascii="MS PGothic" w:cs="MS PGothic" w:eastAsia="MS PGothic" w:hAnsi="MS PGothic"/>
          <w:sz w:val="17"/>
          <w:szCs w:val="17"/>
          <w:color w:val="auto"/>
        </w:rPr>
        <w:t>‑</w:t>
      </w:r>
      <w:r>
        <w:rPr>
          <w:rFonts w:ascii="Arial" w:cs="Arial" w:eastAsia="Arial" w:hAnsi="Arial"/>
          <w:sz w:val="17"/>
          <w:szCs w:val="17"/>
          <w:color w:val="auto"/>
        </w:rPr>
        <w: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has negatively impacted, and is expected to continue to negatively impact,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127"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i w:val="1"/>
          <w:iCs w:val="1"/>
          <w:color w:val="auto"/>
        </w:rPr>
        <w:t>We may not realize the expected financial and operational benefits of our recent restructuring actions, and implementation of such actions may negatively impact our business.</w:t>
      </w:r>
    </w:p>
    <w:p>
      <w:pPr>
        <w:spacing w:after="0" w:line="166" w:lineRule="exact"/>
        <w:rPr>
          <w:sz w:val="20"/>
          <w:szCs w:val="20"/>
          <w:color w:val="auto"/>
        </w:rPr>
      </w:pPr>
    </w:p>
    <w:p>
      <w:pPr>
        <w:ind w:right="60" w:firstLine="382"/>
        <w:spacing w:after="0" w:line="298" w:lineRule="auto"/>
        <w:rPr>
          <w:sz w:val="20"/>
          <w:szCs w:val="20"/>
          <w:color w:val="auto"/>
        </w:rPr>
      </w:pPr>
      <w:r>
        <w:rPr>
          <w:rFonts w:ascii="Arial" w:cs="Arial" w:eastAsia="Arial" w:hAnsi="Arial"/>
          <w:sz w:val="15"/>
          <w:szCs w:val="15"/>
          <w:color w:val="auto"/>
        </w:rPr>
        <w:t>During 2019, we implemented a restructuring plan aimed at refocusing our resources on our largest opportunities and removing unnecessary levels of complexity and duplication from certain parts of our business. While we believe this restructuring plan enables us to provide better opportunities for talent, and greater expertise and scale over the long term, our ability to achieve the desired and anticipated benefits from the restructuring plan is subject to many estimates and assumptions, and the actual savings and timing for those savings may vary materially based on factors such as local labor regulations, negotiations with third parties, and operational requirements. These estimates and assumptions are also subject to significant economic, competitive, and other uncertainties, some of which are beyond our control.</w:t>
      </w:r>
    </w:p>
    <w:p>
      <w:pPr>
        <w:spacing w:after="0" w:line="153" w:lineRule="exact"/>
        <w:rPr>
          <w:sz w:val="20"/>
          <w:szCs w:val="20"/>
          <w:color w:val="auto"/>
        </w:rPr>
      </w:pPr>
    </w:p>
    <w:p>
      <w:pPr>
        <w:ind w:right="80" w:firstLine="382"/>
        <w:spacing w:after="0" w:line="279" w:lineRule="auto"/>
        <w:rPr>
          <w:sz w:val="20"/>
          <w:szCs w:val="20"/>
          <w:color w:val="auto"/>
        </w:rPr>
      </w:pPr>
      <w:r>
        <w:rPr>
          <w:rFonts w:ascii="Arial" w:cs="Arial" w:eastAsia="Arial" w:hAnsi="Arial"/>
          <w:sz w:val="16"/>
          <w:szCs w:val="16"/>
          <w:color w:val="auto"/>
        </w:rPr>
        <w:t>Additionally, there can be no assurance that our business will be more efficient or effective than prior to implementation of the plan. The implementation of the plan may be more costly than we anticipated or have other negative consequences, such as attrition beyond our planned reduction in workforce or negative impacts on employee morale and productivity, or on our ability to attract and retain highly skilled employees. Any of these consequences could negatively impact our business. In addition, there can be no assurance that additional restructuring plans will not be required or implemented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adequately adjust our cost structure in a timely fashion in response to a sudden decrease in demand.</w:t>
      </w:r>
    </w:p>
    <w:p>
      <w:pPr>
        <w:spacing w:after="0" w:line="213" w:lineRule="exact"/>
        <w:rPr>
          <w:sz w:val="20"/>
          <w:szCs w:val="20"/>
          <w:color w:val="auto"/>
        </w:rPr>
      </w:pPr>
    </w:p>
    <w:p>
      <w:pPr>
        <w:ind w:right="580" w:firstLine="382"/>
        <w:spacing w:after="0" w:line="262" w:lineRule="auto"/>
        <w:rPr>
          <w:sz w:val="20"/>
          <w:szCs w:val="20"/>
          <w:color w:val="auto"/>
        </w:rPr>
      </w:pPr>
      <w:r>
        <w:rPr>
          <w:rFonts w:ascii="Arial" w:cs="Arial" w:eastAsia="Arial" w:hAnsi="Arial"/>
          <w:sz w:val="17"/>
          <w:szCs w:val="17"/>
          <w:color w:val="auto"/>
        </w:rPr>
        <w:t>In the event of a significant decline in demand for one or more of our products, we may not be able to reduce personnel or make other changes to our cost structure without disrupting our operations or incurring costs. Further, we may not be able to implement such actions in a timely manner, if at all, to offset an immediate shortfall in revenues and profit.</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involved in legal proceedings that have a negative impact on our business.</w:t>
      </w:r>
    </w:p>
    <w:p>
      <w:pPr>
        <w:spacing w:after="0" w:line="213"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From time to time, we are involved in claims, suits, investigations, audits and proceedings arising in the ordinary course of our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addition, negative consumer sentiment about our business practices may result in inquiries or investigations from regulatory agencies and consumer groups, as well as litigation, which, regardless of outcome, may be damaging to our reputation.</w:t>
      </w:r>
    </w:p>
    <w:p>
      <w:pPr>
        <w:spacing w:after="0" w:line="181"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81" w:lineRule="exact"/>
        <w:rPr>
          <w:sz w:val="20"/>
          <w:szCs w:val="20"/>
          <w:color w:val="auto"/>
        </w:rPr>
      </w:pPr>
    </w:p>
    <w:p>
      <w:pPr>
        <w:ind w:right="100" w:firstLine="382"/>
        <w:spacing w:after="0" w:line="303" w:lineRule="auto"/>
        <w:rPr>
          <w:sz w:val="20"/>
          <w:szCs w:val="20"/>
          <w:color w:val="auto"/>
        </w:rPr>
      </w:pPr>
      <w:r>
        <w:rPr>
          <w:rFonts w:ascii="Arial" w:cs="Arial" w:eastAsia="Arial" w:hAnsi="Arial"/>
          <w:sz w:val="15"/>
          <w:szCs w:val="15"/>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subject to intellectual property claims.</w:t>
      </w:r>
    </w:p>
    <w:p>
      <w:pPr>
        <w:spacing w:after="0" w:line="136" w:lineRule="exact"/>
        <w:rPr>
          <w:sz w:val="20"/>
          <w:szCs w:val="20"/>
          <w:color w:val="auto"/>
        </w:rPr>
      </w:pPr>
    </w:p>
    <w:p>
      <w:pPr>
        <w:ind w:right="80" w:firstLine="382"/>
        <w:spacing w:after="0" w:line="206" w:lineRule="exact"/>
        <w:rPr>
          <w:sz w:val="20"/>
          <w:szCs w:val="20"/>
          <w:color w:val="auto"/>
        </w:rPr>
      </w:pPr>
      <w:r>
        <w:rPr>
          <w:rFonts w:ascii="Arial" w:cs="Arial" w:eastAsia="Arial" w:hAnsi="Arial"/>
          <w:sz w:val="17"/>
          <w:szCs w:val="17"/>
          <w:color w:val="auto"/>
        </w:rPr>
        <w:t>As the number of interactive entertainment software products increases and the features and content of these products continue to overlap, software developers have increasingly become subject to infringement claims. Further, many of our products are highly realistic and feature materials that are based on real</w:t>
      </w:r>
      <w:r>
        <w:rPr>
          <w:rFonts w:ascii="MS PGothic" w:cs="MS PGothic" w:eastAsia="MS PGothic" w:hAnsi="MS PGothic"/>
          <w:sz w:val="17"/>
          <w:szCs w:val="17"/>
          <w:color w:val="auto"/>
        </w:rPr>
        <w:t>‑</w:t>
      </w:r>
      <w:r>
        <w:rPr>
          <w:rFonts w:ascii="Arial" w:cs="Arial" w:eastAsia="Arial" w:hAnsi="Arial"/>
          <w:sz w:val="17"/>
          <w:szCs w:val="17"/>
          <w:color w:val="auto"/>
        </w:rPr>
        <w:t>world things or people, which may also be the subject of claims of infringement of the intellectual property of others, including right of publicity, trademark, and unfair competition claims. In addition, our products often utilize complex, cutting</w:t>
      </w:r>
      <w:r>
        <w:rPr>
          <w:rFonts w:ascii="MS PGothic" w:cs="MS PGothic" w:eastAsia="MS PGothic" w:hAnsi="MS PGothic"/>
          <w:sz w:val="17"/>
          <w:szCs w:val="17"/>
          <w:color w:val="auto"/>
        </w:rPr>
        <w:t>‑</w:t>
      </w:r>
      <w:r>
        <w:rPr>
          <w:rFonts w:ascii="Arial" w:cs="Arial" w:eastAsia="Arial" w:hAnsi="Arial"/>
          <w:sz w:val="17"/>
          <w:szCs w:val="17"/>
          <w:color w:val="auto"/>
        </w:rPr>
        <w:t>edge technology that may become subject to emerging intellectual property claims of others. Although we take steps to avoid knowingly violating the intellectual property rights of others, third parties may still claim infringement, particularly since there are many companies that focus exclusively on enforcing patent rights.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127"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firstLine="382"/>
        <w:spacing w:after="0" w:line="262" w:lineRule="auto"/>
        <w:rPr>
          <w:sz w:val="20"/>
          <w:szCs w:val="20"/>
          <w:color w:val="auto"/>
        </w:rPr>
      </w:pPr>
      <w:r>
        <w:rPr>
          <w:rFonts w:ascii="Arial" w:cs="Arial" w:eastAsia="Arial" w:hAnsi="Arial"/>
          <w:sz w:val="17"/>
          <w:szCs w:val="17"/>
          <w:color w:val="auto"/>
        </w:rPr>
        <w:t>From time to time, we receive communications from third parties regarding such claims. Existing or future infringement claims against us, whether meritorious or not, may be time consuming, distracting to management, and expensive to defend. Further, intellectual property litigation or claims could force us to do one or more of the following:</w:t>
      </w:r>
    </w:p>
    <w:p>
      <w:pPr>
        <w:spacing w:after="0" w:line="99" w:lineRule="exact"/>
        <w:rPr>
          <w:sz w:val="20"/>
          <w:szCs w:val="20"/>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cease selling, incorporating, supporting, or using products or services that incorporate the challenged intellectual property;</w:t>
      </w:r>
    </w:p>
    <w:p>
      <w:pPr>
        <w:spacing w:after="0" w:line="136"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which, if available at all, may not be available on commercially favorable terms;</w:t>
      </w:r>
    </w:p>
    <w:p>
      <w:pPr>
        <w:spacing w:after="0" w:line="147" w:lineRule="exact"/>
        <w:rPr>
          <w:rFonts w:ascii="Arial" w:cs="Arial" w:eastAsia="Arial" w:hAnsi="Arial"/>
          <w:sz w:val="16"/>
          <w:szCs w:val="16"/>
          <w:color w:val="auto"/>
        </w:rPr>
      </w:pPr>
    </w:p>
    <w:p>
      <w:pPr>
        <w:ind w:left="920" w:right="760" w:hanging="306"/>
        <w:spacing w:after="0" w:line="274"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redesign the affected interactive entertainment software products, which could result in additional costs, delay introduction and possibly reduce commercial appeal of the affected products; or</w:t>
      </w:r>
    </w:p>
    <w:p>
      <w:pPr>
        <w:spacing w:after="0" w:line="89"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pay damages to the holder of the infringed intellectual property for past infringements.</w:t>
      </w:r>
    </w:p>
    <w:p>
      <w:pPr>
        <w:spacing w:after="0" w:line="136" w:lineRule="exact"/>
        <w:rPr>
          <w:sz w:val="20"/>
          <w:szCs w:val="20"/>
          <w:color w:val="auto"/>
        </w:rPr>
      </w:pPr>
    </w:p>
    <w:p>
      <w:pPr>
        <w:ind w:right="80" w:firstLine="382"/>
        <w:spacing w:after="0" w:line="274" w:lineRule="auto"/>
        <w:rPr>
          <w:sz w:val="20"/>
          <w:szCs w:val="20"/>
          <w:color w:val="auto"/>
        </w:rPr>
      </w:pPr>
      <w:r>
        <w:rPr>
          <w:rFonts w:ascii="Arial" w:cs="Arial" w:eastAsia="Arial" w:hAnsi="Arial"/>
          <w:sz w:val="17"/>
          <w:szCs w:val="17"/>
          <w:color w:val="auto"/>
        </w:rPr>
        <w:t>Additionally, although we maintain insurance policies, they may be insufficient to reimburse the Company for all losses or all types of claims that may be caused by our actual or alleged infringement of the intellectual property rights of others.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rates or exposure to additional tax liabilities could negatively impact our business.</w:t>
      </w:r>
    </w:p>
    <w:p>
      <w:pPr>
        <w:spacing w:after="0" w:line="213" w:lineRule="exact"/>
        <w:rPr>
          <w:sz w:val="20"/>
          <w:szCs w:val="20"/>
          <w:color w:val="auto"/>
        </w:rPr>
      </w:pPr>
    </w:p>
    <w:p>
      <w:pPr>
        <w:ind w:right="100" w:firstLine="382"/>
        <w:spacing w:after="0" w:line="262" w:lineRule="auto"/>
        <w:rPr>
          <w:sz w:val="20"/>
          <w:szCs w:val="20"/>
          <w:color w:val="auto"/>
        </w:rPr>
      </w:pPr>
      <w:r>
        <w:rPr>
          <w:rFonts w:ascii="Arial" w:cs="Arial" w:eastAsia="Arial" w:hAnsi="Arial"/>
          <w:sz w:val="17"/>
          <w:szCs w:val="17"/>
          <w:color w:val="auto"/>
        </w:rPr>
        <w:t>We are subject to income taxes in the United States and other jurisdictions. In the ordinary course of business there are many transactions and calculations where the ultimate income tax determination is uncertain. Significant judgment is required in determining our worldwide income tax provision. Although we believe our income tax estimates are reasonable, the ultimate outcomes may have a negative impact on our business.</w:t>
      </w:r>
    </w:p>
    <w:p>
      <w:pPr>
        <w:spacing w:after="0" w:line="176" w:lineRule="exact"/>
        <w:rPr>
          <w:sz w:val="20"/>
          <w:szCs w:val="20"/>
          <w:color w:val="auto"/>
        </w:rPr>
      </w:pPr>
    </w:p>
    <w:p>
      <w:pPr>
        <w:ind w:firstLine="382"/>
        <w:spacing w:after="0" w:line="255" w:lineRule="auto"/>
        <w:rPr>
          <w:sz w:val="20"/>
          <w:szCs w:val="20"/>
          <w:color w:val="auto"/>
        </w:rPr>
      </w:pPr>
      <w:r>
        <w:rPr>
          <w:rFonts w:ascii="Arial" w:cs="Arial" w:eastAsia="Arial" w:hAnsi="Arial"/>
          <w:sz w:val="17"/>
          <w:szCs w:val="17"/>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negative impact on our business or require us to change the manner in which we operate our business. The tax regimes we are subject to, or operate under, are unsettled and may be subject to significant change.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w:t>
      </w:r>
    </w:p>
    <w:p>
      <w:pPr>
        <w:spacing w:after="0" w:line="182" w:lineRule="exact"/>
        <w:rPr>
          <w:sz w:val="20"/>
          <w:szCs w:val="20"/>
          <w:color w:val="auto"/>
        </w:rPr>
      </w:pPr>
    </w:p>
    <w:p>
      <w:pPr>
        <w:ind w:right="40" w:firstLine="382"/>
        <w:spacing w:after="0" w:line="258" w:lineRule="auto"/>
        <w:rPr>
          <w:sz w:val="20"/>
          <w:szCs w:val="20"/>
          <w:color w:val="auto"/>
        </w:rPr>
      </w:pPr>
      <w:r>
        <w:rPr>
          <w:rFonts w:ascii="Arial" w:cs="Arial" w:eastAsia="Arial" w:hAnsi="Arial"/>
          <w:sz w:val="17"/>
          <w:szCs w:val="17"/>
          <w:color w:val="auto"/>
        </w:rPr>
        <w:t>Additionally, a number of countries are actively pursuing fundamental changes to the tax laws applicable to multinational companies like us, including an increasing number that have enacted, or are considering enacting, revenue-based taxes on digital services. These digital services taxes target various business activities, including online advertising and, in some cases, video game sales. While the scope and applicability of these taxes often remains unclear, digital services taxes that ultimately apply to us could have an adverse impact on our business.</w:t>
      </w:r>
    </w:p>
    <w:p>
      <w:pPr>
        <w:spacing w:after="0" w:line="179" w:lineRule="exact"/>
        <w:rPr>
          <w:sz w:val="20"/>
          <w:szCs w:val="20"/>
          <w:color w:val="auto"/>
        </w:rPr>
      </w:pPr>
    </w:p>
    <w:p>
      <w:pPr>
        <w:ind w:right="160" w:firstLine="382"/>
        <w:spacing w:after="0" w:line="255" w:lineRule="auto"/>
        <w:rPr>
          <w:sz w:val="20"/>
          <w:szCs w:val="20"/>
          <w:color w:val="auto"/>
        </w:rPr>
      </w:pPr>
      <w:r>
        <w:rPr>
          <w:rFonts w:ascii="Arial" w:cs="Arial" w:eastAsia="Arial" w:hAnsi="Arial"/>
          <w:sz w:val="17"/>
          <w:szCs w:val="17"/>
          <w:color w:val="auto"/>
        </w:rPr>
        <w:t>On December 22, 2017, tax reform legislation known as the Tax Cuts and Jobs Act (the “U.S. Tax Reform Act”) was enacted in the United States. The U.S. Tax Reform Act introduced significant changes to U.S. income tax law that have had a meaningful impact on our financial position and effective tax rate. Accounting for the income tax effects of the U.S. Tax Reform Act and subsequent guidance issued required complex new calculations to be performed and significant judgments in interpreting the legislation. Additional guidance may be issued on how the provisions of the U.S. Tax Reform Act will be applied or otherwise administered that is different from our interpretation, which could result in adjustments to the income tax effects of the U.S. Tax Reform Act we previously recorded. These adjustments could have a negative impact on our business.</w:t>
      </w:r>
    </w:p>
    <w:p>
      <w:pPr>
        <w:spacing w:after="0" w:line="182" w:lineRule="exact"/>
        <w:rPr>
          <w:sz w:val="20"/>
          <w:szCs w:val="20"/>
          <w:color w:val="auto"/>
        </w:rPr>
      </w:pPr>
    </w:p>
    <w:p>
      <w:pPr>
        <w:ind w:right="140" w:firstLine="382"/>
        <w:spacing w:after="0" w:line="262" w:lineRule="auto"/>
        <w:rPr>
          <w:sz w:val="20"/>
          <w:szCs w:val="20"/>
          <w:color w:val="auto"/>
        </w:rPr>
      </w:pPr>
      <w:r>
        <w:rPr>
          <w:rFonts w:ascii="Arial" w:cs="Arial" w:eastAsia="Arial" w:hAnsi="Arial"/>
          <w:sz w:val="17"/>
          <w:szCs w:val="17"/>
          <w:color w:val="auto"/>
        </w:rPr>
        <w:t>We are also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 negative impact on our business.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27"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external developers to develop some of our software products.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We rely on external software developers to develop some of our software products, including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and certain titles currently in development.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Because we depend on external developers, we are subject to the following risks:</w:t>
      </w:r>
    </w:p>
    <w:p>
      <w:pPr>
        <w:spacing w:after="0" w:line="201" w:lineRule="exact"/>
        <w:rPr>
          <w:sz w:val="20"/>
          <w:szCs w:val="20"/>
          <w:color w:val="auto"/>
        </w:rPr>
      </w:pPr>
    </w:p>
    <w:p>
      <w:pPr>
        <w:ind w:left="920" w:right="160" w:hanging="306"/>
        <w:spacing w:after="0" w:line="343" w:lineRule="auto"/>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continuing strong demand for top-tier developers’ resources, combined with the recognition they receive in connection with their work, may cause developers who worked for us in the past either to work for a competitor in the future or to renegotiate agreements with us on terms less favorable to us;</w:t>
      </w:r>
    </w:p>
    <w:p>
      <w:pPr>
        <w:spacing w:after="0" w:line="118" w:lineRule="exact"/>
        <w:rPr>
          <w:rFonts w:ascii="Arial" w:cs="Arial" w:eastAsia="Arial" w:hAnsi="Arial"/>
          <w:sz w:val="15"/>
          <w:szCs w:val="15"/>
          <w:color w:val="auto"/>
        </w:rPr>
      </w:pPr>
    </w:p>
    <w:p>
      <w:pPr>
        <w:ind w:left="920" w:right="360" w:hanging="306"/>
        <w:spacing w:after="0" w:line="274"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limited financial resources and business expertise or the inability to retain skilled personnel may force developers out of business prior to completing products for us or require us to fund additional costs;</w:t>
      </w:r>
    </w:p>
    <w:p>
      <w:pPr>
        <w:spacing w:after="0" w:line="165" w:lineRule="exact"/>
        <w:rPr>
          <w:rFonts w:ascii="Arial" w:cs="Arial" w:eastAsia="Arial" w:hAnsi="Arial"/>
          <w:sz w:val="17"/>
          <w:szCs w:val="17"/>
          <w:color w:val="auto"/>
        </w:rPr>
      </w:pPr>
    </w:p>
    <w:p>
      <w:pPr>
        <w:ind w:left="920" w:right="140" w:hanging="306"/>
        <w:spacing w:after="0" w:line="262"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competitor may acquire the business of one or more key developers or sign them to exclusive development arrangements and, in either case, we would not be able to continue to engage such developers’ services for our products, except for any period for which the developer is contractually obligated to complete development for us; and</w:t>
      </w:r>
    </w:p>
    <w:p>
      <w:pPr>
        <w:spacing w:after="0" w:line="175" w:lineRule="exact"/>
        <w:rPr>
          <w:rFonts w:ascii="Arial" w:cs="Arial" w:eastAsia="Arial" w:hAnsi="Arial"/>
          <w:sz w:val="17"/>
          <w:szCs w:val="17"/>
          <w:color w:val="auto"/>
        </w:rPr>
      </w:pPr>
    </w:p>
    <w:p>
      <w:pPr>
        <w:ind w:left="920" w:right="260" w:hanging="306"/>
        <w:spacing w:after="0" w:line="274"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reliance on external developers reduces our visibility into, and control over, development schedules and operational outcomes compared to those when utilizing internal development resources.</w:t>
      </w:r>
    </w:p>
    <w:p>
      <w:pPr>
        <w:spacing w:after="0" w:line="166"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b w:val="1"/>
          <w:bCs w:val="1"/>
          <w:i w:val="1"/>
          <w:iCs w:val="1"/>
          <w:color w:val="auto"/>
        </w:rPr>
        <w:t>We engage in strategic transactions and may encounter difficulties in integrating acquired businesses or otherwise realizing the anticipated benefits of these transactions.</w:t>
      </w:r>
    </w:p>
    <w:p>
      <w:pPr>
        <w:spacing w:after="0" w:line="166" w:lineRule="exact"/>
        <w:rPr>
          <w:sz w:val="20"/>
          <w:szCs w:val="20"/>
          <w:color w:val="auto"/>
        </w:rPr>
      </w:pPr>
    </w:p>
    <w:p>
      <w:pPr>
        <w:ind w:right="20" w:firstLine="382"/>
        <w:spacing w:after="0" w:line="289" w:lineRule="auto"/>
        <w:rPr>
          <w:sz w:val="20"/>
          <w:szCs w:val="20"/>
          <w:color w:val="auto"/>
        </w:rPr>
      </w:pPr>
      <w:r>
        <w:rPr>
          <w:rFonts w:ascii="Arial" w:cs="Arial" w:eastAsia="Arial" w:hAnsi="Arial"/>
          <w:sz w:val="15"/>
          <w:szCs w:val="15"/>
          <w:color w:val="auto"/>
        </w:rPr>
        <w:t>As part of our business strategy, from time to time, we acquire, make investments in, or enter into strategic alliances and joint ventures with, complementary businesses. These transactions may involve significant risks and uncertainties, including: (1)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(2)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may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 success, and the risk that our strategic objectives, cost savings or other anticipated benefits are otherwise not achieved.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debt could adversely affect our business.</w:t>
      </w:r>
    </w:p>
    <w:p>
      <w:pPr>
        <w:spacing w:after="0" w:line="213"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As of December 31, 2019, the Company had approximately $2.7 billion of long-term debt outstanding. Our debt burden could have important consequences, including: increasing our vulnerability to general adverse economic and industry conditions; limiting our flexibility in planning for, or reacting to, changes in our business and our industry; requiring the dedication of a substantial portion of any cash flows from operations for the payment of principal and interest on our indebtedness, thereby reducing the availability of cash flow to fund our operations, growth strategy, working capital, capital expenditures, future business opportunities, and other general corporate purposes; restricting us from making strategic acquisitions or causing us to make non-strategic divestitures; limiting our ability to obtain additional financing for working capital, capital expenditures, research and development, acquisitions and general corporate or other purposes; limiting our ability to adjust to changing market conditions; and placing us at a competitive disadvantage relative to competitors who have lower levels of debt. Further, though our current long-term debt all bears fixed interest rates, if and when we have borrowings at floating rates of interest, it could expose us to the risk of increased interest rates with respect to those borrowings.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60" w:firstLine="382"/>
        <w:spacing w:after="0" w:line="291" w:lineRule="auto"/>
        <w:rPr>
          <w:sz w:val="20"/>
          <w:szCs w:val="20"/>
          <w:color w:val="auto"/>
        </w:rPr>
      </w:pPr>
      <w:r>
        <w:rPr>
          <w:rFonts w:ascii="Arial" w:cs="Arial" w:eastAsia="Arial" w:hAnsi="Arial"/>
          <w:sz w:val="15"/>
          <w:szCs w:val="15"/>
          <w:color w:val="auto"/>
        </w:rPr>
        <w:t>Agreements governing our indebtedness, including our credit agreement entered into on October 11, 2013 (as amended thereafter and from time to time, the “Credit Agreement”) and the indentures governing our notes, impose operating and financial restrictions on our activities. In addition, under certain circumstances, the Credit Agreement and our indentures may limit or prohibit other activities. Further, various risks, uncertainties, and events beyond our control could affect our ability to comply with these covenants. Failure to comply with any of the covenants in our financing agreements could result in a default under those agreements and under other agreements containing cross-default provisions. Such a default would permit lenders to accelerate the maturity of the debt under these agreements. Under these circumstances, we might not have sufficient funds or other resources to satisfy all of our obligations, including our obligations under the Credit Agreement or the indentures governing our notes. In addition, the limitations imposed by financing agreements on our ability to incur additional debt and to take other actions might significantly impair our ability to obtain other financing. There can be no assurances that we will be granted waivers or amendments to these agreements if, for any reason, we are unable to comply with these agreements or that we will be able to refinance our debt on terms acceptable to us, or at all.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borrow funds under our revolving credit facility if we are not able to meet the conditions to borrowing under that facility.</w:t>
      </w:r>
    </w:p>
    <w:p>
      <w:pPr>
        <w:spacing w:after="0" w:line="224" w:lineRule="exact"/>
        <w:rPr>
          <w:sz w:val="20"/>
          <w:szCs w:val="20"/>
          <w:color w:val="auto"/>
        </w:rPr>
      </w:pPr>
    </w:p>
    <w:p>
      <w:pPr>
        <w:ind w:right="160" w:firstLine="382"/>
        <w:spacing w:after="0" w:line="262" w:lineRule="auto"/>
        <w:rPr>
          <w:sz w:val="20"/>
          <w:szCs w:val="20"/>
          <w:color w:val="auto"/>
        </w:rPr>
      </w:pPr>
      <w:r>
        <w:rPr>
          <w:rFonts w:ascii="Arial" w:cs="Arial" w:eastAsia="Arial" w:hAnsi="Arial"/>
          <w:sz w:val="17"/>
          <w:szCs w:val="17"/>
          <w:color w:val="auto"/>
        </w:rPr>
        <w:t>We view our $1.5 billion revolving credit facility as a source of available liquidity. This facility contains various conditions, covenants and representations with which we must be in compliance in order to borrow funds. We have not borrowed under the revolving credit facility to date, but if we wish to do so, there can be no assurance that we will be in compliance with these conditions, covenants and representations at such time.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London Interbank Offered Rate (“LIBOR’) calculation method may change and LIBOR is expected to be phased out after 2021.</w:t>
      </w:r>
    </w:p>
    <w:p>
      <w:pPr>
        <w:spacing w:after="0" w:line="213" w:lineRule="exact"/>
        <w:rPr>
          <w:sz w:val="20"/>
          <w:szCs w:val="20"/>
          <w:color w:val="auto"/>
        </w:rPr>
      </w:pPr>
    </w:p>
    <w:p>
      <w:pPr>
        <w:ind w:right="20" w:firstLine="382"/>
        <w:spacing w:after="0" w:line="279" w:lineRule="auto"/>
        <w:rPr>
          <w:sz w:val="20"/>
          <w:szCs w:val="20"/>
          <w:color w:val="auto"/>
        </w:rPr>
      </w:pPr>
      <w:r>
        <w:rPr>
          <w:rFonts w:ascii="Arial" w:cs="Arial" w:eastAsia="Arial" w:hAnsi="Arial"/>
          <w:sz w:val="16"/>
          <w:szCs w:val="16"/>
          <w:color w:val="auto"/>
        </w:rPr>
        <w:t>Interest on our revolving credit facility, which is scheduled to mature in 2023, is calculated based on LIBOR. On July 27, 2017, the United Kingdom (“U.K.”) Financial Conduct Authority (the “FCA”) announced that it will no longer require banks to submit rates for the calculation of LIBOR after 2021. In the meantime, actions by the FCA, other regulators, or law enforcement agencies may result in changes to the method by which LIBOR is calculated. At this time, it is not possible to predict the effect of any such changes or any other reforms to LIBOR that may be enacted in the U.K. or elsewhere on our revolving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Lawsuits have been filed, and may continue to be filed, against publishers of interactive entertainment software products.</w:t>
      </w:r>
    </w:p>
    <w:p>
      <w:pPr>
        <w:spacing w:after="0" w:line="213" w:lineRule="exact"/>
        <w:rPr>
          <w:sz w:val="20"/>
          <w:szCs w:val="20"/>
          <w:color w:val="auto"/>
        </w:rPr>
      </w:pPr>
    </w:p>
    <w:p>
      <w:pPr>
        <w:ind w:right="80" w:firstLine="382"/>
        <w:spacing w:after="0" w:line="293" w:lineRule="auto"/>
        <w:rPr>
          <w:sz w:val="20"/>
          <w:szCs w:val="20"/>
          <w:color w:val="auto"/>
        </w:rPr>
      </w:pPr>
      <w:r>
        <w:rPr>
          <w:rFonts w:ascii="Arial" w:cs="Arial" w:eastAsia="Arial" w:hAnsi="Arial"/>
          <w:sz w:val="15"/>
          <w:szCs w:val="15"/>
          <w:color w:val="auto"/>
        </w:rPr>
        <w:t>In prior years, lawsuits have been filed against numerous interactive entertainment companies, including against us, by the families of victims of violence, alleging that interactive entertainment products influence the behavior of the perpetrators of such violence. These lawsuits have been dismissed, but similar additional lawsuits could be filed in the future. Although our general liability insurance carrier has agreed to defend lawsuits of this nature with respect to the prior lawsuits, it is uncertain whether insurance carriers would do so in the future, or if such insurance carriers would cover all or any amounts for which we might be liable if such future lawsuits are not decided in our favor. Further, any such lawsuit could result in increased governmental scrutiny, harm to our reputation, reduced demand by consumers for our products, or decreased willingness by our customers to purchase, or by our partners to provide marketing support for, those products. Such results could divert development and management resources, increase legal fees and other costs, and have other negative impacts on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seasonality in the sale of our products.</w:t>
      </w:r>
    </w:p>
    <w:p>
      <w:pPr>
        <w:spacing w:after="0" w:line="213"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The interactive entertainment industry is somewhat seasonal, with the highest levels of consumer demand occurring during the calendar year-end holiday buying season. As a result, our sales have historically been highest during the fourth quarter of the year, particularly for our Activision segment. Receivables and credit risk are likewise higher during the fourth quarter of the year, as retailers increase their purchases of our products in anticipation of the holiday season. Delays in development, approvals or manufacturing could affect the timing of the release of products, causing us to miss key selling periods such as the year-end holiday buying season, which could negatively impact our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00"/>
          </w:cols>
          <w:pgMar w:left="240" w:top="127"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i w:val="1"/>
          <w:iCs w:val="1"/>
          <w:color w:val="auto"/>
        </w:rPr>
        <w:t>Our business may be harmed if our distributors, retailers, development and licensing partners, or other third parties with whom we are affiliated, act in ways that put our brand at risk.</w:t>
      </w:r>
    </w:p>
    <w:p>
      <w:pPr>
        <w:spacing w:after="0" w:line="166" w:lineRule="exact"/>
        <w:rPr>
          <w:sz w:val="20"/>
          <w:szCs w:val="20"/>
          <w:color w:val="auto"/>
        </w:rPr>
      </w:pPr>
    </w:p>
    <w:p>
      <w:pPr>
        <w:jc w:val="both"/>
        <w:ind w:right="60" w:firstLine="382"/>
        <w:spacing w:after="0" w:line="276" w:lineRule="auto"/>
        <w:rPr>
          <w:sz w:val="20"/>
          <w:szCs w:val="20"/>
          <w:color w:val="auto"/>
        </w:rPr>
      </w:pPr>
      <w:r>
        <w:rPr>
          <w:rFonts w:ascii="Arial" w:cs="Arial" w:eastAsia="Arial" w:hAnsi="Arial"/>
          <w:sz w:val="16"/>
          <w:szCs w:val="16"/>
          <w:color w:val="auto"/>
        </w:rPr>
        <w:t>In many cases, our business partners, which may include, among others, individuals or entities affiliated with the esports leagues we operate, are given access to sensitive and proprietary information or control over our intellectual property to provide services and support to our team. These third parties may misappropriate our information or intellectual property and engage in unauthorized use of it. The failure of these third parties to provide adequate services and technologies, the failure of third parties to adequately maintain or update their services and technologies, or the misappropriation or misuse of this information or intellectual property could result in a disruption to our business operations or an adverse effect on our reputation and may negatively impact our business.</w:t>
      </w:r>
    </w:p>
    <w:p>
      <w:pPr>
        <w:spacing w:after="0" w:line="166" w:lineRule="exact"/>
        <w:rPr>
          <w:sz w:val="20"/>
          <w:szCs w:val="20"/>
          <w:color w:val="auto"/>
        </w:rPr>
      </w:pPr>
    </w:p>
    <w:p>
      <w:pPr>
        <w:ind w:firstLine="382"/>
        <w:spacing w:after="0" w:line="258" w:lineRule="auto"/>
        <w:rPr>
          <w:sz w:val="20"/>
          <w:szCs w:val="20"/>
          <w:color w:val="auto"/>
        </w:rPr>
      </w:pPr>
      <w:r>
        <w:rPr>
          <w:rFonts w:ascii="Arial" w:cs="Arial" w:eastAsia="Arial" w:hAnsi="Arial"/>
          <w:sz w:val="17"/>
          <w:szCs w:val="17"/>
          <w:color w:val="auto"/>
        </w:rPr>
        <w:t>Similarly, actions taken by third parties with whom we may be affiliated, which may include, among others, individuals or entities affiliated with the esports leagues we operate, may act in a way that places our brand at risk, which could have an adverse effect on our reputation and may negatively impact our business. At the same time, if the media, consumers, or employees raise any concerns about our actions vis-à-vis those third parties, this could also damage our reputation or our business.</w:t>
      </w:r>
    </w:p>
    <w:p>
      <w:pPr>
        <w:spacing w:after="0" w:line="17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66"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We use open source software in connection with some of the games and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72" w:lineRule="exact"/>
        <w:rPr>
          <w:sz w:val="20"/>
          <w:szCs w:val="20"/>
          <w:color w:val="auto"/>
        </w:rPr>
      </w:pPr>
    </w:p>
    <w:p>
      <w:pPr>
        <w:jc w:val="both"/>
        <w:ind w:right="160"/>
        <w:spacing w:after="0" w:line="286" w:lineRule="auto"/>
        <w:rPr>
          <w:sz w:val="20"/>
          <w:szCs w:val="20"/>
          <w:color w:val="auto"/>
        </w:rPr>
      </w:pPr>
      <w:r>
        <w:rPr>
          <w:rFonts w:ascii="Arial" w:cs="Arial" w:eastAsia="Arial" w:hAnsi="Arial"/>
          <w:sz w:val="16"/>
          <w:szCs w:val="16"/>
          <w:b w:val="1"/>
          <w:bCs w:val="1"/>
          <w:i w:val="1"/>
          <w:iCs w:val="1"/>
          <w:color w:val="auto"/>
        </w:rPr>
        <w:t>Our products are subject to the threat of piracy and unauthorized copying, and inadequate intellectual property laws and other protections could prevent us from enforcing or defending our proprietary technologies. Further, the use of unauthorized “cheat” programs or the use of other unauthorized software modifications by users could impact multiplayer gameplay or lead to reductions in microtransactions in our games.</w:t>
      </w:r>
    </w:p>
    <w:p>
      <w:pPr>
        <w:spacing w:after="0" w:line="158" w:lineRule="exact"/>
        <w:rPr>
          <w:sz w:val="20"/>
          <w:szCs w:val="20"/>
          <w:color w:val="auto"/>
        </w:rPr>
      </w:pPr>
    </w:p>
    <w:p>
      <w:pPr>
        <w:ind w:firstLine="382"/>
        <w:spacing w:after="0" w:line="303" w:lineRule="auto"/>
        <w:rPr>
          <w:sz w:val="20"/>
          <w:szCs w:val="20"/>
          <w:color w:val="auto"/>
        </w:rPr>
      </w:pPr>
      <w:r>
        <w:rPr>
          <w:rFonts w:ascii="Arial" w:cs="Arial" w:eastAsia="Arial" w:hAnsi="Arial"/>
          <w:sz w:val="15"/>
          <w:szCs w:val="15"/>
          <w:color w:val="auto"/>
        </w:rPr>
        <w:t>We regard our software as proprietary and rely on a variety of methods, including a combination of copyright, patent, trademark and trade secret laws and employee and third-party non-disclosure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occurs, and if a significantly greater amount of unauthorized copying of our software products were to occur, it could negatively impact our business.</w:t>
      </w:r>
    </w:p>
    <w:p>
      <w:pPr>
        <w:spacing w:after="0" w:line="149" w:lineRule="exact"/>
        <w:rPr>
          <w:sz w:val="20"/>
          <w:szCs w:val="20"/>
          <w:color w:val="auto"/>
        </w:rPr>
      </w:pPr>
    </w:p>
    <w:p>
      <w:pPr>
        <w:ind w:right="60" w:firstLine="382"/>
        <w:spacing w:after="0" w:line="293" w:lineRule="auto"/>
        <w:rPr>
          <w:sz w:val="20"/>
          <w:szCs w:val="20"/>
          <w:color w:val="auto"/>
        </w:rPr>
      </w:pPr>
      <w:r>
        <w:rPr>
          <w:rFonts w:ascii="Arial" w:cs="Arial" w:eastAsia="Arial" w:hAnsi="Arial"/>
          <w:sz w:val="15"/>
          <w:szCs w:val="15"/>
          <w:color w:val="auto"/>
        </w:rPr>
        <w:t>Piracy is a persistent problem for us, and policing the unauthorized sale, distribution and use of our products is difficult, expensive, and time-consuming. Further, the laws of some countries in which our products are, or may be, distributed either do not protect our products and intellectual property rights to the same extent as the laws of the United States, or are poorly enforced. In addition, though we take steps to make the unauthorized sale, distribution and use of our products more difficult and to enforce and police our rights, as do the manufacturers of consoles and the operators of other platforms on which many of our games are played, these efforts may not be successful in controlling the piracy of our products in all instances. Technology designed to circumvent the protection measures used by console manufacturers and platform operators or by us in our products, the refusal of Internet service providers to remove infringing content in certain instances and the ability to download pirated copies of games from various Internet sites and peer-to-peer networks could result in an expansion in piracy.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7"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80" w:firstLine="382"/>
        <w:spacing w:after="0" w:line="258" w:lineRule="auto"/>
        <w:rPr>
          <w:sz w:val="20"/>
          <w:szCs w:val="20"/>
          <w:color w:val="auto"/>
        </w:rPr>
      </w:pPr>
      <w:r>
        <w:rPr>
          <w:rFonts w:ascii="Arial" w:cs="Arial" w:eastAsia="Arial" w:hAnsi="Arial"/>
          <w:sz w:val="17"/>
          <w:szCs w:val="17"/>
          <w:color w:val="auto"/>
        </w:rPr>
        <w:t>In addition, “cheating” programs or other unauthorized software tools and modifications that enable consumers to cheat in games could negatively impact the volume of microtransactions or purchases of downloadable content. In addition, vulnerabilities in the design of our products or the platforms upon which they run could be discovered after their release, which may result in lost revenues from paying consumers or increased cost of developing technological measures to respond to these, either of which could negatively impact our business.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also cannot be certain that existing intellectual property laws will provide adequate protection for our products in connection with emerging technologies.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insolvency or business failure of any of our business partners could negatively impact us.</w:t>
      </w:r>
    </w:p>
    <w:p>
      <w:pPr>
        <w:spacing w:after="0" w:line="213" w:lineRule="exact"/>
        <w:rPr>
          <w:sz w:val="20"/>
          <w:szCs w:val="20"/>
          <w:color w:val="auto"/>
        </w:rPr>
      </w:pPr>
    </w:p>
    <w:p>
      <w:pPr>
        <w:ind w:right="80" w:firstLine="382"/>
        <w:spacing w:after="0" w:line="270" w:lineRule="auto"/>
        <w:rPr>
          <w:sz w:val="20"/>
          <w:szCs w:val="20"/>
          <w:color w:val="auto"/>
        </w:rPr>
      </w:pPr>
      <w:r>
        <w:rPr>
          <w:rFonts w:ascii="Arial" w:cs="Arial" w:eastAsia="Arial" w:hAnsi="Arial"/>
          <w:sz w:val="16"/>
          <w:szCs w:val="16"/>
          <w:color w:val="auto"/>
        </w:rPr>
        <w:t>Our sales, whether digital or retail, are concentrated in a small number of large customers. This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write-off of accounts receivable could increase and, even if increased, may turn out to be insufficient. Moreover, even in cases where we have insurance to protect against a customer’s bankruptcy, insolvency, or liquidation, this insurance typically contains a significant deductible and co-payment obligation and does not cover all instances of non-payment. Further, the insolvency or business failure of other types of business partners could result in disruptions to the manufacturing or distribution of our products or the cancellation of contractual arrangements that we consider to be favorable. A payment default by, or the insolvency or business failure of, a significant business partner could negatively impact our business. In addition, having such a large portion of our total net revenues concentrated in a few customers reduces our negotiating leverage with these customers.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 global company and are subject to the risks and uncertainties of conducting business outside the U.S.</w:t>
      </w:r>
    </w:p>
    <w:p>
      <w:pPr>
        <w:spacing w:after="0" w:line="213" w:lineRule="exact"/>
        <w:rPr>
          <w:sz w:val="20"/>
          <w:szCs w:val="20"/>
          <w:color w:val="auto"/>
        </w:rPr>
      </w:pPr>
    </w:p>
    <w:p>
      <w:pPr>
        <w:ind w:right="40" w:firstLine="382"/>
        <w:spacing w:after="0" w:line="272" w:lineRule="auto"/>
        <w:rPr>
          <w:sz w:val="20"/>
          <w:szCs w:val="20"/>
          <w:color w:val="auto"/>
        </w:rPr>
      </w:pPr>
      <w:r>
        <w:rPr>
          <w:rFonts w:ascii="Arial" w:cs="Arial" w:eastAsia="Arial" w:hAnsi="Arial"/>
          <w:sz w:val="16"/>
          <w:szCs w:val="16"/>
          <w:color w:val="auto"/>
        </w:rPr>
        <w:t>We conduct business throughout the world, and we derive a substantial amount of our revenues and profits from international trade, particularly from Europe and Asia. Moving forward, we expect that international sales will continue to account for a significant portion of our total revenues and profits and, moreover, that sales in emerging markets in Asia and elsewhere will continue to be an important part of our international sales. As such, we are, and may be increasingly, subject to risks inherent in foreign trade generally, as well as risks inherent in doing business in emerging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72" w:lineRule="exact"/>
        <w:rPr>
          <w:sz w:val="20"/>
          <w:szCs w:val="20"/>
          <w:color w:val="auto"/>
        </w:rPr>
      </w:pPr>
    </w:p>
    <w:p>
      <w:pPr>
        <w:ind w:right="60" w:firstLine="382"/>
        <w:spacing w:after="0" w:line="289" w:lineRule="auto"/>
        <w:rPr>
          <w:sz w:val="20"/>
          <w:szCs w:val="20"/>
          <w:color w:val="auto"/>
        </w:rPr>
      </w:pPr>
      <w:r>
        <w:rPr>
          <w:rFonts w:ascii="Arial" w:cs="Arial" w:eastAsia="Arial" w:hAnsi="Arial"/>
          <w:sz w:val="15"/>
          <w:szCs w:val="15"/>
          <w:color w:val="auto"/>
        </w:rPr>
        <w:t>A deterioration in relations between either us or the United States and any country in which we have significant operations or sales, or the implementation of government regulations in such a country, could result in the adoption or expansion of trade restrictions, including economic sanctions, that could have a negative impact on our business. For instance, to operate in China, all games must have regulatory approval. A decision by the Chinese government to revoke its approval for any of our games or to decline to approve any products we desire to sell in China in the future could have a negative impact on our business. Additionally, in the past, legislation has been implemented in China that has required modifications to our products and business model to satisfy regulatory requirements. The future implementation of similar or new laws or regulations in China or any other country in which we have operations or sales may restrict or prohibit the sale of our products or may require engineering modifications to our products and our business model that are not cost-effective, if even feasible at all, or could degrade the consumer experience to the point where consumers cease to purchase such products. The Chinese game approval procedure was suspended from March 2018 until December 2018 and, due to the large number of pending applications and unclear approval timeframes, it remains uncertain as to if and when our new products will be approved for release in China. Further, the enforcement of regulations relating to mobile and other games with an online element in China remains uncertain, and further changes, either in the regulations or their enforcement, could have a negative impact on our business in China.</w:t>
      </w:r>
    </w:p>
    <w:p>
      <w:pPr>
        <w:spacing w:after="0" w:line="163"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or if the other risks discussed herein come to fruition, it could negatively impact our business.</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127"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120" w:firstLine="382"/>
        <w:spacing w:after="0" w:line="298" w:lineRule="auto"/>
        <w:rPr>
          <w:sz w:val="20"/>
          <w:szCs w:val="20"/>
          <w:color w:val="auto"/>
        </w:rPr>
      </w:pPr>
      <w:r>
        <w:rPr>
          <w:rFonts w:ascii="Arial" w:cs="Arial" w:eastAsia="Arial" w:hAnsi="Arial"/>
          <w:sz w:val="15"/>
          <w:szCs w:val="15"/>
          <w:color w:val="auto"/>
        </w:rPr>
        <w:t>We are also subject to risks that our operations outside the United States could be conducted by our employees, contractors, third-party partners, representatives, or agents in ways that violate the Foreign Corrupt Practices Act, the U.K. Anti-Bribery Act or other similar anti-bribery laws, as well as the 2017 U.K. Criminal Finances Act or other similar financial crime laws. While we have policies and procedures, as well as training for our employees, intended to secure compliance with these laws, our employees, contractors, third-party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153" w:lineRule="exact"/>
        <w:rPr>
          <w:sz w:val="20"/>
          <w:szCs w:val="20"/>
          <w:color w:val="auto"/>
        </w:rPr>
      </w:pPr>
    </w:p>
    <w:p>
      <w:pPr>
        <w:ind w:right="40" w:firstLine="382"/>
        <w:spacing w:after="0" w:line="270" w:lineRule="auto"/>
        <w:rPr>
          <w:sz w:val="20"/>
          <w:szCs w:val="20"/>
          <w:color w:val="auto"/>
        </w:rPr>
      </w:pPr>
      <w:r>
        <w:rPr>
          <w:rFonts w:ascii="Arial" w:cs="Arial" w:eastAsia="Arial" w:hAnsi="Arial"/>
          <w:sz w:val="16"/>
          <w:szCs w:val="16"/>
          <w:color w:val="auto"/>
        </w:rPr>
        <w:t>Additionally, in June 2016, voters in the U.K. approved an advisory referendum to withdraw from the European Union (the “E.U.”), commonly referred to as “Brexit.” The U.K. commenced withdrawal proceedings with the E.U. in March 2017, and, on January 31, 2020, left the E.U. This withdrawal has created political and economic uncertainty, particularly in the U.K. and the E.U., and this uncertainty may persist for years. The uncertainty surrounding the consequences of the U.K.’s withdrawal could adversely impact consumer and investor confidence and the level of sales of discretionary items, including our products. The terms of the U.K.’s future trade agreements with the E.U. or other nations could negatively impact global financial markets, including currency exchange rates and interest rates, which could have a negative impact on our business, our suppliers and business partners, or our lenders and financial counterparties. Further, the terms of the U.K.’s future trade agreements with the E.U. or other nations could potentially cause adverse disruptions to our operations, including (1) for our workforce, or the workforce of our suppliers, business partners, lenders or financial counterparties, in the U.K. or the E.U. as a result of potential changes to applicable employment or immigration rules; and (2) to our systems and information technology infrastructure or that of our suppliers, business partners, lenders or financial counterparties as a result of potential changes to regulations for data security or other data protection rules. Given our extensive global operations, the potential widespread impacts triggered through Brexit could adversely affect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business.</w:t>
      </w:r>
    </w:p>
    <w:p>
      <w:pPr>
        <w:spacing w:after="0" w:line="213" w:lineRule="exact"/>
        <w:rPr>
          <w:sz w:val="20"/>
          <w:szCs w:val="20"/>
          <w:color w:val="auto"/>
        </w:rPr>
      </w:pPr>
    </w:p>
    <w:p>
      <w:pPr>
        <w:ind w:right="40" w:firstLine="382"/>
        <w:spacing w:after="0" w:line="272" w:lineRule="auto"/>
        <w:rPr>
          <w:sz w:val="20"/>
          <w:szCs w:val="20"/>
          <w:color w:val="auto"/>
        </w:rPr>
      </w:pPr>
      <w:r>
        <w:rPr>
          <w:rFonts w:ascii="Arial" w:cs="Arial" w:eastAsia="Arial" w:hAnsi="Arial"/>
          <w:sz w:val="16"/>
          <w:szCs w:val="16"/>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including euros, British pounds, Australian dollars, South Korean won, Chinese yuan, and Swedish krona, which could fluctuate against the U.S. dollar. Since we have significant international sales but incur the majority of our costs in the United States,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172"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66" w:lineRule="exact"/>
        <w:rPr>
          <w:sz w:val="20"/>
          <w:szCs w:val="20"/>
          <w:color w:val="auto"/>
        </w:rPr>
      </w:pPr>
    </w:p>
    <w:p>
      <w:pPr>
        <w:ind w:right="20" w:firstLine="382"/>
        <w:spacing w:after="0" w:line="291" w:lineRule="auto"/>
        <w:rPr>
          <w:sz w:val="20"/>
          <w:szCs w:val="20"/>
          <w:color w:val="auto"/>
        </w:rPr>
      </w:pPr>
      <w:r>
        <w:rPr>
          <w:rFonts w:ascii="Arial" w:cs="Arial" w:eastAsia="Arial" w:hAnsi="Arial"/>
          <w:sz w:val="15"/>
          <w:szCs w:val="15"/>
          <w:color w:val="auto"/>
        </w:rPr>
        <w:t>Our console and PC games are subject to ratings by the Entertainment Software Rating Board (the “ESRB”), a self-regulatory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meet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jc w:val="both"/>
        <w:ind w:right="300" w:firstLine="382"/>
        <w:spacing w:after="0" w:line="303" w:lineRule="auto"/>
        <w:rPr>
          <w:sz w:val="20"/>
          <w:szCs w:val="20"/>
          <w:color w:val="auto"/>
        </w:rPr>
      </w:pPr>
      <w:r>
        <w:rPr>
          <w:rFonts w:ascii="Arial" w:cs="Arial" w:eastAsia="Arial" w:hAnsi="Arial"/>
          <w:sz w:val="15"/>
          <w:szCs w:val="15"/>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149"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b w:val="1"/>
          <w:bCs w:val="1"/>
          <w:i w:val="1"/>
          <w:iCs w:val="1"/>
          <w:color w:val="auto"/>
        </w:rPr>
        <w:t>Our games may include undisclosed content or features. If our retailers refuse to sell such titles, or consumers refuse to purchase such titles, due to what they perceive to be objectionable undisclosed content, it could have a negative impact on our business.</w:t>
      </w:r>
    </w:p>
    <w:p>
      <w:pPr>
        <w:spacing w:after="0" w:line="166" w:lineRule="exact"/>
        <w:rPr>
          <w:sz w:val="20"/>
          <w:szCs w:val="20"/>
          <w:color w:val="auto"/>
        </w:rPr>
      </w:pPr>
    </w:p>
    <w:p>
      <w:pPr>
        <w:ind w:right="60" w:firstLine="382"/>
        <w:spacing w:after="0" w:line="291" w:lineRule="auto"/>
        <w:rPr>
          <w:sz w:val="20"/>
          <w:szCs w:val="20"/>
          <w:color w:val="auto"/>
        </w:rPr>
      </w:pPr>
      <w:r>
        <w:rPr>
          <w:rFonts w:ascii="Arial" w:cs="Arial" w:eastAsia="Arial" w:hAnsi="Arial"/>
          <w:sz w:val="15"/>
          <w:szCs w:val="15"/>
          <w:color w:val="auto"/>
        </w:rPr>
        <w:t>Throughout the history of the interactive entertainment industry, many interactive software products have included hidden content and/or hidden gameplay features, some of which have been accessible through the use of in-game codes or other technological means, that are intended to enhance the gameplay experience. In some cases, such undisclosed content or features have been considered to be objectionable. While publishers are required to disclose pertinent hidden content during the ESRB ratings process, in a few cases, publishers have failed to disclose hidden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shelves, refusing to sell them, and demanding that their publishers accept them as product returns. Likewise, some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158" w:lineRule="exact"/>
        <w:rPr>
          <w:sz w:val="20"/>
          <w:szCs w:val="20"/>
          <w:color w:val="auto"/>
        </w:rPr>
      </w:pPr>
    </w:p>
    <w:p>
      <w:pPr>
        <w:ind w:right="340" w:firstLine="382"/>
        <w:spacing w:after="0" w:line="286" w:lineRule="auto"/>
        <w:rPr>
          <w:sz w:val="20"/>
          <w:szCs w:val="20"/>
          <w:color w:val="auto"/>
        </w:rPr>
      </w:pPr>
      <w:r>
        <w:rPr>
          <w:rFonts w:ascii="Arial" w:cs="Arial" w:eastAsia="Arial" w:hAnsi="Arial"/>
          <w:sz w:val="16"/>
          <w:szCs w:val="16"/>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or reputation may be harmed as a result of objectionable consumer- or other third party-created content.</w:t>
      </w:r>
    </w:p>
    <w:p>
      <w:pPr>
        <w:spacing w:after="0" w:line="213" w:lineRule="exact"/>
        <w:rPr>
          <w:sz w:val="20"/>
          <w:szCs w:val="20"/>
          <w:color w:val="auto"/>
        </w:rPr>
      </w:pPr>
    </w:p>
    <w:p>
      <w:pPr>
        <w:ind w:firstLine="382"/>
        <w:spacing w:after="0" w:line="207" w:lineRule="exact"/>
        <w:rPr>
          <w:sz w:val="20"/>
          <w:szCs w:val="20"/>
          <w:color w:val="auto"/>
        </w:rPr>
      </w:pPr>
      <w:r>
        <w:rPr>
          <w:rFonts w:ascii="Arial" w:cs="Arial" w:eastAsia="Arial" w:hAnsi="Arial"/>
          <w:sz w:val="16"/>
          <w:szCs w:val="16"/>
          <w:color w:val="auto"/>
        </w:rPr>
        <w:t>Certain of our games and esports broadcasts support collaborative online features that allow consumers to post narrative comments, in real time, that are visible to other consumers. Additionally, certain of our games allow consumers to create and share “user</w:t>
      </w:r>
      <w:r>
        <w:rPr>
          <w:rFonts w:ascii="MS PGothic" w:cs="MS PGothic" w:eastAsia="MS PGothic" w:hAnsi="MS PGothic"/>
          <w:sz w:val="16"/>
          <w:szCs w:val="16"/>
          <w:color w:val="auto"/>
        </w:rPr>
        <w:t>‑</w:t>
      </w:r>
      <w:r>
        <w:rPr>
          <w:rFonts w:ascii="Arial" w:cs="Arial" w:eastAsia="Arial" w:hAnsi="Arial"/>
          <w:sz w:val="16"/>
          <w:szCs w:val="16"/>
          <w:color w:val="auto"/>
        </w:rPr>
        <w:t>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spacing w:after="0" w:line="104" w:lineRule="exact"/>
        <w:rPr>
          <w:sz w:val="20"/>
          <w:szCs w:val="20"/>
          <w:color w:val="auto"/>
        </w:rPr>
      </w:pPr>
    </w:p>
    <w:p>
      <w:pPr>
        <w:ind w:right="100" w:firstLine="382"/>
        <w:spacing w:after="0" w:line="207" w:lineRule="exact"/>
        <w:rPr>
          <w:sz w:val="20"/>
          <w:szCs w:val="20"/>
          <w:color w:val="auto"/>
        </w:rPr>
      </w:pPr>
      <w:r>
        <w:rPr>
          <w:rFonts w:ascii="Arial" w:cs="Arial" w:eastAsia="Arial" w:hAnsi="Arial"/>
          <w:sz w:val="16"/>
          <w:szCs w:val="16"/>
          <w:color w:val="auto"/>
        </w:rPr>
        <w:t>Additionally, we have begun to generate revenue through offering advertising within certain of our franchises and in connection with our esports broadcasts. The content of in</w:t>
      </w:r>
      <w:r>
        <w:rPr>
          <w:rFonts w:ascii="MS PGothic" w:cs="MS PGothic" w:eastAsia="MS PGothic" w:hAnsi="MS PGothic"/>
          <w:sz w:val="16"/>
          <w:szCs w:val="16"/>
          <w:color w:val="auto"/>
        </w:rPr>
        <w:t>‑</w:t>
      </w:r>
      <w:r>
        <w:rPr>
          <w:rFonts w:ascii="Arial" w:cs="Arial" w:eastAsia="Arial" w:hAnsi="Arial"/>
          <w:sz w:val="16"/>
          <w:szCs w:val="16"/>
          <w:color w:val="auto"/>
        </w:rPr>
        <w:t>game advertisements and esports broadcast advertisements is generally created and delivered by third</w:t>
      </w:r>
      <w:r>
        <w:rPr>
          <w:rFonts w:ascii="MS PGothic" w:cs="MS PGothic" w:eastAsia="MS PGothic" w:hAnsi="MS PGothic"/>
          <w:sz w:val="16"/>
          <w:szCs w:val="16"/>
          <w:color w:val="auto"/>
        </w:rPr>
        <w:t>‑</w:t>
      </w:r>
      <w:r>
        <w:rPr>
          <w:rFonts w:ascii="Arial" w:cs="Arial" w:eastAsia="Arial" w:hAnsi="Arial"/>
          <w:sz w:val="16"/>
          <w:szCs w:val="16"/>
          <w:color w:val="auto"/>
        </w:rPr>
        <w:t>party advertisers without our pre</w:t>
      </w:r>
      <w:r>
        <w:rPr>
          <w:rFonts w:ascii="MS PGothic" w:cs="MS PGothic" w:eastAsia="MS PGothic" w:hAnsi="MS PGothic"/>
          <w:sz w:val="16"/>
          <w:szCs w:val="16"/>
          <w:color w:val="auto"/>
        </w:rPr>
        <w:t>‑</w:t>
      </w:r>
      <w:r>
        <w:rPr>
          <w:rFonts w:ascii="Arial" w:cs="Arial" w:eastAsia="Arial" w:hAnsi="Arial"/>
          <w:sz w:val="16"/>
          <w:szCs w:val="16"/>
          <w:color w:val="auto"/>
        </w:rPr>
        <w:t>approval, and, as such, objectionable content may be published in our games or during our esports broadcasts by these advertisers. This objectionable third party</w:t>
      </w:r>
      <w:r>
        <w:rPr>
          <w:rFonts w:ascii="MS PGothic" w:cs="MS PGothic" w:eastAsia="MS PGothic" w:hAnsi="MS PGothic"/>
          <w:sz w:val="16"/>
          <w:szCs w:val="16"/>
          <w:color w:val="auto"/>
        </w:rPr>
        <w:t>‑</w:t>
      </w:r>
      <w:r>
        <w:rPr>
          <w:rFonts w:ascii="Arial" w:cs="Arial" w:eastAsia="Arial" w:hAnsi="Arial"/>
          <w:sz w:val="16"/>
          <w:szCs w:val="16"/>
          <w:color w:val="auto"/>
        </w:rPr>
        <w:t>created content may expose us to regulatory action or claims related to content, or otherwise negatively impact our business. We may also be subject to consumer backlash from comments made in response to postings we make on social media sites such as Facebook, YouTube and Twitter.</w:t>
      </w:r>
    </w:p>
    <w:p>
      <w:pPr>
        <w:spacing w:after="0" w:line="193"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66" w:lineRule="exact"/>
        <w:rPr>
          <w:sz w:val="20"/>
          <w:szCs w:val="20"/>
          <w:color w:val="auto"/>
        </w:rPr>
      </w:pPr>
    </w:p>
    <w:p>
      <w:pPr>
        <w:ind w:right="20" w:firstLine="382"/>
        <w:spacing w:after="0" w:line="279" w:lineRule="auto"/>
        <w:rPr>
          <w:sz w:val="20"/>
          <w:szCs w:val="20"/>
          <w:color w:val="auto"/>
        </w:rPr>
      </w:pPr>
      <w:r>
        <w:rPr>
          <w:rFonts w:ascii="Arial" w:cs="Arial" w:eastAsia="Arial" w:hAnsi="Arial"/>
          <w:sz w:val="16"/>
          <w:szCs w:val="16"/>
          <w:color w:val="auto"/>
        </w:rPr>
        <w:t>The video game industry continues to evolve, and new and innovative business opportunities are often subject to new attempts at regulation. As such, legislation is continually being introduced, and litigation and regulatory enforcement actions are taking place, that may affect the way in which we, and other industry participants, may offer content and features, and distribute and advertise our products. These laws, regulations, and investigations are related to protection of minors, gambling, consumer privacy, accessibility, advertising, taxation, payments, intellectual property, distribution, and antitrust, among others.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127"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382"/>
        <w:spacing w:after="0" w:line="269" w:lineRule="auto"/>
        <w:rPr>
          <w:sz w:val="20"/>
          <w:szCs w:val="20"/>
          <w:color w:val="auto"/>
        </w:rPr>
      </w:pPr>
      <w:r>
        <w:rPr>
          <w:rFonts w:ascii="Arial" w:cs="Arial" w:eastAsia="Arial" w:hAnsi="Arial"/>
          <w:sz w:val="16"/>
          <w:szCs w:val="16"/>
          <w:color w:val="auto"/>
        </w:rPr>
        <w:t>For example, many foreign countries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United States, including legislation that attempts to impose additional taxes based on content). In addition, certain jurisdictions have laws that restrict or prohibit marketing or distribution of interactive entertainment software products with random digital item mechanics, which some of our online games and services include, or subject such products to additional regulation and oversight, such as reporting to regulators. Also, 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tournaments and games, many of which are still evolving and could be interpreted in ways that could harm our business. Further,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Also, existing laws or new laws regarding the marketing of in-app purchases, regulation of currency, banking institutions, unclaimed property, and money laundering may be interpreted to cover virtual currency or goods. In 2019, the World Health Organization included “gaming disorder” in the 11th Revision of the International Classification of Diseases (ICD-11) leading some countries to consider legislation and policies aimed at addressing this issue. Moreover, the public dialogue concerning interactive entertainment may have an adverse impact on our reputation and consumers’ willingness to purchase our products.</w:t>
      </w:r>
    </w:p>
    <w:p>
      <w:pPr>
        <w:spacing w:after="0" w:line="171" w:lineRule="exact"/>
        <w:rPr>
          <w:sz w:val="20"/>
          <w:szCs w:val="20"/>
          <w:color w:val="auto"/>
        </w:rPr>
      </w:pPr>
    </w:p>
    <w:p>
      <w:pPr>
        <w:ind w:right="80" w:firstLine="382"/>
        <w:spacing w:after="0" w:line="255" w:lineRule="auto"/>
        <w:rPr>
          <w:sz w:val="20"/>
          <w:szCs w:val="20"/>
          <w:color w:val="auto"/>
        </w:rPr>
      </w:pPr>
      <w:r>
        <w:rPr>
          <w:rFonts w:ascii="Arial" w:cs="Arial" w:eastAsia="Arial" w:hAnsi="Arial"/>
          <w:sz w:val="17"/>
          <w:szCs w:val="17"/>
          <w:color w:val="auto"/>
        </w:rPr>
        <w:t>The adoption and enforcement of legislation that restricts the marketing, content, business model, or sales of our products in countries in which we do business may harm the sales of our products, as the products we are able to offer to our customers and the size of the potential audience for our products may be limited. We may be required to modify certain product development processes or products or alter our marketing strategies to comply with regulations, which could be costly or delay the release of our products. In addition, the laws and regulations affecting our products vary by territory and may be inconsistent with one another, imposing conflicting or uncertain restrictions. Failure to comply with any applicable legislation may also result in government-imposed fines or other penalties, as well as harm to our reputation.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government regulations relating to the Internet could negatively impact our business.</w:t>
      </w:r>
    </w:p>
    <w:p>
      <w:pPr>
        <w:spacing w:after="0" w:line="213" w:lineRule="exact"/>
        <w:rPr>
          <w:sz w:val="20"/>
          <w:szCs w:val="20"/>
          <w:color w:val="auto"/>
        </w:rPr>
      </w:pPr>
    </w:p>
    <w:p>
      <w:pPr>
        <w:ind w:right="40" w:firstLine="382"/>
        <w:spacing w:after="0" w:line="270" w:lineRule="auto"/>
        <w:rPr>
          <w:sz w:val="20"/>
          <w:szCs w:val="20"/>
          <w:color w:val="auto"/>
        </w:rPr>
      </w:pPr>
      <w:r>
        <w:rPr>
          <w:rFonts w:ascii="Arial" w:cs="Arial" w:eastAsia="Arial" w:hAnsi="Arial"/>
          <w:sz w:val="16"/>
          <w:szCs w:val="16"/>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impacting “net neutrality,” could impair our consumers’ online video game experiences,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in December 2017, the Federal Communications Commission voted to repeal net neutrality regulations in the U.S. and, following that decision, several states enacted net neutrality regulations. Given uncertainty around these rules relating to the Internet, including changing interpretations, amendments, or repeal of those rules,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impact our business.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60"/>
          </w:cols>
          <w:pgMar w:left="240" w:top="127" w:right="29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laws and regulations concerning data privacy are continually evolving. Failure to comply with these laws and regulations could harm our business.</w:t>
      </w:r>
    </w:p>
    <w:p>
      <w:pPr>
        <w:spacing w:after="0" w:line="236" w:lineRule="exact"/>
        <w:rPr>
          <w:sz w:val="20"/>
          <w:szCs w:val="20"/>
          <w:color w:val="auto"/>
        </w:rPr>
      </w:pPr>
    </w:p>
    <w:p>
      <w:pPr>
        <w:ind w:right="20" w:firstLine="382"/>
        <w:spacing w:after="0" w:line="272" w:lineRule="auto"/>
        <w:rPr>
          <w:sz w:val="20"/>
          <w:szCs w:val="20"/>
          <w:color w:val="auto"/>
        </w:rPr>
      </w:pPr>
      <w:r>
        <w:rPr>
          <w:rFonts w:ascii="Arial" w:cs="Arial" w:eastAsia="Arial" w:hAnsi="Arial"/>
          <w:sz w:val="16"/>
          <w:szCs w:val="16"/>
          <w:color w:val="auto"/>
        </w:rPr>
        <w:t>Consumers play certain of our games online using our own distribution platforms, including Blizzard Battle.net, third-party platforms and networks, through online social platforms, and on mobile devices. We collect and store information about our consumers, including consumers who play these games. In addition, we collect and store information about our employees. We are subject to laws from a variety of jurisdictions regarding privacy and the protection of this information, including the E.U.’s General Data Protection Regulation (the “GDPR”), the U.S. Children’s Online Privacy Protection Act, which regulates the collection, use, and disclosure of personal information from children under 13 years of age, and the California Consumer Privacy Act (“CCPA”), among others. Failure to comply with any of these laws or regulations may increase our costs, subject us to expensive and distracting government investigations, result in substantial fines, or result in lawsuits and claims against us to the extent these laws include a private right of action.</w:t>
      </w:r>
    </w:p>
    <w:p>
      <w:pPr>
        <w:spacing w:after="0" w:line="172" w:lineRule="exact"/>
        <w:rPr>
          <w:sz w:val="20"/>
          <w:szCs w:val="20"/>
          <w:color w:val="auto"/>
        </w:rPr>
      </w:pPr>
    </w:p>
    <w:p>
      <w:pPr>
        <w:ind w:firstLine="382"/>
        <w:spacing w:after="0" w:line="290" w:lineRule="auto"/>
        <w:rPr>
          <w:sz w:val="20"/>
          <w:szCs w:val="20"/>
          <w:color w:val="auto"/>
        </w:rPr>
      </w:pPr>
      <w:r>
        <w:rPr>
          <w:rFonts w:ascii="Arial" w:cs="Arial" w:eastAsia="Arial" w:hAnsi="Arial"/>
          <w:sz w:val="15"/>
          <w:szCs w:val="15"/>
          <w:color w:val="auto"/>
        </w:rPr>
        <w:t>Data privacy protection laws are rapidly changing and likely will continue to do so for the foreseeable future and may be inconsistent from jurisdiction to jurisdiction. For example, the E.U. has traditionally taken a broader view than the United States and certain other jurisdictions as to what is considered personal information and has imposed greater obligations under data privacy and protection regulations, including those imposed under the GDPR. The U.S. government, including the Federal Trade Commission and the Department of Commerce, as well as various U.S. state governments, are continuing to review the need for greater regulation over the collection of personal information and information about consumer behavior on the Internet and on mobile devices. Complying with emerging and changing laws could require us to incur substantial costs or impact our approach to operating and marketing our games. Due to the rapidly changing nature of these data privacy protection laws, there is not always clear guidance from the respective governments and regulators regarding the interpretation of the law, which may create the risk of an inadvertent violation. Various government and consumer agencies worldwide have also called for new regulation and changes in industry practices. In addition, in some cases, we are dependent upon our platform providers and external data processors to assist us in ensuring compliance with these various types of regulations, and a violation by one of these third parties may also subject us to government investigations and result in substantial fines.</w:t>
      </w:r>
    </w:p>
    <w:p>
      <w:pPr>
        <w:spacing w:after="0" w:line="160" w:lineRule="exact"/>
        <w:rPr>
          <w:sz w:val="20"/>
          <w:szCs w:val="20"/>
          <w:color w:val="auto"/>
        </w:rPr>
      </w:pPr>
    </w:p>
    <w:p>
      <w:pPr>
        <w:ind w:right="160" w:firstLine="382"/>
        <w:spacing w:after="0" w:line="255" w:lineRule="auto"/>
        <w:rPr>
          <w:sz w:val="20"/>
          <w:szCs w:val="20"/>
          <w:color w:val="auto"/>
        </w:rPr>
      </w:pPr>
      <w:r>
        <w:rPr>
          <w:rFonts w:ascii="Arial" w:cs="Arial" w:eastAsia="Arial" w:hAnsi="Arial"/>
          <w:sz w:val="17"/>
          <w:szCs w:val="17"/>
          <w:color w:val="auto"/>
        </w:rPr>
        <w:t>Player interaction with our games is subject to our privacy policies, end user license agreements (“EULAs”), and terms of service. If we fail to comply with our posted privacy policies,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consumers, or employees raise any concerns about our privacy and data protection or consumer protection practices, even if unfounded, this could also result in fines or judgments against us, damage our reputation, negatively impact our financial condition, or damage our business.</w:t>
      </w:r>
    </w:p>
    <w:p>
      <w:pPr>
        <w:spacing w:after="0" w:line="18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i w:val="1"/>
          <w:iCs w:val="1"/>
          <w:color w:val="auto"/>
        </w:rPr>
        <w:t>We depend on servers and networks to operate our games with online features and our proprietary online gaming service. If we were to lose functionality in any of these areas for any reason, our business may be negatively impacted.</w:t>
      </w:r>
    </w:p>
    <w:p>
      <w:pPr>
        <w:spacing w:after="0" w:line="166" w:lineRule="exact"/>
        <w:rPr>
          <w:sz w:val="20"/>
          <w:szCs w:val="20"/>
          <w:color w:val="auto"/>
        </w:rPr>
      </w:pPr>
    </w:p>
    <w:p>
      <w:pPr>
        <w:ind w:right="60" w:firstLine="382"/>
        <w:spacing w:after="0" w:line="287" w:lineRule="auto"/>
        <w:rPr>
          <w:sz w:val="20"/>
          <w:szCs w:val="20"/>
          <w:color w:val="auto"/>
        </w:rPr>
      </w:pPr>
      <w:r>
        <w:rPr>
          <w:rFonts w:ascii="Arial" w:cs="Arial" w:eastAsia="Arial" w:hAnsi="Arial"/>
          <w:sz w:val="15"/>
          <w:szCs w:val="15"/>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w:t>
      </w:r>
    </w:p>
    <w:p>
      <w:pPr>
        <w:ind w:right="20" w:firstLine="2"/>
        <w:spacing w:after="0" w:line="253" w:lineRule="auto"/>
        <w:tabs>
          <w:tab w:leader="none" w:pos="24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mobile games published by King, which rely on a small number of third-party owned data centers located in one city; (2) to the functioning of our proprietary online gaming service, Blizzard Battle.net, the disruption of which could prevent Blizzard from delivering content digitally or render all of Blizzard’s games, as well as selected Activision content for the PC platform, unavailable; and (3) Activision’s multiplayer game services which rely on systems hosted in a hybrid of data centers across the world as well as cloud providers.</w:t>
      </w:r>
    </w:p>
    <w:p>
      <w:pPr>
        <w:spacing w:after="0" w:line="184"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We also rely on platforms and networks operated by third parties, such as the PlayStation Network, Xbox Live and Steam, for the sale and digital delivery of downloadable console and PC game content and the functionality of our games with online features. Similarly, we rely on those platforms and networks, as well as the continued operation of the Apple App Store, the Google Play Store, and Facebook, for the sale of virtual currency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00"/>
          </w:cols>
          <w:pgMar w:left="240" w:top="127"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20" w:firstLine="382"/>
        <w:spacing w:after="0" w:line="274" w:lineRule="auto"/>
        <w:rPr>
          <w:sz w:val="20"/>
          <w:szCs w:val="20"/>
          <w:color w:val="auto"/>
        </w:rPr>
      </w:pPr>
      <w:r>
        <w:rPr>
          <w:rFonts w:ascii="Arial" w:cs="Arial" w:eastAsia="Arial" w:hAnsi="Arial"/>
          <w:sz w:val="17"/>
          <w:szCs w:val="17"/>
          <w:color w:val="auto"/>
        </w:rPr>
        <w:t>Further, insufficient server capacity could also negatively impact our business. Conversely, if we overestimate the amount of server capacity required by our business, we may incur additional operating costs.</w:t>
      </w:r>
    </w:p>
    <w:p>
      <w:pPr>
        <w:spacing w:after="0" w:line="16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b w:val="1"/>
          <w:bCs w:val="1"/>
          <w:i w:val="1"/>
          <w:iCs w:val="1"/>
          <w:color w:val="auto"/>
        </w:rPr>
        <w:t>Any cybersecurity-related attack, significant data breach or disruption of the information technology systems or networks on which we rely could negatively impact our business.</w:t>
      </w:r>
    </w:p>
    <w:p>
      <w:pPr>
        <w:spacing w:after="0" w:line="166" w:lineRule="exact"/>
        <w:rPr>
          <w:sz w:val="20"/>
          <w:szCs w:val="20"/>
          <w:color w:val="auto"/>
        </w:rPr>
      </w:pPr>
    </w:p>
    <w:p>
      <w:pPr>
        <w:ind w:right="20" w:firstLine="382"/>
        <w:spacing w:after="0" w:line="268" w:lineRule="auto"/>
        <w:rPr>
          <w:sz w:val="20"/>
          <w:szCs w:val="20"/>
          <w:color w:val="auto"/>
        </w:rPr>
      </w:pPr>
      <w:r>
        <w:rPr>
          <w:rFonts w:ascii="Arial" w:cs="Arial" w:eastAsia="Arial" w:hAnsi="Arial"/>
          <w:sz w:val="16"/>
          <w:szCs w:val="16"/>
          <w:color w:val="auto"/>
        </w:rPr>
        <w:t>In the course of our day-to-day business, we and third parties operating on our behalf create, store, and/or use commercially sensitive information, such as the source code and game assets for our interactive entertainment software products and sensitive and confidential information with respect to our customers, consumers, and employees. A malicious cybersecurity-related attack, intrusion, or disruption by hackers (including through spyware,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(including personally identifiable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change frequently,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Additionally, although we maintain insurance policies, they may be insufficient to reimburse the Company for all losses or all types of claims that may be caused by cyberbreaches or system or network disruptions, and it is uncertain whether we will be able to maintain our current level of coverage in the future. Moreover,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including regulatory investigations and actions, especially if there is loss, disclosure, or misappropriation of, or access to, our customers’ personal information or other sensitive information, or there is otherwise an intrusion into our customers’ privacy.</w:t>
      </w:r>
    </w:p>
    <w:p>
      <w:pPr>
        <w:spacing w:after="0" w:line="17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66" w:lineRule="exact"/>
        <w:rPr>
          <w:sz w:val="20"/>
          <w:szCs w:val="20"/>
          <w:color w:val="auto"/>
        </w:rPr>
      </w:pPr>
    </w:p>
    <w:p>
      <w:pPr>
        <w:ind w:firstLine="382"/>
        <w:spacing w:after="0" w:line="292" w:lineRule="auto"/>
        <w:rPr>
          <w:sz w:val="20"/>
          <w:szCs w:val="20"/>
          <w:color w:val="auto"/>
        </w:rPr>
      </w:pPr>
      <w:r>
        <w:rPr>
          <w:rFonts w:ascii="Arial" w:cs="Arial" w:eastAsia="Arial" w:hAnsi="Arial"/>
          <w:sz w:val="15"/>
          <w:szCs w:val="15"/>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downloadable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accounting principles generally accepted in the United States in any given period.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7"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corporate documents and Delaware state law could delay or prevent a change of control.</w:t>
      </w:r>
    </w:p>
    <w:p>
      <w:pPr>
        <w:spacing w:after="0" w:line="213" w:lineRule="exact"/>
        <w:rPr>
          <w:sz w:val="20"/>
          <w:szCs w:val="20"/>
          <w:color w:val="auto"/>
        </w:rPr>
      </w:pPr>
    </w:p>
    <w:p>
      <w:pPr>
        <w:ind w:right="100" w:firstLine="382"/>
        <w:spacing w:after="0" w:line="256" w:lineRule="auto"/>
        <w:rPr>
          <w:sz w:val="20"/>
          <w:szCs w:val="20"/>
          <w:color w:val="auto"/>
        </w:rPr>
      </w:pPr>
      <w:r>
        <w:rPr>
          <w:rFonts w:ascii="Arial" w:cs="Arial" w:eastAsia="Arial" w:hAnsi="Arial"/>
          <w:sz w:val="17"/>
          <w:szCs w:val="17"/>
          <w:color w:val="auto"/>
        </w:rPr>
        <w:t>Our Fourth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Catastrophic events may disrupt our business.</w:t>
      </w:r>
    </w:p>
    <w:p>
      <w:pPr>
        <w:spacing w:after="0" w:line="213" w:lineRule="exact"/>
        <w:rPr>
          <w:sz w:val="20"/>
          <w:szCs w:val="20"/>
          <w:color w:val="auto"/>
        </w:rPr>
      </w:pPr>
    </w:p>
    <w:p>
      <w:pPr>
        <w:ind w:right="20" w:firstLine="382"/>
        <w:spacing w:after="0" w:line="274" w:lineRule="auto"/>
        <w:rPr>
          <w:sz w:val="20"/>
          <w:szCs w:val="20"/>
          <w:color w:val="auto"/>
        </w:rPr>
      </w:pPr>
      <w:r>
        <w:rPr>
          <w:rFonts w:ascii="Arial" w:cs="Arial" w:eastAsia="Arial" w:hAnsi="Arial"/>
          <w:sz w:val="16"/>
          <w:szCs w:val="16"/>
          <w:color w:val="auto"/>
        </w:rPr>
        <w:t>Our corporate headquarters and our primary corporate data center are located in the Los Angeles, California area, which is near a major earthquake fault. A major earthquake or other catastrophic event that results in the destruction or disruption of any of our critical business or information technology systems,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and our disaster recovery planning may not be sufficient for all eventualities. Any such event could also limit the ability of retailers, distributors or our other customers to sell or distribute our products.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disruption during our live events may adversely affect our business.</w:t>
      </w:r>
    </w:p>
    <w:p>
      <w:pPr>
        <w:spacing w:after="0" w:line="213" w:lineRule="exact"/>
        <w:rPr>
          <w:sz w:val="20"/>
          <w:szCs w:val="20"/>
          <w:color w:val="auto"/>
        </w:rPr>
      </w:pPr>
    </w:p>
    <w:p>
      <w:pPr>
        <w:ind w:right="20" w:firstLine="382"/>
        <w:spacing w:after="0" w:line="254" w:lineRule="auto"/>
        <w:rPr>
          <w:sz w:val="20"/>
          <w:szCs w:val="20"/>
          <w:color w:val="auto"/>
        </w:rPr>
      </w:pPr>
      <w:r>
        <w:rPr>
          <w:rFonts w:ascii="Arial" w:cs="Arial" w:eastAsia="Arial" w:hAnsi="Arial"/>
          <w:sz w:val="17"/>
          <w:szCs w:val="17"/>
          <w:color w:val="auto"/>
        </w:rPr>
        <w:t>We, as well as the teams in the esports leagues we operate, host numerous live events each year, many of which are attended by a large number of people. There are many risks that are inherent in large gatherings of people, including the risk of an actual or threatened terrorist act, fire, explosion, protests and riots, and other safety or security issues, any one of which could result in injury or death to attendees and/or damage to the facilities at which such an event is hosted. While we maintain insurance policies, they may be insufficient to reimburse us for all losses or all types of claims that may be caused by such an event. Moreover, if there were a public perception that the safety or security measures are inadequate at the events we host or events hosted by teams in the esports leagues we operate, whether or not the case, it could result in reputational damage and a decline in future attendance at events hosted by us or those teams. Any one of these things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Large-scale medical emergencies or public health epidemics could adversely effect on our business.</w:t>
      </w:r>
    </w:p>
    <w:p>
      <w:pPr>
        <w:spacing w:after="0" w:line="213" w:lineRule="exact"/>
        <w:rPr>
          <w:sz w:val="20"/>
          <w:szCs w:val="20"/>
          <w:color w:val="auto"/>
        </w:rPr>
      </w:pPr>
    </w:p>
    <w:p>
      <w:pPr>
        <w:ind w:firstLine="382"/>
        <w:spacing w:after="0" w:line="293" w:lineRule="auto"/>
        <w:rPr>
          <w:sz w:val="20"/>
          <w:szCs w:val="20"/>
          <w:color w:val="auto"/>
        </w:rPr>
      </w:pPr>
      <w:r>
        <w:rPr>
          <w:rFonts w:ascii="Arial" w:cs="Arial" w:eastAsia="Arial" w:hAnsi="Arial"/>
          <w:sz w:val="15"/>
          <w:szCs w:val="15"/>
          <w:color w:val="auto"/>
        </w:rPr>
        <w:t>Epidemics, medical emergencies and other public health crises outside of our control could have a negative impact on our business. Large-scale medical emergencies can take many forms and can cause widespread illness and death. For example, in December 2019, a strain of coronavirus surfaced in Wuhan, China, and currently, there are no vaccines or antiviral drugs approved for prevention or treatment. Although the extent of the impact from the coronavirus outbreak is unknown at this time, it could affect the health of our employees, or otherwise impact the productivity of our employees, third-party organizations with which we partner, or regulatory agencies we rely on, which may prevent us from delivering content in a timely manner or otherwise executing our business strategies. It could also affect the health of our consumers, which may affect sales of our products or result in lower-than-expected attendance at, or the cancellation of, events hosted by us or teams in the esports leagues we operate (as has already occurred for a number of scheduled events). If any of these things happen, our business could be negatively impacted.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general economic conditions decline, demand for our products could decline.</w:t>
      </w:r>
    </w:p>
    <w:p>
      <w:pPr>
        <w:spacing w:after="0" w:line="213" w:lineRule="exact"/>
        <w:rPr>
          <w:sz w:val="20"/>
          <w:szCs w:val="20"/>
          <w:color w:val="auto"/>
        </w:rPr>
      </w:pPr>
    </w:p>
    <w:p>
      <w:pPr>
        <w:ind w:right="220" w:firstLine="382"/>
        <w:spacing w:after="0" w:line="279" w:lineRule="auto"/>
        <w:rPr>
          <w:sz w:val="20"/>
          <w:szCs w:val="20"/>
          <w:color w:val="auto"/>
        </w:rPr>
      </w:pPr>
      <w:r>
        <w:rPr>
          <w:rFonts w:ascii="Arial" w:cs="Arial" w:eastAsia="Arial" w:hAnsi="Arial"/>
          <w:sz w:val="16"/>
          <w:szCs w:val="16"/>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127" w:right="25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17" w:lineRule="exact"/>
        <w:rPr>
          <w:sz w:val="20"/>
          <w:szCs w:val="20"/>
          <w:color w:val="auto"/>
        </w:rPr>
      </w:pPr>
    </w:p>
    <w:p>
      <w:pPr>
        <w:ind w:right="100" w:firstLine="408"/>
        <w:spacing w:after="0" w:line="274" w:lineRule="auto"/>
        <w:rPr>
          <w:sz w:val="20"/>
          <w:szCs w:val="20"/>
          <w:color w:val="auto"/>
        </w:rPr>
      </w:pPr>
      <w:r>
        <w:rPr>
          <w:rFonts w:ascii="Arial" w:cs="Arial" w:eastAsia="Arial" w:hAnsi="Arial"/>
          <w:sz w:val="17"/>
          <w:szCs w:val="17"/>
          <w:color w:val="auto"/>
        </w:rPr>
        <w:t>Our principal corporate and administrative offices, which includes our Activision segment’s headquarters, are located in Santa Monica, California and consist of approximately 150,000 square feet of leased office space.</w:t>
      </w:r>
    </w:p>
    <w:p>
      <w:pPr>
        <w:spacing w:after="0" w:line="166"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Our Activision segment primarily leases office space for development studio personnel, with a total of approximately 500,000 square feet of leased spaces throughout the U.S., primarily in California, New York, and Wisconsin. We also lease approximately 740,000 square feet of office space in Irvine, CA for our Blizzard segment’s headquarters, which includes administrative and development studio space, and approximately 68,000 square feet of office space in London, United Kingdom for our King segment’s headquarter offices. King also leases approximately 200,000 square feet of office space for additional administrative and development studio space in Barcelona, Spain and Stockholm, Sweden.</w:t>
      </w:r>
    </w:p>
    <w:p>
      <w:pPr>
        <w:spacing w:after="0" w:line="181" w:lineRule="exact"/>
        <w:rPr>
          <w:sz w:val="20"/>
          <w:szCs w:val="20"/>
          <w:color w:val="auto"/>
        </w:rPr>
      </w:pPr>
    </w:p>
    <w:p>
      <w:pPr>
        <w:ind w:right="40" w:firstLine="382"/>
        <w:spacing w:after="0" w:line="262" w:lineRule="auto"/>
        <w:rPr>
          <w:sz w:val="20"/>
          <w:szCs w:val="20"/>
          <w:color w:val="auto"/>
        </w:rPr>
      </w:pPr>
      <w:r>
        <w:rPr>
          <w:rFonts w:ascii="Arial" w:cs="Arial" w:eastAsia="Arial" w:hAnsi="Arial"/>
          <w:sz w:val="17"/>
          <w:szCs w:val="17"/>
          <w:color w:val="auto"/>
        </w:rPr>
        <w:t>In total, we have approximately 80 facility leases, primarily for other administrative and sales functions and development studio personnel, in the following countries: Australia, Brazil, Canada, China, France, Germany, Ireland, Japan, Malta, Mexico, the Netherlands, Poland, Romania, South Korea, Spain, Sweden, Taiwan, the United Kingdom, and the United States.</w:t>
      </w:r>
    </w:p>
    <w:p>
      <w:pPr>
        <w:spacing w:after="0" w:line="176" w:lineRule="exact"/>
        <w:rPr>
          <w:sz w:val="20"/>
          <w:szCs w:val="20"/>
          <w:color w:val="auto"/>
        </w:rPr>
      </w:pPr>
    </w:p>
    <w:p>
      <w:pPr>
        <w:ind w:right="40" w:firstLine="382"/>
        <w:spacing w:after="0" w:line="274" w:lineRule="auto"/>
        <w:rPr>
          <w:sz w:val="20"/>
          <w:szCs w:val="20"/>
          <w:color w:val="auto"/>
        </w:rPr>
      </w:pPr>
      <w:r>
        <w:rPr>
          <w:rFonts w:ascii="Arial" w:cs="Arial" w:eastAsia="Arial" w:hAnsi="Arial"/>
          <w:sz w:val="17"/>
          <w:szCs w:val="17"/>
          <w:color w:val="auto"/>
        </w:rPr>
        <w:t>The only facilities currently owned by the Company are two European warehouses utilized by the Distribution segment, one located in Burglengenfeld, Germany, and the other in Venlo, the Netherlands.</w:t>
      </w:r>
    </w:p>
    <w:p>
      <w:pPr>
        <w:spacing w:after="0" w:line="166" w:lineRule="exact"/>
        <w:rPr>
          <w:sz w:val="20"/>
          <w:szCs w:val="20"/>
          <w:color w:val="auto"/>
        </w:rPr>
      </w:pPr>
    </w:p>
    <w:p>
      <w:pPr>
        <w:ind w:right="620" w:firstLine="382"/>
        <w:spacing w:after="0" w:line="274" w:lineRule="auto"/>
        <w:rPr>
          <w:sz w:val="20"/>
          <w:szCs w:val="20"/>
          <w:color w:val="auto"/>
        </w:rPr>
      </w:pPr>
      <w:r>
        <w:rPr>
          <w:rFonts w:ascii="Arial" w:cs="Arial" w:eastAsia="Arial" w:hAnsi="Arial"/>
          <w:sz w:val="17"/>
          <w:szCs w:val="17"/>
          <w:color w:val="auto"/>
        </w:rPr>
        <w:t>We anticipate no difficulty in extending the leases of our facilities or obtaining comparable facilities in suitable locations, as needed, and we consider our facilities to be adequate for our current needs.</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17" w:lineRule="exact"/>
        <w:rPr>
          <w:sz w:val="20"/>
          <w:szCs w:val="20"/>
          <w:color w:val="auto"/>
        </w:rPr>
      </w:pPr>
    </w:p>
    <w:p>
      <w:pPr>
        <w:ind w:right="20" w:firstLine="382"/>
        <w:spacing w:after="0" w:line="256" w:lineRule="auto"/>
        <w:rPr>
          <w:sz w:val="20"/>
          <w:szCs w:val="20"/>
          <w:color w:val="auto"/>
        </w:rPr>
      </w:pPr>
      <w:r>
        <w:rPr>
          <w:rFonts w:ascii="Arial" w:cs="Arial" w:eastAsia="Arial" w:hAnsi="Arial"/>
          <w:sz w:val="17"/>
          <w:szCs w:val="17"/>
          <w:color w:val="auto"/>
        </w:rPr>
        <w:t>In December 2017, we received a Notice of Reassessment from the French Tax Authority (the “FTA”) related to transfer pricing for intercompany transactions involving one of our French subsidiaries for the 2011 through 2013 tax years. The total assessment, including interest and penalties, was approximately €571 million (approximately $638 million). In December 2019, the Company reached a settlement with the FTA for the 2011 through 2018 tax years, resulting in the recognition of $54 million of tax expense in the period ended December 31, 2019 and a tax payment of €161 million (approximately $179 million), including interest and penalties, in January 2020.</w:t>
      </w:r>
    </w:p>
    <w:p>
      <w:pPr>
        <w:spacing w:after="0" w:line="181" w:lineRule="exact"/>
        <w:rPr>
          <w:sz w:val="20"/>
          <w:szCs w:val="20"/>
          <w:color w:val="auto"/>
        </w:rPr>
      </w:pPr>
    </w:p>
    <w:p>
      <w:pPr>
        <w:ind w:right="80" w:firstLine="382"/>
        <w:spacing w:after="0" w:line="256" w:lineRule="auto"/>
        <w:rPr>
          <w:sz w:val="20"/>
          <w:szCs w:val="20"/>
          <w:color w:val="auto"/>
        </w:rPr>
      </w:pPr>
      <w:r>
        <w:rPr>
          <w:rFonts w:ascii="Arial" w:cs="Arial" w:eastAsia="Arial" w:hAnsi="Arial"/>
          <w:sz w:val="17"/>
          <w:szCs w:val="17"/>
          <w:color w:val="auto"/>
        </w:rPr>
        <w:t>In addition, we are party to routine claims, suits, investigations, audits, and other proceedings arising in the ordinary course of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13" w:lineRule="exact"/>
        <w:rPr>
          <w:sz w:val="20"/>
          <w:szCs w:val="20"/>
          <w:color w:val="auto"/>
        </w:rPr>
      </w:pPr>
    </w:p>
    <w:p>
      <w:pPr>
        <w:ind w:left="680" w:right="380" w:hanging="687"/>
        <w:spacing w:after="0" w:line="279" w:lineRule="auto"/>
        <w:tabs>
          <w:tab w:leader="none" w:pos="660" w:val="left"/>
        </w:tabs>
        <w:rPr>
          <w:sz w:val="20"/>
          <w:szCs w:val="20"/>
          <w:color w:val="auto"/>
        </w:rPr>
      </w:pPr>
      <w:r>
        <w:rPr>
          <w:rFonts w:ascii="Arial" w:cs="Arial" w:eastAsia="Arial" w:hAnsi="Arial"/>
          <w:sz w:val="17"/>
          <w:szCs w:val="17"/>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Information and Holders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common stock is quoted on the Nasdaq National Market under the symbol “ATVI”. At February 20, 2020, there were 1,574 holders of record of our common</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stock.</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Performance Graph</w:t>
      </w:r>
    </w:p>
    <w:p>
      <w:pPr>
        <w:spacing w:after="0" w:line="213" w:lineRule="exact"/>
        <w:rPr>
          <w:sz w:val="20"/>
          <w:szCs w:val="20"/>
          <w:color w:val="auto"/>
        </w:rPr>
      </w:pPr>
    </w:p>
    <w:p>
      <w:pPr>
        <w:ind w:right="120" w:firstLine="382"/>
        <w:spacing w:after="0" w:line="343" w:lineRule="auto"/>
        <w:rPr>
          <w:sz w:val="20"/>
          <w:szCs w:val="20"/>
          <w:color w:val="auto"/>
        </w:rPr>
      </w:pPr>
      <w:r>
        <w:rPr>
          <w:rFonts w:ascii="Arial" w:cs="Arial" w:eastAsia="Arial" w:hAnsi="Arial"/>
          <w:sz w:val="15"/>
          <w:szCs w:val="15"/>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115" w:lineRule="exact"/>
        <w:rPr>
          <w:sz w:val="20"/>
          <w:szCs w:val="20"/>
          <w:color w:val="auto"/>
        </w:rPr>
      </w:pPr>
    </w:p>
    <w:p>
      <w:pPr>
        <w:jc w:val="center"/>
        <w:ind w:left="400"/>
        <w:spacing w:after="0"/>
        <w:rPr>
          <w:sz w:val="20"/>
          <w:szCs w:val="20"/>
          <w:color w:val="auto"/>
        </w:rPr>
      </w:pPr>
      <w:r>
        <w:rPr>
          <w:rFonts w:ascii="Arial" w:cs="Arial" w:eastAsia="Arial" w:hAnsi="Arial"/>
          <w:sz w:val="17"/>
          <w:szCs w:val="17"/>
          <w:b w:val="1"/>
          <w:bCs w:val="1"/>
          <w:color w:val="auto"/>
        </w:rPr>
        <w:t>COMPARISON OF 5-YEAR CUMULATIVE TOTAL RETURN</w:t>
      </w:r>
    </w:p>
    <w:p>
      <w:pPr>
        <w:spacing w:after="0" w:line="24"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among Activision Blizzard, Inc., the Nasdaq Composite Index, the S&amp;P 500 Index,</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7"/>
          <w:szCs w:val="17"/>
          <w:color w:val="auto"/>
        </w:rPr>
        <w:t>and the RDG Technology Composite Index</w:t>
      </w:r>
    </w:p>
    <w:p>
      <w:pPr>
        <w:spacing w:after="0" w:line="201" w:lineRule="exact"/>
        <w:rPr>
          <w:sz w:val="20"/>
          <w:szCs w:val="20"/>
          <w:color w:val="auto"/>
        </w:rPr>
      </w:pPr>
    </w:p>
    <w:p>
      <w:pPr>
        <w:ind w:right="140" w:firstLine="382"/>
        <w:spacing w:after="0" w:line="262" w:lineRule="auto"/>
        <w:rPr>
          <w:sz w:val="20"/>
          <w:szCs w:val="20"/>
          <w:color w:val="auto"/>
        </w:rPr>
      </w:pPr>
      <w:r>
        <w:rPr>
          <w:rFonts w:ascii="Arial" w:cs="Arial" w:eastAsia="Arial" w:hAnsi="Arial"/>
          <w:sz w:val="17"/>
          <w:szCs w:val="17"/>
          <w:color w:val="auto"/>
        </w:rPr>
        <w:t>The following graph and table compare the cumulative total stockholder return on our common stock, the Nasdaq Composite Index, the S&amp;P 500 Index, and the RDG Technology Composite Index. The graph and table assume that $100 was invested on December 31, 2014,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859155</wp:posOffset>
            </wp:positionH>
            <wp:positionV relativeFrom="paragraph">
              <wp:posOffset>71120</wp:posOffset>
            </wp:positionV>
            <wp:extent cx="5537835" cy="3448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7835" cy="344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Fiscal year ending December 31: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12/14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12/15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12/16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12/17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12/18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12/19</w:t>
            </w:r>
          </w:p>
        </w:tc>
      </w:tr>
      <w:tr>
        <w:trPr>
          <w:trHeight w:val="23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 Blizzard, Inc.</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194.07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182.50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321.96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238.01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306.15</w:t>
            </w:r>
          </w:p>
        </w:tc>
      </w:tr>
      <w:tr>
        <w:trPr>
          <w:trHeight w:val="229"/>
        </w:trPr>
        <w:tc>
          <w:tcPr>
            <w:tcW w:w="3320" w:type="dxa"/>
            <w:vAlign w:val="bottom"/>
          </w:tcPr>
          <w:p>
            <w:pPr>
              <w:ind w:left="20"/>
              <w:spacing w:after="0"/>
              <w:rPr>
                <w:sz w:val="20"/>
                <w:szCs w:val="20"/>
                <w:color w:val="auto"/>
              </w:rPr>
            </w:pPr>
            <w:r>
              <w:rPr>
                <w:rFonts w:ascii="Arial" w:cs="Arial" w:eastAsia="Arial" w:hAnsi="Arial"/>
                <w:sz w:val="17"/>
                <w:szCs w:val="17"/>
                <w:color w:val="auto"/>
              </w:rPr>
              <w:t>Nasdaq Composite</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106.96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116.45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150.96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146.67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200.49</w:t>
            </w:r>
          </w:p>
        </w:tc>
      </w:tr>
      <w:tr>
        <w:trPr>
          <w:trHeight w:val="26"/>
        </w:trPr>
        <w:tc>
          <w:tcPr>
            <w:tcW w:w="3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100.00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101.38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113.51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138.29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132.23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173.86</w:t>
            </w:r>
          </w:p>
        </w:tc>
      </w:tr>
      <w:tr>
        <w:trPr>
          <w:trHeight w:val="229"/>
        </w:trPr>
        <w:tc>
          <w:tcPr>
            <w:tcW w:w="3320" w:type="dxa"/>
            <w:vAlign w:val="bottom"/>
          </w:tcPr>
          <w:p>
            <w:pPr>
              <w:ind w:left="20"/>
              <w:spacing w:after="0"/>
              <w:rPr>
                <w:sz w:val="20"/>
                <w:szCs w:val="20"/>
                <w:color w:val="auto"/>
              </w:rPr>
            </w:pPr>
            <w:r>
              <w:rPr>
                <w:rFonts w:ascii="Arial" w:cs="Arial" w:eastAsia="Arial" w:hAnsi="Arial"/>
                <w:sz w:val="17"/>
                <w:szCs w:val="17"/>
                <w:color w:val="auto"/>
              </w:rPr>
              <w:t>RDG Technology Composite</w:t>
            </w: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103.42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auto"/>
              </w:rPr>
              <w:t>118.01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161.58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162.31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8"/>
              <w:spacing w:after="0"/>
              <w:rPr>
                <w:sz w:val="20"/>
                <w:szCs w:val="20"/>
                <w:color w:val="auto"/>
              </w:rPr>
            </w:pPr>
            <w:r>
              <w:rPr>
                <w:rFonts w:ascii="Arial" w:cs="Arial" w:eastAsia="Arial" w:hAnsi="Arial"/>
                <w:sz w:val="17"/>
                <w:szCs w:val="17"/>
                <w:color w:val="auto"/>
              </w:rPr>
              <w:t>238.96</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Dividends</w:t>
      </w:r>
    </w:p>
    <w:p>
      <w:pPr>
        <w:spacing w:after="0" w:line="213" w:lineRule="exact"/>
        <w:rPr>
          <w:sz w:val="20"/>
          <w:szCs w:val="20"/>
          <w:color w:val="auto"/>
        </w:rPr>
      </w:pPr>
    </w:p>
    <w:p>
      <w:pPr>
        <w:ind w:right="160" w:firstLine="382"/>
        <w:spacing w:after="0" w:line="274" w:lineRule="auto"/>
        <w:rPr>
          <w:sz w:val="20"/>
          <w:szCs w:val="20"/>
          <w:color w:val="auto"/>
        </w:rPr>
      </w:pPr>
      <w:r>
        <w:rPr>
          <w:rFonts w:ascii="Arial" w:cs="Arial" w:eastAsia="Arial" w:hAnsi="Arial"/>
          <w:sz w:val="17"/>
          <w:szCs w:val="17"/>
          <w:color w:val="auto"/>
        </w:rPr>
        <w:t>We have paid a dividend annually since 2010. Below is a summary of cash dividends paid over the past three fiscal years, along with the dividend most recently declared by the Board of Directors that will be paid in May 2020:</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760" w:type="dxa"/>
            <w:vAlign w:val="bottom"/>
            <w:gridSpan w:val="2"/>
          </w:tcPr>
          <w:p>
            <w:pPr>
              <w:ind w:left="1100"/>
              <w:spacing w:after="0"/>
              <w:rPr>
                <w:sz w:val="20"/>
                <w:szCs w:val="20"/>
                <w:color w:val="auto"/>
              </w:rPr>
            </w:pPr>
            <w:r>
              <w:rPr>
                <w:rFonts w:ascii="Arial" w:cs="Arial" w:eastAsia="Arial" w:hAnsi="Arial"/>
                <w:sz w:val="17"/>
                <w:szCs w:val="17"/>
                <w:b w:val="1"/>
                <w:bCs w:val="1"/>
                <w:color w:val="auto"/>
              </w:rPr>
              <w:t>Year</w:t>
            </w:r>
          </w:p>
        </w:tc>
        <w:tc>
          <w:tcPr>
            <w:tcW w:w="29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Per Share Amount</w:t>
            </w:r>
          </w:p>
        </w:tc>
        <w:tc>
          <w:tcPr>
            <w:tcW w:w="2960" w:type="dxa"/>
            <w:vAlign w:val="bottom"/>
            <w:gridSpan w:val="2"/>
          </w:tcPr>
          <w:p>
            <w:pPr>
              <w:ind w:left="920"/>
              <w:spacing w:after="0"/>
              <w:rPr>
                <w:sz w:val="20"/>
                <w:szCs w:val="20"/>
                <w:color w:val="auto"/>
              </w:rPr>
            </w:pPr>
            <w:r>
              <w:rPr>
                <w:rFonts w:ascii="Arial" w:cs="Arial" w:eastAsia="Arial" w:hAnsi="Arial"/>
                <w:sz w:val="17"/>
                <w:szCs w:val="17"/>
                <w:b w:val="1"/>
                <w:bCs w:val="1"/>
                <w:color w:val="auto"/>
              </w:rPr>
              <w:t>Record Date</w:t>
            </w:r>
          </w:p>
        </w:tc>
        <w:tc>
          <w:tcPr>
            <w:tcW w:w="2740" w:type="dxa"/>
            <w:vAlign w:val="bottom"/>
          </w:tcPr>
          <w:p>
            <w:pPr>
              <w:jc w:val="right"/>
              <w:ind w:right="415"/>
              <w:spacing w:after="0"/>
              <w:rPr>
                <w:sz w:val="20"/>
                <w:szCs w:val="20"/>
                <w:color w:val="auto"/>
              </w:rPr>
            </w:pPr>
            <w:r>
              <w:rPr>
                <w:rFonts w:ascii="Arial" w:cs="Arial" w:eastAsia="Arial" w:hAnsi="Arial"/>
                <w:sz w:val="17"/>
                <w:szCs w:val="17"/>
                <w:b w:val="1"/>
                <w:bCs w:val="1"/>
                <w:color w:val="auto"/>
              </w:rPr>
              <w:t>Dividend Payment Date</w:t>
            </w:r>
          </w:p>
        </w:tc>
      </w:tr>
      <w:tr>
        <w:trPr>
          <w:trHeight w:val="27"/>
        </w:trPr>
        <w:tc>
          <w:tcPr>
            <w:tcW w:w="25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28"/>
        </w:trPr>
        <w:tc>
          <w:tcPr>
            <w:tcW w:w="2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2020</w:t>
            </w:r>
          </w:p>
        </w:tc>
        <w:tc>
          <w:tcPr>
            <w:tcW w:w="24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$0.41</w:t>
            </w:r>
          </w:p>
        </w:tc>
        <w:tc>
          <w:tcPr>
            <w:tcW w:w="2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4/15/2020</w:t>
            </w:r>
          </w:p>
        </w:tc>
        <w:tc>
          <w:tcPr>
            <w:tcW w:w="2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5/6/2020</w:t>
            </w:r>
          </w:p>
        </w:tc>
      </w:tr>
      <w:tr>
        <w:trPr>
          <w:trHeight w:val="228"/>
        </w:trPr>
        <w:tc>
          <w:tcPr>
            <w:tcW w:w="2520" w:type="dxa"/>
            <w:vAlign w:val="bottom"/>
          </w:tcPr>
          <w:p>
            <w:pPr>
              <w:ind w:left="1100"/>
              <w:spacing w:after="0"/>
              <w:rPr>
                <w:sz w:val="20"/>
                <w:szCs w:val="20"/>
                <w:color w:val="auto"/>
              </w:rPr>
            </w:pPr>
            <w:r>
              <w:rPr>
                <w:rFonts w:ascii="Arial" w:cs="Arial" w:eastAsia="Arial" w:hAnsi="Arial"/>
                <w:sz w:val="17"/>
                <w:szCs w:val="17"/>
                <w:color w:val="auto"/>
              </w:rPr>
              <w:t>2019</w:t>
            </w:r>
          </w:p>
        </w:tc>
        <w:tc>
          <w:tcPr>
            <w:tcW w:w="2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89"/>
              </w:rPr>
              <w:t>$0.37</w:t>
            </w:r>
          </w:p>
        </w:tc>
        <w:tc>
          <w:tcPr>
            <w:tcW w:w="2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3/28/2019</w:t>
            </w:r>
          </w:p>
        </w:tc>
        <w:tc>
          <w:tcPr>
            <w:tcW w:w="2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5/9/2019</w:t>
            </w:r>
          </w:p>
        </w:tc>
      </w:tr>
      <w:tr>
        <w:trPr>
          <w:trHeight w:val="27"/>
        </w:trPr>
        <w:tc>
          <w:tcPr>
            <w:tcW w:w="2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5"/>
        </w:trPr>
        <w:tc>
          <w:tcPr>
            <w:tcW w:w="252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7"/>
                <w:szCs w:val="17"/>
                <w:color w:val="auto"/>
              </w:rPr>
              <w:t>2018</w:t>
            </w:r>
          </w:p>
        </w:tc>
        <w:tc>
          <w:tcPr>
            <w:tcW w:w="24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$0.34</w:t>
            </w:r>
          </w:p>
        </w:tc>
        <w:tc>
          <w:tcPr>
            <w:tcW w:w="2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3/30/2018</w:t>
            </w:r>
          </w:p>
        </w:tc>
        <w:tc>
          <w:tcPr>
            <w:tcW w:w="220" w:type="dxa"/>
            <w:vAlign w:val="bottom"/>
            <w:tcBorders>
              <w:bottom w:val="single" w:sz="8" w:color="CCEEFF"/>
            </w:tcBorders>
            <w:shd w:val="clear" w:color="auto" w:fill="CCEEFF"/>
          </w:tcPr>
          <w:p>
            <w:pPr>
              <w:spacing w:after="0"/>
              <w:rPr>
                <w:sz w:val="20"/>
                <w:szCs w:val="20"/>
                <w:color w:val="auto"/>
              </w:rPr>
            </w:pPr>
          </w:p>
        </w:tc>
        <w:tc>
          <w:tcPr>
            <w:tcW w:w="2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5/9/2018</w:t>
            </w:r>
          </w:p>
        </w:tc>
      </w:tr>
      <w:tr>
        <w:trPr>
          <w:trHeight w:val="228"/>
        </w:trPr>
        <w:tc>
          <w:tcPr>
            <w:tcW w:w="2520" w:type="dxa"/>
            <w:vAlign w:val="bottom"/>
          </w:tcPr>
          <w:p>
            <w:pPr>
              <w:ind w:left="1100"/>
              <w:spacing w:after="0"/>
              <w:rPr>
                <w:sz w:val="20"/>
                <w:szCs w:val="20"/>
                <w:color w:val="auto"/>
              </w:rPr>
            </w:pPr>
            <w:r>
              <w:rPr>
                <w:rFonts w:ascii="Arial" w:cs="Arial" w:eastAsia="Arial" w:hAnsi="Arial"/>
                <w:sz w:val="17"/>
                <w:szCs w:val="17"/>
                <w:color w:val="auto"/>
              </w:rPr>
              <w:t>2017</w:t>
            </w:r>
          </w:p>
        </w:tc>
        <w:tc>
          <w:tcPr>
            <w:tcW w:w="24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89"/>
              </w:rPr>
              <w:t>$0.30</w:t>
            </w:r>
          </w:p>
        </w:tc>
        <w:tc>
          <w:tcPr>
            <w:tcW w:w="2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3/30/2017</w:t>
            </w:r>
          </w:p>
        </w:tc>
        <w:tc>
          <w:tcPr>
            <w:tcW w:w="22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Arial" w:cs="Arial" w:eastAsia="Arial" w:hAnsi="Arial"/>
                <w:sz w:val="17"/>
                <w:szCs w:val="17"/>
                <w:color w:val="auto"/>
              </w:rPr>
              <w:t>5/10/2017</w:t>
            </w:r>
          </w:p>
        </w:tc>
      </w:tr>
    </w:tbl>
    <w:p>
      <w:pPr>
        <w:spacing w:after="0" w:line="218" w:lineRule="exact"/>
        <w:rPr>
          <w:sz w:val="20"/>
          <w:szCs w:val="20"/>
          <w:color w:val="auto"/>
        </w:rPr>
      </w:pPr>
    </w:p>
    <w:p>
      <w:pPr>
        <w:ind w:right="240" w:firstLine="408"/>
        <w:spacing w:after="0" w:line="274" w:lineRule="auto"/>
        <w:rPr>
          <w:sz w:val="20"/>
          <w:szCs w:val="20"/>
          <w:color w:val="auto"/>
        </w:rPr>
      </w:pPr>
      <w:r>
        <w:rPr>
          <w:rFonts w:ascii="Arial" w:cs="Arial" w:eastAsia="Arial" w:hAnsi="Arial"/>
          <w:sz w:val="17"/>
          <w:szCs w:val="17"/>
          <w:color w:val="auto"/>
        </w:rPr>
        <w:t>Future dividends will depend upon our earnings, financial condition, cash requirements, anticipated future prospects, and other factors deemed relevant by our Board of Directors. There can be no assurances that dividends will be declared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10b5-1 Stock Trading Plans</w:t>
      </w:r>
    </w:p>
    <w:p>
      <w:pPr>
        <w:spacing w:after="0" w:line="213" w:lineRule="exact"/>
        <w:rPr>
          <w:sz w:val="20"/>
          <w:szCs w:val="20"/>
          <w:color w:val="auto"/>
        </w:rPr>
      </w:pPr>
    </w:p>
    <w:p>
      <w:pPr>
        <w:ind w:right="200" w:firstLine="408"/>
        <w:spacing w:after="0" w:line="258" w:lineRule="auto"/>
        <w:rPr>
          <w:sz w:val="20"/>
          <w:szCs w:val="20"/>
          <w:color w:val="auto"/>
        </w:rPr>
      </w:pPr>
      <w:r>
        <w:rPr>
          <w:rFonts w:ascii="Arial" w:cs="Arial" w:eastAsia="Arial" w:hAnsi="Arial"/>
          <w:sz w:val="17"/>
          <w:szCs w:val="17"/>
          <w:color w:val="auto"/>
        </w:rPr>
        <w:t>The Company’s directors and employees may, at a time they are not aware of material non-public information, enter into plans to purchase or sell shares of our common stock that satisfy the requirements of Exchange Act Rule 10b5-1 (“Rule 10b5-1 Plans”). Rule 10b5-1 Plans permit persons whose ability to purchase or sell our common stock may otherwise be substantially restricted (by quarterly and special stock-trading blackouts and by their possession from time to time of material nonpublic information) to trade on a pre-arranged, “automatic-pilot” basis.</w:t>
      </w:r>
    </w:p>
    <w:p>
      <w:pPr>
        <w:spacing w:after="0" w:line="179" w:lineRule="exact"/>
        <w:rPr>
          <w:sz w:val="20"/>
          <w:szCs w:val="20"/>
          <w:color w:val="auto"/>
        </w:rPr>
      </w:pPr>
    </w:p>
    <w:p>
      <w:pPr>
        <w:ind w:right="80" w:firstLine="408"/>
        <w:spacing w:after="0" w:line="258" w:lineRule="auto"/>
        <w:rPr>
          <w:sz w:val="20"/>
          <w:szCs w:val="20"/>
          <w:color w:val="auto"/>
        </w:rPr>
      </w:pPr>
      <w:r>
        <w:rPr>
          <w:rFonts w:ascii="Arial" w:cs="Arial" w:eastAsia="Arial" w:hAnsi="Arial"/>
          <w:sz w:val="17"/>
          <w:szCs w:val="17"/>
          <w:color w:val="auto"/>
        </w:rPr>
        <w:t>Trading under Rule 10b5-1 Plans is subject to certain conditions, including that the person for whom the plan is created (or anyone else aware of material non-public information acting on such person’s behalf) not exercise any subsequent influence regarding the amount, price, and dates of transactions under the plan. In addition, the Company requires Rule 10b5-1 Plans to be established and maintained in accordance with the Company’s “Policy on Establishing and Maintaining 10b5-1 Trading Plans.”</w:t>
      </w:r>
    </w:p>
    <w:p>
      <w:pPr>
        <w:spacing w:after="0" w:line="179" w:lineRule="exact"/>
        <w:rPr>
          <w:sz w:val="20"/>
          <w:szCs w:val="20"/>
          <w:color w:val="auto"/>
        </w:rPr>
      </w:pPr>
    </w:p>
    <w:p>
      <w:pPr>
        <w:ind w:right="280" w:firstLine="408"/>
        <w:spacing w:after="0" w:line="262" w:lineRule="auto"/>
        <w:rPr>
          <w:sz w:val="20"/>
          <w:szCs w:val="20"/>
          <w:color w:val="auto"/>
        </w:rPr>
      </w:pPr>
      <w:r>
        <w:rPr>
          <w:rFonts w:ascii="Arial" w:cs="Arial" w:eastAsia="Arial" w:hAnsi="Arial"/>
          <w:sz w:val="17"/>
          <w:szCs w:val="17"/>
          <w:color w:val="auto"/>
        </w:rPr>
        <w:t>Trades under a Rule 10b5-1 Plan by our directors and employees are not necessarily indicative of their respective opinions of our current or potential future performance at the time of the trade. Trades by our directors and executive officers pursuant to a Rule 10b5-1 Plan will be disclosed publicly through Form 144 and Form 4 filings with the SEC, in accordance with applicable laws, rules, and regulations.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Issuer Purchase of Equity Securities</w:t>
      </w:r>
    </w:p>
    <w:p>
      <w:pPr>
        <w:spacing w:after="0" w:line="213" w:lineRule="exact"/>
        <w:rPr>
          <w:sz w:val="20"/>
          <w:szCs w:val="20"/>
          <w:color w:val="auto"/>
        </w:rPr>
      </w:pPr>
    </w:p>
    <w:p>
      <w:pPr>
        <w:ind w:right="160" w:firstLine="382"/>
        <w:spacing w:after="0" w:line="262" w:lineRule="auto"/>
        <w:rPr>
          <w:sz w:val="20"/>
          <w:szCs w:val="20"/>
          <w:color w:val="auto"/>
        </w:rPr>
      </w:pPr>
      <w:r>
        <w:rPr>
          <w:rFonts w:ascii="Arial" w:cs="Arial" w:eastAsia="Arial" w:hAnsi="Arial"/>
          <w:sz w:val="17"/>
          <w:szCs w:val="17"/>
          <w:color w:val="auto"/>
        </w:rPr>
        <w:t>On January 31, 2019, our Board of Directors authorized a stock repurchase program under which we are authorized to repurchase up to $1.5 billion of our common stock during the two-year period from February 14, 2019 until the earlier of February 13, 2021 and a determination by the Board of Directors to discontinue the repurchase program. To date, we have not repurchased any shares under this program.</w:t>
      </w:r>
    </w:p>
    <w:p>
      <w:pPr>
        <w:spacing w:after="0" w:line="176" w:lineRule="exact"/>
        <w:rPr>
          <w:sz w:val="20"/>
          <w:szCs w:val="20"/>
          <w:color w:val="auto"/>
        </w:rPr>
      </w:pPr>
    </w:p>
    <w:p>
      <w:pPr>
        <w:ind w:right="540" w:firstLine="408"/>
        <w:spacing w:after="0" w:line="343" w:lineRule="auto"/>
        <w:rPr>
          <w:sz w:val="20"/>
          <w:szCs w:val="20"/>
          <w:color w:val="auto"/>
        </w:rPr>
      </w:pPr>
      <w:r>
        <w:rPr>
          <w:rFonts w:ascii="Arial" w:cs="Arial" w:eastAsia="Arial" w:hAnsi="Arial"/>
          <w:sz w:val="15"/>
          <w:szCs w:val="15"/>
          <w:color w:val="auto"/>
        </w:rPr>
        <w:t>On February 2, 2017, our Board of Directors authorized a stock repurchase program under which we were authorized to repurchase up to $1 billion of our common stock during the two-year period from February 13, 2017 through February 12, 2019. We did not repurchase any shares under this program.</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6.</w:t>
        <w:tab/>
        <w:t>SELECTED FINANCIAL DATA</w:t>
      </w:r>
    </w:p>
    <w:p>
      <w:pPr>
        <w:spacing w:after="0" w:line="217" w:lineRule="exact"/>
        <w:rPr>
          <w:sz w:val="20"/>
          <w:szCs w:val="20"/>
          <w:color w:val="auto"/>
        </w:rPr>
      </w:pPr>
    </w:p>
    <w:p>
      <w:pPr>
        <w:ind w:right="60" w:firstLine="408"/>
        <w:spacing w:after="0" w:line="256" w:lineRule="auto"/>
        <w:rPr>
          <w:sz w:val="20"/>
          <w:szCs w:val="20"/>
          <w:color w:val="auto"/>
        </w:rPr>
      </w:pPr>
      <w:r>
        <w:rPr>
          <w:rFonts w:ascii="Arial" w:cs="Arial" w:eastAsia="Arial" w:hAnsi="Arial"/>
          <w:sz w:val="17"/>
          <w:szCs w:val="17"/>
          <w:color w:val="auto"/>
        </w:rPr>
        <w:t>The following table summarizes certain selected consolidated financial data, which should be read in conjunction with our consolidated financial statements and notes thereto in Item 8 and with “Management’s Discussion and Analysis of Financial Condition and Results of Operations” included under Item 7 in this Annual Report on Form 10-K. The selected consolidated financial data presented below at and for each of the years in the five-year period ended December 31, 2019, is derived from our consolidated financial statements and include the operations of King commencing on February 23, 2016. All amounts set forth in the following tables are in millions, except per share data.</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6"/>
          </w:tcPr>
          <w:p>
            <w:pPr>
              <w:jc w:val="right"/>
              <w:ind w:right="35"/>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248"/>
        </w:trPr>
        <w:tc>
          <w:tcPr>
            <w:tcW w:w="47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 (6)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r>
      <w:tr>
        <w:trPr>
          <w:trHeight w:val="23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Statement of Operations Data (1):</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Net revenues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6,489</w:t>
            </w:r>
          </w:p>
        </w:tc>
        <w:tc>
          <w:tcPr>
            <w:tcW w:w="12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7,500</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7,017</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6,608</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4,664</w:t>
            </w:r>
          </w:p>
        </w:tc>
      </w:tr>
      <w:tr>
        <w:trPr>
          <w:trHeight w:val="26"/>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(2)</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1,503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1,848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273</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892</w:t>
            </w: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Basic net income per share</w:t>
            </w: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2.43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1.21</w:t>
            </w:r>
          </w:p>
        </w:tc>
      </w:tr>
      <w:tr>
        <w:trPr>
          <w:trHeight w:val="26"/>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per share</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1.19</w:t>
            </w: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Cash dividends declared per share</w:t>
            </w: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0.34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0.30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0.26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0.23</w:t>
            </w:r>
          </w:p>
        </w:tc>
      </w:tr>
      <w:tr>
        <w:trPr>
          <w:trHeight w:val="26"/>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6"/>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color w:val="auto"/>
              </w:rPr>
              <w:t>Operating cash flows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1,831</w:t>
            </w:r>
          </w:p>
        </w:tc>
        <w:tc>
          <w:tcPr>
            <w:tcW w:w="12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1,790</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2,213</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2,155</w:t>
            </w:r>
          </w:p>
        </w:tc>
        <w:tc>
          <w:tcPr>
            <w:tcW w:w="100" w:type="dxa"/>
            <w:vAlign w:val="bottom"/>
          </w:tcPr>
          <w:p>
            <w:pPr>
              <w:spacing w:after="0"/>
              <w:rPr>
                <w:sz w:val="19"/>
                <w:szCs w:val="19"/>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1,259</w:t>
            </w:r>
          </w:p>
        </w:tc>
      </w:tr>
      <w:tr>
        <w:trPr>
          <w:trHeight w:val="26"/>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306"/>
        </w:trPr>
        <w:tc>
          <w:tcPr>
            <w:tcW w:w="47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b w:val="1"/>
                <w:bCs w:val="1"/>
                <w:color w:val="auto"/>
              </w:rPr>
              <w:t>Balance Sheet Data:</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investments (3)</w:t>
            </w: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5,863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4,380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4,775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3,271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1,840</w:t>
            </w: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19,845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17,890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18,668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17,452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15,246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Long-term debt, net (4)</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2,675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2,671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4,887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4,074</w:t>
            </w:r>
          </w:p>
        </w:tc>
      </w:tr>
      <w:tr>
        <w:trPr>
          <w:trHeight w:val="228"/>
        </w:trPr>
        <w:tc>
          <w:tcPr>
            <w:tcW w:w="4700" w:type="dxa"/>
            <w:vAlign w:val="bottom"/>
          </w:tcPr>
          <w:p>
            <w:pPr>
              <w:ind w:left="20"/>
              <w:spacing w:after="0"/>
              <w:rPr>
                <w:sz w:val="20"/>
                <w:szCs w:val="20"/>
                <w:color w:val="auto"/>
              </w:rPr>
            </w:pPr>
            <w:r>
              <w:rPr>
                <w:rFonts w:ascii="Arial" w:cs="Arial" w:eastAsia="Arial" w:hAnsi="Arial"/>
                <w:sz w:val="17"/>
                <w:szCs w:val="17"/>
                <w:color w:val="auto"/>
              </w:rPr>
              <w:t>Long-term debt, gross</w:t>
            </w: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8"/>
              <w:spacing w:after="0"/>
              <w:rPr>
                <w:sz w:val="20"/>
                <w:szCs w:val="20"/>
                <w:color w:val="auto"/>
              </w:rPr>
            </w:pPr>
            <w:r>
              <w:rPr>
                <w:rFonts w:ascii="Arial" w:cs="Arial" w:eastAsia="Arial" w:hAnsi="Arial"/>
                <w:sz w:val="17"/>
                <w:szCs w:val="17"/>
                <w:color w:val="auto"/>
              </w:rPr>
              <w:t>2,700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4,440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ind w:right="16"/>
              <w:spacing w:after="0"/>
              <w:rPr>
                <w:sz w:val="20"/>
                <w:szCs w:val="20"/>
                <w:color w:val="auto"/>
              </w:rPr>
            </w:pPr>
            <w:r>
              <w:rPr>
                <w:rFonts w:ascii="Arial" w:cs="Arial" w:eastAsia="Arial" w:hAnsi="Arial"/>
                <w:sz w:val="17"/>
                <w:szCs w:val="17"/>
                <w:color w:val="auto"/>
              </w:rPr>
              <w:t>4,940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4,119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8"/>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debt (5)</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2,279</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300" w:right="120" w:hanging="298"/>
        <w:spacing w:after="0" w:line="262"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January 1, 2018, we adopted a new revenue accounting standard utilizing the modified retrospective method of transition. As a result, periods prior to January 1, 2018 have not been restated to reflect the new accounting standard and continue to be reported under the accounting standards that were in effect for those periods.</w:t>
      </w:r>
    </w:p>
    <w:p>
      <w:pPr>
        <w:spacing w:after="0" w:line="175" w:lineRule="exact"/>
        <w:rPr>
          <w:rFonts w:ascii="Arial" w:cs="Arial" w:eastAsia="Arial" w:hAnsi="Arial"/>
          <w:sz w:val="17"/>
          <w:szCs w:val="17"/>
          <w:color w:val="auto"/>
        </w:rPr>
      </w:pPr>
    </w:p>
    <w:p>
      <w:pPr>
        <w:ind w:left="300" w:right="140" w:hanging="298"/>
        <w:spacing w:after="0" w:line="262" w:lineRule="auto"/>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Net income for 2019, 2018, and 2017 includes the impact of significant discrete tax-related impacts, including incremental income tax expense and benefits in 2017 and 2018 due to the application of the U.S. Tax Reform Act. See further discussion in </w:t>
      </w:r>
      <w:hyperlink w:anchor="page115">
        <w:r>
          <w:rPr>
            <w:rFonts w:ascii="Arial" w:cs="Arial" w:eastAsia="Arial" w:hAnsi="Arial"/>
            <w:sz w:val="17"/>
            <w:szCs w:val="17"/>
            <w:u w:val="single" w:color="auto"/>
            <w:color w:val="0000EE"/>
          </w:rPr>
          <w:t>Note 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175" w:lineRule="exact"/>
        <w:rPr>
          <w:rFonts w:ascii="Arial" w:cs="Arial" w:eastAsia="Arial" w:hAnsi="Arial"/>
          <w:sz w:val="17"/>
          <w:szCs w:val="17"/>
          <w:color w:val="auto"/>
        </w:rPr>
      </w:pPr>
    </w:p>
    <w:p>
      <w:pPr>
        <w:ind w:left="300" w:right="340" w:hanging="298"/>
        <w:spacing w:after="0" w:line="313" w:lineRule="auto"/>
        <w:tabs>
          <w:tab w:leader="none" w:pos="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Cash and investments consists of cash and cash equivalents along with short-term and long-term investments. We had total investments of $69 million, $155 million, $62 million, $26 million, and $17 million, as of December 31, 2019, December 31, 2018, December 31, 2017, December 31, 2016, and December 31, 2015, respectively. Cash and investments as of December 31, 2015, excludes $3,561 million of cash placed in escrow for the acquisition of King.</w:t>
      </w:r>
    </w:p>
    <w:p>
      <w:pPr>
        <w:spacing w:after="0" w:line="141" w:lineRule="exact"/>
        <w:rPr>
          <w:rFonts w:ascii="Arial" w:cs="Arial" w:eastAsia="Arial" w:hAnsi="Arial"/>
          <w:sz w:val="15"/>
          <w:szCs w:val="15"/>
          <w:color w:val="auto"/>
        </w:rPr>
      </w:pPr>
    </w:p>
    <w:p>
      <w:pPr>
        <w:ind w:left="300" w:hanging="298"/>
        <w:spacing w:after="0"/>
        <w:tabs>
          <w:tab w:leader="none" w:pos="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For discussion on our debt obligations, see </w:t>
      </w:r>
      <w:hyperlink w:anchor="page97">
        <w:r>
          <w:rPr>
            <w:rFonts w:ascii="Arial" w:cs="Arial" w:eastAsia="Arial" w:hAnsi="Arial"/>
            <w:sz w:val="15"/>
            <w:szCs w:val="15"/>
            <w:u w:val="single" w:color="auto"/>
            <w:color w:val="0000EE"/>
          </w:rPr>
          <w:t>Note 13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included in Item 8 of this Annual Report on Form 10-K.</w:t>
      </w:r>
    </w:p>
    <w:p>
      <w:pPr>
        <w:spacing w:after="0" w:line="235" w:lineRule="exact"/>
        <w:rPr>
          <w:rFonts w:ascii="Arial" w:cs="Arial" w:eastAsia="Arial" w:hAnsi="Arial"/>
          <w:sz w:val="15"/>
          <w:szCs w:val="15"/>
          <w:color w:val="auto"/>
        </w:rPr>
      </w:pPr>
    </w:p>
    <w:p>
      <w:pPr>
        <w:ind w:left="300" w:hanging="298"/>
        <w:spacing w:after="0"/>
        <w:tabs>
          <w:tab w:leader="none" w:pos="30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Net debt is defined as long-term debt, gross less cash and investments.</w:t>
      </w:r>
    </w:p>
    <w:p>
      <w:pPr>
        <w:spacing w:after="0" w:line="212" w:lineRule="exact"/>
        <w:rPr>
          <w:rFonts w:ascii="Arial" w:cs="Arial" w:eastAsia="Arial" w:hAnsi="Arial"/>
          <w:sz w:val="17"/>
          <w:szCs w:val="17"/>
          <w:color w:val="auto"/>
        </w:rPr>
      </w:pPr>
    </w:p>
    <w:p>
      <w:pPr>
        <w:jc w:val="both"/>
        <w:ind w:left="300" w:right="20" w:hanging="298"/>
        <w:spacing w:after="0" w:line="313" w:lineRule="auto"/>
        <w:tabs>
          <w:tab w:leader="none" w:pos="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 xml:space="preserve">During the three months ended March 31, 2019, we identified an amount which should have been recorded in the three months and year ended December 31, 2018 to reduce income tax expense by $35 million. Our selected financial data for the year ended December 31, 2018, as presented above, has been revised to reflect the correction. See further discussion in </w:t>
      </w:r>
      <w:hyperlink w:anchor="page75">
        <w:r>
          <w:rPr>
            <w:rFonts w:ascii="Arial" w:cs="Arial" w:eastAsia="Arial" w:hAnsi="Arial"/>
            <w:sz w:val="15"/>
            <w:szCs w:val="15"/>
            <w:u w:val="single" w:color="auto"/>
            <w:color w:val="0000EE"/>
          </w:rPr>
          <w:t>Note 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included in Item 8 of this Annual Report on Form 10-K.</w:t>
      </w:r>
    </w:p>
    <w:p>
      <w:pPr>
        <w:spacing w:after="0" w:line="345"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17"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our content. The terms “Activision Blizzard,” the “Company,” “we,” “us,” and “our” are used to refer collectively to Activision Blizzard,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Reportable Segments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Based upon our organizational structure, we conduct our business through three reportable segments: Activision, Blizzard, and King.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w:t>
      </w:r>
    </w:p>
    <w:p>
      <w:pPr>
        <w:spacing w:after="0" w:line="213" w:lineRule="exact"/>
        <w:rPr>
          <w:sz w:val="20"/>
          <w:szCs w:val="20"/>
          <w:color w:val="auto"/>
        </w:rPr>
      </w:pPr>
    </w:p>
    <w:p>
      <w:pPr>
        <w:ind w:right="20" w:firstLine="382"/>
        <w:spacing w:after="0" w:line="303" w:lineRule="auto"/>
        <w:rPr>
          <w:sz w:val="20"/>
          <w:szCs w:val="20"/>
          <w:color w:val="auto"/>
        </w:rPr>
      </w:pPr>
      <w:r>
        <w:rPr>
          <w:rFonts w:ascii="Arial" w:cs="Arial" w:eastAsia="Arial" w:hAnsi="Arial"/>
          <w:sz w:val="15"/>
          <w:szCs w:val="15"/>
          <w:color w:val="auto"/>
        </w:rPr>
        <w:t>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Activision also includes the activities of the Call of Duty League, a global professional esports league with city-based teams for Call of Duty.</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w:t>
      </w:r>
    </w:p>
    <w:p>
      <w:pPr>
        <w:spacing w:after="0" w:line="213" w:lineRule="exact"/>
        <w:rPr>
          <w:sz w:val="20"/>
          <w:szCs w:val="20"/>
          <w:color w:val="auto"/>
        </w:rPr>
      </w:pPr>
    </w:p>
    <w:p>
      <w:pPr>
        <w:ind w:right="220" w:firstLine="382"/>
        <w:spacing w:after="0" w:line="276" w:lineRule="auto"/>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for the PC platform. Blizzard 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 which facilitates digital distribution of Blizzard content and selected Activision content, online social connectivity, and the creation of user-generated content. Blizzard also includes the activities of the Overwatch League, the first major global professional esports league with city-based teams.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w:t>
      </w:r>
    </w:p>
    <w:p>
      <w:pPr>
        <w:spacing w:after="0" w:line="213" w:lineRule="exact"/>
        <w:rPr>
          <w:sz w:val="20"/>
          <w:szCs w:val="20"/>
          <w:color w:val="auto"/>
        </w:rPr>
      </w:pPr>
    </w:p>
    <w:p>
      <w:pPr>
        <w:jc w:val="both"/>
        <w:ind w:right="240" w:firstLine="382"/>
        <w:spacing w:after="0" w:line="313" w:lineRule="auto"/>
        <w:rPr>
          <w:sz w:val="20"/>
          <w:szCs w:val="20"/>
          <w:color w:val="auto"/>
        </w:rPr>
      </w:pPr>
      <w:r>
        <w:rPr>
          <w:rFonts w:ascii="Arial" w:cs="Arial" w:eastAsia="Arial" w:hAnsi="Arial"/>
          <w:sz w:val="15"/>
          <w:szCs w:val="15"/>
          <w:color w:val="auto"/>
        </w:rPr>
        <w:t>King is a leading global developer and publisher of interactive entertainment content and services, particularly for the mobile platform, including for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13" w:lineRule="exact"/>
        <w:rPr>
          <w:sz w:val="20"/>
          <w:szCs w:val="20"/>
          <w:color w:val="auto"/>
        </w:rPr>
      </w:pPr>
    </w:p>
    <w:p>
      <w:pPr>
        <w:ind w:right="300" w:firstLine="382"/>
        <w:spacing w:after="0" w:line="262" w:lineRule="auto"/>
        <w:rPr>
          <w:sz w:val="20"/>
          <w:szCs w:val="20"/>
          <w:color w:val="auto"/>
        </w:rPr>
      </w:pPr>
      <w:r>
        <w:rPr>
          <w:rFonts w:ascii="Arial" w:cs="Arial" w:eastAsia="Arial" w:hAnsi="Arial"/>
          <w:sz w:val="17"/>
          <w:szCs w:val="17"/>
          <w:color w:val="auto"/>
        </w:rPr>
        <w:t>We also engage in other businesses that do not represent reportable segments, including our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Destiny Franchise</w:t>
      </w:r>
    </w:p>
    <w:p>
      <w:pPr>
        <w:spacing w:after="0" w:line="225" w:lineRule="exact"/>
        <w:rPr>
          <w:sz w:val="20"/>
          <w:szCs w:val="20"/>
          <w:color w:val="auto"/>
        </w:rPr>
      </w:pPr>
    </w:p>
    <w:p>
      <w:pPr>
        <w:ind w:right="160" w:firstLine="382"/>
        <w:spacing w:after="0" w:line="316" w:lineRule="auto"/>
        <w:rPr>
          <w:sz w:val="20"/>
          <w:szCs w:val="20"/>
          <w:color w:val="auto"/>
        </w:rPr>
      </w:pPr>
      <w:r>
        <w:rPr>
          <w:rFonts w:ascii="Arial" w:cs="Arial" w:eastAsia="Arial" w:hAnsi="Arial"/>
          <w:sz w:val="15"/>
          <w:szCs w:val="15"/>
          <w:color w:val="auto"/>
        </w:rPr>
        <w:t>In 2010, Activision entered into an exclusive relationship with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As a result of the agreement to terminate the relationship, the Company recognized net bookings, a key operating metric, of $20 million, GAAP revenues of $164 million, and GAAP operating income of $91 million for the year ended December 31, 2018. Activision no longer has any material rights or obligations related to the Destiny franchise.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127"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Results and Highlights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Results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2019 financial highlights included:</w:t>
      </w:r>
    </w:p>
    <w:p>
      <w:pPr>
        <w:spacing w:after="0" w:line="213" w:lineRule="exact"/>
        <w:rPr>
          <w:sz w:val="20"/>
          <w:szCs w:val="20"/>
          <w:color w:val="auto"/>
        </w:rPr>
      </w:pPr>
    </w:p>
    <w:p>
      <w:pPr>
        <w:ind w:left="920" w:right="180" w:hanging="306"/>
        <w:spacing w:after="0" w:line="274"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consolidated net revenues decreased 13% to $6.5 billion and consolidated operating income decreased 19% to $1.6 billion, as compared to consolidated net revenues of $7.5 billion and consolidated operating income of $2.0 billion in 2018;</w:t>
      </w:r>
    </w:p>
    <w:p>
      <w:pPr>
        <w:spacing w:after="0" w:line="165" w:lineRule="exact"/>
        <w:rPr>
          <w:rFonts w:ascii="Arial" w:cs="Arial" w:eastAsia="Arial" w:hAnsi="Arial"/>
          <w:sz w:val="17"/>
          <w:szCs w:val="17"/>
          <w:color w:val="auto"/>
        </w:rPr>
      </w:pPr>
    </w:p>
    <w:p>
      <w:pPr>
        <w:ind w:left="920" w:right="120" w:hanging="306"/>
        <w:spacing w:after="0" w:line="274"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revenues from digital online channels decreased 15% to $4.9 billion and were 76% of consolidated net revenues, as compared to $5.8 billion and 77% of consolidated net revenues in 2018;</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operating margin was 24.8%, as compared to 26.5% in 2018;</w:t>
      </w:r>
    </w:p>
    <w:p>
      <w:pPr>
        <w:spacing w:after="0" w:line="212" w:lineRule="exact"/>
        <w:rPr>
          <w:rFonts w:ascii="Arial" w:cs="Arial" w:eastAsia="Arial" w:hAnsi="Arial"/>
          <w:sz w:val="17"/>
          <w:szCs w:val="17"/>
          <w:color w:val="auto"/>
        </w:rPr>
      </w:pPr>
    </w:p>
    <w:p>
      <w:pPr>
        <w:ind w:left="920" w:right="320" w:hanging="306"/>
        <w:spacing w:after="0" w:line="274"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consolidated net income decreased to $1.5 billion, as compared to $1.8 billion in 2018, which included significant discrete tax-related impacts in both 2019 and 2018—refer to </w:t>
      </w:r>
      <w:hyperlink w:anchor="page48">
        <w:r>
          <w:rPr>
            <w:rFonts w:ascii="Arial" w:cs="Arial" w:eastAsia="Arial" w:hAnsi="Arial"/>
            <w:sz w:val="17"/>
            <w:szCs w:val="17"/>
            <w:u w:val="single" w:color="auto"/>
            <w:color w:val="0000EE"/>
          </w:rPr>
          <w:t>“Consolidated Results, Income Tax Expense”</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discussion below for details;</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diluted earnings per common share decreased to $1.95, as compared to $2.40 in 2018;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cash flows from operating activities were approximately $1.83 billion, an increase of 2%, as compared to $1.79 billion in 2018.</w:t>
      </w:r>
    </w:p>
    <w:p>
      <w:pPr>
        <w:spacing w:after="0" w:line="213" w:lineRule="exact"/>
        <w:rPr>
          <w:sz w:val="20"/>
          <w:szCs w:val="20"/>
          <w:color w:val="auto"/>
        </w:rPr>
      </w:pPr>
    </w:p>
    <w:p>
      <w:pPr>
        <w:ind w:right="60" w:firstLine="382"/>
        <w:spacing w:after="0" w:line="258" w:lineRule="auto"/>
        <w:rPr>
          <w:sz w:val="20"/>
          <w:szCs w:val="20"/>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recognize the attributable revenues over the relevant estimated service periods, which are generally less than a year. Net revenues and operating income for the year ended December 31, 2019, include net effects of $101 million and $52 million, respectively, from the recognition of deferred net revenues and related cost of revenues.</w:t>
      </w:r>
    </w:p>
    <w:p>
      <w:pPr>
        <w:spacing w:after="0" w:line="179" w:lineRule="exact"/>
        <w:rPr>
          <w:sz w:val="20"/>
          <w:szCs w:val="20"/>
          <w:color w:val="auto"/>
        </w:rPr>
      </w:pPr>
    </w:p>
    <w:p>
      <w:pPr>
        <w:ind w:firstLine="382"/>
        <w:spacing w:after="0" w:line="303" w:lineRule="auto"/>
        <w:rPr>
          <w:sz w:val="20"/>
          <w:szCs w:val="20"/>
          <w:color w:val="auto"/>
        </w:rPr>
      </w:pPr>
      <w:r>
        <w:rPr>
          <w:rFonts w:ascii="Arial" w:cs="Arial" w:eastAsia="Arial" w:hAnsi="Arial"/>
          <w:sz w:val="15"/>
          <w:szCs w:val="15"/>
          <w:color w:val="auto"/>
        </w:rPr>
        <w:t>Additionally, for the year ended December 31, 2019, 18% of total net revenues recognized were from revenue sources that were recognized at a “point-in-time,” while “over-time and other” revenues were 82% of total net revenues. Revenue recognized at a “point-in-time” is primarily comprised of the portion of revenue from software products that is recognized when the customer takes control of the product (i.e., upon delivery of the software product) and revenues from our Distribution business. “Over-time and other revenue” is primarily comprised of revenue associated with the online functionality of our games, in-game purchases, and subscriptions.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 Release and Event Highlights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Games and downloadable content that were released during 2019, include:</w:t>
      </w:r>
    </w:p>
    <w:p>
      <w:pPr>
        <w:spacing w:after="0" w:line="213" w:lineRule="exact"/>
        <w:rPr>
          <w:sz w:val="20"/>
          <w:szCs w:val="20"/>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Sekiro</w:t>
      </w:r>
      <w:r>
        <w:rPr>
          <w:rFonts w:ascii="Arial" w:cs="Arial" w:eastAsia="Arial" w:hAnsi="Arial"/>
          <w:sz w:val="17"/>
          <w:szCs w:val="17"/>
          <w:color w:val="auto"/>
          <w:vertAlign w:val="superscript"/>
        </w:rPr>
        <w:t>TM</w:t>
      </w:r>
      <w:r>
        <w:rPr>
          <w:rFonts w:ascii="Arial" w:cs="Arial" w:eastAsia="Arial" w:hAnsi="Arial"/>
          <w:sz w:val="17"/>
          <w:szCs w:val="17"/>
          <w:i w:val="1"/>
          <w:iCs w:val="1"/>
          <w:color w:val="auto"/>
        </w:rPr>
        <w:t>: Shadows Die Twice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Crash</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w:t>
      </w:r>
      <w:r>
        <w:rPr>
          <w:rFonts w:ascii="Arial" w:cs="Arial" w:eastAsia="Arial" w:hAnsi="Arial"/>
          <w:sz w:val="17"/>
          <w:szCs w:val="17"/>
          <w:i w:val="1"/>
          <w:iCs w:val="1"/>
          <w:color w:val="auto"/>
        </w:rPr>
        <w:t>Team Racing Nitro-Fueled</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Spyro</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Reignited Trilogy</w:t>
      </w:r>
      <w:r>
        <w:rPr>
          <w:rFonts w:ascii="Arial" w:cs="Arial" w:eastAsia="Arial" w:hAnsi="Arial"/>
          <w:sz w:val="17"/>
          <w:szCs w:val="17"/>
          <w:color w:val="auto"/>
        </w:rPr>
        <w:t xml:space="preserve"> on Nintendo Switch and PC;</w:t>
      </w:r>
    </w:p>
    <w:p>
      <w:pPr>
        <w:spacing w:after="0" w:line="145"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Call of Duty: Mobile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Activision’s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w:t>
      </w:r>
    </w:p>
    <w:p>
      <w:pPr>
        <w:spacing w:after="0" w:line="210"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Blizzard’s </w:t>
      </w:r>
      <w:r>
        <w:rPr>
          <w:rFonts w:ascii="Arial" w:cs="Arial" w:eastAsia="Arial" w:hAnsi="Arial"/>
          <w:sz w:val="17"/>
          <w:szCs w:val="17"/>
          <w:i w:val="1"/>
          <w:iCs w:val="1"/>
          <w:color w:val="auto"/>
        </w:rPr>
        <w:t>World of Warcraft</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Classic</w:t>
      </w:r>
      <w:r>
        <w:rPr>
          <w:rFonts w:ascii="Arial" w:cs="Arial" w:eastAsia="Arial" w:hAnsi="Arial"/>
          <w:sz w:val="17"/>
          <w:szCs w:val="17"/>
          <w:color w:val="auto"/>
        </w:rPr>
        <w:t>; and</w:t>
      </w:r>
    </w:p>
    <w:p>
      <w:pPr>
        <w:spacing w:after="0" w:line="145" w:lineRule="exact"/>
        <w:rPr>
          <w:rFonts w:ascii="Arial" w:cs="Arial" w:eastAsia="Arial" w:hAnsi="Arial"/>
          <w:sz w:val="17"/>
          <w:szCs w:val="17"/>
          <w:color w:val="auto"/>
        </w:rPr>
      </w:pPr>
    </w:p>
    <w:p>
      <w:pPr>
        <w:ind w:left="920" w:hanging="306"/>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Blizzard’s latest expansions to </w:t>
      </w:r>
      <w:r>
        <w:rPr>
          <w:rFonts w:ascii="Arial" w:cs="Arial" w:eastAsia="Arial" w:hAnsi="Arial"/>
          <w:sz w:val="17"/>
          <w:szCs w:val="17"/>
          <w:i w:val="1"/>
          <w:iCs w:val="1"/>
          <w:color w:val="auto"/>
        </w:rPr>
        <w:t>Hearthstone—Rise of Shadows</w:t>
      </w:r>
      <w:r>
        <w:rPr>
          <w:rFonts w:ascii="Arial" w:cs="Arial" w:eastAsia="Arial" w:hAnsi="Arial"/>
          <w:sz w:val="17"/>
          <w:szCs w:val="17"/>
          <w:color w:val="auto"/>
          <w:vertAlign w:val="superscript"/>
        </w:rPr>
        <w:t>TM</w:t>
      </w:r>
      <w:r>
        <w:rPr>
          <w:rFonts w:ascii="Arial" w:cs="Arial" w:eastAsia="Arial" w:hAnsi="Arial"/>
          <w:sz w:val="11"/>
          <w:szCs w:val="1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Saviors of Uldum</w:t>
      </w:r>
      <w:r>
        <w:rPr>
          <w:rFonts w:ascii="Arial" w:cs="Arial" w:eastAsia="Arial" w:hAnsi="Arial"/>
          <w:sz w:val="17"/>
          <w:szCs w:val="17"/>
          <w:color w:val="auto"/>
          <w:vertAlign w:val="superscript"/>
        </w:rPr>
        <w:t>TM</w:t>
      </w:r>
      <w:r>
        <w:rPr>
          <w:rFonts w:ascii="Arial" w:cs="Arial" w:eastAsia="Arial" w:hAnsi="Arial"/>
          <w:sz w:val="11"/>
          <w:szCs w:val="1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Tombs of Terror</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and </w:t>
      </w:r>
      <w:r>
        <w:rPr>
          <w:rFonts w:ascii="Arial" w:cs="Arial" w:eastAsia="Arial" w:hAnsi="Arial"/>
          <w:sz w:val="17"/>
          <w:szCs w:val="17"/>
          <w:i w:val="1"/>
          <w:iCs w:val="1"/>
          <w:color w:val="auto"/>
        </w:rPr>
        <w:t>Descent of Dragons</w:t>
      </w:r>
      <w:r>
        <w:rPr>
          <w:rFonts w:ascii="Arial" w:cs="Arial" w:eastAsia="Arial" w:hAnsi="Arial"/>
          <w:sz w:val="17"/>
          <w:szCs w:val="17"/>
          <w:color w:val="auto"/>
          <w:vertAlign w:val="superscript"/>
        </w:rPr>
        <w:t>TM</w:t>
      </w:r>
      <w:r>
        <w:rPr>
          <w:rFonts w:ascii="Arial" w:cs="Arial" w:eastAsia="Arial" w:hAnsi="Arial"/>
          <w:sz w:val="17"/>
          <w:szCs w:val="17"/>
          <w:color w:val="auto"/>
        </w:rPr>
        <w: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7"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160" w:firstLine="382"/>
        <w:spacing w:after="0" w:line="307" w:lineRule="auto"/>
        <w:rPr>
          <w:sz w:val="20"/>
          <w:szCs w:val="20"/>
          <w:color w:val="auto"/>
        </w:rPr>
      </w:pPr>
      <w:r>
        <w:rPr>
          <w:rFonts w:ascii="Arial" w:cs="Arial" w:eastAsia="Arial" w:hAnsi="Arial"/>
          <w:sz w:val="16"/>
          <w:szCs w:val="16"/>
          <w:color w:val="auto"/>
        </w:rPr>
        <w:t>The Overwatch League, the first major global professional esports league with city-based teams, completed its second season in 2019 and began its third season in February 2020. During 2019, we also sold the first 12 teams for the Call of Duty League, which began its first season in January 2020.</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Sales</w:t>
      </w:r>
    </w:p>
    <w:p>
      <w:pPr>
        <w:spacing w:after="0" w:line="213" w:lineRule="exact"/>
        <w:rPr>
          <w:sz w:val="20"/>
          <w:szCs w:val="20"/>
          <w:color w:val="auto"/>
        </w:rPr>
      </w:pPr>
    </w:p>
    <w:p>
      <w:pPr>
        <w:ind w:right="120" w:firstLine="382"/>
        <w:spacing w:after="0" w:line="295" w:lineRule="auto"/>
        <w:rPr>
          <w:sz w:val="20"/>
          <w:szCs w:val="20"/>
          <w:color w:val="auto"/>
        </w:rPr>
      </w:pPr>
      <w:r>
        <w:rPr>
          <w:rFonts w:ascii="Arial" w:cs="Arial" w:eastAsia="Arial" w:hAnsi="Arial"/>
          <w:sz w:val="15"/>
          <w:szCs w:val="15"/>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54%, 54%, and 55% of our total consolidated net revenues for the years ended December 31, 2019, 2018, and 2017, respectively. The majority of our net revenues from foreign countries are generated by consumers in Australia, Brazil, Canada, China, France, Germany, Italy, Japan, the Netherlands, South Korea, Spain, Sweden, and the United Kingdom.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Metrics</w:t>
      </w:r>
    </w:p>
    <w:p>
      <w:pPr>
        <w:spacing w:after="0" w:line="213" w:lineRule="exact"/>
        <w:rPr>
          <w:sz w:val="20"/>
          <w:szCs w:val="20"/>
          <w:color w:val="auto"/>
        </w:rPr>
      </w:pPr>
    </w:p>
    <w:p>
      <w:pPr>
        <w:ind w:right="360" w:firstLine="382"/>
        <w:spacing w:after="0" w:line="274" w:lineRule="auto"/>
        <w:rPr>
          <w:sz w:val="20"/>
          <w:szCs w:val="20"/>
          <w:color w:val="auto"/>
        </w:rPr>
      </w:pPr>
      <w:r>
        <w:rPr>
          <w:rFonts w:ascii="Arial" w:cs="Arial" w:eastAsia="Arial" w:hAnsi="Arial"/>
          <w:sz w:val="17"/>
          <w:szCs w:val="17"/>
          <w:color w:val="auto"/>
        </w:rPr>
        <w:t>The following operating metrics are key performance indicators that we use to evaluate our business. The key drivers of changes in our operating metrics are presented in the order of significance.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bookings and In-game net bookings</w:t>
      </w:r>
    </w:p>
    <w:p>
      <w:pPr>
        <w:spacing w:after="0" w:line="213" w:lineRule="exact"/>
        <w:rPr>
          <w:sz w:val="20"/>
          <w:szCs w:val="20"/>
          <w:color w:val="auto"/>
        </w:rPr>
      </w:pPr>
    </w:p>
    <w:p>
      <w:pPr>
        <w:ind w:right="80" w:firstLine="382"/>
        <w:spacing w:after="0" w:line="276" w:lineRule="auto"/>
        <w:rPr>
          <w:sz w:val="20"/>
          <w:szCs w:val="20"/>
          <w:color w:val="auto"/>
        </w:rPr>
      </w:pPr>
      <w:r>
        <w:rPr>
          <w:rFonts w:ascii="Arial" w:cs="Arial" w:eastAsia="Arial" w:hAnsi="Arial"/>
          <w:sz w:val="16"/>
          <w:szCs w:val="16"/>
          <w:color w:val="auto"/>
        </w:rPr>
        <w:t>We monitor net bookings as a key operating metric in evaluating the performance of our business because it enables an analysis of performance based on the timing of actual transactions with our customers and provides more timely indication of trends in our operating results. Net bookings is the net amount of products and services sold digitally or sold-in physically in the period, and includes license fees, merchandise, and publisher incentives, among others. Net bookings is equal to net revenues excluding the impact from deferrals. In-game net bookings primarily includes the net amount of downloadable content and microtransactions sold during the period, and is equal to in-game net revenues excluding the impact from deferrals.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bookings and in-game net bookings were as follows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500" w:type="dxa"/>
            <w:vAlign w:val="bottom"/>
          </w:tcPr>
          <w:p>
            <w:pPr>
              <w:spacing w:after="0"/>
              <w:rPr>
                <w:sz w:val="17"/>
                <w:szCs w:val="17"/>
                <w:color w:val="auto"/>
              </w:rPr>
            </w:pPr>
          </w:p>
        </w:tc>
        <w:tc>
          <w:tcPr>
            <w:tcW w:w="3280" w:type="dxa"/>
            <w:vAlign w:val="bottom"/>
            <w:gridSpan w:val="4"/>
          </w:tcPr>
          <w:p>
            <w:pPr>
              <w:jc w:val="right"/>
              <w:ind w:right="98"/>
              <w:spacing w:after="0"/>
              <w:rPr>
                <w:sz w:val="20"/>
                <w:szCs w:val="20"/>
                <w:color w:val="auto"/>
              </w:rPr>
            </w:pPr>
            <w:r>
              <w:rPr>
                <w:rFonts w:ascii="Arial" w:cs="Arial" w:eastAsia="Arial" w:hAnsi="Arial"/>
                <w:sz w:val="15"/>
                <w:szCs w:val="15"/>
                <w:b w:val="1"/>
                <w:bCs w:val="1"/>
                <w:color w:val="auto"/>
              </w:rPr>
              <w:t>For the Years Ended December 31,</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vMerge w:val="restart"/>
          </w:tcPr>
          <w:p>
            <w:pPr>
              <w:jc w:val="right"/>
              <w:ind w:right="539"/>
              <w:spacing w:after="0"/>
              <w:rPr>
                <w:sz w:val="20"/>
                <w:szCs w:val="20"/>
                <w:color w:val="auto"/>
              </w:rPr>
            </w:pPr>
            <w:r>
              <w:rPr>
                <w:rFonts w:ascii="Arial" w:cs="Arial" w:eastAsia="Arial" w:hAnsi="Arial"/>
                <w:sz w:val="15"/>
                <w:szCs w:val="15"/>
                <w:b w:val="1"/>
                <w:bCs w:val="1"/>
                <w:color w:val="auto"/>
              </w:rPr>
              <w:t>Increase</w:t>
            </w:r>
          </w:p>
        </w:tc>
        <w:tc>
          <w:tcPr>
            <w:tcW w:w="0" w:type="dxa"/>
            <w:vAlign w:val="bottom"/>
          </w:tcPr>
          <w:p>
            <w:pPr>
              <w:spacing w:after="0"/>
              <w:rPr>
                <w:sz w:val="1"/>
                <w:szCs w:val="1"/>
                <w:color w:val="auto"/>
              </w:rPr>
            </w:pPr>
          </w:p>
        </w:tc>
      </w:tr>
      <w:tr>
        <w:trPr>
          <w:trHeight w:val="30"/>
        </w:trPr>
        <w:tc>
          <w:tcPr>
            <w:tcW w:w="55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5"/>
                <w:szCs w:val="15"/>
                <w:b w:val="1"/>
                <w:bCs w:val="1"/>
                <w:color w:val="auto"/>
              </w:rPr>
              <w:t>2019</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ind w:right="58"/>
              <w:spacing w:after="0"/>
              <w:rPr>
                <w:sz w:val="20"/>
                <w:szCs w:val="20"/>
                <w:color w:val="auto"/>
              </w:rPr>
            </w:pPr>
            <w:r>
              <w:rPr>
                <w:rFonts w:ascii="Arial" w:cs="Arial" w:eastAsia="Arial" w:hAnsi="Arial"/>
                <w:sz w:val="15"/>
                <w:szCs w:val="15"/>
                <w:b w:val="1"/>
                <w:bCs w:val="1"/>
                <w:color w:val="auto"/>
              </w:rPr>
              <w:t>2018</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79"/>
              <w:spacing w:after="0"/>
              <w:rPr>
                <w:sz w:val="20"/>
                <w:szCs w:val="20"/>
                <w:color w:val="auto"/>
              </w:rPr>
            </w:pPr>
            <w:r>
              <w:rPr>
                <w:rFonts w:ascii="Arial" w:cs="Arial" w:eastAsia="Arial" w:hAnsi="Arial"/>
                <w:sz w:val="15"/>
                <w:szCs w:val="15"/>
                <w:b w:val="1"/>
                <w:bCs w:val="1"/>
                <w:color w:val="auto"/>
              </w:rPr>
              <w:t>(Decrease)</w:t>
            </w:r>
          </w:p>
        </w:tc>
        <w:tc>
          <w:tcPr>
            <w:tcW w:w="0" w:type="dxa"/>
            <w:vAlign w:val="bottom"/>
          </w:tcPr>
          <w:p>
            <w:pPr>
              <w:spacing w:after="0"/>
              <w:rPr>
                <w:sz w:val="1"/>
                <w:szCs w:val="1"/>
                <w:color w:val="auto"/>
              </w:rPr>
            </w:pPr>
          </w:p>
        </w:tc>
      </w:tr>
      <w:tr>
        <w:trPr>
          <w:trHeight w:val="31"/>
        </w:trPr>
        <w:tc>
          <w:tcPr>
            <w:tcW w:w="55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bookings</w:t>
            </w:r>
          </w:p>
        </w:tc>
        <w:tc>
          <w:tcPr>
            <w:tcW w:w="12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6,388</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018"/>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7,262</w:t>
            </w: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(874)</w:t>
            </w:r>
          </w:p>
        </w:tc>
        <w:tc>
          <w:tcPr>
            <w:tcW w:w="0" w:type="dxa"/>
            <w:vAlign w:val="bottom"/>
          </w:tcPr>
          <w:p>
            <w:pPr>
              <w:spacing w:after="0"/>
              <w:rPr>
                <w:sz w:val="1"/>
                <w:szCs w:val="1"/>
                <w:color w:val="auto"/>
              </w:rPr>
            </w:pPr>
          </w:p>
        </w:tc>
      </w:tr>
      <w:tr>
        <w:trPr>
          <w:trHeight w:val="229"/>
        </w:trPr>
        <w:tc>
          <w:tcPr>
            <w:tcW w:w="5500" w:type="dxa"/>
            <w:vAlign w:val="bottom"/>
          </w:tcPr>
          <w:p>
            <w:pPr>
              <w:ind w:left="20"/>
              <w:spacing w:after="0"/>
              <w:rPr>
                <w:sz w:val="20"/>
                <w:szCs w:val="20"/>
                <w:color w:val="auto"/>
              </w:rPr>
            </w:pPr>
            <w:r>
              <w:rPr>
                <w:rFonts w:ascii="Arial" w:cs="Arial" w:eastAsia="Arial" w:hAnsi="Arial"/>
                <w:sz w:val="17"/>
                <w:szCs w:val="17"/>
                <w:color w:val="auto"/>
              </w:rPr>
              <w:t>In-game net bookings</w:t>
            </w:r>
          </w:p>
        </w:tc>
        <w:tc>
          <w:tcPr>
            <w:tcW w:w="1220" w:type="dxa"/>
            <w:vAlign w:val="bottom"/>
          </w:tcPr>
          <w:p>
            <w:pPr>
              <w:jc w:val="right"/>
              <w:ind w:right="1039"/>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3,366</w:t>
            </w:r>
          </w:p>
        </w:tc>
        <w:tc>
          <w:tcPr>
            <w:tcW w:w="240" w:type="dxa"/>
            <w:vAlign w:val="bottom"/>
          </w:tcPr>
          <w:p>
            <w:pPr>
              <w:spacing w:after="0"/>
              <w:rPr>
                <w:sz w:val="19"/>
                <w:szCs w:val="19"/>
                <w:color w:val="auto"/>
              </w:rPr>
            </w:pPr>
          </w:p>
        </w:tc>
        <w:tc>
          <w:tcPr>
            <w:tcW w:w="1200" w:type="dxa"/>
            <w:vAlign w:val="bottom"/>
          </w:tcPr>
          <w:p>
            <w:pPr>
              <w:jc w:val="right"/>
              <w:ind w:right="1018"/>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ind w:right="15"/>
              <w:spacing w:after="0"/>
              <w:rPr>
                <w:sz w:val="20"/>
                <w:szCs w:val="20"/>
                <w:color w:val="auto"/>
              </w:rPr>
            </w:pPr>
            <w:r>
              <w:rPr>
                <w:rFonts w:ascii="Arial" w:cs="Arial" w:eastAsia="Arial" w:hAnsi="Arial"/>
                <w:sz w:val="17"/>
                <w:szCs w:val="17"/>
                <w:color w:val="auto"/>
              </w:rPr>
              <w:t>4,203</w:t>
            </w:r>
          </w:p>
        </w:tc>
        <w:tc>
          <w:tcPr>
            <w:tcW w:w="5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(837)</w:t>
            </w: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Net bookings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net bookings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a $572 million decrease in Blizzard net bookings primarily driven by (1) lower net bookings from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(2) overall lower net bookings</w:t>
      </w:r>
    </w:p>
    <w:p>
      <w:pPr>
        <w:spacing w:after="0" w:line="31" w:lineRule="exact"/>
        <w:rPr>
          <w:rFonts w:ascii="Arial" w:cs="Arial" w:eastAsia="Arial" w:hAnsi="Arial"/>
          <w:sz w:val="16"/>
          <w:szCs w:val="16"/>
          <w:color w:val="auto"/>
        </w:rPr>
      </w:pPr>
    </w:p>
    <w:p>
      <w:pPr>
        <w:jc w:val="both"/>
        <w:ind w:left="920" w:right="60"/>
        <w:spacing w:after="0" w:line="327" w:lineRule="auto"/>
        <w:rPr>
          <w:rFonts w:ascii="Arial" w:cs="Arial" w:eastAsia="Arial" w:hAnsi="Arial"/>
          <w:sz w:val="16"/>
          <w:szCs w:val="16"/>
          <w:color w:val="auto"/>
        </w:rPr>
      </w:pPr>
      <w:r>
        <w:rPr>
          <w:rFonts w:ascii="Arial" w:cs="Arial" w:eastAsia="Arial" w:hAnsi="Arial"/>
          <w:sz w:val="15"/>
          <w:szCs w:val="15"/>
          <w:color w:val="auto"/>
        </w:rPr>
        <w:t xml:space="preserve">from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expansion and in-game content sales, primarily due to </w:t>
      </w:r>
      <w:r>
        <w:rPr>
          <w:rFonts w:ascii="Arial" w:cs="Arial" w:eastAsia="Arial" w:hAnsi="Arial"/>
          <w:sz w:val="15"/>
          <w:szCs w:val="15"/>
          <w:i w:val="1"/>
          <w:iCs w:val="1"/>
          <w:color w:val="auto"/>
        </w:rPr>
        <w:t>World of Warcraft: Battle for Azeroth</w:t>
      </w:r>
      <w:r>
        <w:rPr>
          <w:rFonts w:ascii="Arial" w:cs="Arial" w:eastAsia="Arial" w:hAnsi="Arial"/>
          <w:sz w:val="15"/>
          <w:szCs w:val="15"/>
          <w:color w:val="auto"/>
        </w:rPr>
        <w:t xml:space="preserve">, which was released in August 2018, with no comparable release in 2019 (although net bookings from subscriptions increased due to the release of </w:t>
      </w:r>
      <w:r>
        <w:rPr>
          <w:rFonts w:ascii="Arial" w:cs="Arial" w:eastAsia="Arial" w:hAnsi="Arial"/>
          <w:sz w:val="15"/>
          <w:szCs w:val="15"/>
          <w:i w:val="1"/>
          <w:iCs w:val="1"/>
          <w:color w:val="auto"/>
        </w:rPr>
        <w:t>World of Warcraft Classic</w:t>
      </w:r>
      <w:r>
        <w:rPr>
          <w:rFonts w:ascii="Arial" w:cs="Arial" w:eastAsia="Arial" w:hAnsi="Arial"/>
          <w:sz w:val="15"/>
          <w:szCs w:val="15"/>
          <w:color w:val="auto"/>
        </w:rPr>
        <w:t xml:space="preserve"> in August 2019);</w:t>
      </w:r>
    </w:p>
    <w:p>
      <w:pPr>
        <w:spacing w:after="0" w:line="105" w:lineRule="exact"/>
        <w:rPr>
          <w:rFonts w:ascii="Arial" w:cs="Arial" w:eastAsia="Arial" w:hAnsi="Arial"/>
          <w:sz w:val="16"/>
          <w:szCs w:val="16"/>
          <w:color w:val="auto"/>
        </w:rPr>
      </w:pPr>
    </w:p>
    <w:p>
      <w:pPr>
        <w:ind w:left="920" w:right="220" w:hanging="306"/>
        <w:spacing w:after="0" w:line="25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 $239 million decrease in Activision net bookings primarily driven by (1) lower net bookings from the Destiny franchise (reflecting our sale of the publishing rights for Destiny to Bungie in December 2018) and (2) lower net bookings from Call of Duty franchise catalog titles, partially offset by net bookings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xml:space="preserve">, </w:t>
      </w: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xml:space="preserve">, and </w:t>
      </w:r>
      <w:r>
        <w:rPr>
          <w:rFonts w:ascii="Arial" w:cs="Arial" w:eastAsia="Arial" w:hAnsi="Arial"/>
          <w:sz w:val="17"/>
          <w:szCs w:val="17"/>
          <w:i w:val="1"/>
          <w:iCs w:val="1"/>
          <w:color w:val="auto"/>
        </w:rPr>
        <w:t>Call of Duty: Mobile</w:t>
      </w:r>
      <w:r>
        <w:rPr>
          <w:rFonts w:ascii="Arial" w:cs="Arial" w:eastAsia="Arial" w:hAnsi="Arial"/>
          <w:sz w:val="17"/>
          <w:szCs w:val="17"/>
          <w:color w:val="auto"/>
        </w:rPr>
        <w:t>, which were new releases in March 2019, June 2019, and October 2019, respectively;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920" w:right="460" w:hanging="306"/>
        <w:spacing w:after="0" w:line="274"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$55 million decrease in King net bookings primarily driven by lower net bookings from player purchases across various franchise titles, primarily driven by the Candy Crush franchise, partially offset by an increase in advertising net bookings.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In-game net bookings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in-game net bookings for 2019, as compared to 2018, was primarily due to:</w:t>
      </w:r>
    </w:p>
    <w:p>
      <w:pPr>
        <w:spacing w:after="0" w:line="213" w:lineRule="exact"/>
        <w:rPr>
          <w:sz w:val="20"/>
          <w:szCs w:val="20"/>
          <w:color w:val="auto"/>
        </w:rPr>
      </w:pPr>
    </w:p>
    <w:p>
      <w:pPr>
        <w:ind w:left="920" w:right="220" w:hanging="306"/>
        <w:spacing w:after="0" w:line="274"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$539 million decrease in Blizzard in-game net bookings primarily driven by (1) lower in-game net bookings from </w:t>
      </w:r>
      <w:r>
        <w:rPr>
          <w:rFonts w:ascii="Arial" w:cs="Arial" w:eastAsia="Arial" w:hAnsi="Arial"/>
          <w:sz w:val="17"/>
          <w:szCs w:val="17"/>
          <w:i w:val="1"/>
          <w:iCs w:val="1"/>
          <w:color w:val="auto"/>
        </w:rPr>
        <w:t>Hearthstone</w:t>
      </w:r>
      <w:r>
        <w:rPr>
          <w:rFonts w:ascii="Arial" w:cs="Arial" w:eastAsia="Arial" w:hAnsi="Arial"/>
          <w:sz w:val="17"/>
          <w:szCs w:val="17"/>
          <w:color w:val="auto"/>
        </w:rPr>
        <w:t xml:space="preserve"> and (2) lower in-game net bookings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in part due to </w:t>
      </w:r>
      <w:r>
        <w:rPr>
          <w:rFonts w:ascii="Arial" w:cs="Arial" w:eastAsia="Arial" w:hAnsi="Arial"/>
          <w:sz w:val="17"/>
          <w:szCs w:val="17"/>
          <w:i w:val="1"/>
          <w:iCs w:val="1"/>
          <w:color w:val="auto"/>
        </w:rPr>
        <w:t>World of Warcraft: Battle for Azeroth</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920" w:right="220" w:hanging="306"/>
        <w:spacing w:after="0" w:line="274"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 $167 million decrease in Activision in-game net bookings primarily due to lower in-game net bookings from the Destiny franchise, partially offset by in-game net bookings from </w:t>
      </w: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left="920" w:right="20" w:hanging="306"/>
        <w:spacing w:after="0" w:line="274"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$131 million decrease in King in-game net bookings primarily due to lower in-game net bookings across various franchise titles, primarily driven by the Candy Crush franchise.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Monthly Active Users</w:t>
      </w:r>
    </w:p>
    <w:p>
      <w:pPr>
        <w:spacing w:after="0" w:line="213" w:lineRule="exact"/>
        <w:rPr>
          <w:sz w:val="20"/>
          <w:szCs w:val="20"/>
          <w:color w:val="auto"/>
        </w:rPr>
      </w:pPr>
    </w:p>
    <w:p>
      <w:pPr>
        <w:ind w:right="60" w:firstLine="382"/>
        <w:spacing w:after="0" w:line="272" w:lineRule="auto"/>
        <w:rPr>
          <w:sz w:val="20"/>
          <w:szCs w:val="20"/>
          <w:color w:val="auto"/>
        </w:rPr>
      </w:pPr>
      <w:r>
        <w:rPr>
          <w:rFonts w:ascii="Arial" w:cs="Arial" w:eastAsia="Arial" w:hAnsi="Arial"/>
          <w:sz w:val="16"/>
          <w:szCs w:val="16"/>
          <w:color w:val="auto"/>
        </w:rPr>
        <w:t>We monitor monthly active users (“MAUs”) as a key measure of the overall size of our user base. MAUs are the number of individuals who accessed a particular game in a given month. We calculate average MAUs in a period by adding the total number of MAUs in each of the months in a given period and dividing that total by the number of months in the period. An individual who accesses two of our games would be counted as two users. In addition, due to technical limitations, for Activision and King, an individual who accesses the same game on two platforms or devices in the relevant period would be counted as two users. For Blizzard, an individual who accesses the same game on two platforms or devices in the relevant period would generally be counted as a single user. In certain instances, we rely on third parties to publish our games. In these instances, MAU data is based on information provided to us by those third parties, or, if final data is not available, reasonable estimates of MAUs for these third-party published games.</w:t>
      </w:r>
    </w:p>
    <w:p>
      <w:pPr>
        <w:spacing w:after="0" w:line="172" w:lineRule="exact"/>
        <w:rPr>
          <w:sz w:val="20"/>
          <w:szCs w:val="20"/>
          <w:color w:val="auto"/>
        </w:rPr>
      </w:pPr>
    </w:p>
    <w:p>
      <w:pPr>
        <w:ind w:right="60" w:firstLine="382"/>
        <w:spacing w:after="0" w:line="258" w:lineRule="auto"/>
        <w:rPr>
          <w:sz w:val="20"/>
          <w:szCs w:val="20"/>
          <w:color w:val="auto"/>
        </w:rPr>
      </w:pPr>
      <w:r>
        <w:rPr>
          <w:rFonts w:ascii="Arial" w:cs="Arial" w:eastAsia="Arial" w:hAnsi="Arial"/>
          <w:sz w:val="17"/>
          <w:szCs w:val="17"/>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each of our reportable segments (amounts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500" w:type="dxa"/>
            <w:vAlign w:val="bottom"/>
          </w:tcPr>
          <w:p>
            <w:pPr>
              <w:spacing w:after="0"/>
              <w:rPr>
                <w:sz w:val="17"/>
                <w:szCs w:val="17"/>
                <w:color w:val="auto"/>
              </w:rPr>
            </w:pPr>
          </w:p>
        </w:tc>
        <w:tc>
          <w:tcPr>
            <w:tcW w:w="1720" w:type="dxa"/>
            <w:vAlign w:val="bottom"/>
            <w:gridSpan w:val="2"/>
          </w:tcPr>
          <w:p>
            <w:pPr>
              <w:ind w:left="180"/>
              <w:spacing w:after="0"/>
              <w:rPr>
                <w:sz w:val="20"/>
                <w:szCs w:val="20"/>
                <w:color w:val="auto"/>
              </w:rPr>
            </w:pPr>
            <w:r>
              <w:rPr>
                <w:rFonts w:ascii="Arial" w:cs="Arial" w:eastAsia="Arial" w:hAnsi="Arial"/>
                <w:sz w:val="15"/>
                <w:szCs w:val="15"/>
                <w:b w:val="1"/>
                <w:bCs w:val="1"/>
                <w:color w:val="auto"/>
              </w:rPr>
              <w:t>December 31, 2019</w:t>
            </w:r>
          </w:p>
        </w:tc>
        <w:tc>
          <w:tcPr>
            <w:tcW w:w="1720" w:type="dxa"/>
            <w:vAlign w:val="bottom"/>
            <w:gridSpan w:val="2"/>
          </w:tcPr>
          <w:p>
            <w:pPr>
              <w:ind w:left="160"/>
              <w:spacing w:after="0"/>
              <w:rPr>
                <w:sz w:val="20"/>
                <w:szCs w:val="20"/>
                <w:color w:val="auto"/>
              </w:rPr>
            </w:pPr>
            <w:r>
              <w:rPr>
                <w:rFonts w:ascii="Arial" w:cs="Arial" w:eastAsia="Arial" w:hAnsi="Arial"/>
                <w:sz w:val="15"/>
                <w:szCs w:val="15"/>
                <w:b w:val="1"/>
                <w:bCs w:val="1"/>
                <w:color w:val="auto"/>
              </w:rPr>
              <w:t>September 30, 2019</w:t>
            </w:r>
          </w:p>
        </w:tc>
        <w:tc>
          <w:tcPr>
            <w:tcW w:w="1480" w:type="dxa"/>
            <w:vAlign w:val="bottom"/>
            <w:gridSpan w:val="2"/>
          </w:tcPr>
          <w:p>
            <w:pPr>
              <w:ind w:left="240"/>
              <w:spacing w:after="0"/>
              <w:rPr>
                <w:sz w:val="20"/>
                <w:szCs w:val="20"/>
                <w:color w:val="auto"/>
              </w:rPr>
            </w:pPr>
            <w:r>
              <w:rPr>
                <w:rFonts w:ascii="Arial" w:cs="Arial" w:eastAsia="Arial" w:hAnsi="Arial"/>
                <w:sz w:val="15"/>
                <w:szCs w:val="15"/>
                <w:b w:val="1"/>
                <w:bCs w:val="1"/>
                <w:color w:val="auto"/>
              </w:rPr>
              <w:t>June 30, 2019</w:t>
            </w:r>
          </w:p>
        </w:tc>
        <w:tc>
          <w:tcPr>
            <w:tcW w:w="1720" w:type="dxa"/>
            <w:vAlign w:val="bottom"/>
            <w:gridSpan w:val="2"/>
          </w:tcPr>
          <w:p>
            <w:pPr>
              <w:ind w:left="300"/>
              <w:spacing w:after="0"/>
              <w:rPr>
                <w:sz w:val="20"/>
                <w:szCs w:val="20"/>
                <w:color w:val="auto"/>
              </w:rPr>
            </w:pPr>
            <w:r>
              <w:rPr>
                <w:rFonts w:ascii="Arial" w:cs="Arial" w:eastAsia="Arial" w:hAnsi="Arial"/>
                <w:sz w:val="15"/>
                <w:szCs w:val="15"/>
                <w:b w:val="1"/>
                <w:bCs w:val="1"/>
                <w:color w:val="auto"/>
              </w:rPr>
              <w:t>March 31, 2019</w:t>
            </w:r>
          </w:p>
        </w:tc>
        <w:tc>
          <w:tcPr>
            <w:tcW w:w="1700" w:type="dxa"/>
            <w:vAlign w:val="bottom"/>
            <w:gridSpan w:val="2"/>
          </w:tcPr>
          <w:p>
            <w:pPr>
              <w:ind w:left="180"/>
              <w:spacing w:after="0"/>
              <w:rPr>
                <w:sz w:val="20"/>
                <w:szCs w:val="20"/>
                <w:color w:val="auto"/>
              </w:rPr>
            </w:pPr>
            <w:r>
              <w:rPr>
                <w:rFonts w:ascii="Arial" w:cs="Arial" w:eastAsia="Arial" w:hAnsi="Arial"/>
                <w:sz w:val="15"/>
                <w:szCs w:val="15"/>
                <w:b w:val="1"/>
                <w:bCs w:val="1"/>
                <w:color w:val="auto"/>
              </w:rPr>
              <w:t>December 31, 2018</w:t>
            </w:r>
          </w:p>
        </w:tc>
        <w:tc>
          <w:tcPr>
            <w:tcW w:w="1580" w:type="dxa"/>
            <w:vAlign w:val="bottom"/>
          </w:tcPr>
          <w:p>
            <w:pPr>
              <w:jc w:val="right"/>
              <w:ind w:right="57"/>
              <w:spacing w:after="0"/>
              <w:rPr>
                <w:sz w:val="20"/>
                <w:szCs w:val="20"/>
                <w:color w:val="auto"/>
              </w:rPr>
            </w:pPr>
            <w:r>
              <w:rPr>
                <w:rFonts w:ascii="Arial" w:cs="Arial" w:eastAsia="Arial" w:hAnsi="Arial"/>
                <w:sz w:val="15"/>
                <w:szCs w:val="15"/>
                <w:b w:val="1"/>
                <w:bCs w:val="1"/>
                <w:color w:val="auto"/>
              </w:rPr>
              <w:t>September 30, 2018</w:t>
            </w:r>
          </w:p>
        </w:tc>
      </w:tr>
      <w:tr>
        <w:trPr>
          <w:trHeight w:val="31"/>
        </w:trPr>
        <w:tc>
          <w:tcPr>
            <w:tcW w:w="15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8"/>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46</w:t>
            </w:r>
          </w:p>
        </w:tc>
      </w:tr>
      <w:tr>
        <w:trPr>
          <w:trHeight w:val="228"/>
        </w:trPr>
        <w:tc>
          <w:tcPr>
            <w:tcW w:w="1500" w:type="dxa"/>
            <w:vAlign w:val="bottom"/>
          </w:tcPr>
          <w:p>
            <w:pPr>
              <w:ind w:left="20"/>
              <w:spacing w:after="0"/>
              <w:rPr>
                <w:sz w:val="20"/>
                <w:szCs w:val="20"/>
                <w:color w:val="auto"/>
              </w:rPr>
            </w:pPr>
            <w:r>
              <w:rPr>
                <w:rFonts w:ascii="Arial" w:cs="Arial" w:eastAsia="Arial" w:hAnsi="Arial"/>
                <w:sz w:val="17"/>
                <w:szCs w:val="17"/>
                <w:color w:val="auto"/>
              </w:rPr>
              <w:t>Blizzard</w:t>
            </w: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19"/>
                <w:szCs w:val="19"/>
                <w:color w:val="auto"/>
              </w:rPr>
            </w:pPr>
          </w:p>
        </w:tc>
        <w:tc>
          <w:tcPr>
            <w:tcW w:w="1600" w:type="dxa"/>
            <w:vAlign w:val="bottom"/>
          </w:tcPr>
          <w:p>
            <w:pPr>
              <w:jc w:val="right"/>
              <w:ind w:right="37"/>
              <w:spacing w:after="0"/>
              <w:rPr>
                <w:sz w:val="20"/>
                <w:szCs w:val="20"/>
                <w:color w:val="auto"/>
              </w:rPr>
            </w:pPr>
            <w:r>
              <w:rPr>
                <w:rFonts w:ascii="Arial" w:cs="Arial" w:eastAsia="Arial" w:hAnsi="Arial"/>
                <w:sz w:val="17"/>
                <w:szCs w:val="17"/>
                <w:color w:val="auto"/>
              </w:rPr>
              <w:t>33</w:t>
            </w:r>
          </w:p>
        </w:tc>
        <w:tc>
          <w:tcPr>
            <w:tcW w:w="120" w:type="dxa"/>
            <w:vAlign w:val="bottom"/>
          </w:tcPr>
          <w:p>
            <w:pPr>
              <w:spacing w:after="0"/>
              <w:rPr>
                <w:sz w:val="19"/>
                <w:szCs w:val="19"/>
                <w:color w:val="auto"/>
              </w:rPr>
            </w:pPr>
          </w:p>
        </w:tc>
        <w:tc>
          <w:tcPr>
            <w:tcW w:w="1380" w:type="dxa"/>
            <w:vAlign w:val="bottom"/>
          </w:tcPr>
          <w:p>
            <w:pPr>
              <w:jc w:val="right"/>
              <w:ind w:right="37"/>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620" w:type="dxa"/>
            <w:vAlign w:val="bottom"/>
          </w:tcPr>
          <w:p>
            <w:pPr>
              <w:jc w:val="right"/>
              <w:ind w:right="37"/>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1600" w:type="dxa"/>
            <w:vAlign w:val="bottom"/>
          </w:tcPr>
          <w:p>
            <w:pPr>
              <w:jc w:val="right"/>
              <w:ind w:right="17"/>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1580" w:type="dxa"/>
            <w:vAlign w:val="bottom"/>
          </w:tcPr>
          <w:p>
            <w:pPr>
              <w:jc w:val="right"/>
              <w:ind w:right="17"/>
              <w:spacing w:after="0"/>
              <w:rPr>
                <w:sz w:val="20"/>
                <w:szCs w:val="20"/>
                <w:color w:val="auto"/>
              </w:rPr>
            </w:pPr>
            <w:r>
              <w:rPr>
                <w:rFonts w:ascii="Arial" w:cs="Arial" w:eastAsia="Arial" w:hAnsi="Arial"/>
                <w:sz w:val="17"/>
                <w:szCs w:val="17"/>
                <w:color w:val="auto"/>
              </w:rPr>
              <w:t>37</w:t>
            </w:r>
          </w:p>
        </w:tc>
      </w:tr>
      <w:tr>
        <w:trPr>
          <w:trHeight w:val="27"/>
        </w:trPr>
        <w:tc>
          <w:tcPr>
            <w:tcW w:w="15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5"/>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247</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262</w:t>
            </w:r>
          </w:p>
        </w:tc>
      </w:tr>
      <w:tr>
        <w:trPr>
          <w:trHeight w:val="241"/>
        </w:trPr>
        <w:tc>
          <w:tcPr>
            <w:tcW w:w="1500" w:type="dxa"/>
            <w:vAlign w:val="bottom"/>
          </w:tcPr>
          <w:p>
            <w:pPr>
              <w:ind w:left="20"/>
              <w:spacing w:after="0"/>
              <w:rPr>
                <w:sz w:val="20"/>
                <w:szCs w:val="20"/>
                <w:color w:val="auto"/>
              </w:rPr>
            </w:pPr>
            <w:r>
              <w:rPr>
                <w:rFonts w:ascii="Arial" w:cs="Arial" w:eastAsia="Arial" w:hAnsi="Arial"/>
                <w:sz w:val="17"/>
                <w:szCs w:val="17"/>
                <w:color w:val="auto"/>
              </w:rPr>
              <w:t>Total</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409</w:t>
            </w:r>
          </w:p>
        </w:tc>
        <w:tc>
          <w:tcPr>
            <w:tcW w:w="12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316</w:t>
            </w:r>
          </w:p>
        </w:tc>
        <w:tc>
          <w:tcPr>
            <w:tcW w:w="12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327</w:t>
            </w:r>
          </w:p>
        </w:tc>
        <w:tc>
          <w:tcPr>
            <w:tcW w:w="10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345</w:t>
            </w:r>
          </w:p>
        </w:tc>
        <w:tc>
          <w:tcPr>
            <w:tcW w:w="10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356</w:t>
            </w:r>
          </w:p>
        </w:tc>
        <w:tc>
          <w:tcPr>
            <w:tcW w:w="100" w:type="dxa"/>
            <w:vAlign w:val="bottom"/>
          </w:tcPr>
          <w:p>
            <w:pPr>
              <w:spacing w:after="0"/>
              <w:rPr>
                <w:sz w:val="20"/>
                <w:szCs w:val="20"/>
                <w:color w:val="auto"/>
              </w:rPr>
            </w:pPr>
          </w:p>
        </w:tc>
        <w:tc>
          <w:tcPr>
            <w:tcW w:w="15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345</w:t>
            </w:r>
          </w:p>
        </w:tc>
      </w:tr>
      <w:tr>
        <w:trPr>
          <w:trHeight w:val="20"/>
        </w:trPr>
        <w:tc>
          <w:tcPr>
            <w:tcW w:w="15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80" w:firstLine="382"/>
        <w:spacing w:after="0" w:line="262" w:lineRule="auto"/>
        <w:rPr>
          <w:sz w:val="20"/>
          <w:szCs w:val="20"/>
          <w:color w:val="auto"/>
        </w:rPr>
      </w:pPr>
      <w:r>
        <w:rPr>
          <w:rFonts w:ascii="Arial" w:cs="Arial" w:eastAsia="Arial" w:hAnsi="Arial"/>
          <w:sz w:val="17"/>
          <w:szCs w:val="17"/>
          <w:color w:val="auto"/>
        </w:rPr>
        <w:t xml:space="preserve">Average MAUs increased by 93 million, or 29%, for the three months ended December 31, 2019, as compared to the three months ended September 30, 2019, primarily due to an increase in average MAUs for Activision driven by the Call of Duty franchise as a result of the October 2019 launches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and </w:t>
      </w:r>
      <w:r>
        <w:rPr>
          <w:rFonts w:ascii="Arial" w:cs="Arial" w:eastAsia="Arial" w:hAnsi="Arial"/>
          <w:sz w:val="17"/>
          <w:szCs w:val="17"/>
          <w:i w:val="1"/>
          <w:iCs w:val="1"/>
          <w:color w:val="auto"/>
        </w:rPr>
        <w:t>Call of Duty: Modern Warfare.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firstLine="382"/>
        <w:spacing w:after="0" w:line="262" w:lineRule="auto"/>
        <w:rPr>
          <w:sz w:val="20"/>
          <w:szCs w:val="20"/>
          <w:color w:val="auto"/>
        </w:rPr>
      </w:pPr>
      <w:r>
        <w:rPr>
          <w:rFonts w:ascii="Arial" w:cs="Arial" w:eastAsia="Arial" w:hAnsi="Arial"/>
          <w:sz w:val="17"/>
          <w:szCs w:val="17"/>
          <w:color w:val="auto"/>
        </w:rPr>
        <w:t xml:space="preserve">Average MAUs increased by 53 million, or 15%, for the three months ended December 31, 2019, as compared to the three months ended December 31, 2018. The year-over-year increase in average MAUs is due to higher average MAUs for Activision, primarily driven by the launch </w:t>
      </w:r>
      <w:r>
        <w:rPr>
          <w:rFonts w:ascii="Arial" w:cs="Arial" w:eastAsia="Arial" w:hAnsi="Arial"/>
          <w:sz w:val="17"/>
          <w:szCs w:val="17"/>
          <w:i w:val="1"/>
          <w:iCs w:val="1"/>
          <w:color w:val="auto"/>
        </w:rPr>
        <w:t>Call of Duty: Mobile</w:t>
      </w:r>
      <w:r>
        <w:rPr>
          <w:rFonts w:ascii="Arial" w:cs="Arial" w:eastAsia="Arial" w:hAnsi="Arial"/>
          <w:sz w:val="17"/>
          <w:szCs w:val="17"/>
          <w:color w:val="auto"/>
        </w:rPr>
        <w:t>, partially offset by the absence of Destiny MAUs in our operating metric</w:t>
      </w:r>
      <w:r>
        <w:rPr>
          <w:rFonts w:ascii="Arial" w:cs="Arial" w:eastAsia="Arial" w:hAnsi="Arial"/>
          <w:sz w:val="17"/>
          <w:szCs w:val="17"/>
          <w:i w:val="1"/>
          <w:iCs w:val="1"/>
          <w:color w:val="auto"/>
        </w:rPr>
        <w:t>.</w:t>
      </w:r>
      <w:r>
        <w:rPr>
          <w:rFonts w:ascii="Arial" w:cs="Arial" w:eastAsia="Arial" w:hAnsi="Arial"/>
          <w:sz w:val="17"/>
          <w:szCs w:val="17"/>
          <w:color w:val="auto"/>
        </w:rPr>
        <w:t xml:space="preserve"> The overall increase is partially offset by:</w:t>
      </w:r>
    </w:p>
    <w:p>
      <w:pPr>
        <w:spacing w:after="0" w:line="176" w:lineRule="exact"/>
        <w:rPr>
          <w:sz w:val="20"/>
          <w:szCs w:val="20"/>
          <w:color w:val="auto"/>
        </w:rPr>
      </w:pPr>
    </w:p>
    <w:p>
      <w:pPr>
        <w:ind w:left="920" w:hanging="306"/>
        <w:spacing w:after="0"/>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decreases across King’s various franchises, primarily from less engaged users leaving the network; and</w:t>
      </w:r>
    </w:p>
    <w:p>
      <w:pPr>
        <w:spacing w:after="0" w:line="212" w:lineRule="exact"/>
        <w:rPr>
          <w:rFonts w:ascii="Arial" w:cs="Arial" w:eastAsia="Arial" w:hAnsi="Arial"/>
          <w:sz w:val="17"/>
          <w:szCs w:val="17"/>
          <w:color w:val="auto"/>
        </w:rPr>
      </w:pPr>
    </w:p>
    <w:p>
      <w:pPr>
        <w:ind w:left="920" w:right="300" w:hanging="306"/>
        <w:spacing w:after="0" w:line="274"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lower average MAUs for Blizzard due to lower average MAUs for </w:t>
      </w:r>
      <w:r>
        <w:rPr>
          <w:rFonts w:ascii="Arial" w:cs="Arial" w:eastAsia="Arial" w:hAnsi="Arial"/>
          <w:sz w:val="17"/>
          <w:szCs w:val="17"/>
          <w:i w:val="1"/>
          <w:iCs w:val="1"/>
          <w:color w:val="auto"/>
        </w:rPr>
        <w:t>Hearthstone</w:t>
      </w:r>
      <w:r>
        <w:rPr>
          <w:rFonts w:ascii="Arial" w:cs="Arial" w:eastAsia="Arial" w:hAnsi="Arial"/>
          <w:sz w:val="17"/>
          <w:szCs w:val="17"/>
          <w:color w:val="auto"/>
        </w:rPr>
        <w:t xml:space="preserve"> and </w:t>
      </w:r>
      <w:r>
        <w:rPr>
          <w:rFonts w:ascii="Arial" w:cs="Arial" w:eastAsia="Arial" w:hAnsi="Arial"/>
          <w:sz w:val="17"/>
          <w:szCs w:val="17"/>
          <w:i w:val="1"/>
          <w:iCs w:val="1"/>
          <w:color w:val="auto"/>
        </w:rPr>
        <w:t>Overwatch</w:t>
      </w:r>
      <w:r>
        <w:rPr>
          <w:rFonts w:ascii="Arial" w:cs="Arial" w:eastAsia="Arial" w:hAnsi="Arial"/>
          <w:sz w:val="17"/>
          <w:szCs w:val="17"/>
          <w:color w:val="auto"/>
        </w:rPr>
        <w:t xml:space="preserve">, partially offset by higher average MAUs for </w:t>
      </w:r>
      <w:r>
        <w:rPr>
          <w:rFonts w:ascii="Arial" w:cs="Arial" w:eastAsia="Arial" w:hAnsi="Arial"/>
          <w:sz w:val="17"/>
          <w:szCs w:val="17"/>
          <w:i w:val="1"/>
          <w:iCs w:val="1"/>
          <w:color w:val="auto"/>
        </w:rPr>
        <w:t>World of</w:t>
      </w:r>
      <w:r>
        <w:rPr>
          <w:rFonts w:ascii="Arial" w:cs="Arial" w:eastAsia="Arial" w:hAnsi="Arial"/>
          <w:sz w:val="17"/>
          <w:szCs w:val="17"/>
          <w:color w:val="auto"/>
        </w:rPr>
        <w:t xml:space="preserve"> </w:t>
      </w:r>
      <w:r>
        <w:rPr>
          <w:rFonts w:ascii="Arial" w:cs="Arial" w:eastAsia="Arial" w:hAnsi="Arial"/>
          <w:sz w:val="17"/>
          <w:szCs w:val="17"/>
          <w:i w:val="1"/>
          <w:iCs w:val="1"/>
          <w:color w:val="auto"/>
        </w:rPr>
        <w:t>Warcraft</w:t>
      </w:r>
      <w:r>
        <w:rPr>
          <w:rFonts w:ascii="Arial" w:cs="Arial" w:eastAsia="Arial" w:hAnsi="Arial"/>
          <w:sz w:val="17"/>
          <w:szCs w:val="17"/>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Overview of Business Trends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Interactive Entertainment Growth, Including Mobile Gaming</w:t>
      </w:r>
    </w:p>
    <w:p>
      <w:pPr>
        <w:spacing w:after="0" w:line="213" w:lineRule="exact"/>
        <w:rPr>
          <w:sz w:val="20"/>
          <w:szCs w:val="20"/>
          <w:color w:val="auto"/>
        </w:rPr>
      </w:pPr>
    </w:p>
    <w:p>
      <w:pPr>
        <w:ind w:right="20" w:firstLine="382"/>
        <w:spacing w:after="0" w:line="286" w:lineRule="auto"/>
        <w:rPr>
          <w:sz w:val="20"/>
          <w:szCs w:val="20"/>
          <w:color w:val="auto"/>
        </w:rPr>
      </w:pPr>
      <w:r>
        <w:rPr>
          <w:rFonts w:ascii="Arial" w:cs="Arial" w:eastAsia="Arial" w:hAnsi="Arial"/>
          <w:sz w:val="16"/>
          <w:szCs w:val="16"/>
          <w:color w:val="auto"/>
        </w:rPr>
        <w:t>Our business participates in the global interactive entertainment industry. Games have become an increasingly popular form of entertainment, and we estimate the total industry has grown, on average, 13% annually from 2016 to 2019. The industry continues to benefit from additional players entering the market as interactive entertainment becomes more commonplace across age groups and as more developing regions gain access to this form of entertainment.</w:t>
      </w:r>
    </w:p>
    <w:p>
      <w:pPr>
        <w:spacing w:after="0" w:line="158" w:lineRule="exact"/>
        <w:rPr>
          <w:sz w:val="20"/>
          <w:szCs w:val="20"/>
          <w:color w:val="auto"/>
        </w:rPr>
      </w:pPr>
    </w:p>
    <w:p>
      <w:pPr>
        <w:ind w:right="20" w:firstLine="382"/>
        <w:spacing w:after="0" w:line="256" w:lineRule="auto"/>
        <w:rPr>
          <w:sz w:val="20"/>
          <w:szCs w:val="20"/>
          <w:color w:val="auto"/>
        </w:rPr>
      </w:pPr>
      <w:r>
        <w:rPr>
          <w:rFonts w:ascii="Arial" w:cs="Arial" w:eastAsia="Arial" w:hAnsi="Arial"/>
          <w:sz w:val="17"/>
          <w:szCs w:val="17"/>
          <w:color w:val="auto"/>
        </w:rPr>
        <w:t xml:space="preserve">Further, wide adoption of smartphones globally and the free-to-play business model on those platforms has increased the total addressable audience for gaming significantly by introducing gaming to new age groups and new regions and allowing gaming to occur more widely outside the home. Mobile gaming is estimated to be larger than console and PC gaming, and continues to grow at a significant rate. King is a leading developer of mobile and free-to-play games, and our other business units have mobile efforts underway that present the opportunity for us to expand the reach of, and drive additional player investment in our franchises. The October 2019 launch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is an example of these efforts.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Opportunities to Expand Franchises Outside of Games</w:t>
      </w:r>
    </w:p>
    <w:p>
      <w:pPr>
        <w:spacing w:after="0" w:line="213" w:lineRule="exact"/>
        <w:rPr>
          <w:sz w:val="20"/>
          <w:szCs w:val="20"/>
          <w:color w:val="auto"/>
        </w:rPr>
      </w:pPr>
    </w:p>
    <w:p>
      <w:pPr>
        <w:ind w:right="20" w:firstLine="382"/>
        <w:spacing w:after="0" w:line="258" w:lineRule="auto"/>
        <w:rPr>
          <w:sz w:val="20"/>
          <w:szCs w:val="20"/>
          <w:color w:val="auto"/>
        </w:rPr>
      </w:pPr>
      <w:r>
        <w:rPr>
          <w:rFonts w:ascii="Arial" w:cs="Arial" w:eastAsia="Arial" w:hAnsi="Arial"/>
          <w:sz w:val="17"/>
          <w:szCs w:val="17"/>
          <w:color w:val="auto"/>
        </w:rPr>
        <w:t>Our fans spend significant time engaging in our franchises and investing through purchases of our game content, including full games, downloadable content and microtransactions. Given the passion our players have for our franchises, we believe there are emerging opportunities to drive additional engagement and investment in our franchises outside of games. Our efforts to build these adjacent opportunities are still relatively nascent, but we view them as potentially significant sources of future revenues.</w:t>
      </w:r>
    </w:p>
    <w:p>
      <w:pPr>
        <w:spacing w:after="0" w:line="179" w:lineRule="exact"/>
        <w:rPr>
          <w:sz w:val="20"/>
          <w:szCs w:val="20"/>
          <w:color w:val="auto"/>
        </w:rPr>
      </w:pPr>
    </w:p>
    <w:p>
      <w:pPr>
        <w:ind w:right="60" w:firstLine="382"/>
        <w:spacing w:after="0" w:line="262" w:lineRule="auto"/>
        <w:rPr>
          <w:sz w:val="20"/>
          <w:szCs w:val="20"/>
          <w:color w:val="auto"/>
        </w:rPr>
      </w:pPr>
      <w:r>
        <w:rPr>
          <w:rFonts w:ascii="Arial" w:cs="Arial" w:eastAsia="Arial" w:hAnsi="Arial"/>
          <w:sz w:val="17"/>
          <w:szCs w:val="17"/>
          <w:color w:val="auto"/>
        </w:rPr>
        <w:t>For example, as part of our efforts to take advantage of esports opportunities, we have sold rights for 20 teams that are participating in the Overwatch League, which recently began its third season in February 2020, and, during 2019, we sold rights for the first 12 teams for the Call of Duty League, which began its first season in January 2020.</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Sales Among the Most Popular Franchises</w:t>
      </w:r>
    </w:p>
    <w:p>
      <w:pPr>
        <w:spacing w:after="0" w:line="213"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The concentration of retail revenues among key titles has continued as a trend in the overall interactive entertainment industry. According to The NPD Group, the top 10 titles accounted for 33% of the retail sales in the U.S. interactive entertainment industry in 2019. Similarly, a significant portion of our revenues historically has been derived from video games based on a few popular franchises, and these video games have also been responsible for a disproportionately high percentage of our profits. For example, in 2019, the Call of Duty, Candy Crush, and World of Warcraft franchises, collectively, accounted for 67% of our consolidated net revenues—and a significantly higher percentage of our operating income.</w:t>
      </w:r>
    </w:p>
    <w:p>
      <w:pPr>
        <w:spacing w:after="0" w:line="181" w:lineRule="exact"/>
        <w:rPr>
          <w:sz w:val="20"/>
          <w:szCs w:val="20"/>
          <w:color w:val="auto"/>
        </w:rPr>
      </w:pPr>
    </w:p>
    <w:p>
      <w:pPr>
        <w:ind w:right="60" w:firstLine="382"/>
        <w:spacing w:after="0" w:line="286" w:lineRule="auto"/>
        <w:rPr>
          <w:sz w:val="20"/>
          <w:szCs w:val="20"/>
          <w:color w:val="auto"/>
        </w:rPr>
      </w:pPr>
      <w:r>
        <w:rPr>
          <w:rFonts w:ascii="Arial" w:cs="Arial" w:eastAsia="Arial" w:hAnsi="Arial"/>
          <w:sz w:val="16"/>
          <w:szCs w:val="16"/>
          <w:color w:val="auto"/>
        </w:rPr>
        <w:t>The top titles in the industry are also becoming more consistent as players and revenues concentrate more heavily in established franchises. Of the top 10 console franchises in the U.S. in 2019, all 10 are from established franchises. Similarly, according to U.S rankings for the Apple App Store and Google Play Store per App Annie Intelligence as of December 2019, the top 10 mobile games have held such ranking for an average of 25 months.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80" w:firstLine="382"/>
        <w:spacing w:after="0" w:line="279" w:lineRule="auto"/>
        <w:rPr>
          <w:sz w:val="20"/>
          <w:szCs w:val="20"/>
          <w:color w:val="auto"/>
        </w:rPr>
      </w:pPr>
      <w:r>
        <w:rPr>
          <w:rFonts w:ascii="Arial" w:cs="Arial" w:eastAsia="Arial" w:hAnsi="Arial"/>
          <w:sz w:val="16"/>
          <w:szCs w:val="16"/>
          <w:color w:val="auto"/>
        </w:rPr>
        <w:t xml:space="preserve">In addition to investing in, and developing sequels and content for, our top franchises, with the aim of releasing content more frequently, we are continually exploring additional ways to expand those franchises. Further, while there is no guarantee of success, we invest in new properties in an effort to develop future top franchises. For example, in 2014, we released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in 2016, we released </w:t>
      </w:r>
      <w:r>
        <w:rPr>
          <w:rFonts w:ascii="Arial" w:cs="Arial" w:eastAsia="Arial" w:hAnsi="Arial"/>
          <w:sz w:val="16"/>
          <w:szCs w:val="16"/>
          <w:i w:val="1"/>
          <w:iCs w:val="1"/>
          <w:color w:val="auto"/>
        </w:rPr>
        <w:t>Overwatch</w:t>
      </w:r>
      <w:r>
        <w:rPr>
          <w:rFonts w:ascii="Arial" w:cs="Arial" w:eastAsia="Arial" w:hAnsi="Arial"/>
          <w:sz w:val="16"/>
          <w:szCs w:val="16"/>
          <w:color w:val="auto"/>
        </w:rPr>
        <w:t xml:space="preserve">. Additionally, to diversify our portfolio of key franchises and increase our presence on the mobile platform, in 2016, we acquired King. We also have been focusing on expanding our franchises to the mobile platform, as demonstrated by the recently released </w:t>
      </w:r>
      <w:r>
        <w:rPr>
          <w:rFonts w:ascii="Arial" w:cs="Arial" w:eastAsia="Arial" w:hAnsi="Arial"/>
          <w:sz w:val="16"/>
          <w:szCs w:val="16"/>
          <w:i w:val="1"/>
          <w:iCs w:val="1"/>
          <w:color w:val="auto"/>
        </w:rPr>
        <w:t>Call of Duty: Mobile</w:t>
      </w:r>
      <w:r>
        <w:rPr>
          <w:rFonts w:ascii="Arial" w:cs="Arial" w:eastAsia="Arial" w:hAnsi="Arial"/>
          <w:sz w:val="16"/>
          <w:szCs w:val="16"/>
          <w:color w:val="auto"/>
        </w:rPr>
        <w:t xml:space="preserve">, as well as our plans for </w:t>
      </w:r>
      <w:r>
        <w:rPr>
          <w:rFonts w:ascii="Arial" w:cs="Arial" w:eastAsia="Arial" w:hAnsi="Arial"/>
          <w:sz w:val="16"/>
          <w:szCs w:val="16"/>
          <w:i w:val="1"/>
          <w:iCs w:val="1"/>
          <w:color w:val="auto"/>
        </w:rPr>
        <w:t>Diablo Immortal</w:t>
      </w:r>
      <w:r>
        <w:rPr>
          <w:rFonts w:ascii="Arial" w:cs="Arial" w:eastAsia="Arial" w:hAnsi="Arial"/>
          <w:sz w:val="16"/>
          <w:szCs w:val="16"/>
          <w:color w:val="auto"/>
          <w:vertAlign w:val="superscript"/>
        </w:rPr>
        <w:t>TM</w:t>
      </w:r>
      <w:r>
        <w:rPr>
          <w:rFonts w:ascii="Arial" w:cs="Arial" w:eastAsia="Arial" w:hAnsi="Arial"/>
          <w:sz w:val="16"/>
          <w:szCs w:val="16"/>
          <w:color w:val="auto"/>
        </w:rPr>
        <w:t xml:space="preserve"> , which is currently in development.</w:t>
      </w:r>
    </w:p>
    <w:p>
      <w:pPr>
        <w:spacing w:after="0" w:line="155" w:lineRule="exact"/>
        <w:rPr>
          <w:sz w:val="20"/>
          <w:szCs w:val="20"/>
          <w:color w:val="auto"/>
        </w:rPr>
      </w:pPr>
    </w:p>
    <w:p>
      <w:pPr>
        <w:ind w:right="400" w:firstLine="382"/>
        <w:spacing w:after="0" w:line="262" w:lineRule="auto"/>
        <w:rPr>
          <w:sz w:val="20"/>
          <w:szCs w:val="20"/>
          <w:color w:val="auto"/>
        </w:rPr>
      </w:pPr>
      <w:r>
        <w:rPr>
          <w:rFonts w:ascii="Arial" w:cs="Arial" w:eastAsia="Arial" w:hAnsi="Arial"/>
          <w:sz w:val="17"/>
          <w:szCs w:val="17"/>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Revenue Business Models and Seasonality</w:t>
      </w:r>
    </w:p>
    <w:p>
      <w:pPr>
        <w:spacing w:after="0" w:line="213" w:lineRule="exact"/>
        <w:rPr>
          <w:sz w:val="20"/>
          <w:szCs w:val="20"/>
          <w:color w:val="auto"/>
        </w:rPr>
      </w:pPr>
    </w:p>
    <w:p>
      <w:pPr>
        <w:jc w:val="both"/>
        <w:ind w:firstLine="382"/>
        <w:spacing w:after="0" w:line="279" w:lineRule="auto"/>
        <w:rPr>
          <w:sz w:val="20"/>
          <w:szCs w:val="20"/>
          <w:color w:val="auto"/>
        </w:rPr>
      </w:pPr>
      <w:r>
        <w:rPr>
          <w:rFonts w:ascii="Arial" w:cs="Arial" w:eastAsia="Arial" w:hAnsi="Arial"/>
          <w:sz w:val="16"/>
          <w:szCs w:val="16"/>
          <w:color w:val="auto"/>
        </w:rPr>
        <w:t>Increased consumer online connectivity has allowed us to offer players new investment opportunities and to shift our business further towards a more consistently recurring and year-round model. Offering downloadable content and microtransactions, in addition to full games, allows our players to access and invest in new content throughout the year. This incremental content not only provides additional high-margin revenues, it can also increase player engagement. Also, mobile games, and free-to-play games more broadly, are generally less seasonal than premium games developed primarily for the console or PC platforms.</w:t>
      </w:r>
    </w:p>
    <w:p>
      <w:pPr>
        <w:spacing w:after="0" w:line="164" w:lineRule="exact"/>
        <w:rPr>
          <w:sz w:val="20"/>
          <w:szCs w:val="20"/>
          <w:color w:val="auto"/>
        </w:rPr>
      </w:pPr>
    </w:p>
    <w:p>
      <w:pPr>
        <w:ind w:right="240" w:firstLine="382"/>
        <w:spacing w:after="0" w:line="274" w:lineRule="auto"/>
        <w:rPr>
          <w:sz w:val="20"/>
          <w:szCs w:val="20"/>
          <w:color w:val="auto"/>
        </w:rPr>
      </w:pPr>
      <w:r>
        <w:rPr>
          <w:rFonts w:ascii="Arial" w:cs="Arial" w:eastAsia="Arial" w:hAnsi="Arial"/>
          <w:sz w:val="17"/>
          <w:szCs w:val="17"/>
          <w:color w:val="auto"/>
        </w:rPr>
        <w:t>While our business is shifting toward a year-round engagement model, the interactive entertainment industry remains somewhat seasonal. We have historically experienced our highest sales volume, particularly for Activision, in the calendar year-end holiday buying season.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17" w:lineRule="exact"/>
        <w:rPr>
          <w:sz w:val="20"/>
          <w:szCs w:val="20"/>
          <w:color w:val="auto"/>
        </w:rPr>
      </w:pPr>
    </w:p>
    <w:p>
      <w:pPr>
        <w:ind w:right="40" w:firstLine="382"/>
        <w:spacing w:after="0" w:line="295" w:lineRule="auto"/>
        <w:rPr>
          <w:sz w:val="20"/>
          <w:szCs w:val="20"/>
          <w:color w:val="auto"/>
        </w:rPr>
      </w:pPr>
      <w:r>
        <w:rPr>
          <w:rFonts w:ascii="Arial" w:cs="Arial" w:eastAsia="Arial" w:hAnsi="Arial"/>
          <w:sz w:val="15"/>
          <w:szCs w:val="15"/>
          <w:color w:val="auto"/>
        </w:rPr>
        <w:t xml:space="preserve">In the second half of 2020, we plan to release the next premium title in our Call of Duty franchise and the next expansion for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w:t>
      </w:r>
      <w:r>
        <w:rPr>
          <w:rFonts w:ascii="Arial" w:cs="Arial" w:eastAsia="Arial" w:hAnsi="Arial"/>
          <w:sz w:val="15"/>
          <w:szCs w:val="15"/>
          <w:i w:val="1"/>
          <w:iCs w:val="1"/>
          <w:color w:val="auto"/>
        </w:rPr>
        <w:t>World of</w:t>
      </w:r>
      <w:r>
        <w:rPr>
          <w:rFonts w:ascii="Arial" w:cs="Arial" w:eastAsia="Arial" w:hAnsi="Arial"/>
          <w:sz w:val="15"/>
          <w:szCs w:val="15"/>
          <w:color w:val="auto"/>
        </w:rPr>
        <w:t xml:space="preserve"> </w:t>
      </w:r>
      <w:r>
        <w:rPr>
          <w:rFonts w:ascii="Arial" w:cs="Arial" w:eastAsia="Arial" w:hAnsi="Arial"/>
          <w:sz w:val="15"/>
          <w:szCs w:val="15"/>
          <w:i w:val="1"/>
          <w:iCs w:val="1"/>
          <w:color w:val="auto"/>
        </w:rPr>
        <w:t>Warcraft: Shadowlands</w:t>
      </w:r>
      <w:r>
        <w:rPr>
          <w:rFonts w:ascii="Arial" w:cs="Arial" w:eastAsia="Arial" w:hAnsi="Arial"/>
          <w:sz w:val="15"/>
          <w:szCs w:val="15"/>
          <w:color w:val="auto"/>
        </w:rPr>
        <w:t>. In addition, throughout the year we expect to deliver ongoing content for our various franchises, including continued in-game content for</w:t>
      </w:r>
      <w:r>
        <w:rPr>
          <w:rFonts w:ascii="Arial" w:cs="Arial" w:eastAsia="Arial" w:hAnsi="Arial"/>
          <w:sz w:val="15"/>
          <w:szCs w:val="15"/>
          <w:i w:val="1"/>
          <w:iCs w:val="1"/>
          <w:color w:val="auto"/>
        </w:rPr>
        <w:t xml:space="preserve"> Call of Duty: Modern Warfare </w:t>
      </w:r>
      <w:r>
        <w:rPr>
          <w:rFonts w:ascii="Arial" w:cs="Arial" w:eastAsia="Arial" w:hAnsi="Arial"/>
          <w:sz w:val="15"/>
          <w:szCs w:val="15"/>
          <w:color w:val="auto"/>
        </w:rPr>
        <w:t>and</w:t>
      </w:r>
      <w:r>
        <w:rPr>
          <w:rFonts w:ascii="Arial" w:cs="Arial" w:eastAsia="Arial" w:hAnsi="Arial"/>
          <w:sz w:val="15"/>
          <w:szCs w:val="15"/>
          <w:i w:val="1"/>
          <w:iCs w:val="1"/>
          <w:color w:val="auto"/>
        </w:rPr>
        <w:t xml:space="preserve"> Call of Duty: Mobile</w:t>
      </w:r>
      <w:r>
        <w:rPr>
          <w:rFonts w:ascii="Arial" w:cs="Arial" w:eastAsia="Arial" w:hAnsi="Arial"/>
          <w:sz w:val="15"/>
          <w:szCs w:val="15"/>
          <w:color w:val="auto"/>
        </w:rPr>
        <w:t>, expansion packs and content updates for</w:t>
      </w:r>
      <w:r>
        <w:rPr>
          <w:rFonts w:ascii="Arial" w:cs="Arial" w:eastAsia="Arial" w:hAnsi="Arial"/>
          <w:sz w:val="15"/>
          <w:szCs w:val="15"/>
          <w:i w:val="1"/>
          <w:iCs w:val="1"/>
          <w:color w:val="auto"/>
        </w:rPr>
        <w:t xml:space="preserve"> Hearthstone</w:t>
      </w:r>
      <w:r>
        <w:rPr>
          <w:rFonts w:ascii="Arial" w:cs="Arial" w:eastAsia="Arial" w:hAnsi="Arial"/>
          <w:sz w:val="15"/>
          <w:szCs w:val="15"/>
          <w:color w:val="auto"/>
        </w:rPr>
        <w:t>, in-game events for</w:t>
      </w:r>
      <w:r>
        <w:rPr>
          <w:rFonts w:ascii="Arial" w:cs="Arial" w:eastAsia="Arial" w:hAnsi="Arial"/>
          <w:sz w:val="15"/>
          <w:szCs w:val="15"/>
          <w:i w:val="1"/>
          <w:iCs w:val="1"/>
          <w:color w:val="auto"/>
        </w:rPr>
        <w:t xml:space="preserve"> Overwatch</w:t>
      </w:r>
      <w:r>
        <w:rPr>
          <w:rFonts w:ascii="Arial" w:cs="Arial" w:eastAsia="Arial" w:hAnsi="Arial"/>
          <w:sz w:val="15"/>
          <w:szCs w:val="15"/>
          <w:color w:val="auto"/>
        </w:rPr>
        <w:t>, and continued releases of</w:t>
      </w:r>
      <w:r>
        <w:rPr>
          <w:rFonts w:ascii="Arial" w:cs="Arial" w:eastAsia="Arial" w:hAnsi="Arial"/>
          <w:sz w:val="15"/>
          <w:szCs w:val="15"/>
          <w:i w:val="1"/>
          <w:iCs w:val="1"/>
          <w:color w:val="auto"/>
        </w:rPr>
        <w:t xml:space="preserve"> </w:t>
      </w:r>
      <w:r>
        <w:rPr>
          <w:rFonts w:ascii="Arial" w:cs="Arial" w:eastAsia="Arial" w:hAnsi="Arial"/>
          <w:sz w:val="15"/>
          <w:szCs w:val="15"/>
          <w:color w:val="auto"/>
        </w:rPr>
        <w:t>content, features, and services across King’s portfolio with an ongoing focus on the Candy Crush franchise. We will also continue to invest in opportunities that we think have the potential to drive our growth over the long-term, including continuing to build on our advertising and esports initiatives. We expect lower revenues and earnings per share in 2020 as compared to 2019, primarily due to the impact of deferrals as a result of the timing of releases for our games and content updates in 2020.</w:t>
      </w:r>
    </w:p>
    <w:p>
      <w:pPr>
        <w:spacing w:after="0" w:line="156" w:lineRule="exact"/>
        <w:rPr>
          <w:sz w:val="20"/>
          <w:szCs w:val="20"/>
          <w:color w:val="auto"/>
        </w:rPr>
      </w:pPr>
    </w:p>
    <w:p>
      <w:pPr>
        <w:ind w:right="120" w:firstLine="382"/>
        <w:spacing w:after="0" w:line="274" w:lineRule="auto"/>
        <w:rPr>
          <w:rFonts w:ascii="Arial" w:cs="Arial" w:eastAsia="Arial" w:hAnsi="Arial"/>
          <w:sz w:val="16"/>
          <w:szCs w:val="16"/>
          <w:color w:val="auto"/>
        </w:rPr>
      </w:pPr>
      <w:r>
        <w:rPr>
          <w:rFonts w:ascii="Arial" w:cs="Arial" w:eastAsia="Arial" w:hAnsi="Arial"/>
          <w:sz w:val="16"/>
          <w:szCs w:val="16"/>
          <w:color w:val="auto"/>
        </w:rPr>
        <w:t xml:space="preserve">Additionally, during 2019, we implemented our previously announced restructuring plan, which was aimed at refocusing our resources on our largest opportunities and removing unnecessary levels of complexity and duplication from certain parts of the business. The restructuring actions remain in progress and will continue into 2020 as we execute against our plan. During implementation, we expanded the scope of certain actions within our plan aimed at integrating our global and regional sales and “go-to-market” functions, along with certain of our administrative-related functions. We expect to incur aggregate pre-tax restructuring charges of approximately $50 million in 2020 as we complete the execution of the restructuring plan. Refer to </w:t>
      </w:r>
      <w:hyperlink w:anchor="page112">
        <w:r>
          <w:rPr>
            <w:rFonts w:ascii="Arial" w:cs="Arial" w:eastAsia="Arial" w:hAnsi="Arial"/>
            <w:sz w:val="16"/>
            <w:szCs w:val="16"/>
            <w:u w:val="single" w:color="auto"/>
            <w:color w:val="0000EE"/>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Item 8 of this Annual Report on Form 10-K for further discussion.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127"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 Data</w:t>
      </w:r>
    </w:p>
    <w:p>
      <w:pPr>
        <w:spacing w:after="0" w:line="217" w:lineRule="exact"/>
        <w:rPr>
          <w:sz w:val="20"/>
          <w:szCs w:val="20"/>
          <w:color w:val="auto"/>
        </w:rPr>
      </w:pPr>
    </w:p>
    <w:p>
      <w:pPr>
        <w:ind w:right="40" w:firstLine="408"/>
        <w:spacing w:after="0" w:line="274" w:lineRule="auto"/>
        <w:rPr>
          <w:sz w:val="20"/>
          <w:szCs w:val="20"/>
          <w:color w:val="auto"/>
        </w:rPr>
      </w:pPr>
      <w:r>
        <w:rPr>
          <w:rFonts w:ascii="Arial" w:cs="Arial" w:eastAsia="Arial" w:hAnsi="Arial"/>
          <w:sz w:val="17"/>
          <w:szCs w:val="17"/>
          <w:color w:val="auto"/>
        </w:rPr>
        <w:t>The following table sets forth consolidated statements of operations data for the periods indicated (amounts in millions) and as a percentage of total net revenues, except for cost of revenues, which are presented as a percentage of associated revenues: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80" w:type="dxa"/>
            <w:vAlign w:val="bottom"/>
            <w:gridSpan w:val="6"/>
          </w:tcPr>
          <w:p>
            <w:pPr>
              <w:jc w:val="right"/>
              <w:ind w:right="1220"/>
              <w:spacing w:after="0"/>
              <w:rPr>
                <w:sz w:val="20"/>
                <w:szCs w:val="20"/>
                <w:color w:val="auto"/>
              </w:rPr>
            </w:pPr>
            <w:r>
              <w:rPr>
                <w:rFonts w:ascii="Arial" w:cs="Arial" w:eastAsia="Arial" w:hAnsi="Arial"/>
                <w:sz w:val="17"/>
                <w:szCs w:val="17"/>
                <w:b w:val="1"/>
                <w:bCs w:val="1"/>
                <w:color w:val="auto"/>
                <w:w w:val="94"/>
              </w:rPr>
              <w:t>For the Years Ended December 31,</w:t>
            </w:r>
          </w:p>
        </w:tc>
        <w:tc>
          <w:tcPr>
            <w:tcW w:w="900" w:type="dxa"/>
            <w:vAlign w:val="bottom"/>
          </w:tcPr>
          <w:p>
            <w:pPr>
              <w:spacing w:after="0"/>
              <w:rPr>
                <w:sz w:val="19"/>
                <w:szCs w:val="19"/>
                <w:color w:val="auto"/>
              </w:rPr>
            </w:pPr>
          </w:p>
        </w:tc>
      </w:tr>
      <w:tr>
        <w:trPr>
          <w:trHeight w:val="26"/>
        </w:trPr>
        <w:tc>
          <w:tcPr>
            <w:tcW w:w="46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1"/>
        </w:trPr>
        <w:tc>
          <w:tcPr>
            <w:tcW w:w="4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2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2019</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2018 (1)</w:t>
            </w:r>
          </w:p>
        </w:tc>
        <w:tc>
          <w:tcPr>
            <w:tcW w:w="900" w:type="dxa"/>
            <w:vAlign w:val="bottom"/>
          </w:tcPr>
          <w:p>
            <w:pPr>
              <w:spacing w:after="0"/>
              <w:rPr>
                <w:sz w:val="19"/>
                <w:szCs w:val="19"/>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r>
      <w:tr>
        <w:trPr>
          <w:trHeight w:val="228"/>
        </w:trPr>
        <w:tc>
          <w:tcPr>
            <w:tcW w:w="4640" w:type="dxa"/>
            <w:vAlign w:val="bottom"/>
          </w:tcPr>
          <w:p>
            <w:pPr>
              <w:ind w:left="160"/>
              <w:spacing w:after="0"/>
              <w:rPr>
                <w:sz w:val="20"/>
                <w:szCs w:val="20"/>
                <w:color w:val="auto"/>
              </w:rPr>
            </w:pPr>
            <w:r>
              <w:rPr>
                <w:rFonts w:ascii="Arial" w:cs="Arial" w:eastAsia="Arial" w:hAnsi="Arial"/>
                <w:sz w:val="17"/>
                <w:szCs w:val="17"/>
                <w:color w:val="auto"/>
              </w:rPr>
              <w:t>Product sales</w:t>
            </w:r>
          </w:p>
        </w:tc>
        <w:tc>
          <w:tcPr>
            <w:tcW w:w="580" w:type="dxa"/>
            <w:vAlign w:val="bottom"/>
          </w:tcPr>
          <w:p>
            <w:pPr>
              <w:jc w:val="right"/>
              <w:ind w:right="3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1,975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30 %</w:t>
            </w:r>
          </w:p>
        </w:tc>
        <w:tc>
          <w:tcPr>
            <w:tcW w:w="100" w:type="dxa"/>
            <w:vAlign w:val="bottom"/>
          </w:tcPr>
          <w:p>
            <w:pPr>
              <w:spacing w:after="0"/>
              <w:rPr>
                <w:sz w:val="19"/>
                <w:szCs w:val="19"/>
                <w:color w:val="auto"/>
              </w:rPr>
            </w:pPr>
          </w:p>
        </w:tc>
        <w:tc>
          <w:tcPr>
            <w:tcW w:w="60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2,255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5"/>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Subscription, licensing, and other revenues</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70</w:t>
            </w:r>
          </w:p>
        </w:tc>
      </w:tr>
      <w:tr>
        <w:trPr>
          <w:trHeight w:val="221"/>
        </w:trPr>
        <w:tc>
          <w:tcPr>
            <w:tcW w:w="4640" w:type="dxa"/>
            <w:vAlign w:val="bottom"/>
          </w:tcPr>
          <w:p>
            <w:pPr>
              <w:ind w:left="20"/>
              <w:spacing w:after="0"/>
              <w:rPr>
                <w:sz w:val="20"/>
                <w:szCs w:val="20"/>
                <w:color w:val="auto"/>
              </w:rPr>
            </w:pPr>
            <w:r>
              <w:rPr>
                <w:rFonts w:ascii="Arial" w:cs="Arial" w:eastAsia="Arial" w:hAnsi="Arial"/>
                <w:sz w:val="17"/>
                <w:szCs w:val="17"/>
                <w:color w:val="auto"/>
              </w:rPr>
              <w:t>Total net revenues</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6,489</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100</w:t>
            </w:r>
          </w:p>
        </w:tc>
      </w:tr>
      <w:tr>
        <w:trPr>
          <w:trHeight w:val="27"/>
        </w:trPr>
        <w:tc>
          <w:tcPr>
            <w:tcW w:w="4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46"/>
        </w:trPr>
        <w:tc>
          <w:tcPr>
            <w:tcW w:w="46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8"/>
        </w:trPr>
        <w:tc>
          <w:tcPr>
            <w:tcW w:w="4640" w:type="dxa"/>
            <w:vAlign w:val="bottom"/>
          </w:tcPr>
          <w:p>
            <w:pPr>
              <w:ind w:left="20"/>
              <w:spacing w:after="0"/>
              <w:rPr>
                <w:sz w:val="20"/>
                <w:szCs w:val="20"/>
                <w:color w:val="auto"/>
              </w:rPr>
            </w:pPr>
            <w:r>
              <w:rPr>
                <w:rFonts w:ascii="Arial" w:cs="Arial" w:eastAsia="Arial" w:hAnsi="Arial"/>
                <w:sz w:val="17"/>
                <w:szCs w:val="17"/>
                <w:b w:val="1"/>
                <w:bCs w:val="1"/>
                <w:color w:val="auto"/>
              </w:rPr>
              <w:t>Costs and expenses</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Cost of revenues—product sales:</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8"/>
        </w:trPr>
        <w:tc>
          <w:tcPr>
            <w:tcW w:w="4640" w:type="dxa"/>
            <w:vAlign w:val="bottom"/>
          </w:tcPr>
          <w:p>
            <w:pPr>
              <w:ind w:left="260"/>
              <w:spacing w:after="0"/>
              <w:rPr>
                <w:sz w:val="20"/>
                <w:szCs w:val="20"/>
                <w:color w:val="auto"/>
              </w:rPr>
            </w:pPr>
            <w:r>
              <w:rPr>
                <w:rFonts w:ascii="Arial" w:cs="Arial" w:eastAsia="Arial" w:hAnsi="Arial"/>
                <w:sz w:val="17"/>
                <w:szCs w:val="17"/>
                <w:color w:val="auto"/>
              </w:rPr>
              <w:t>Product costs</w:t>
            </w:r>
          </w:p>
        </w:tc>
        <w:tc>
          <w:tcPr>
            <w:tcW w:w="5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656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32</w:t>
            </w: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7"/>
        </w:trPr>
        <w:tc>
          <w:tcPr>
            <w:tcW w:w="4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Software royalties, amortization, and intellectual property</w:t>
            </w: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2"/>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licenses</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16</w:t>
            </w:r>
          </w:p>
        </w:tc>
      </w:tr>
      <w:tr>
        <w:trPr>
          <w:trHeight w:val="228"/>
        </w:trPr>
        <w:tc>
          <w:tcPr>
            <w:tcW w:w="4640" w:type="dxa"/>
            <w:vAlign w:val="bottom"/>
          </w:tcPr>
          <w:p>
            <w:pPr>
              <w:ind w:left="160"/>
              <w:spacing w:after="0"/>
              <w:rPr>
                <w:sz w:val="20"/>
                <w:szCs w:val="20"/>
                <w:color w:val="auto"/>
              </w:rPr>
            </w:pPr>
            <w:r>
              <w:rPr>
                <w:rFonts w:ascii="Arial" w:cs="Arial" w:eastAsia="Arial" w:hAnsi="Arial"/>
                <w:sz w:val="17"/>
                <w:szCs w:val="17"/>
                <w:color w:val="auto"/>
              </w:rPr>
              <w:t>Cost of revenues—subscription, licensing, and other:</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4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Game operations and distribution costs</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20</w:t>
            </w:r>
          </w:p>
        </w:tc>
      </w:tr>
      <w:tr>
        <w:trPr>
          <w:trHeight w:val="217"/>
        </w:trPr>
        <w:tc>
          <w:tcPr>
            <w:tcW w:w="4640" w:type="dxa"/>
            <w:vAlign w:val="bottom"/>
          </w:tcPr>
          <w:p>
            <w:pPr>
              <w:ind w:left="260"/>
              <w:spacing w:after="0"/>
              <w:rPr>
                <w:sz w:val="20"/>
                <w:szCs w:val="20"/>
                <w:color w:val="auto"/>
              </w:rPr>
            </w:pPr>
            <w:r>
              <w:rPr>
                <w:rFonts w:ascii="Arial" w:cs="Arial" w:eastAsia="Arial" w:hAnsi="Arial"/>
                <w:sz w:val="17"/>
                <w:szCs w:val="17"/>
                <w:color w:val="auto"/>
              </w:rPr>
              <w:t>Software royalties, amortization, and intellectual property</w:t>
            </w: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640" w:type="dxa"/>
            <w:vAlign w:val="bottom"/>
          </w:tcPr>
          <w:p>
            <w:pPr>
              <w:ind w:left="260"/>
              <w:spacing w:after="0"/>
              <w:rPr>
                <w:sz w:val="20"/>
                <w:szCs w:val="20"/>
                <w:color w:val="auto"/>
              </w:rPr>
            </w:pPr>
            <w:r>
              <w:rPr>
                <w:rFonts w:ascii="Arial" w:cs="Arial" w:eastAsia="Arial" w:hAnsi="Arial"/>
                <w:sz w:val="17"/>
                <w:szCs w:val="17"/>
                <w:color w:val="auto"/>
              </w:rPr>
              <w:t>licenses</w:t>
            </w:r>
          </w:p>
        </w:tc>
        <w:tc>
          <w:tcPr>
            <w:tcW w:w="5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8</w:t>
            </w:r>
          </w:p>
        </w:tc>
      </w:tr>
      <w:tr>
        <w:trPr>
          <w:trHeight w:val="26"/>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Product development</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1,101</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15</w:t>
            </w:r>
          </w:p>
        </w:tc>
      </w:tr>
      <w:tr>
        <w:trPr>
          <w:trHeight w:val="229"/>
        </w:trPr>
        <w:tc>
          <w:tcPr>
            <w:tcW w:w="4640" w:type="dxa"/>
            <w:vAlign w:val="bottom"/>
          </w:tcPr>
          <w:p>
            <w:pPr>
              <w:ind w:left="160"/>
              <w:spacing w:after="0"/>
              <w:rPr>
                <w:sz w:val="20"/>
                <w:szCs w:val="20"/>
                <w:color w:val="auto"/>
              </w:rPr>
            </w:pPr>
            <w:r>
              <w:rPr>
                <w:rFonts w:ascii="Arial" w:cs="Arial" w:eastAsia="Arial" w:hAnsi="Arial"/>
                <w:sz w:val="17"/>
                <w:szCs w:val="17"/>
                <w:color w:val="auto"/>
              </w:rPr>
              <w:t>Sales and marketing</w:t>
            </w:r>
          </w:p>
        </w:tc>
        <w:tc>
          <w:tcPr>
            <w:tcW w:w="5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14</w:t>
            </w:r>
          </w:p>
        </w:tc>
      </w:tr>
      <w:tr>
        <w:trPr>
          <w:trHeight w:val="26"/>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4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w:t>
            </w:r>
          </w:p>
        </w:tc>
      </w:tr>
      <w:tr>
        <w:trPr>
          <w:trHeight w:val="229"/>
        </w:trPr>
        <w:tc>
          <w:tcPr>
            <w:tcW w:w="4640" w:type="dxa"/>
            <w:vAlign w:val="bottom"/>
          </w:tcPr>
          <w:p>
            <w:pPr>
              <w:ind w:left="160"/>
              <w:spacing w:after="0"/>
              <w:rPr>
                <w:sz w:val="20"/>
                <w:szCs w:val="20"/>
                <w:color w:val="auto"/>
              </w:rPr>
            </w:pPr>
            <w:r>
              <w:rPr>
                <w:rFonts w:ascii="Arial" w:cs="Arial" w:eastAsia="Arial" w:hAnsi="Arial"/>
                <w:sz w:val="17"/>
                <w:szCs w:val="17"/>
                <w:color w:val="auto"/>
              </w:rPr>
              <w:t>Restructuring and related costs</w:t>
            </w:r>
          </w:p>
        </w:tc>
        <w:tc>
          <w:tcPr>
            <w:tcW w:w="5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w:t>
            </w:r>
          </w:p>
        </w:tc>
      </w:tr>
      <w:tr>
        <w:trPr>
          <w:trHeight w:val="27"/>
        </w:trPr>
        <w:tc>
          <w:tcPr>
            <w:tcW w:w="46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73</w:t>
            </w:r>
          </w:p>
        </w:tc>
      </w:tr>
      <w:tr>
        <w:trPr>
          <w:trHeight w:val="146"/>
        </w:trPr>
        <w:tc>
          <w:tcPr>
            <w:tcW w:w="4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r>
      <w:tr>
        <w:trPr>
          <w:trHeight w:val="23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27</w:t>
            </w:r>
          </w:p>
        </w:tc>
      </w:tr>
      <w:tr>
        <w:trPr>
          <w:trHeight w:val="228"/>
        </w:trPr>
        <w:tc>
          <w:tcPr>
            <w:tcW w:w="4640" w:type="dxa"/>
            <w:vAlign w:val="bottom"/>
          </w:tcPr>
          <w:p>
            <w:pPr>
              <w:ind w:left="20"/>
              <w:spacing w:after="0"/>
              <w:rPr>
                <w:sz w:val="20"/>
                <w:szCs w:val="20"/>
                <w:color w:val="auto"/>
              </w:rPr>
            </w:pPr>
            <w:r>
              <w:rPr>
                <w:rFonts w:ascii="Arial" w:cs="Arial" w:eastAsia="Arial" w:hAnsi="Arial"/>
                <w:sz w:val="17"/>
                <w:szCs w:val="17"/>
                <w:color w:val="auto"/>
              </w:rPr>
              <w:t>Interest and other expense (income), net</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jc w:val="right"/>
              <w:ind w:right="95"/>
              <w:spacing w:after="0"/>
              <w:rPr>
                <w:sz w:val="20"/>
                <w:szCs w:val="20"/>
                <w:color w:val="auto"/>
              </w:rPr>
            </w:pPr>
            <w:r>
              <w:rPr>
                <w:rFonts w:ascii="Arial" w:cs="Arial" w:eastAsia="Arial" w:hAnsi="Arial"/>
                <w:sz w:val="17"/>
                <w:szCs w:val="17"/>
                <w:color w:val="auto"/>
              </w:rPr>
              <w:t>1</w:t>
            </w:r>
          </w:p>
        </w:tc>
      </w:tr>
      <w:tr>
        <w:trPr>
          <w:trHeight w:val="27"/>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on extinguishment of debt (2)</w:t>
            </w:r>
          </w:p>
        </w:tc>
        <w:tc>
          <w:tcPr>
            <w:tcW w:w="5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r>
      <w:tr>
        <w:trPr>
          <w:trHeight w:val="221"/>
        </w:trPr>
        <w:tc>
          <w:tcPr>
            <w:tcW w:w="4640" w:type="dxa"/>
            <w:vAlign w:val="bottom"/>
          </w:tcPr>
          <w:p>
            <w:pPr>
              <w:ind w:left="20"/>
              <w:spacing w:after="0"/>
              <w:rPr>
                <w:sz w:val="20"/>
                <w:szCs w:val="20"/>
                <w:color w:val="auto"/>
              </w:rPr>
            </w:pPr>
            <w:r>
              <w:rPr>
                <w:rFonts w:ascii="Arial" w:cs="Arial" w:eastAsia="Arial" w:hAnsi="Arial"/>
                <w:sz w:val="17"/>
                <w:szCs w:val="17"/>
                <w:color w:val="auto"/>
              </w:rPr>
              <w:t>Income before income tax expense</w:t>
            </w: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1,633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1,877</w:t>
            </w: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95"/>
              <w:spacing w:after="0"/>
              <w:rPr>
                <w:sz w:val="20"/>
                <w:szCs w:val="20"/>
                <w:color w:val="auto"/>
              </w:rPr>
            </w:pPr>
            <w:r>
              <w:rPr>
                <w:rFonts w:ascii="Arial" w:cs="Arial" w:eastAsia="Arial" w:hAnsi="Arial"/>
                <w:sz w:val="17"/>
                <w:szCs w:val="17"/>
                <w:color w:val="auto"/>
              </w:rPr>
              <w:t>25</w:t>
            </w:r>
          </w:p>
        </w:tc>
      </w:tr>
      <w:tr>
        <w:trPr>
          <w:trHeight w:val="26"/>
        </w:trPr>
        <w:tc>
          <w:tcPr>
            <w:tcW w:w="4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5"/>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r>
      <w:tr>
        <w:trPr>
          <w:trHeight w:val="241"/>
        </w:trPr>
        <w:tc>
          <w:tcPr>
            <w:tcW w:w="46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58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1,503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23 %</w:t>
            </w: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1,848</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0"/>
        </w:trPr>
        <w:tc>
          <w:tcPr>
            <w:tcW w:w="4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00" w:right="40" w:hanging="298"/>
        <w:spacing w:after="0" w:line="313" w:lineRule="auto"/>
        <w:tabs>
          <w:tab w:leader="none" w:pos="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During the three months ended March 31, 2019, we identified an amount which should have been recorded in the three months and year ended December 31, 2018 to reduce income tax expense by $35 million. Our statement of operations for the year ended December 31, 2018, as presented above, has been revised to reflect the correction. See further discussion in </w:t>
      </w:r>
      <w:hyperlink w:anchor="page75">
        <w:r>
          <w:rPr>
            <w:rFonts w:ascii="Arial" w:cs="Arial" w:eastAsia="Arial" w:hAnsi="Arial"/>
            <w:sz w:val="15"/>
            <w:szCs w:val="15"/>
            <w:u w:val="single" w:color="auto"/>
            <w:color w:val="0000EE"/>
          </w:rPr>
          <w:t>Note 2</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included in Item 8 of this Annual Report on Form 10-K.</w:t>
      </w:r>
    </w:p>
    <w:p>
      <w:pPr>
        <w:spacing w:after="0" w:line="141" w:lineRule="exact"/>
        <w:rPr>
          <w:rFonts w:ascii="Arial" w:cs="Arial" w:eastAsia="Arial" w:hAnsi="Arial"/>
          <w:sz w:val="15"/>
          <w:szCs w:val="15"/>
          <w:color w:val="auto"/>
        </w:rPr>
      </w:pPr>
    </w:p>
    <w:p>
      <w:pPr>
        <w:ind w:left="300" w:right="160" w:hanging="298"/>
        <w:spacing w:after="0" w:line="343" w:lineRule="auto"/>
        <w:tabs>
          <w:tab w:leader="none" w:pos="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Represents the loss on extinguishment of debt we recognized in connection with our debt financing activities during the year ended December 31, 2018. The loss on extinguishment is comprised of a $25 million premium payment and a $15 million write-off of unamortized discount and deferred financing costs.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Revenues</w:t>
      </w:r>
    </w:p>
    <w:p>
      <w:pPr>
        <w:spacing w:after="0" w:line="217" w:lineRule="exact"/>
        <w:rPr>
          <w:sz w:val="20"/>
          <w:szCs w:val="20"/>
          <w:color w:val="auto"/>
        </w:rPr>
      </w:pPr>
    </w:p>
    <w:p>
      <w:pPr>
        <w:ind w:right="60" w:firstLine="382"/>
        <w:spacing w:after="0" w:line="274" w:lineRule="auto"/>
        <w:rPr>
          <w:sz w:val="20"/>
          <w:szCs w:val="20"/>
          <w:color w:val="auto"/>
        </w:rPr>
      </w:pPr>
      <w:r>
        <w:rPr>
          <w:rFonts w:ascii="Arial" w:cs="Arial" w:eastAsia="Arial" w:hAnsi="Arial"/>
          <w:sz w:val="17"/>
          <w:szCs w:val="17"/>
          <w:color w:val="auto"/>
        </w:rPr>
        <w:t>The key drivers of changes in our consolidated net revenues, operating segment results, consolidated results, and sources of liquidity are presented in the order of significance.</w:t>
      </w:r>
    </w:p>
    <w:p>
      <w:pPr>
        <w:spacing w:after="0" w:line="166" w:lineRule="exact"/>
        <w:rPr>
          <w:sz w:val="20"/>
          <w:szCs w:val="20"/>
          <w:color w:val="auto"/>
        </w:rPr>
      </w:pPr>
    </w:p>
    <w:p>
      <w:pPr>
        <w:ind w:right="340" w:firstLine="408"/>
        <w:spacing w:after="0" w:line="274" w:lineRule="auto"/>
        <w:rPr>
          <w:sz w:val="20"/>
          <w:szCs w:val="20"/>
          <w:color w:val="auto"/>
        </w:rPr>
      </w:pPr>
      <w:r>
        <w:rPr>
          <w:rFonts w:ascii="Arial" w:cs="Arial" w:eastAsia="Arial" w:hAnsi="Arial"/>
          <w:sz w:val="17"/>
          <w:szCs w:val="17"/>
          <w:color w:val="auto"/>
        </w:rPr>
        <w:t>The following table summarizes our consolidated net revenues, increase (decrease) in associated deferred net revenues recognized, and in-game net revenues (amounts 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5"/>
          </w:tcPr>
          <w:p>
            <w:pPr>
              <w:ind w:left="220"/>
              <w:spacing w:after="0"/>
              <w:rPr>
                <w:sz w:val="20"/>
                <w:szCs w:val="20"/>
                <w:color w:val="auto"/>
              </w:rPr>
            </w:pPr>
            <w:r>
              <w:rPr>
                <w:rFonts w:ascii="Arial" w:cs="Arial" w:eastAsia="Arial" w:hAnsi="Arial"/>
                <w:sz w:val="15"/>
                <w:szCs w:val="15"/>
                <w:b w:val="1"/>
                <w:bCs w:val="1"/>
                <w:color w:val="auto"/>
              </w:rPr>
              <w:t>For the Years Ended December 31,</w:t>
            </w:r>
          </w:p>
        </w:tc>
        <w:tc>
          <w:tcPr>
            <w:tcW w:w="1700" w:type="dxa"/>
            <w:vAlign w:val="bottom"/>
          </w:tcPr>
          <w:p>
            <w:pPr>
              <w:spacing w:after="0"/>
              <w:rPr>
                <w:sz w:val="17"/>
                <w:szCs w:val="17"/>
                <w:color w:val="auto"/>
              </w:rPr>
            </w:pPr>
          </w:p>
        </w:tc>
      </w:tr>
      <w:tr>
        <w:trPr>
          <w:trHeight w:val="30"/>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5"/>
                <w:szCs w:val="15"/>
                <w:b w:val="1"/>
                <w:bCs w:val="1"/>
                <w:color w:val="auto"/>
                <w:w w:val="92"/>
              </w:rPr>
              <w:t>Increase/</w:t>
            </w:r>
          </w:p>
        </w:tc>
        <w:tc>
          <w:tcPr>
            <w:tcW w:w="17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58"/>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7"/>
              </w:rPr>
              <w:t>(decrease)</w:t>
            </w:r>
          </w:p>
        </w:tc>
        <w:tc>
          <w:tcPr>
            <w:tcW w:w="1700" w:type="dxa"/>
            <w:vAlign w:val="bottom"/>
          </w:tcPr>
          <w:p>
            <w:pPr>
              <w:jc w:val="right"/>
              <w:ind w:right="418"/>
              <w:spacing w:after="0"/>
              <w:rPr>
                <w:sz w:val="20"/>
                <w:szCs w:val="20"/>
                <w:color w:val="auto"/>
              </w:rPr>
            </w:pPr>
            <w:r>
              <w:rPr>
                <w:rFonts w:ascii="Arial" w:cs="Arial" w:eastAsia="Arial" w:hAnsi="Arial"/>
                <w:sz w:val="15"/>
                <w:szCs w:val="15"/>
                <w:b w:val="1"/>
                <w:bCs w:val="1"/>
                <w:color w:val="auto"/>
              </w:rPr>
              <w:t>% Change</w:t>
            </w:r>
          </w:p>
        </w:tc>
      </w:tr>
      <w:tr>
        <w:trPr>
          <w:trHeight w:val="30"/>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10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6,489</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28"/>
        </w:trPr>
        <w:tc>
          <w:tcPr>
            <w:tcW w:w="4660" w:type="dxa"/>
            <w:vAlign w:val="bottom"/>
          </w:tcPr>
          <w:p>
            <w:pPr>
              <w:ind w:left="20"/>
              <w:spacing w:after="0"/>
              <w:rPr>
                <w:sz w:val="20"/>
                <w:szCs w:val="20"/>
                <w:color w:val="auto"/>
              </w:rPr>
            </w:pPr>
            <w:r>
              <w:rPr>
                <w:rFonts w:ascii="Arial" w:cs="Arial" w:eastAsia="Arial" w:hAnsi="Arial"/>
                <w:sz w:val="17"/>
                <w:szCs w:val="17"/>
                <w:color w:val="auto"/>
                <w:w w:val="99"/>
              </w:rPr>
              <w:t>Net effect from recognition (deferral) of deferred net revenues</w:t>
            </w:r>
          </w:p>
        </w:tc>
        <w:tc>
          <w:tcPr>
            <w:tcW w:w="102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238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306"/>
        </w:trPr>
        <w:tc>
          <w:tcPr>
            <w:tcW w:w="46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28"/>
        </w:trPr>
        <w:tc>
          <w:tcPr>
            <w:tcW w:w="4660" w:type="dxa"/>
            <w:vAlign w:val="bottom"/>
          </w:tcPr>
          <w:p>
            <w:pPr>
              <w:ind w:left="20"/>
              <w:spacing w:after="0"/>
              <w:rPr>
                <w:sz w:val="20"/>
                <w:szCs w:val="20"/>
                <w:color w:val="auto"/>
              </w:rPr>
            </w:pPr>
            <w:r>
              <w:rPr>
                <w:rFonts w:ascii="Arial" w:cs="Arial" w:eastAsia="Arial" w:hAnsi="Arial"/>
                <w:sz w:val="17"/>
                <w:szCs w:val="17"/>
                <w:color w:val="auto"/>
              </w:rPr>
              <w:t>In-game net revenues (1)</w:t>
            </w:r>
          </w:p>
        </w:tc>
        <w:tc>
          <w:tcPr>
            <w:tcW w:w="102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3,376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4,249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(873)</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(21)%</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(1) In-game net revenues primarily includes the net amount of revenue recognized for downloadable content and microtransactions during the period.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net revenues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consolidated net revenues for 2019, as compared to 2018, was primarily driven by a decrease in revenues of $1.1 billion due to:</w:t>
      </w:r>
    </w:p>
    <w:p>
      <w:pPr>
        <w:spacing w:after="0" w:line="213" w:lineRule="exact"/>
        <w:rPr>
          <w:sz w:val="20"/>
          <w:szCs w:val="20"/>
          <w:color w:val="auto"/>
        </w:rPr>
      </w:pPr>
    </w:p>
    <w:p>
      <w:pPr>
        <w:ind w:left="920" w:hanging="306"/>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lower revenues recognized from the Destiny franchise (reflecting our sale of the publishing rights for Destiny to Bungie in December 2018);</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Hearthstone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lower revenues recognized from Call of Duty franchise catalog titles;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Overwatch</w:t>
      </w:r>
      <w:r>
        <w:rPr>
          <w:rFonts w:ascii="Arial" w:cs="Arial" w:eastAsia="Arial" w:hAnsi="Arial"/>
          <w:sz w:val="17"/>
          <w:szCs w:val="17"/>
          <w:color w:val="auto"/>
        </w:rPr>
        <w: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was partially offset by an increase in revenues of $236 million due to:</w:t>
      </w:r>
    </w:p>
    <w:p>
      <w:pPr>
        <w:spacing w:after="0" w:line="213" w:lineRule="exact"/>
        <w:rPr>
          <w:sz w:val="20"/>
          <w:szCs w:val="20"/>
          <w:color w:val="auto"/>
        </w:rPr>
      </w:pPr>
    </w:p>
    <w:p>
      <w:pPr>
        <w:ind w:left="920" w:hanging="306"/>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which was released in March 2019; and</w:t>
      </w:r>
    </w:p>
    <w:p>
      <w:pPr>
        <w:spacing w:after="0" w:line="212" w:lineRule="exact"/>
        <w:rPr>
          <w:rFonts w:ascii="Arial" w:cs="Arial" w:eastAsia="Arial" w:hAnsi="Arial"/>
          <w:sz w:val="17"/>
          <w:szCs w:val="17"/>
          <w:color w:val="auto"/>
        </w:rPr>
      </w:pPr>
    </w:p>
    <w:p>
      <w:pPr>
        <w:ind w:left="380" w:right="4060" w:firstLine="234"/>
        <w:spacing w:after="0" w:line="567" w:lineRule="auto"/>
        <w:tabs>
          <w:tab w:leader="none" w:pos="9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revenues recognized from </w:t>
      </w:r>
      <w:r>
        <w:rPr>
          <w:rFonts w:ascii="Arial" w:cs="Arial" w:eastAsia="Arial" w:hAnsi="Arial"/>
          <w:sz w:val="15"/>
          <w:szCs w:val="15"/>
          <w:i w:val="1"/>
          <w:iCs w:val="1"/>
          <w:color w:val="auto"/>
        </w:rPr>
        <w:t>Crash Team Racing Nitro-Fueled</w:t>
      </w:r>
      <w:r>
        <w:rPr>
          <w:rFonts w:ascii="Arial" w:cs="Arial" w:eastAsia="Arial" w:hAnsi="Arial"/>
          <w:sz w:val="15"/>
          <w:szCs w:val="15"/>
          <w:color w:val="auto"/>
        </w:rPr>
        <w:t>, which was released in June 2019. The remaining net decrease of $131 million was driven by various other franchises and titles.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Deferred Revenues Recognized</w:t>
      </w:r>
    </w:p>
    <w:p>
      <w:pPr>
        <w:spacing w:after="0" w:line="213" w:lineRule="exact"/>
        <w:rPr>
          <w:sz w:val="20"/>
          <w:szCs w:val="20"/>
          <w:color w:val="auto"/>
        </w:rPr>
      </w:pPr>
    </w:p>
    <w:p>
      <w:pPr>
        <w:ind w:right="540" w:firstLine="382"/>
        <w:spacing w:after="0" w:line="274" w:lineRule="auto"/>
        <w:rPr>
          <w:sz w:val="20"/>
          <w:szCs w:val="20"/>
          <w:color w:val="auto"/>
        </w:rPr>
      </w:pPr>
      <w:r>
        <w:rPr>
          <w:rFonts w:ascii="Arial" w:cs="Arial" w:eastAsia="Arial" w:hAnsi="Arial"/>
          <w:sz w:val="17"/>
          <w:szCs w:val="17"/>
          <w:color w:val="auto"/>
        </w:rPr>
        <w:t>The decrease in net deferred revenues recognized for 2019, as compared to 2018, was primarily due to a decrease of $312 million in net deferred revenues recognized from Activision, primarily due to lower net deferred revenues recognized from the Destiny franchise.</w:t>
      </w:r>
    </w:p>
    <w:p>
      <w:pPr>
        <w:spacing w:after="0" w:line="166" w:lineRule="exact"/>
        <w:rPr>
          <w:sz w:val="20"/>
          <w:szCs w:val="20"/>
          <w:color w:val="auto"/>
        </w:rPr>
      </w:pPr>
    </w:p>
    <w:p>
      <w:pPr>
        <w:jc w:val="both"/>
        <w:ind w:right="160" w:firstLine="382"/>
        <w:spacing w:after="0" w:line="262" w:lineRule="auto"/>
        <w:rPr>
          <w:sz w:val="20"/>
          <w:szCs w:val="20"/>
          <w:color w:val="auto"/>
        </w:rPr>
      </w:pPr>
      <w:r>
        <w:rPr>
          <w:rFonts w:ascii="Arial" w:cs="Arial" w:eastAsia="Arial" w:hAnsi="Arial"/>
          <w:sz w:val="17"/>
          <w:szCs w:val="17"/>
          <w:color w:val="auto"/>
        </w:rPr>
        <w:t xml:space="preserve">The decrease from Activision was partially offset by an increase of $158 million in net deferred revenues recognized from Blizzard, primarily due to higher net deferred revenues recognized for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driven by </w:t>
      </w:r>
      <w:r>
        <w:rPr>
          <w:rFonts w:ascii="Arial" w:cs="Arial" w:eastAsia="Arial" w:hAnsi="Arial"/>
          <w:sz w:val="17"/>
          <w:szCs w:val="17"/>
          <w:i w:val="1"/>
          <w:iCs w:val="1"/>
          <w:color w:val="auto"/>
        </w:rPr>
        <w:t>World of Warcraft: Battle for Azeroth</w:t>
      </w:r>
      <w:r>
        <w:rPr>
          <w:rFonts w:ascii="Arial" w:cs="Arial" w:eastAsia="Arial" w:hAnsi="Arial"/>
          <w:sz w:val="17"/>
          <w:szCs w:val="17"/>
          <w:color w:val="auto"/>
        </w:rPr>
        <w:t>, which was released in August 2018, with no comparable release in 2017.</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127"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In-game net revenues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in-game net revenues for 2019, as compared to 2018, was primarily driven by a decrease in in-game net revenues of $845 million due to:</w:t>
      </w:r>
    </w:p>
    <w:p>
      <w:pPr>
        <w:spacing w:after="0" w:line="224" w:lineRule="exact"/>
        <w:rPr>
          <w:sz w:val="20"/>
          <w:szCs w:val="20"/>
          <w:color w:val="auto"/>
        </w:rPr>
      </w:pPr>
    </w:p>
    <w:p>
      <w:pPr>
        <w:ind w:left="920" w:hanging="306"/>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lower in-game revenues recognized from the Destiny franchise;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lower in-game revenues recognized from </w:t>
      </w:r>
      <w:r>
        <w:rPr>
          <w:rFonts w:ascii="Arial" w:cs="Arial" w:eastAsia="Arial" w:hAnsi="Arial"/>
          <w:sz w:val="17"/>
          <w:szCs w:val="17"/>
          <w:i w:val="1"/>
          <w:iCs w:val="1"/>
          <w:color w:val="auto"/>
        </w:rPr>
        <w:t>Hearthstone</w:t>
      </w:r>
      <w:r>
        <w:rPr>
          <w:rFonts w:ascii="Arial" w:cs="Arial" w:eastAsia="Arial" w:hAnsi="Arial"/>
          <w:sz w:val="17"/>
          <w:szCs w:val="17"/>
          <w:color w:val="auto"/>
        </w:rPr>
        <w: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lower in-game revenues across various King franchise titles, primarily driven by the Candy Crush franchise;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lower in-game revenues recognized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lower in-game revenues recognized from </w:t>
      </w:r>
      <w:r>
        <w:rPr>
          <w:rFonts w:ascii="Arial" w:cs="Arial" w:eastAsia="Arial" w:hAnsi="Arial"/>
          <w:sz w:val="17"/>
          <w:szCs w:val="17"/>
          <w:i w:val="1"/>
          <w:iCs w:val="1"/>
          <w:color w:val="auto"/>
        </w:rPr>
        <w:t>Overwatch</w:t>
      </w:r>
      <w:r>
        <w:rPr>
          <w:rFonts w:ascii="Arial" w:cs="Arial" w:eastAsia="Arial" w:hAnsi="Arial"/>
          <w:sz w:val="17"/>
          <w:szCs w:val="17"/>
          <w:color w:val="auto"/>
        </w:rPr>
        <w: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remaining net decrease of $28 million was driven by various other franchises and titles.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3" w:lineRule="exact"/>
        <w:rPr>
          <w:sz w:val="20"/>
          <w:szCs w:val="20"/>
          <w:color w:val="auto"/>
        </w:rPr>
      </w:pPr>
    </w:p>
    <w:p>
      <w:pPr>
        <w:ind w:firstLine="408"/>
        <w:spacing w:after="0" w:line="262" w:lineRule="auto"/>
        <w:rPr>
          <w:sz w:val="20"/>
          <w:szCs w:val="20"/>
          <w:color w:val="auto"/>
        </w:rPr>
      </w:pPr>
      <w:r>
        <w:rPr>
          <w:rFonts w:ascii="Arial" w:cs="Arial" w:eastAsia="Arial" w:hAnsi="Arial"/>
          <w:sz w:val="17"/>
          <w:szCs w:val="17"/>
          <w:color w:val="auto"/>
        </w:rPr>
        <w:t>Changes in foreign exchange rates had a negative impact of $150 million and a positive impact of $102 million on Activision Blizzard’s consolidated net revenues in 2019 and 2018, respectively, as compared to the same periods in the previous year. The changes are primarily due to changes in the value of the U.S. dollar relative to the euro and the British pound.</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380"/>
          </w:cols>
          <w:pgMar w:left="240" w:top="127" w:right="27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Segment Results</w:t>
      </w:r>
    </w:p>
    <w:p>
      <w:pPr>
        <w:spacing w:after="0" w:line="217" w:lineRule="exact"/>
        <w:rPr>
          <w:sz w:val="20"/>
          <w:szCs w:val="20"/>
          <w:color w:val="auto"/>
        </w:rPr>
      </w:pPr>
    </w:p>
    <w:p>
      <w:pPr>
        <w:ind w:right="20" w:firstLine="382"/>
        <w:spacing w:after="0" w:line="295" w:lineRule="auto"/>
        <w:rPr>
          <w:sz w:val="20"/>
          <w:szCs w:val="20"/>
          <w:color w:val="auto"/>
        </w:rPr>
      </w:pPr>
      <w:r>
        <w:rPr>
          <w:rFonts w:ascii="Arial" w:cs="Arial" w:eastAsia="Arial" w:hAnsi="Arial"/>
          <w:sz w:val="15"/>
          <w:szCs w:val="15"/>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56" w:lineRule="exact"/>
        <w:rPr>
          <w:sz w:val="20"/>
          <w:szCs w:val="20"/>
          <w:color w:val="auto"/>
        </w:rPr>
      </w:pPr>
    </w:p>
    <w:p>
      <w:pPr>
        <w:ind w:right="280" w:firstLine="382"/>
        <w:spacing w:after="0" w:line="274"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are presented below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20" w:type="dxa"/>
            <w:vAlign w:val="bottom"/>
            <w:gridSpan w:val="9"/>
          </w:tcPr>
          <w:p>
            <w:pPr>
              <w:jc w:val="right"/>
              <w:ind w:right="64"/>
              <w:spacing w:after="0"/>
              <w:rPr>
                <w:sz w:val="20"/>
                <w:szCs w:val="20"/>
                <w:color w:val="auto"/>
              </w:rPr>
            </w:pPr>
            <w:r>
              <w:rPr>
                <w:rFonts w:ascii="Arial" w:cs="Arial" w:eastAsia="Arial" w:hAnsi="Arial"/>
                <w:sz w:val="15"/>
                <w:szCs w:val="15"/>
                <w:b w:val="1"/>
                <w:bCs w:val="1"/>
                <w:color w:val="auto"/>
                <w:w w:val="92"/>
              </w:rPr>
              <w:t>For the Year Ended December 31, 2019</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6"/>
          </w:tcPr>
          <w:p>
            <w:pPr>
              <w:ind w:left="20"/>
              <w:spacing w:after="0"/>
              <w:rPr>
                <w:sz w:val="20"/>
                <w:szCs w:val="20"/>
                <w:color w:val="auto"/>
              </w:rPr>
            </w:pPr>
            <w:r>
              <w:rPr>
                <w:rFonts w:ascii="Arial" w:cs="Arial" w:eastAsia="Arial" w:hAnsi="Arial"/>
                <w:sz w:val="15"/>
                <w:szCs w:val="15"/>
                <w:b w:val="1"/>
                <w:bCs w:val="1"/>
                <w:color w:val="auto"/>
                <w:w w:val="95"/>
              </w:rPr>
              <w:t>Increase / (decrease) 2019 v 2018</w:t>
            </w: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auto"/>
                <w:w w:val="94"/>
              </w:rPr>
              <w:t>Activision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King</w:t>
            </w: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Arial" w:cs="Arial" w:eastAsia="Arial" w:hAnsi="Arial"/>
                <w:sz w:val="15"/>
                <w:szCs w:val="15"/>
                <w:b w:val="1"/>
                <w:bCs w:val="1"/>
                <w:color w:val="auto"/>
              </w:rPr>
              <w:t>Activision</w:t>
            </w:r>
          </w:p>
        </w:tc>
        <w:tc>
          <w:tcPr>
            <w:tcW w:w="18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2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5"/>
                <w:szCs w:val="15"/>
                <w:b w:val="1"/>
                <w:bCs w:val="1"/>
                <w:color w:val="auto"/>
              </w:rPr>
              <w:t>King</w:t>
            </w:r>
          </w:p>
        </w:tc>
        <w:tc>
          <w:tcPr>
            <w:tcW w:w="200" w:type="dxa"/>
            <w:vAlign w:val="bottom"/>
          </w:tcPr>
          <w:p>
            <w:pPr>
              <w:spacing w:after="0"/>
              <w:rPr>
                <w:sz w:val="18"/>
                <w:szCs w:val="18"/>
                <w:color w:val="auto"/>
              </w:rPr>
            </w:pPr>
          </w:p>
        </w:tc>
        <w:tc>
          <w:tcPr>
            <w:tcW w:w="780" w:type="dxa"/>
            <w:vAlign w:val="bottom"/>
          </w:tcPr>
          <w:p>
            <w:pPr>
              <w:jc w:val="right"/>
              <w:ind w:right="244"/>
              <w:spacing w:after="0"/>
              <w:rPr>
                <w:sz w:val="20"/>
                <w:szCs w:val="20"/>
                <w:color w:val="auto"/>
              </w:rPr>
            </w:pPr>
            <w:r>
              <w:rPr>
                <w:rFonts w:ascii="Arial" w:cs="Arial" w:eastAsia="Arial" w:hAnsi="Arial"/>
                <w:sz w:val="15"/>
                <w:szCs w:val="15"/>
                <w:b w:val="1"/>
                <w:bCs w:val="1"/>
                <w:color w:val="auto"/>
              </w:rPr>
              <w:t>Total</w:t>
            </w:r>
          </w:p>
        </w:tc>
      </w:tr>
      <w:tr>
        <w:trPr>
          <w:trHeight w:val="31"/>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2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r>
      <w:tr>
        <w:trPr>
          <w:trHeight w:val="209"/>
        </w:trPr>
        <w:tc>
          <w:tcPr>
            <w:tcW w:w="2420" w:type="dxa"/>
            <w:vAlign w:val="bottom"/>
          </w:tcPr>
          <w:p>
            <w:pPr>
              <w:ind w:left="160"/>
              <w:spacing w:after="0"/>
              <w:rPr>
                <w:sz w:val="20"/>
                <w:szCs w:val="20"/>
                <w:color w:val="auto"/>
              </w:rPr>
            </w:pPr>
            <w:r>
              <w:rPr>
                <w:rFonts w:ascii="Arial" w:cs="Arial" w:eastAsia="Arial" w:hAnsi="Arial"/>
                <w:sz w:val="15"/>
                <w:szCs w:val="15"/>
                <w:color w:val="auto"/>
              </w:rPr>
              <w:t>Net revenues from external</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4"/>
        </w:trPr>
        <w:tc>
          <w:tcPr>
            <w:tcW w:w="2420" w:type="dxa"/>
            <w:vAlign w:val="bottom"/>
          </w:tcPr>
          <w:p>
            <w:pPr>
              <w:ind w:left="240"/>
              <w:spacing w:after="0"/>
              <w:rPr>
                <w:sz w:val="20"/>
                <w:szCs w:val="20"/>
                <w:color w:val="auto"/>
              </w:rPr>
            </w:pPr>
            <w:r>
              <w:rPr>
                <w:rFonts w:ascii="Arial" w:cs="Arial" w:eastAsia="Arial" w:hAnsi="Arial"/>
                <w:sz w:val="15"/>
                <w:szCs w:val="15"/>
                <w:color w:val="auto"/>
              </w:rPr>
              <w:t>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2,219</w:t>
            </w:r>
          </w:p>
        </w:tc>
        <w:tc>
          <w:tcPr>
            <w:tcW w:w="38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1,676</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2,031</w:t>
            </w:r>
          </w:p>
        </w:tc>
        <w:tc>
          <w:tcPr>
            <w:tcW w:w="1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5,926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(562)</w:t>
            </w:r>
          </w:p>
        </w:tc>
        <w:tc>
          <w:tcPr>
            <w:tcW w:w="1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(856)</w:t>
            </w:r>
          </w:p>
        </w:tc>
      </w:tr>
      <w:tr>
        <w:trPr>
          <w:trHeight w:val="31"/>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5"/>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Intersegment net revenues (1)</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w:t>
            </w:r>
          </w:p>
        </w:tc>
      </w:tr>
      <w:tr>
        <w:trPr>
          <w:trHeight w:val="204"/>
        </w:trPr>
        <w:tc>
          <w:tcPr>
            <w:tcW w:w="2420" w:type="dxa"/>
            <w:vAlign w:val="bottom"/>
          </w:tcPr>
          <w:p>
            <w:pPr>
              <w:ind w:left="16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2,219</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1,719</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2,031</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5,969</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(572)</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(866)</w:t>
            </w:r>
          </w:p>
        </w:tc>
      </w:tr>
      <w:tr>
        <w:trPr>
          <w:trHeight w:val="31"/>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66"/>
        </w:trPr>
        <w:tc>
          <w:tcPr>
            <w:tcW w:w="2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r>
      <w:tr>
        <w:trPr>
          <w:trHeight w:val="225"/>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850</w:t>
            </w:r>
          </w:p>
        </w:tc>
        <w:tc>
          <w:tcPr>
            <w:tcW w:w="38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464</w:t>
            </w:r>
          </w:p>
        </w:tc>
        <w:tc>
          <w:tcPr>
            <w:tcW w:w="10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740</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2,054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(161)</w:t>
            </w:r>
          </w:p>
        </w:tc>
        <w:tc>
          <w:tcPr>
            <w:tcW w:w="100" w:type="dxa"/>
            <w:vAlign w:val="bottom"/>
          </w:tcPr>
          <w:p>
            <w:pPr>
              <w:spacing w:after="0"/>
              <w:rPr>
                <w:sz w:val="19"/>
                <w:szCs w:val="19"/>
                <w:color w:val="auto"/>
              </w:rPr>
            </w:pPr>
          </w:p>
        </w:tc>
        <w:tc>
          <w:tcPr>
            <w:tcW w:w="180" w:type="dxa"/>
            <w:vAlign w:val="bottom"/>
          </w:tcPr>
          <w:p>
            <w:pPr>
              <w:ind w:left="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(221)</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9"/>
                <w:szCs w:val="19"/>
                <w:color w:val="auto"/>
              </w:rPr>
            </w:pPr>
          </w:p>
        </w:tc>
        <w:tc>
          <w:tcPr>
            <w:tcW w:w="200" w:type="dxa"/>
            <w:vAlign w:val="bottom"/>
          </w:tcPr>
          <w:p>
            <w:pPr>
              <w:jc w:val="right"/>
              <w:ind w:right="2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(392)</w:t>
            </w:r>
          </w:p>
        </w:tc>
      </w:tr>
      <w:tr>
        <w:trPr>
          <w:trHeight w:val="30"/>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0"/>
        </w:trPr>
        <w:tc>
          <w:tcPr>
            <w:tcW w:w="2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bl>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720" w:type="dxa"/>
            <w:vAlign w:val="bottom"/>
            <w:gridSpan w:val="9"/>
          </w:tcPr>
          <w:p>
            <w:pPr>
              <w:jc w:val="right"/>
              <w:ind w:right="64"/>
              <w:spacing w:after="0"/>
              <w:rPr>
                <w:sz w:val="20"/>
                <w:szCs w:val="20"/>
                <w:color w:val="auto"/>
              </w:rPr>
            </w:pPr>
            <w:r>
              <w:rPr>
                <w:rFonts w:ascii="Arial" w:cs="Arial" w:eastAsia="Arial" w:hAnsi="Arial"/>
                <w:sz w:val="15"/>
                <w:szCs w:val="15"/>
                <w:b w:val="1"/>
                <w:bCs w:val="1"/>
                <w:color w:val="auto"/>
                <w:w w:val="92"/>
              </w:rPr>
              <w:t>For the Year Ended December 31, 2018</w:t>
            </w:r>
          </w:p>
        </w:tc>
        <w:tc>
          <w:tcPr>
            <w:tcW w:w="800" w:type="dxa"/>
            <w:vAlign w:val="bottom"/>
          </w:tcPr>
          <w:p>
            <w:pPr>
              <w:spacing w:after="0"/>
              <w:rPr>
                <w:sz w:val="17"/>
                <w:szCs w:val="17"/>
                <w:color w:val="auto"/>
              </w:rPr>
            </w:pPr>
          </w:p>
        </w:tc>
        <w:tc>
          <w:tcPr>
            <w:tcW w:w="4540" w:type="dxa"/>
            <w:vAlign w:val="bottom"/>
          </w:tcPr>
          <w:p>
            <w:pPr>
              <w:spacing w:after="0"/>
              <w:rPr>
                <w:sz w:val="17"/>
                <w:szCs w:val="17"/>
                <w:color w:val="auto"/>
              </w:rPr>
            </w:pPr>
          </w:p>
        </w:tc>
      </w:tr>
      <w:tr>
        <w:trPr>
          <w:trHeight w:val="31"/>
        </w:trPr>
        <w:tc>
          <w:tcPr>
            <w:tcW w:w="2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540" w:type="dxa"/>
            <w:vAlign w:val="bottom"/>
          </w:tcPr>
          <w:p>
            <w:pPr>
              <w:spacing w:after="0"/>
              <w:rPr>
                <w:sz w:val="2"/>
                <w:szCs w:val="2"/>
                <w:color w:val="auto"/>
              </w:rPr>
            </w:pPr>
          </w:p>
        </w:tc>
      </w:tr>
      <w:tr>
        <w:trPr>
          <w:trHeight w:val="21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b w:val="1"/>
                <w:bCs w:val="1"/>
                <w:color w:val="auto"/>
                <w:w w:val="94"/>
              </w:rPr>
              <w:t>Activision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Blizzard</w:t>
            </w:r>
          </w:p>
        </w:tc>
        <w:tc>
          <w:tcPr>
            <w:tcW w:w="24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5"/>
                <w:szCs w:val="15"/>
                <w:b w:val="1"/>
                <w:bCs w:val="1"/>
                <w:color w:val="auto"/>
              </w:rPr>
              <w:t>King</w:t>
            </w:r>
          </w:p>
        </w:tc>
        <w:tc>
          <w:tcPr>
            <w:tcW w:w="220" w:type="dxa"/>
            <w:vAlign w:val="bottom"/>
          </w:tcPr>
          <w:p>
            <w:pPr>
              <w:spacing w:after="0"/>
              <w:rPr>
                <w:sz w:val="18"/>
                <w:szCs w:val="18"/>
                <w:color w:val="auto"/>
              </w:rPr>
            </w:pPr>
          </w:p>
        </w:tc>
        <w:tc>
          <w:tcPr>
            <w:tcW w:w="5340" w:type="dxa"/>
            <w:vAlign w:val="bottom"/>
            <w:gridSpan w:val="2"/>
          </w:tcPr>
          <w:p>
            <w:pPr>
              <w:ind w:left="120"/>
              <w:spacing w:after="0"/>
              <w:rPr>
                <w:sz w:val="20"/>
                <w:szCs w:val="20"/>
                <w:color w:val="auto"/>
              </w:rPr>
            </w:pPr>
            <w:r>
              <w:rPr>
                <w:rFonts w:ascii="Arial" w:cs="Arial" w:eastAsia="Arial" w:hAnsi="Arial"/>
                <w:sz w:val="15"/>
                <w:szCs w:val="15"/>
                <w:b w:val="1"/>
                <w:bCs w:val="1"/>
                <w:color w:val="auto"/>
              </w:rPr>
              <w:t>Total</w:t>
            </w:r>
          </w:p>
        </w:tc>
      </w:tr>
      <w:tr>
        <w:trPr>
          <w:trHeight w:val="30"/>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r>
      <w:tr>
        <w:trPr>
          <w:trHeight w:val="22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Segment Revenues</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shd w:val="clear" w:color="auto" w:fill="CCEEFF"/>
          </w:tcPr>
          <w:p>
            <w:pPr>
              <w:spacing w:after="0"/>
              <w:rPr>
                <w:sz w:val="19"/>
                <w:szCs w:val="19"/>
                <w:color w:val="auto"/>
              </w:rPr>
            </w:pPr>
          </w:p>
        </w:tc>
      </w:tr>
      <w:tr>
        <w:trPr>
          <w:trHeight w:val="209"/>
        </w:trPr>
        <w:tc>
          <w:tcPr>
            <w:tcW w:w="2420" w:type="dxa"/>
            <w:vAlign w:val="bottom"/>
          </w:tcPr>
          <w:p>
            <w:pPr>
              <w:ind w:left="160"/>
              <w:spacing w:after="0"/>
              <w:rPr>
                <w:sz w:val="20"/>
                <w:szCs w:val="20"/>
                <w:color w:val="auto"/>
              </w:rPr>
            </w:pPr>
            <w:r>
              <w:rPr>
                <w:rFonts w:ascii="Arial" w:cs="Arial" w:eastAsia="Arial" w:hAnsi="Arial"/>
                <w:sz w:val="15"/>
                <w:szCs w:val="15"/>
                <w:color w:val="auto"/>
              </w:rPr>
              <w:t>Net revenues from external</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540" w:type="dxa"/>
            <w:vAlign w:val="bottom"/>
          </w:tcPr>
          <w:p>
            <w:pPr>
              <w:spacing w:after="0"/>
              <w:rPr>
                <w:sz w:val="18"/>
                <w:szCs w:val="18"/>
                <w:color w:val="auto"/>
              </w:rPr>
            </w:pPr>
          </w:p>
        </w:tc>
      </w:tr>
      <w:tr>
        <w:trPr>
          <w:trHeight w:val="194"/>
        </w:trPr>
        <w:tc>
          <w:tcPr>
            <w:tcW w:w="2420" w:type="dxa"/>
            <w:vAlign w:val="bottom"/>
          </w:tcPr>
          <w:p>
            <w:pPr>
              <w:ind w:left="240"/>
              <w:spacing w:after="0"/>
              <w:rPr>
                <w:sz w:val="20"/>
                <w:szCs w:val="20"/>
                <w:color w:val="auto"/>
              </w:rPr>
            </w:pPr>
            <w:r>
              <w:rPr>
                <w:rFonts w:ascii="Arial" w:cs="Arial" w:eastAsia="Arial" w:hAnsi="Arial"/>
                <w:sz w:val="15"/>
                <w:szCs w:val="15"/>
                <w:color w:val="auto"/>
              </w:rPr>
              <w:t>customers</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2,458</w:t>
            </w:r>
          </w:p>
        </w:tc>
        <w:tc>
          <w:tcPr>
            <w:tcW w:w="38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2,238</w:t>
            </w:r>
          </w:p>
        </w:tc>
        <w:tc>
          <w:tcPr>
            <w:tcW w:w="100" w:type="dxa"/>
            <w:vAlign w:val="bottom"/>
          </w:tcPr>
          <w:p>
            <w:pPr>
              <w:spacing w:after="0"/>
              <w:rPr>
                <w:sz w:val="16"/>
                <w:szCs w:val="16"/>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2,086</w:t>
            </w:r>
          </w:p>
        </w:tc>
        <w:tc>
          <w:tcPr>
            <w:tcW w:w="120" w:type="dxa"/>
            <w:vAlign w:val="bottom"/>
          </w:tcPr>
          <w:p>
            <w:pPr>
              <w:spacing w:after="0"/>
              <w:rPr>
                <w:sz w:val="16"/>
                <w:szCs w:val="16"/>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6,782</w:t>
            </w:r>
          </w:p>
        </w:tc>
        <w:tc>
          <w:tcPr>
            <w:tcW w:w="4540" w:type="dxa"/>
            <w:vAlign w:val="bottom"/>
          </w:tcPr>
          <w:p>
            <w:pPr>
              <w:spacing w:after="0"/>
              <w:rPr>
                <w:sz w:val="16"/>
                <w:szCs w:val="16"/>
                <w:color w:val="auto"/>
              </w:rPr>
            </w:pPr>
          </w:p>
        </w:tc>
      </w:tr>
      <w:tr>
        <w:trPr>
          <w:trHeight w:val="31"/>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5"/>
        </w:trPr>
        <w:tc>
          <w:tcPr>
            <w:tcW w:w="2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Intersegment net revenues (1)</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53</w:t>
            </w:r>
          </w:p>
        </w:tc>
        <w:tc>
          <w:tcPr>
            <w:tcW w:w="4540" w:type="dxa"/>
            <w:vAlign w:val="bottom"/>
            <w:tcBorders>
              <w:bottom w:val="single" w:sz="8" w:color="CCEEFF"/>
            </w:tcBorders>
            <w:shd w:val="clear" w:color="auto" w:fill="CCEEFF"/>
          </w:tcPr>
          <w:p>
            <w:pPr>
              <w:spacing w:after="0"/>
              <w:rPr>
                <w:sz w:val="22"/>
                <w:szCs w:val="22"/>
                <w:color w:val="auto"/>
              </w:rPr>
            </w:pPr>
          </w:p>
        </w:tc>
      </w:tr>
      <w:tr>
        <w:trPr>
          <w:trHeight w:val="204"/>
        </w:trPr>
        <w:tc>
          <w:tcPr>
            <w:tcW w:w="2420" w:type="dxa"/>
            <w:vAlign w:val="bottom"/>
          </w:tcPr>
          <w:p>
            <w:pPr>
              <w:ind w:left="160"/>
              <w:spacing w:after="0"/>
              <w:rPr>
                <w:sz w:val="20"/>
                <w:szCs w:val="20"/>
                <w:color w:val="auto"/>
              </w:rPr>
            </w:pPr>
            <w:r>
              <w:rPr>
                <w:rFonts w:ascii="Arial" w:cs="Arial" w:eastAsia="Arial" w:hAnsi="Arial"/>
                <w:sz w:val="15"/>
                <w:szCs w:val="15"/>
                <w:color w:val="auto"/>
              </w:rPr>
              <w:t>Segment net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2,458</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2,291</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2,086</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6,835</w:t>
            </w:r>
          </w:p>
        </w:tc>
        <w:tc>
          <w:tcPr>
            <w:tcW w:w="4540" w:type="dxa"/>
            <w:vAlign w:val="bottom"/>
          </w:tcPr>
          <w:p>
            <w:pPr>
              <w:spacing w:after="0"/>
              <w:rPr>
                <w:sz w:val="17"/>
                <w:szCs w:val="17"/>
                <w:color w:val="auto"/>
              </w:rPr>
            </w:pPr>
          </w:p>
        </w:tc>
      </w:tr>
      <w:tr>
        <w:trPr>
          <w:trHeight w:val="31"/>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166"/>
        </w:trPr>
        <w:tc>
          <w:tcPr>
            <w:tcW w:w="2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r>
      <w:tr>
        <w:trPr>
          <w:trHeight w:val="224"/>
        </w:trPr>
        <w:tc>
          <w:tcPr>
            <w:tcW w:w="2420" w:type="dxa"/>
            <w:vAlign w:val="bottom"/>
          </w:tcPr>
          <w:p>
            <w:pPr>
              <w:ind w:left="20"/>
              <w:spacing w:after="0"/>
              <w:rPr>
                <w:sz w:val="20"/>
                <w:szCs w:val="20"/>
                <w:color w:val="auto"/>
              </w:rPr>
            </w:pPr>
            <w:r>
              <w:rPr>
                <w:rFonts w:ascii="Arial" w:cs="Arial" w:eastAsia="Arial" w:hAnsi="Arial"/>
                <w:sz w:val="15"/>
                <w:szCs w:val="15"/>
                <w:b w:val="1"/>
                <w:bCs w:val="1"/>
                <w:color w:val="auto"/>
              </w:rPr>
              <w:t>Segment 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1,011</w:t>
            </w:r>
          </w:p>
        </w:tc>
        <w:tc>
          <w:tcPr>
            <w:tcW w:w="380" w:type="dxa"/>
            <w:vAlign w:val="bottom"/>
            <w:gridSpan w:val="3"/>
          </w:tcPr>
          <w:p>
            <w:pPr>
              <w:jc w:val="right"/>
              <w:ind w:right="4"/>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4"/>
              <w:spacing w:after="0"/>
              <w:rPr>
                <w:sz w:val="20"/>
                <w:szCs w:val="20"/>
                <w:color w:val="auto"/>
              </w:rPr>
            </w:pPr>
            <w:r>
              <w:rPr>
                <w:rFonts w:ascii="Arial" w:cs="Arial" w:eastAsia="Arial" w:hAnsi="Arial"/>
                <w:sz w:val="15"/>
                <w:szCs w:val="15"/>
                <w:color w:val="auto"/>
              </w:rPr>
              <w:t>685</w:t>
            </w:r>
          </w:p>
        </w:tc>
        <w:tc>
          <w:tcPr>
            <w:tcW w:w="10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4"/>
              <w:spacing w:after="0"/>
              <w:rPr>
                <w:sz w:val="20"/>
                <w:szCs w:val="20"/>
                <w:color w:val="auto"/>
              </w:rPr>
            </w:pPr>
            <w:r>
              <w:rPr>
                <w:rFonts w:ascii="Arial" w:cs="Arial" w:eastAsia="Arial" w:hAnsi="Arial"/>
                <w:sz w:val="15"/>
                <w:szCs w:val="15"/>
                <w:color w:val="auto"/>
              </w:rPr>
              <w:t>750</w:t>
            </w:r>
          </w:p>
        </w:tc>
        <w:tc>
          <w:tcPr>
            <w:tcW w:w="120" w:type="dxa"/>
            <w:vAlign w:val="bottom"/>
          </w:tcPr>
          <w:p>
            <w:pPr>
              <w:spacing w:after="0"/>
              <w:rPr>
                <w:sz w:val="19"/>
                <w:szCs w:val="19"/>
                <w:color w:val="auto"/>
              </w:rPr>
            </w:pP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2,446</w:t>
            </w:r>
          </w:p>
        </w:tc>
        <w:tc>
          <w:tcPr>
            <w:tcW w:w="4540" w:type="dxa"/>
            <w:vAlign w:val="bottom"/>
          </w:tcPr>
          <w:p>
            <w:pPr>
              <w:spacing w:after="0"/>
              <w:rPr>
                <w:sz w:val="19"/>
                <w:szCs w:val="19"/>
                <w:color w:val="auto"/>
              </w:rPr>
            </w:pPr>
          </w:p>
        </w:tc>
      </w:tr>
    </w:tbl>
    <w:p>
      <w:pPr>
        <w:spacing w:after="0" w:line="222" w:lineRule="exact"/>
        <w:rPr>
          <w:sz w:val="20"/>
          <w:szCs w:val="20"/>
          <w:color w:val="auto"/>
        </w:rPr>
      </w:pPr>
    </w:p>
    <w:p>
      <w:pPr>
        <w:ind w:left="5620" w:right="5420" w:hanging="5618"/>
        <w:spacing w:after="0" w:line="911" w:lineRule="auto"/>
        <w:tabs>
          <w:tab w:leader="none" w:pos="299"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Intersegment revenues reflect licensing and service fees charged between segments. 40</w:t>
      </w:r>
    </w:p>
    <w:p>
      <w:pPr>
        <w:sectPr>
          <w:pgSz w:w="11900" w:h="16838" w:orient="portrait"/>
          <w:cols w:equalWidth="0" w:num="1">
            <w:col w:w="11420"/>
          </w:cols>
          <w:pgMar w:left="240" w:top="127"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500" w:firstLine="382"/>
        <w:spacing w:after="0" w:line="274"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200" w:type="dxa"/>
            <w:vAlign w:val="bottom"/>
          </w:tcPr>
          <w:p>
            <w:pPr>
              <w:spacing w:after="0"/>
              <w:rPr>
                <w:sz w:val="19"/>
                <w:szCs w:val="19"/>
                <w:color w:val="auto"/>
              </w:rPr>
            </w:pPr>
          </w:p>
        </w:tc>
        <w:tc>
          <w:tcPr>
            <w:tcW w:w="3560" w:type="dxa"/>
            <w:vAlign w:val="bottom"/>
            <w:gridSpan w:val="4"/>
          </w:tcPr>
          <w:p>
            <w:pPr>
              <w:jc w:val="right"/>
              <w:ind w:right="75"/>
              <w:spacing w:after="0"/>
              <w:rPr>
                <w:sz w:val="20"/>
                <w:szCs w:val="20"/>
                <w:color w:val="auto"/>
              </w:rPr>
            </w:pPr>
            <w:r>
              <w:rPr>
                <w:rFonts w:ascii="Arial" w:cs="Arial" w:eastAsia="Arial" w:hAnsi="Arial"/>
                <w:sz w:val="17"/>
                <w:szCs w:val="17"/>
                <w:b w:val="1"/>
                <w:bCs w:val="1"/>
                <w:color w:val="auto"/>
              </w:rPr>
              <w:t>For the Years Ended December 31,</w:t>
            </w:r>
          </w:p>
        </w:tc>
        <w:tc>
          <w:tcPr>
            <w:tcW w:w="660" w:type="dxa"/>
            <w:vAlign w:val="bottom"/>
          </w:tcPr>
          <w:p>
            <w:pPr>
              <w:spacing w:after="0"/>
              <w:rPr>
                <w:sz w:val="19"/>
                <w:szCs w:val="19"/>
                <w:color w:val="auto"/>
              </w:rPr>
            </w:pPr>
          </w:p>
        </w:tc>
      </w:tr>
      <w:tr>
        <w:trPr>
          <w:trHeight w:val="27"/>
        </w:trPr>
        <w:tc>
          <w:tcPr>
            <w:tcW w:w="7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1"/>
        </w:trPr>
        <w:tc>
          <w:tcPr>
            <w:tcW w:w="7200" w:type="dxa"/>
            <w:vAlign w:val="bottom"/>
          </w:tcPr>
          <w:p>
            <w:pPr>
              <w:spacing w:after="0"/>
              <w:rPr>
                <w:sz w:val="19"/>
                <w:szCs w:val="19"/>
                <w:color w:val="auto"/>
              </w:rPr>
            </w:pPr>
          </w:p>
        </w:tc>
        <w:tc>
          <w:tcPr>
            <w:tcW w:w="1400" w:type="dxa"/>
            <w:vAlign w:val="bottom"/>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660" w:type="dxa"/>
            <w:vAlign w:val="bottom"/>
          </w:tcPr>
          <w:p>
            <w:pPr>
              <w:spacing w:after="0"/>
              <w:rPr>
                <w:sz w:val="19"/>
                <w:szCs w:val="19"/>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2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4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400" w:type="dxa"/>
            <w:vAlign w:val="bottom"/>
          </w:tcPr>
          <w:p>
            <w:pPr>
              <w:jc w:val="right"/>
              <w:ind w:right="119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5,969</w:t>
            </w:r>
          </w:p>
        </w:tc>
        <w:tc>
          <w:tcPr>
            <w:tcW w:w="100" w:type="dxa"/>
            <w:vAlign w:val="bottom"/>
          </w:tcPr>
          <w:p>
            <w:pPr>
              <w:spacing w:after="0"/>
              <w:rPr>
                <w:sz w:val="19"/>
                <w:szCs w:val="19"/>
                <w:color w:val="auto"/>
              </w:rPr>
            </w:pPr>
          </w:p>
        </w:tc>
        <w:tc>
          <w:tcPr>
            <w:tcW w:w="1380" w:type="dxa"/>
            <w:vAlign w:val="bottom"/>
          </w:tcPr>
          <w:p>
            <w:pPr>
              <w:jc w:val="right"/>
              <w:ind w:right="1175"/>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6,835</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40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238</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81"/>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Consolidated net revenues</w:t>
            </w:r>
          </w:p>
        </w:tc>
        <w:tc>
          <w:tcPr>
            <w:tcW w:w="1400" w:type="dxa"/>
            <w:vAlign w:val="bottom"/>
            <w:tcBorders>
              <w:top w:val="single" w:sz="8" w:color="auto"/>
              <w:bottom w:val="single" w:sz="8" w:color="auto"/>
            </w:tcBorders>
          </w:tcPr>
          <w:p>
            <w:pPr>
              <w:jc w:val="right"/>
              <w:ind w:right="1195"/>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6,489</w:t>
            </w:r>
          </w:p>
        </w:tc>
        <w:tc>
          <w:tcPr>
            <w:tcW w:w="100" w:type="dxa"/>
            <w:vAlign w:val="bottom"/>
            <w:tcBorders>
              <w:bottom w:val="single" w:sz="8" w:color="CCEEFF"/>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1175"/>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r>
      <w:tr>
        <w:trPr>
          <w:trHeight w:val="253"/>
        </w:trPr>
        <w:tc>
          <w:tcPr>
            <w:tcW w:w="7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400" w:type="dxa"/>
            <w:vAlign w:val="bottom"/>
            <w:tcBorders>
              <w:bottom w:val="single" w:sz="8" w:color="CCEEFF"/>
            </w:tcBorders>
            <w:shd w:val="clear" w:color="auto" w:fill="CCEEFF"/>
          </w:tcPr>
          <w:p>
            <w:pPr>
              <w:jc w:val="right"/>
              <w:ind w:right="119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2,054</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2,446</w:t>
            </w: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400" w:type="dxa"/>
            <w:vAlign w:val="bottom"/>
          </w:tcPr>
          <w:p>
            <w:pPr>
              <w:spacing w:after="0"/>
              <w:rPr>
                <w:sz w:val="19"/>
                <w:szCs w:val="19"/>
                <w:color w:val="auto"/>
              </w:rPr>
            </w:pPr>
          </w:p>
        </w:tc>
        <w:tc>
          <w:tcPr>
            <w:tcW w:w="68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31</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effect from recognition (deferral) of deferred net revenues and related cost of revenues (2)</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(209)</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Restructuring and related costs (4)</w:t>
            </w:r>
          </w:p>
        </w:tc>
        <w:tc>
          <w:tcPr>
            <w:tcW w:w="1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(137)</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Discrete tax-related items (5)</w:t>
            </w:r>
          </w:p>
        </w:tc>
        <w:tc>
          <w:tcPr>
            <w:tcW w:w="14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1"/>
        </w:trPr>
        <w:tc>
          <w:tcPr>
            <w:tcW w:w="720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4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1,607</w:t>
            </w:r>
          </w:p>
        </w:tc>
        <w:tc>
          <w:tcPr>
            <w:tcW w:w="10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1,988</w:t>
            </w:r>
          </w:p>
        </w:tc>
      </w:tr>
      <w:tr>
        <w:trPr>
          <w:trHeight w:val="27"/>
        </w:trPr>
        <w:tc>
          <w:tcPr>
            <w:tcW w:w="7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35"/>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4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r>
      <w:tr>
        <w:trPr>
          <w:trHeight w:val="228"/>
        </w:trPr>
        <w:tc>
          <w:tcPr>
            <w:tcW w:w="720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4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tcPr>
          <w:p>
            <w:pPr>
              <w:spacing w:after="0"/>
              <w:rPr>
                <w:sz w:val="19"/>
                <w:szCs w:val="19"/>
                <w:color w:val="auto"/>
              </w:rPr>
            </w:pPr>
          </w:p>
        </w:tc>
        <w:tc>
          <w:tcPr>
            <w:tcW w:w="660" w:type="dxa"/>
            <w:vAlign w:val="bottom"/>
          </w:tcPr>
          <w:p>
            <w:pPr>
              <w:jc w:val="right"/>
              <w:ind w:right="15"/>
              <w:spacing w:after="0"/>
              <w:rPr>
                <w:sz w:val="20"/>
                <w:szCs w:val="20"/>
                <w:color w:val="auto"/>
              </w:rPr>
            </w:pPr>
            <w:r>
              <w:rPr>
                <w:rFonts w:ascii="Arial" w:cs="Arial" w:eastAsia="Arial" w:hAnsi="Arial"/>
                <w:sz w:val="17"/>
                <w:szCs w:val="17"/>
                <w:color w:val="auto"/>
              </w:rPr>
              <w:t>40</w:t>
            </w:r>
          </w:p>
        </w:tc>
      </w:tr>
      <w:tr>
        <w:trPr>
          <w:trHeight w:val="26"/>
        </w:trPr>
        <w:tc>
          <w:tcPr>
            <w:tcW w:w="72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1"/>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400" w:type="dxa"/>
            <w:vAlign w:val="bottom"/>
            <w:tcBorders>
              <w:bottom w:val="single" w:sz="8" w:color="auto"/>
            </w:tcBorders>
            <w:shd w:val="clear" w:color="auto" w:fill="CCEEFF"/>
          </w:tcPr>
          <w:p>
            <w:pPr>
              <w:jc w:val="right"/>
              <w:ind w:right="119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1,633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1,877</w:t>
            </w:r>
          </w:p>
        </w:tc>
      </w:tr>
      <w:tr>
        <w:trPr>
          <w:trHeight w:val="20"/>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00" w:right="580" w:hanging="298"/>
        <w:spacing w:after="0" w:line="274"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Includes other income and expenses from operating segments managed outside the reportable segments, including our Distribution business. Also includes unallocated corporate income and expenses.</w:t>
      </w:r>
    </w:p>
    <w:p>
      <w:pPr>
        <w:spacing w:after="0" w:line="165" w:lineRule="exact"/>
        <w:rPr>
          <w:rFonts w:ascii="Arial" w:cs="Arial" w:eastAsia="Arial" w:hAnsi="Arial"/>
          <w:sz w:val="17"/>
          <w:szCs w:val="17"/>
          <w:color w:val="auto"/>
        </w:rPr>
      </w:pPr>
    </w:p>
    <w:p>
      <w:pPr>
        <w:ind w:left="300" w:right="100" w:hanging="298"/>
        <w:spacing w:after="0" w:line="256"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Since certain of our games are hosted online or include significant online functionality that represents a separate performance obligation, we defer the transaction price allocable to the online functionality from the sale of these games and then recognize the attributable revenues over the relevant estimated service periods, which are generally less than a year. The related cost of revenues is deferred and recognized as an expense as the related revenues are recognized. This table reflects the net effect from the deferrals of revenues and recognition of deferred revenues, along with the related cost of revenues, on certain of our online enabled products.</w:t>
      </w:r>
    </w:p>
    <w:p>
      <w:pPr>
        <w:spacing w:after="0" w:line="181" w:lineRule="exact"/>
        <w:rPr>
          <w:rFonts w:ascii="Arial" w:cs="Arial" w:eastAsia="Arial" w:hAnsi="Arial"/>
          <w:sz w:val="17"/>
          <w:szCs w:val="17"/>
          <w:color w:val="auto"/>
        </w:rPr>
      </w:pPr>
    </w:p>
    <w:p>
      <w:pPr>
        <w:ind w:left="300" w:hanging="298"/>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restructuring initiatives, which include severance and other restructuring-related costs.</w:t>
      </w:r>
    </w:p>
    <w:p>
      <w:pPr>
        <w:spacing w:after="0" w:line="212" w:lineRule="exact"/>
        <w:rPr>
          <w:rFonts w:ascii="Arial" w:cs="Arial" w:eastAsia="Arial" w:hAnsi="Arial"/>
          <w:sz w:val="17"/>
          <w:szCs w:val="17"/>
          <w:color w:val="auto"/>
        </w:rPr>
      </w:pPr>
    </w:p>
    <w:p>
      <w:pPr>
        <w:ind w:left="300" w:hanging="298"/>
        <w:spacing w:after="0" w:line="196" w:lineRule="exact"/>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Reflects the impact of other unusual or unique tax</w:t>
      </w:r>
      <w:r>
        <w:rPr>
          <w:rFonts w:ascii="MS PGothic" w:cs="MS PGothic" w:eastAsia="MS PGothic" w:hAnsi="MS PGothic"/>
          <w:sz w:val="17"/>
          <w:szCs w:val="17"/>
          <w:color w:val="auto"/>
        </w:rPr>
        <w:t>‑</w:t>
      </w:r>
      <w:r>
        <w:rPr>
          <w:rFonts w:ascii="Arial" w:cs="Arial" w:eastAsia="Arial" w:hAnsi="Arial"/>
          <w:sz w:val="17"/>
          <w:szCs w:val="17"/>
          <w:color w:val="auto"/>
        </w:rPr>
        <w:t>related items and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Revenues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Activision</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Activision’s net revenues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20"/>
        </w:numPr>
        <w:rPr>
          <w:rFonts w:ascii="Arial" w:cs="Arial" w:eastAsia="Arial" w:hAnsi="Arial"/>
          <w:sz w:val="15"/>
          <w:szCs w:val="15"/>
          <w:color w:val="auto"/>
        </w:rPr>
      </w:pPr>
      <w:r>
        <w:rPr>
          <w:rFonts w:ascii="Arial" w:cs="Arial" w:eastAsia="Arial" w:hAnsi="Arial"/>
          <w:sz w:val="17"/>
          <w:szCs w:val="17"/>
          <w:color w:val="auto"/>
        </w:rPr>
        <w:t>lower revenues from the Destiny franchise (reflecting our sale of the publishing rights for Destiny to Bungie in December 2018); and</w:t>
      </w:r>
    </w:p>
    <w:p>
      <w:pPr>
        <w:spacing w:after="0" w:line="212" w:lineRule="exact"/>
        <w:rPr>
          <w:rFonts w:ascii="Arial" w:cs="Arial" w:eastAsia="Arial" w:hAnsi="Arial"/>
          <w:sz w:val="15"/>
          <w:szCs w:val="15"/>
          <w:color w:val="auto"/>
        </w:rPr>
      </w:pPr>
    </w:p>
    <w:p>
      <w:pPr>
        <w:ind w:left="920" w:hanging="306"/>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lower revenues from Call of Duty franchise catalog titles.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was partially offset by:</w:t>
      </w:r>
    </w:p>
    <w:p>
      <w:pPr>
        <w:spacing w:after="0" w:line="213" w:lineRule="exact"/>
        <w:rPr>
          <w:sz w:val="20"/>
          <w:szCs w:val="20"/>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which was released in March 2019;</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21"/>
        </w:numPr>
        <w:rPr>
          <w:rFonts w:ascii="Arial" w:cs="Arial" w:eastAsia="Arial" w:hAnsi="Arial"/>
          <w:sz w:val="17"/>
          <w:szCs w:val="17"/>
          <w:i w:val="1"/>
          <w:iCs w:val="1"/>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which was released in June 2019; and</w:t>
      </w:r>
    </w:p>
    <w:p>
      <w:pPr>
        <w:spacing w:after="0" w:line="212" w:lineRule="exact"/>
        <w:rPr>
          <w:rFonts w:ascii="Arial" w:cs="Arial" w:eastAsia="Arial" w:hAnsi="Arial"/>
          <w:sz w:val="17"/>
          <w:szCs w:val="17"/>
          <w:i w:val="1"/>
          <w:iCs w:val="1"/>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Blizzard</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Blizzard’s net revenues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lower revenues from </w:t>
      </w:r>
      <w:r>
        <w:rPr>
          <w:rFonts w:ascii="Arial" w:cs="Arial" w:eastAsia="Arial" w:hAnsi="Arial"/>
          <w:sz w:val="17"/>
          <w:szCs w:val="17"/>
          <w:i w:val="1"/>
          <w:iCs w:val="1"/>
          <w:color w:val="auto"/>
        </w:rPr>
        <w:t>Hearthstone</w:t>
      </w:r>
      <w:r>
        <w:rPr>
          <w:rFonts w:ascii="Arial" w:cs="Arial" w:eastAsia="Arial" w:hAnsi="Arial"/>
          <w:sz w:val="17"/>
          <w:szCs w:val="17"/>
          <w:color w:val="auto"/>
        </w:rPr>
        <w:t>; and</w:t>
      </w:r>
    </w:p>
    <w:p>
      <w:pPr>
        <w:spacing w:after="0" w:line="212" w:lineRule="exact"/>
        <w:rPr>
          <w:rFonts w:ascii="Arial" w:cs="Arial" w:eastAsia="Arial" w:hAnsi="Arial"/>
          <w:sz w:val="17"/>
          <w:szCs w:val="17"/>
          <w:color w:val="auto"/>
        </w:rPr>
      </w:pPr>
    </w:p>
    <w:p>
      <w:pPr>
        <w:ind w:left="920" w:right="420" w:hanging="306"/>
        <w:spacing w:after="0" w:line="343" w:lineRule="auto"/>
        <w:tabs>
          <w:tab w:leader="none" w:pos="9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 xml:space="preserve">overall lower revenues from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primarily due to </w:t>
      </w:r>
      <w:r>
        <w:rPr>
          <w:rFonts w:ascii="Arial" w:cs="Arial" w:eastAsia="Arial" w:hAnsi="Arial"/>
          <w:sz w:val="15"/>
          <w:szCs w:val="15"/>
          <w:i w:val="1"/>
          <w:iCs w:val="1"/>
          <w:color w:val="auto"/>
        </w:rPr>
        <w:t>World of Warcraft: Battle for Azeroth</w:t>
      </w:r>
      <w:r>
        <w:rPr>
          <w:rFonts w:ascii="Arial" w:cs="Arial" w:eastAsia="Arial" w:hAnsi="Arial"/>
          <w:sz w:val="15"/>
          <w:szCs w:val="15"/>
          <w:color w:val="auto"/>
        </w:rPr>
        <w:t xml:space="preserve">, which was released in August 2018, with no comparable release in 2019 (although revenues from subscriptions increased due to the release of </w:t>
      </w:r>
      <w:r>
        <w:rPr>
          <w:rFonts w:ascii="Arial" w:cs="Arial" w:eastAsia="Arial" w:hAnsi="Arial"/>
          <w:sz w:val="15"/>
          <w:szCs w:val="15"/>
          <w:i w:val="1"/>
          <w:iCs w:val="1"/>
          <w:color w:val="auto"/>
        </w:rPr>
        <w:t>World of Warcraft Classic</w:t>
      </w:r>
      <w:r>
        <w:rPr>
          <w:rFonts w:ascii="Arial" w:cs="Arial" w:eastAsia="Arial" w:hAnsi="Arial"/>
          <w:sz w:val="15"/>
          <w:szCs w:val="15"/>
          <w:color w:val="auto"/>
        </w:rPr>
        <w:t xml:space="preserve"> in August 2019).</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King</w:t>
      </w:r>
    </w:p>
    <w:p>
      <w:pPr>
        <w:spacing w:after="0" w:line="213" w:lineRule="exact"/>
        <w:rPr>
          <w:sz w:val="20"/>
          <w:szCs w:val="20"/>
          <w:color w:val="auto"/>
        </w:rPr>
      </w:pPr>
    </w:p>
    <w:p>
      <w:pPr>
        <w:ind w:firstLine="382"/>
        <w:spacing w:after="0" w:line="274" w:lineRule="auto"/>
        <w:rPr>
          <w:sz w:val="20"/>
          <w:szCs w:val="20"/>
          <w:color w:val="auto"/>
        </w:rPr>
      </w:pPr>
      <w:r>
        <w:rPr>
          <w:rFonts w:ascii="Arial" w:cs="Arial" w:eastAsia="Arial" w:hAnsi="Arial"/>
          <w:sz w:val="17"/>
          <w:szCs w:val="17"/>
          <w:color w:val="auto"/>
        </w:rPr>
        <w:t>The decrease in King’s net revenues for 2019, as compared to 2018, was primarily due to lower in-game revenues from player purchases across various franchise titles, primarily driven by the Candy Crush franchise, partially offset by an increase in advertising revenues.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Income from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Activision</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Activision’s operating income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lower revenues, as discussed above; and</w:t>
      </w:r>
    </w:p>
    <w:p>
      <w:pPr>
        <w:spacing w:after="0" w:line="212" w:lineRule="exact"/>
        <w:rPr>
          <w:rFonts w:ascii="Arial" w:cs="Arial" w:eastAsia="Arial" w:hAnsi="Arial"/>
          <w:sz w:val="17"/>
          <w:szCs w:val="17"/>
          <w:color w:val="auto"/>
        </w:rPr>
      </w:pPr>
    </w:p>
    <w:p>
      <w:pPr>
        <w:ind w:left="380" w:right="4680" w:firstLine="234"/>
        <w:spacing w:after="0" w:line="500" w:lineRule="auto"/>
        <w:tabs>
          <w:tab w:leader="none" w:pos="9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marketing costs associated with the release of </w:t>
      </w:r>
      <w:r>
        <w:rPr>
          <w:rFonts w:ascii="Arial" w:cs="Arial" w:eastAsia="Arial" w:hAnsi="Arial"/>
          <w:sz w:val="17"/>
          <w:szCs w:val="17"/>
          <w:i w:val="1"/>
          <w:iCs w:val="1"/>
          <w:color w:val="auto"/>
        </w:rPr>
        <w:t>Call of Duty: Mobile</w:t>
      </w:r>
      <w:r>
        <w:rPr>
          <w:rFonts w:ascii="Arial" w:cs="Arial" w:eastAsia="Arial" w:hAnsi="Arial"/>
          <w:sz w:val="17"/>
          <w:szCs w:val="17"/>
          <w:color w:val="auto"/>
        </w:rPr>
        <w:t xml:space="preserve"> in October 2019. The decrease was partially offset by:</w:t>
      </w:r>
    </w:p>
    <w:p>
      <w:pPr>
        <w:spacing w:after="0" w:line="1" w:lineRule="exact"/>
        <w:rPr>
          <w:rFonts w:ascii="Arial" w:cs="Arial" w:eastAsia="Arial" w:hAnsi="Arial"/>
          <w:sz w:val="17"/>
          <w:szCs w:val="17"/>
          <w:color w:val="auto"/>
        </w:rPr>
      </w:pPr>
    </w:p>
    <w:p>
      <w:pPr>
        <w:ind w:left="920" w:hanging="30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lower cost of revenues as a result of the decrease in revenues discussed above, primarily associated with Destiny;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lower operating expenses, such as sales and marketing and product developments costs, for Destiny.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Blizzard</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Blizzard’s operating income for 2019, as compared to 2018, was primarily due to lower revenues, as discussed above.</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is partially offset by:</w:t>
      </w:r>
    </w:p>
    <w:p>
      <w:pPr>
        <w:spacing w:after="0" w:line="213" w:lineRule="exact"/>
        <w:rPr>
          <w:sz w:val="20"/>
          <w:szCs w:val="20"/>
          <w:color w:val="auto"/>
        </w:rPr>
      </w:pPr>
    </w:p>
    <w:p>
      <w:pPr>
        <w:ind w:left="920" w:hanging="306"/>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lower spending on sales and marketing, primarily driven by lower marketing for esports initiatives;</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higher capitalization of development costs driven by the timing of Blizzard’s game development cycles;</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lower personnel costs;</w:t>
      </w:r>
    </w:p>
    <w:p>
      <w:pPr>
        <w:spacing w:after="0" w:line="212" w:lineRule="exact"/>
        <w:rPr>
          <w:rFonts w:ascii="Arial" w:cs="Arial" w:eastAsia="Arial" w:hAnsi="Arial"/>
          <w:sz w:val="17"/>
          <w:szCs w:val="17"/>
          <w:color w:val="auto"/>
        </w:rPr>
      </w:pPr>
    </w:p>
    <w:p>
      <w:pPr>
        <w:ind w:left="920" w:right="500" w:hanging="306"/>
        <w:spacing w:after="0" w:line="274" w:lineRule="auto"/>
        <w:tabs>
          <w:tab w:leader="none" w:pos="920" w:val="left"/>
        </w:tabs>
        <w:numPr>
          <w:ilvl w:val="0"/>
          <w:numId w:val="24"/>
        </w:numPr>
        <w:rPr>
          <w:rFonts w:ascii="Arial" w:cs="Arial" w:eastAsia="Arial" w:hAnsi="Arial"/>
          <w:sz w:val="17"/>
          <w:szCs w:val="17"/>
          <w:i w:val="1"/>
          <w:iCs w:val="1"/>
          <w:color w:val="auto"/>
        </w:rPr>
      </w:pPr>
      <w:r>
        <w:rPr>
          <w:rFonts w:ascii="Arial" w:cs="Arial" w:eastAsia="Arial" w:hAnsi="Arial"/>
          <w:sz w:val="17"/>
          <w:szCs w:val="17"/>
          <w:color w:val="auto"/>
        </w:rPr>
        <w:t xml:space="preserve">lower software amortization from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primarily due to the release of </w:t>
      </w:r>
      <w:r>
        <w:rPr>
          <w:rFonts w:ascii="Arial" w:cs="Arial" w:eastAsia="Arial" w:hAnsi="Arial"/>
          <w:sz w:val="17"/>
          <w:szCs w:val="17"/>
          <w:i w:val="1"/>
          <w:iCs w:val="1"/>
          <w:color w:val="auto"/>
        </w:rPr>
        <w:t>World of Warcraft: Battle for Azeroth</w:t>
      </w:r>
      <w:r>
        <w:rPr>
          <w:rFonts w:ascii="Arial" w:cs="Arial" w:eastAsia="Arial" w:hAnsi="Arial"/>
          <w:sz w:val="17"/>
          <w:szCs w:val="17"/>
          <w:color w:val="auto"/>
        </w:rPr>
        <w:t xml:space="preserve"> in August 2018, with no comparable release in 2019</w:t>
      </w:r>
      <w:r>
        <w:rPr>
          <w:rFonts w:ascii="Arial" w:cs="Arial" w:eastAsia="Arial" w:hAnsi="Arial"/>
          <w:sz w:val="17"/>
          <w:szCs w:val="17"/>
          <w:i w:val="1"/>
          <w:iCs w:val="1"/>
          <w:color w:val="auto"/>
        </w:rPr>
        <w:t>;</w:t>
      </w:r>
      <w:r>
        <w:rPr>
          <w:rFonts w:ascii="Arial" w:cs="Arial" w:eastAsia="Arial" w:hAnsi="Arial"/>
          <w:sz w:val="17"/>
          <w:szCs w:val="17"/>
          <w:color w:val="auto"/>
        </w:rPr>
        <w:t xml:space="preserve"> and</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360"/>
          </w:cols>
          <w:pgMar w:left="240" w:top="127" w:right="29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right="220" w:hanging="306"/>
        <w:spacing w:after="0" w:line="274"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lower service provider fees, such as digital storefront fees (e.g., fees retained by Apple and Google for our sales on their platforms), payment processor fees, and server bandwidth fees</w:t>
      </w:r>
      <w:r>
        <w:rPr>
          <w:rFonts w:ascii="Arial" w:cs="Arial" w:eastAsia="Arial" w:hAnsi="Arial"/>
          <w:sz w:val="17"/>
          <w:szCs w:val="17"/>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King</w:t>
      </w:r>
    </w:p>
    <w:p>
      <w:pPr>
        <w:spacing w:after="0" w:line="213" w:lineRule="exact"/>
        <w:rPr>
          <w:sz w:val="20"/>
          <w:szCs w:val="20"/>
          <w:color w:val="auto"/>
        </w:rPr>
      </w:pPr>
    </w:p>
    <w:p>
      <w:pPr>
        <w:ind w:right="380" w:firstLine="382"/>
        <w:spacing w:after="0" w:line="274" w:lineRule="auto"/>
        <w:rPr>
          <w:sz w:val="20"/>
          <w:szCs w:val="20"/>
          <w:color w:val="auto"/>
        </w:rPr>
      </w:pPr>
      <w:r>
        <w:rPr>
          <w:rFonts w:ascii="Arial" w:cs="Arial" w:eastAsia="Arial" w:hAnsi="Arial"/>
          <w:sz w:val="17"/>
          <w:szCs w:val="17"/>
          <w:color w:val="auto"/>
        </w:rPr>
        <w:t>King’s operating income for 2019 was slightly less than in 2018, primarily due to lower revenues, as discussed above. The impact of the lower revenues was largely offset by:</w:t>
      </w:r>
    </w:p>
    <w:p>
      <w:pPr>
        <w:spacing w:after="0" w:line="166" w:lineRule="exact"/>
        <w:rPr>
          <w:sz w:val="20"/>
          <w:szCs w:val="20"/>
          <w:color w:val="auto"/>
        </w:rPr>
      </w:pPr>
    </w:p>
    <w:p>
      <w:pPr>
        <w:ind w:left="920" w:hanging="306"/>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personnel costs; and</w:t>
      </w:r>
    </w:p>
    <w:p>
      <w:pPr>
        <w:spacing w:after="0" w:line="212" w:lineRule="exact"/>
        <w:rPr>
          <w:rFonts w:ascii="Arial" w:cs="Arial" w:eastAsia="Arial" w:hAnsi="Arial"/>
          <w:sz w:val="17"/>
          <w:szCs w:val="17"/>
          <w:color w:val="auto"/>
        </w:rPr>
      </w:pPr>
    </w:p>
    <w:p>
      <w:pPr>
        <w:ind w:left="920" w:right="220" w:hanging="306"/>
        <w:spacing w:after="0" w:line="274"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lower service provider fees, such as digital storefront fees (e.g., fees retained by Apple and Google for our sales on their platforms), payment processor fees, and server bandwidth fees</w:t>
      </w:r>
      <w:r>
        <w:rPr>
          <w:rFonts w:ascii="Arial" w:cs="Arial" w:eastAsia="Arial" w:hAnsi="Arial"/>
          <w:sz w:val="17"/>
          <w:szCs w:val="17"/>
          <w:i w:val="1"/>
          <w:i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3" w:lineRule="exact"/>
        <w:rPr>
          <w:sz w:val="20"/>
          <w:szCs w:val="20"/>
          <w:color w:val="auto"/>
        </w:rPr>
      </w:pPr>
    </w:p>
    <w:p>
      <w:pPr>
        <w:jc w:val="both"/>
        <w:ind w:right="200" w:firstLine="382"/>
        <w:spacing w:after="0" w:line="262" w:lineRule="auto"/>
        <w:rPr>
          <w:sz w:val="20"/>
          <w:szCs w:val="20"/>
          <w:color w:val="auto"/>
        </w:rPr>
      </w:pPr>
      <w:r>
        <w:rPr>
          <w:rFonts w:ascii="Arial" w:cs="Arial" w:eastAsia="Arial" w:hAnsi="Arial"/>
          <w:sz w:val="17"/>
          <w:szCs w:val="17"/>
          <w:color w:val="auto"/>
        </w:rPr>
        <w:t>Changes in foreign exchange rates had a negative impact of $126 million and a positive impact of $48 million on reportable segment net revenues for 2019 and 2018, respectively, as compared to the same periods in the previous year. The changes are primarily due to changes in the value of the U.S. dollar relative to the euro and British pound.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Results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Distribution Channel</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details our consolidated net revenues by distribution channel (amounts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4"/>
          </w:tcPr>
          <w:p>
            <w:pPr>
              <w:jc w:val="right"/>
              <w:ind w:right="338"/>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18"/>
              <w:spacing w:after="0"/>
              <w:rPr>
                <w:sz w:val="20"/>
                <w:szCs w:val="20"/>
                <w:color w:val="auto"/>
              </w:rPr>
            </w:pPr>
            <w:r>
              <w:rPr>
                <w:rFonts w:ascii="Arial" w:cs="Arial" w:eastAsia="Arial" w:hAnsi="Arial"/>
                <w:sz w:val="15"/>
                <w:szCs w:val="15"/>
                <w:b w:val="1"/>
                <w:bCs w:val="1"/>
                <w:color w:val="auto"/>
              </w:rPr>
              <w:t>Increase/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58"/>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78"/>
              <w:spacing w:after="0"/>
              <w:rPr>
                <w:sz w:val="20"/>
                <w:szCs w:val="20"/>
                <w:color w:val="auto"/>
              </w:rPr>
            </w:pPr>
            <w:r>
              <w:rPr>
                <w:rFonts w:ascii="Arial" w:cs="Arial" w:eastAsia="Arial" w:hAnsi="Arial"/>
                <w:sz w:val="15"/>
                <w:szCs w:val="15"/>
                <w:b w:val="1"/>
                <w:bCs w:val="1"/>
                <w:color w:val="auto"/>
              </w:rPr>
              <w:t>(decrease)</w:t>
            </w:r>
          </w:p>
        </w:tc>
        <w:tc>
          <w:tcPr>
            <w:tcW w:w="100" w:type="dxa"/>
            <w:vAlign w:val="bottom"/>
          </w:tcPr>
          <w:p>
            <w:pPr>
              <w:spacing w:after="0"/>
              <w:rPr>
                <w:sz w:val="17"/>
                <w:szCs w:val="17"/>
                <w:color w:val="auto"/>
              </w:rPr>
            </w:pPr>
          </w:p>
        </w:tc>
        <w:tc>
          <w:tcPr>
            <w:tcW w:w="1700" w:type="dxa"/>
            <w:vAlign w:val="bottom"/>
          </w:tcPr>
          <w:p>
            <w:pPr>
              <w:jc w:val="right"/>
              <w:ind w:right="424"/>
              <w:spacing w:after="0"/>
              <w:rPr>
                <w:sz w:val="20"/>
                <w:szCs w:val="20"/>
                <w:color w:val="auto"/>
              </w:rPr>
            </w:pPr>
            <w:r>
              <w:rPr>
                <w:rFonts w:ascii="Arial" w:cs="Arial" w:eastAsia="Arial" w:hAnsi="Arial"/>
                <w:sz w:val="15"/>
                <w:szCs w:val="15"/>
                <w:b w:val="1"/>
                <w:bCs w:val="1"/>
                <w:color w:val="auto"/>
              </w:rPr>
              <w:t>% Change</w:t>
            </w:r>
          </w:p>
        </w:tc>
      </w:tr>
      <w:tr>
        <w:trPr>
          <w:trHeight w:val="31"/>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distribution channel:</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9"/>
        </w:trPr>
        <w:tc>
          <w:tcPr>
            <w:tcW w:w="4660" w:type="dxa"/>
            <w:vAlign w:val="bottom"/>
          </w:tcPr>
          <w:p>
            <w:pPr>
              <w:ind w:left="160"/>
              <w:spacing w:after="0"/>
              <w:rPr>
                <w:sz w:val="20"/>
                <w:szCs w:val="20"/>
                <w:color w:val="auto"/>
              </w:rPr>
            </w:pPr>
            <w:r>
              <w:rPr>
                <w:rFonts w:ascii="Arial" w:cs="Arial" w:eastAsia="Arial" w:hAnsi="Arial"/>
                <w:sz w:val="17"/>
                <w:szCs w:val="17"/>
                <w:color w:val="auto"/>
              </w:rPr>
              <w:t>Digital online channels (1)</w:t>
            </w:r>
          </w:p>
        </w:tc>
        <w:tc>
          <w:tcPr>
            <w:tcW w:w="1020" w:type="dxa"/>
            <w:vAlign w:val="bottom"/>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4,932</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5,786</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(854)</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(15)%</w:t>
            </w:r>
          </w:p>
        </w:tc>
      </w:tr>
      <w:tr>
        <w:trPr>
          <w:trHeight w:val="26"/>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5"/>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Retail channels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1,107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18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(18)</w:t>
            </w:r>
          </w:p>
        </w:tc>
      </w:tr>
      <w:tr>
        <w:trPr>
          <w:trHeight w:val="228"/>
        </w:trPr>
        <w:tc>
          <w:tcPr>
            <w:tcW w:w="4660" w:type="dxa"/>
            <w:vAlign w:val="bottom"/>
          </w:tcPr>
          <w:p>
            <w:pPr>
              <w:ind w:left="160"/>
              <w:spacing w:after="0"/>
              <w:rPr>
                <w:sz w:val="20"/>
                <w:szCs w:val="20"/>
                <w:color w:val="auto"/>
              </w:rPr>
            </w:pPr>
            <w:r>
              <w:rPr>
                <w:rFonts w:ascii="Arial" w:cs="Arial" w:eastAsia="Arial" w:hAnsi="Arial"/>
                <w:sz w:val="17"/>
                <w:szCs w:val="17"/>
                <w:color w:val="auto"/>
              </w:rPr>
              <w:t>Other (2)</w:t>
            </w:r>
          </w:p>
        </w:tc>
        <w:tc>
          <w:tcPr>
            <w:tcW w:w="102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648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607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8"/>
              <w:spacing w:after="0"/>
              <w:rPr>
                <w:sz w:val="20"/>
                <w:szCs w:val="20"/>
                <w:color w:val="auto"/>
              </w:rPr>
            </w:pPr>
            <w:r>
              <w:rPr>
                <w:rFonts w:ascii="Arial" w:cs="Arial" w:eastAsia="Arial" w:hAnsi="Arial"/>
                <w:sz w:val="17"/>
                <w:szCs w:val="17"/>
                <w:color w:val="auto"/>
              </w:rPr>
              <w:t>41</w:t>
            </w:r>
          </w:p>
        </w:tc>
        <w:tc>
          <w:tcPr>
            <w:tcW w:w="1800" w:type="dxa"/>
            <w:vAlign w:val="bottom"/>
            <w:gridSpan w:val="2"/>
          </w:tcPr>
          <w:p>
            <w:pPr>
              <w:jc w:val="right"/>
              <w:ind w:right="144"/>
              <w:spacing w:after="0"/>
              <w:rPr>
                <w:sz w:val="20"/>
                <w:szCs w:val="20"/>
                <w:color w:val="auto"/>
              </w:rPr>
            </w:pPr>
            <w:r>
              <w:rPr>
                <w:rFonts w:ascii="Arial" w:cs="Arial" w:eastAsia="Arial" w:hAnsi="Arial"/>
                <w:sz w:val="17"/>
                <w:szCs w:val="17"/>
                <w:color w:val="auto"/>
              </w:rPr>
              <w:t>7</w:t>
            </w:r>
          </w:p>
        </w:tc>
      </w:tr>
      <w:tr>
        <w:trPr>
          <w:trHeight w:val="27"/>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1"/>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 consolidated net revenues</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6,489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8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(13)</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4" w:lineRule="auto"/>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subscriptions, downloadable content, microtransactions, and products, as well as licensing royalties.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and the Overwatch League.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Digital Online Channel Net Revenues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net revenues from digital online channels for 2019, as compared to 2018, was primarily due to:</w:t>
      </w:r>
    </w:p>
    <w:p>
      <w:pPr>
        <w:spacing w:after="0" w:line="187" w:lineRule="exact"/>
        <w:rPr>
          <w:sz w:val="20"/>
          <w:szCs w:val="20"/>
          <w:color w:val="auto"/>
        </w:rPr>
      </w:pPr>
    </w:p>
    <w:p>
      <w:pPr>
        <w:ind w:left="920" w:hanging="306"/>
        <w:spacing w:after="0"/>
        <w:tabs>
          <w:tab w:leader="none" w:pos="9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lower revenues recognized from the Destiny franchise (reflecting our sale of the publishing rights for Destiny to Bungie in December 2018); and</w:t>
      </w:r>
    </w:p>
    <w:p>
      <w:pPr>
        <w:spacing w:after="0" w:line="224" w:lineRule="exact"/>
        <w:rPr>
          <w:rFonts w:ascii="Arial" w:cs="Arial" w:eastAsia="Arial" w:hAnsi="Arial"/>
          <w:sz w:val="16"/>
          <w:szCs w:val="16"/>
          <w:color w:val="auto"/>
        </w:rPr>
      </w:pPr>
    </w:p>
    <w:p>
      <w:pPr>
        <w:ind w:left="920" w:hanging="306"/>
        <w:spacing w:after="0"/>
        <w:tabs>
          <w:tab w:leader="none" w:pos="9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Hearthstone</w:t>
      </w:r>
      <w:r>
        <w:rPr>
          <w:rFonts w:ascii="Arial" w:cs="Arial" w:eastAsia="Arial" w:hAnsi="Arial"/>
          <w:sz w:val="17"/>
          <w:szCs w:val="17"/>
          <w:color w:val="auto"/>
        </w:rPr>
        <w: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Retail Channel Net Revenues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net revenues from retail channels for 2019, as compared to 2018, was primarily due to:</w:t>
      </w:r>
    </w:p>
    <w:p>
      <w:pPr>
        <w:spacing w:after="0" w:line="213" w:lineRule="exact"/>
        <w:rPr>
          <w:sz w:val="20"/>
          <w:szCs w:val="20"/>
          <w:color w:val="auto"/>
        </w:rPr>
      </w:pPr>
    </w:p>
    <w:p>
      <w:pPr>
        <w:ind w:left="920" w:right="40" w:hanging="306"/>
        <w:spacing w:after="0" w:line="274"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Call of Duty: Black Ops 4</w:t>
      </w:r>
      <w:r>
        <w:rPr>
          <w:rFonts w:ascii="Arial" w:cs="Arial" w:eastAsia="Arial" w:hAnsi="Arial"/>
          <w:sz w:val="17"/>
          <w:szCs w:val="17"/>
          <w:color w:val="auto"/>
        </w:rPr>
        <w:t xml:space="preserve">, which was released in October 2018, as compared to </w:t>
      </w:r>
      <w:r>
        <w:rPr>
          <w:rFonts w:ascii="Arial" w:cs="Arial" w:eastAsia="Arial" w:hAnsi="Arial"/>
          <w:sz w:val="17"/>
          <w:szCs w:val="17"/>
          <w:i w:val="1"/>
          <w:iCs w:val="1"/>
          <w:color w:val="auto"/>
        </w:rPr>
        <w:t>Call of Duty: WWII</w:t>
      </w:r>
      <w:r>
        <w:rPr>
          <w:rFonts w:ascii="Arial" w:cs="Arial" w:eastAsia="Arial" w:hAnsi="Arial"/>
          <w:sz w:val="17"/>
          <w:szCs w:val="17"/>
          <w:color w:val="auto"/>
        </w:rPr>
        <w:t>, which was released in November 2017;</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lower revenues recognized from the Destiny franchise;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lower revenues from </w:t>
      </w:r>
      <w:r>
        <w:rPr>
          <w:rFonts w:ascii="Arial" w:cs="Arial" w:eastAsia="Arial" w:hAnsi="Arial"/>
          <w:sz w:val="17"/>
          <w:szCs w:val="17"/>
          <w:i w:val="1"/>
          <w:iCs w:val="1"/>
          <w:color w:val="auto"/>
        </w:rPr>
        <w:t>Crash Bandicoot</w:t>
      </w:r>
      <w:r>
        <w:rPr>
          <w:rFonts w:ascii="Arial" w:cs="Arial" w:eastAsia="Arial" w:hAnsi="Arial"/>
          <w:sz w:val="17"/>
          <w:szCs w:val="17"/>
          <w:color w:val="auto"/>
        </w:rPr>
        <w:t xml:space="preserve">™ </w:t>
      </w:r>
      <w:r>
        <w:rPr>
          <w:rFonts w:ascii="Arial" w:cs="Arial" w:eastAsia="Arial" w:hAnsi="Arial"/>
          <w:sz w:val="17"/>
          <w:szCs w:val="17"/>
          <w:i w:val="1"/>
          <w:iCs w:val="1"/>
          <w:color w:val="auto"/>
        </w:rPr>
        <w:t>N. Sane Trilogy</w:t>
      </w:r>
      <w:r>
        <w:rPr>
          <w:rFonts w:ascii="Arial" w:cs="Arial" w:eastAsia="Arial" w:hAnsi="Arial"/>
          <w:sz w:val="17"/>
          <w:szCs w:val="17"/>
          <w:color w:val="auto"/>
        </w:rPr>
        <w:t>, which was released on the Xbox One, PC, and Nintendo Switch in June 2018.</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was partially offset by:</w:t>
      </w:r>
    </w:p>
    <w:p>
      <w:pPr>
        <w:spacing w:after="0" w:line="213" w:lineRule="exact"/>
        <w:rPr>
          <w:sz w:val="20"/>
          <w:szCs w:val="20"/>
          <w:color w:val="auto"/>
        </w:rPr>
      </w:pPr>
    </w:p>
    <w:p>
      <w:pPr>
        <w:ind w:left="920" w:hanging="306"/>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revenues recognized from </w:t>
      </w: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which was released in June 2019;</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revenues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which was released in March 2019;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higher revenues recognized from </w:t>
      </w:r>
      <w:r>
        <w:rPr>
          <w:rFonts w:ascii="Arial" w:cs="Arial" w:eastAsia="Arial" w:hAnsi="Arial"/>
          <w:sz w:val="16"/>
          <w:szCs w:val="16"/>
          <w:i w:val="1"/>
          <w:iCs w:val="1"/>
          <w:color w:val="auto"/>
        </w:rPr>
        <w:t>Call of Duty: Modern Warfare</w:t>
      </w:r>
      <w:r>
        <w:rPr>
          <w:rFonts w:ascii="Arial" w:cs="Arial" w:eastAsia="Arial" w:hAnsi="Arial"/>
          <w:sz w:val="16"/>
          <w:szCs w:val="16"/>
          <w:color w:val="auto"/>
        </w:rPr>
        <w:t xml:space="preserve">, which was released in October 2019, as compared to </w:t>
      </w:r>
      <w:r>
        <w:rPr>
          <w:rFonts w:ascii="Arial" w:cs="Arial" w:eastAsia="Arial" w:hAnsi="Arial"/>
          <w:sz w:val="16"/>
          <w:szCs w:val="16"/>
          <w:i w:val="1"/>
          <w:iCs w:val="1"/>
          <w:color w:val="auto"/>
        </w:rPr>
        <w:t>Call of Duty: Black Ops 4</w:t>
      </w:r>
      <w:r>
        <w:rPr>
          <w:rFonts w:ascii="Arial" w:cs="Arial" w:eastAsia="Arial" w:hAnsi="Arial"/>
          <w:sz w:val="16"/>
          <w:szCs w:val="16"/>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Geographic Region</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details our consolidated net revenues by geographic region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4"/>
          </w:tcPr>
          <w:p>
            <w:pPr>
              <w:jc w:val="right"/>
              <w:ind w:right="338"/>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18"/>
              <w:spacing w:after="0"/>
              <w:rPr>
                <w:sz w:val="20"/>
                <w:szCs w:val="20"/>
                <w:color w:val="auto"/>
              </w:rPr>
            </w:pPr>
            <w:r>
              <w:rPr>
                <w:rFonts w:ascii="Arial" w:cs="Arial" w:eastAsia="Arial" w:hAnsi="Arial"/>
                <w:sz w:val="15"/>
                <w:szCs w:val="15"/>
                <w:b w:val="1"/>
                <w:bCs w:val="1"/>
                <w:color w:val="auto"/>
              </w:rPr>
              <w:t>Increase/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58"/>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78"/>
              <w:spacing w:after="0"/>
              <w:rPr>
                <w:sz w:val="20"/>
                <w:szCs w:val="20"/>
                <w:color w:val="auto"/>
              </w:rPr>
            </w:pPr>
            <w:r>
              <w:rPr>
                <w:rFonts w:ascii="Arial" w:cs="Arial" w:eastAsia="Arial" w:hAnsi="Arial"/>
                <w:sz w:val="15"/>
                <w:szCs w:val="15"/>
                <w:b w:val="1"/>
                <w:bCs w:val="1"/>
                <w:color w:val="auto"/>
              </w:rPr>
              <w:t>(decrease)</w:t>
            </w:r>
          </w:p>
        </w:tc>
        <w:tc>
          <w:tcPr>
            <w:tcW w:w="100" w:type="dxa"/>
            <w:vAlign w:val="bottom"/>
          </w:tcPr>
          <w:p>
            <w:pPr>
              <w:spacing w:after="0"/>
              <w:rPr>
                <w:sz w:val="17"/>
                <w:szCs w:val="17"/>
                <w:color w:val="auto"/>
              </w:rPr>
            </w:pPr>
          </w:p>
        </w:tc>
        <w:tc>
          <w:tcPr>
            <w:tcW w:w="1700" w:type="dxa"/>
            <w:vAlign w:val="bottom"/>
          </w:tcPr>
          <w:p>
            <w:pPr>
              <w:jc w:val="right"/>
              <w:ind w:right="424"/>
              <w:spacing w:after="0"/>
              <w:rPr>
                <w:sz w:val="20"/>
                <w:szCs w:val="20"/>
                <w:color w:val="auto"/>
              </w:rPr>
            </w:pPr>
            <w:r>
              <w:rPr>
                <w:rFonts w:ascii="Arial" w:cs="Arial" w:eastAsia="Arial" w:hAnsi="Arial"/>
                <w:sz w:val="15"/>
                <w:szCs w:val="15"/>
                <w:b w:val="1"/>
                <w:bCs w:val="1"/>
                <w:color w:val="auto"/>
              </w:rPr>
              <w:t>% Change</w:t>
            </w:r>
          </w:p>
        </w:tc>
      </w:tr>
      <w:tr>
        <w:trPr>
          <w:trHeight w:val="31"/>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geographic region:</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8"/>
        </w:trPr>
        <w:tc>
          <w:tcPr>
            <w:tcW w:w="4660" w:type="dxa"/>
            <w:vAlign w:val="bottom"/>
          </w:tcPr>
          <w:p>
            <w:pPr>
              <w:ind w:left="160"/>
              <w:spacing w:after="0"/>
              <w:rPr>
                <w:sz w:val="20"/>
                <w:szCs w:val="20"/>
                <w:color w:val="auto"/>
              </w:rPr>
            </w:pPr>
            <w:r>
              <w:rPr>
                <w:rFonts w:ascii="Arial" w:cs="Arial" w:eastAsia="Arial" w:hAnsi="Arial"/>
                <w:sz w:val="17"/>
                <w:szCs w:val="17"/>
                <w:color w:val="auto"/>
              </w:rPr>
              <w:t>Americas</w:t>
            </w:r>
          </w:p>
        </w:tc>
        <w:tc>
          <w:tcPr>
            <w:tcW w:w="1020" w:type="dxa"/>
            <w:vAlign w:val="bottom"/>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3,341</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3,880</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(539)</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(14)%</w:t>
            </w: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5"/>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EMEA (1)</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2,618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8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(14)</w:t>
            </w:r>
          </w:p>
        </w:tc>
      </w:tr>
      <w:tr>
        <w:trPr>
          <w:trHeight w:val="228"/>
        </w:trPr>
        <w:tc>
          <w:tcPr>
            <w:tcW w:w="4660" w:type="dxa"/>
            <w:vAlign w:val="bottom"/>
          </w:tcPr>
          <w:p>
            <w:pPr>
              <w:ind w:left="160"/>
              <w:spacing w:after="0"/>
              <w:rPr>
                <w:sz w:val="20"/>
                <w:szCs w:val="20"/>
                <w:color w:val="auto"/>
              </w:rPr>
            </w:pPr>
            <w:r>
              <w:rPr>
                <w:rFonts w:ascii="Arial" w:cs="Arial" w:eastAsia="Arial" w:hAnsi="Arial"/>
                <w:sz w:val="17"/>
                <w:szCs w:val="17"/>
                <w:color w:val="auto"/>
              </w:rPr>
              <w:t>Asia Pacific</w:t>
            </w:r>
          </w:p>
        </w:tc>
        <w:tc>
          <w:tcPr>
            <w:tcW w:w="102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909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8"/>
              <w:spacing w:after="0"/>
              <w:rPr>
                <w:sz w:val="20"/>
                <w:szCs w:val="20"/>
                <w:color w:val="auto"/>
              </w:rPr>
            </w:pPr>
            <w:r>
              <w:rPr>
                <w:rFonts w:ascii="Arial" w:cs="Arial" w:eastAsia="Arial" w:hAnsi="Arial"/>
                <w:sz w:val="17"/>
                <w:szCs w:val="17"/>
                <w:color w:val="auto"/>
              </w:rPr>
              <w:t>1,002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w:t>
            </w:r>
          </w:p>
        </w:tc>
        <w:tc>
          <w:tcPr>
            <w:tcW w:w="1800" w:type="dxa"/>
            <w:vAlign w:val="bottom"/>
            <w:gridSpan w:val="2"/>
          </w:tcPr>
          <w:p>
            <w:pPr>
              <w:jc w:val="right"/>
              <w:ind w:right="84"/>
              <w:spacing w:after="0"/>
              <w:rPr>
                <w:sz w:val="20"/>
                <w:szCs w:val="20"/>
                <w:color w:val="auto"/>
              </w:rPr>
            </w:pPr>
            <w:r>
              <w:rPr>
                <w:rFonts w:ascii="Arial" w:cs="Arial" w:eastAsia="Arial" w:hAnsi="Arial"/>
                <w:sz w:val="17"/>
                <w:szCs w:val="17"/>
                <w:color w:val="auto"/>
              </w:rPr>
              <w:t>(9)</w:t>
            </w:r>
          </w:p>
        </w:tc>
      </w:tr>
      <w:tr>
        <w:trPr>
          <w:trHeight w:val="27"/>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1"/>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Consolidated net revenues</w:t>
            </w:r>
          </w:p>
        </w:tc>
        <w:tc>
          <w:tcPr>
            <w:tcW w:w="1020" w:type="dxa"/>
            <w:vAlign w:val="bottom"/>
            <w:tcBorders>
              <w:bottom w:val="single" w:sz="8" w:color="auto"/>
            </w:tcBorders>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6,489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7,500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(1,011)</w:t>
            </w:r>
          </w:p>
        </w:tc>
        <w:tc>
          <w:tcPr>
            <w:tcW w:w="18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(13)</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 “EMEA” consists of the Europe, Middle East, and Africa geographic regions.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w:t>
      </w:r>
    </w:p>
    <w:p>
      <w:pPr>
        <w:spacing w:after="0" w:line="213" w:lineRule="exact"/>
        <w:rPr>
          <w:sz w:val="20"/>
          <w:szCs w:val="20"/>
          <w:color w:val="auto"/>
        </w:rPr>
      </w:pPr>
    </w:p>
    <w:p>
      <w:pPr>
        <w:ind w:right="140" w:firstLine="382"/>
        <w:spacing w:after="0" w:line="274" w:lineRule="auto"/>
        <w:rPr>
          <w:sz w:val="20"/>
          <w:szCs w:val="20"/>
          <w:color w:val="auto"/>
        </w:rPr>
      </w:pPr>
      <w:r>
        <w:rPr>
          <w:rFonts w:ascii="Arial" w:cs="Arial" w:eastAsia="Arial" w:hAnsi="Arial"/>
          <w:sz w:val="17"/>
          <w:szCs w:val="17"/>
          <w:color w:val="auto"/>
        </w:rPr>
        <w:t>The decrease in net revenues in the Americas region for 2019, as compared to 2018, was primarily due to lower revenues recognized from the Destiny franchise (reflecting our sale of the publishing rights for Destiny to Bungie in December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EMEA</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net revenues in the EMEA region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lower revenues recognized from the Destiny franchise; and</w:t>
      </w:r>
    </w:p>
    <w:p>
      <w:pPr>
        <w:spacing w:after="0" w:line="212" w:lineRule="exact"/>
        <w:rPr>
          <w:rFonts w:ascii="Arial" w:cs="Arial" w:eastAsia="Arial" w:hAnsi="Arial"/>
          <w:sz w:val="17"/>
          <w:szCs w:val="17"/>
          <w:color w:val="auto"/>
        </w:rPr>
      </w:pPr>
    </w:p>
    <w:p>
      <w:pPr>
        <w:ind w:left="920" w:right="40" w:hanging="306"/>
        <w:spacing w:after="0" w:line="274"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Call of Duty: Black Ops 4</w:t>
      </w:r>
      <w:r>
        <w:rPr>
          <w:rFonts w:ascii="Arial" w:cs="Arial" w:eastAsia="Arial" w:hAnsi="Arial"/>
          <w:sz w:val="17"/>
          <w:szCs w:val="17"/>
          <w:color w:val="auto"/>
        </w:rPr>
        <w:t xml:space="preserve">, which was released in October 2018, as compared to </w:t>
      </w:r>
      <w:r>
        <w:rPr>
          <w:rFonts w:ascii="Arial" w:cs="Arial" w:eastAsia="Arial" w:hAnsi="Arial"/>
          <w:sz w:val="17"/>
          <w:szCs w:val="17"/>
          <w:i w:val="1"/>
          <w:iCs w:val="1"/>
          <w:color w:val="auto"/>
        </w:rPr>
        <w:t>Call of Duty: WWII</w:t>
      </w:r>
      <w:r>
        <w:rPr>
          <w:rFonts w:ascii="Arial" w:cs="Arial" w:eastAsia="Arial" w:hAnsi="Arial"/>
          <w:sz w:val="17"/>
          <w:szCs w:val="17"/>
          <w:color w:val="auto"/>
        </w:rPr>
        <w:t>, which was released in November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27"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Asia Pacific</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net revenues in the Asia Pacific region for 2019, as compared to 2018, was primarily due to:</w:t>
      </w:r>
    </w:p>
    <w:p>
      <w:pPr>
        <w:spacing w:after="0" w:line="213" w:lineRule="exact"/>
        <w:rPr>
          <w:sz w:val="20"/>
          <w:szCs w:val="20"/>
          <w:color w:val="auto"/>
        </w:rPr>
      </w:pPr>
    </w:p>
    <w:p>
      <w:pPr>
        <w:ind w:left="920" w:right="40" w:hanging="306"/>
        <w:spacing w:after="0" w:line="274"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Hearthstone</w:t>
      </w:r>
      <w:r>
        <w:rPr>
          <w:rFonts w:ascii="Arial" w:cs="Arial" w:eastAsia="Arial" w:hAnsi="Arial"/>
          <w:sz w:val="17"/>
          <w:szCs w:val="17"/>
          <w:color w:val="auto"/>
        </w:rPr>
        <w:t>, primarily due to the prior year including additional digital content delivered in connection with the renewal of our contract with NetEase, Inc. in December 2018, with no equivalent transaction for the franchise in 2019; and</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lower revenues recognized from the Destiny franchise.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 by Platform</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detail our net revenues by platform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4"/>
          </w:tcPr>
          <w:p>
            <w:pPr>
              <w:jc w:val="right"/>
              <w:ind w:right="337"/>
              <w:spacing w:after="0"/>
              <w:rPr>
                <w:sz w:val="20"/>
                <w:szCs w:val="20"/>
                <w:color w:val="auto"/>
              </w:rPr>
            </w:pPr>
            <w:r>
              <w:rPr>
                <w:rFonts w:ascii="Arial" w:cs="Arial" w:eastAsia="Arial" w:hAnsi="Arial"/>
                <w:sz w:val="15"/>
                <w:szCs w:val="15"/>
                <w:b w:val="1"/>
                <w:bCs w:val="1"/>
                <w:color w:val="auto"/>
              </w:rPr>
              <w:t>For the Years Ended December 31,</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0"/>
        </w:trPr>
        <w:tc>
          <w:tcPr>
            <w:tcW w:w="46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97"/>
        </w:trPr>
        <w:tc>
          <w:tcPr>
            <w:tcW w:w="4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417"/>
              <w:spacing w:after="0"/>
              <w:rPr>
                <w:sz w:val="20"/>
                <w:szCs w:val="20"/>
                <w:color w:val="auto"/>
              </w:rPr>
            </w:pPr>
            <w:r>
              <w:rPr>
                <w:rFonts w:ascii="Arial" w:cs="Arial" w:eastAsia="Arial" w:hAnsi="Arial"/>
                <w:sz w:val="15"/>
                <w:szCs w:val="15"/>
                <w:b w:val="1"/>
                <w:bCs w:val="1"/>
                <w:color w:val="auto"/>
              </w:rPr>
              <w:t>Increase/</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198"/>
        </w:trPr>
        <w:tc>
          <w:tcPr>
            <w:tcW w:w="46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557"/>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jc w:val="right"/>
              <w:ind w:right="377"/>
              <w:spacing w:after="0"/>
              <w:rPr>
                <w:sz w:val="20"/>
                <w:szCs w:val="20"/>
                <w:color w:val="auto"/>
              </w:rPr>
            </w:pPr>
            <w:r>
              <w:rPr>
                <w:rFonts w:ascii="Arial" w:cs="Arial" w:eastAsia="Arial" w:hAnsi="Arial"/>
                <w:sz w:val="15"/>
                <w:szCs w:val="15"/>
                <w:b w:val="1"/>
                <w:bCs w:val="1"/>
                <w:color w:val="auto"/>
              </w:rPr>
              <w:t>(decrease)</w:t>
            </w:r>
          </w:p>
        </w:tc>
        <w:tc>
          <w:tcPr>
            <w:tcW w:w="100" w:type="dxa"/>
            <w:vAlign w:val="bottom"/>
          </w:tcPr>
          <w:p>
            <w:pPr>
              <w:spacing w:after="0"/>
              <w:rPr>
                <w:sz w:val="17"/>
                <w:szCs w:val="17"/>
                <w:color w:val="auto"/>
              </w:rPr>
            </w:pPr>
          </w:p>
        </w:tc>
        <w:tc>
          <w:tcPr>
            <w:tcW w:w="1700" w:type="dxa"/>
            <w:vAlign w:val="bottom"/>
          </w:tcPr>
          <w:p>
            <w:pPr>
              <w:jc w:val="right"/>
              <w:ind w:right="424"/>
              <w:spacing w:after="0"/>
              <w:rPr>
                <w:sz w:val="20"/>
                <w:szCs w:val="20"/>
                <w:color w:val="auto"/>
              </w:rPr>
            </w:pPr>
            <w:r>
              <w:rPr>
                <w:rFonts w:ascii="Arial" w:cs="Arial" w:eastAsia="Arial" w:hAnsi="Arial"/>
                <w:sz w:val="15"/>
                <w:szCs w:val="15"/>
                <w:b w:val="1"/>
                <w:bCs w:val="1"/>
                <w:color w:val="auto"/>
              </w:rPr>
              <w:t>% Change</w:t>
            </w:r>
          </w:p>
        </w:tc>
      </w:tr>
      <w:tr>
        <w:trPr>
          <w:trHeight w:val="30"/>
        </w:trPr>
        <w:tc>
          <w:tcPr>
            <w:tcW w:w="46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revenues by platform:</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r>
      <w:tr>
        <w:trPr>
          <w:trHeight w:val="228"/>
        </w:trPr>
        <w:tc>
          <w:tcPr>
            <w:tcW w:w="4660" w:type="dxa"/>
            <w:vAlign w:val="bottom"/>
          </w:tcPr>
          <w:p>
            <w:pPr>
              <w:ind w:left="160"/>
              <w:spacing w:after="0"/>
              <w:rPr>
                <w:sz w:val="20"/>
                <w:szCs w:val="20"/>
                <w:color w:val="auto"/>
              </w:rPr>
            </w:pPr>
            <w:r>
              <w:rPr>
                <w:rFonts w:ascii="Arial" w:cs="Arial" w:eastAsia="Arial" w:hAnsi="Arial"/>
                <w:sz w:val="17"/>
                <w:szCs w:val="17"/>
                <w:color w:val="auto"/>
              </w:rPr>
              <w:t>Console</w:t>
            </w:r>
          </w:p>
        </w:tc>
        <w:tc>
          <w:tcPr>
            <w:tcW w:w="1020" w:type="dxa"/>
            <w:vAlign w:val="bottom"/>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1,920</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2,538</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(618)</w:t>
            </w:r>
          </w:p>
        </w:tc>
        <w:tc>
          <w:tcPr>
            <w:tcW w:w="1800" w:type="dxa"/>
            <w:vAlign w:val="bottom"/>
            <w:gridSpan w:val="2"/>
          </w:tcPr>
          <w:p>
            <w:pPr>
              <w:jc w:val="right"/>
              <w:spacing w:after="0"/>
              <w:rPr>
                <w:sz w:val="20"/>
                <w:szCs w:val="20"/>
                <w:color w:val="auto"/>
              </w:rPr>
            </w:pPr>
            <w:r>
              <w:rPr>
                <w:rFonts w:ascii="Arial" w:cs="Arial" w:eastAsia="Arial" w:hAnsi="Arial"/>
                <w:sz w:val="17"/>
                <w:szCs w:val="17"/>
                <w:color w:val="auto"/>
              </w:rPr>
              <w:t>(24)%</w:t>
            </w: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5"/>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PC</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1,718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2,180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1800" w:type="dxa"/>
            <w:vAlign w:val="bottom"/>
            <w:tcBorders>
              <w:bottom w:val="single" w:sz="8" w:color="CCEEFF"/>
            </w:tcBorders>
            <w:gridSpan w:val="2"/>
            <w:shd w:val="clear" w:color="auto" w:fill="CCEEFF"/>
          </w:tcPr>
          <w:p>
            <w:pPr>
              <w:jc w:val="right"/>
              <w:ind w:right="84"/>
              <w:spacing w:after="0"/>
              <w:rPr>
                <w:sz w:val="20"/>
                <w:szCs w:val="20"/>
                <w:color w:val="auto"/>
              </w:rPr>
            </w:pPr>
            <w:r>
              <w:rPr>
                <w:rFonts w:ascii="Arial" w:cs="Arial" w:eastAsia="Arial" w:hAnsi="Arial"/>
                <w:sz w:val="17"/>
                <w:szCs w:val="17"/>
                <w:color w:val="auto"/>
              </w:rPr>
              <w:t>(21)</w:t>
            </w:r>
          </w:p>
        </w:tc>
      </w:tr>
      <w:tr>
        <w:trPr>
          <w:trHeight w:val="228"/>
        </w:trPr>
        <w:tc>
          <w:tcPr>
            <w:tcW w:w="4660" w:type="dxa"/>
            <w:vAlign w:val="bottom"/>
          </w:tcPr>
          <w:p>
            <w:pPr>
              <w:ind w:left="160"/>
              <w:spacing w:after="0"/>
              <w:rPr>
                <w:sz w:val="20"/>
                <w:szCs w:val="20"/>
                <w:color w:val="auto"/>
              </w:rPr>
            </w:pPr>
            <w:r>
              <w:rPr>
                <w:rFonts w:ascii="Arial" w:cs="Arial" w:eastAsia="Arial" w:hAnsi="Arial"/>
                <w:sz w:val="17"/>
                <w:szCs w:val="17"/>
                <w:color w:val="auto"/>
              </w:rPr>
              <w:t>Mobile and ancillary (1)</w:t>
            </w:r>
          </w:p>
        </w:tc>
        <w:tc>
          <w:tcPr>
            <w:tcW w:w="102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2,203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7"/>
                <w:szCs w:val="17"/>
                <w:color w:val="auto"/>
              </w:rPr>
              <w:t>2,175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28</w:t>
            </w:r>
          </w:p>
        </w:tc>
        <w:tc>
          <w:tcPr>
            <w:tcW w:w="1800" w:type="dxa"/>
            <w:vAlign w:val="bottom"/>
            <w:gridSpan w:val="2"/>
          </w:tcPr>
          <w:p>
            <w:pPr>
              <w:jc w:val="right"/>
              <w:ind w:right="144"/>
              <w:spacing w:after="0"/>
              <w:rPr>
                <w:sz w:val="20"/>
                <w:szCs w:val="20"/>
                <w:color w:val="auto"/>
              </w:rPr>
            </w:pPr>
            <w:r>
              <w:rPr>
                <w:rFonts w:ascii="Arial" w:cs="Arial" w:eastAsia="Arial" w:hAnsi="Arial"/>
                <w:sz w:val="17"/>
                <w:szCs w:val="17"/>
                <w:color w:val="auto"/>
              </w:rPr>
              <w:t>1</w:t>
            </w:r>
          </w:p>
        </w:tc>
      </w:tr>
      <w:tr>
        <w:trPr>
          <w:trHeight w:val="27"/>
        </w:trPr>
        <w:tc>
          <w:tcPr>
            <w:tcW w:w="4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5"/>
        </w:trPr>
        <w:tc>
          <w:tcPr>
            <w:tcW w:w="4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(2)</w:t>
            </w:r>
          </w:p>
        </w:tc>
        <w:tc>
          <w:tcPr>
            <w:tcW w:w="10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607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41</w:t>
            </w:r>
          </w:p>
        </w:tc>
        <w:tc>
          <w:tcPr>
            <w:tcW w:w="1800" w:type="dxa"/>
            <w:vAlign w:val="bottom"/>
            <w:tcBorders>
              <w:bottom w:val="single" w:sz="8" w:color="CCEEFF"/>
            </w:tcBorders>
            <w:gridSpan w:val="2"/>
            <w:shd w:val="clear" w:color="auto" w:fill="CCEEFF"/>
          </w:tcPr>
          <w:p>
            <w:pPr>
              <w:jc w:val="right"/>
              <w:ind w:right="144"/>
              <w:spacing w:after="0"/>
              <w:rPr>
                <w:sz w:val="20"/>
                <w:szCs w:val="20"/>
                <w:color w:val="auto"/>
              </w:rPr>
            </w:pPr>
            <w:r>
              <w:rPr>
                <w:rFonts w:ascii="Arial" w:cs="Arial" w:eastAsia="Arial" w:hAnsi="Arial"/>
                <w:sz w:val="17"/>
                <w:szCs w:val="17"/>
                <w:color w:val="auto"/>
              </w:rPr>
              <w:t>7</w:t>
            </w:r>
          </w:p>
        </w:tc>
      </w:tr>
      <w:tr>
        <w:trPr>
          <w:trHeight w:val="241"/>
        </w:trPr>
        <w:tc>
          <w:tcPr>
            <w:tcW w:w="466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020" w:type="dxa"/>
            <w:vAlign w:val="bottom"/>
            <w:tcBorders>
              <w:top w:val="single" w:sz="8" w:color="auto"/>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6,489</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(1,011)</w:t>
            </w:r>
          </w:p>
        </w:tc>
        <w:tc>
          <w:tcPr>
            <w:tcW w:w="1800" w:type="dxa"/>
            <w:vAlign w:val="bottom"/>
            <w:gridSpan w:val="2"/>
          </w:tcPr>
          <w:p>
            <w:pPr>
              <w:jc w:val="right"/>
              <w:ind w:right="84"/>
              <w:spacing w:after="0"/>
              <w:rPr>
                <w:sz w:val="20"/>
                <w:szCs w:val="20"/>
                <w:color w:val="auto"/>
              </w:rPr>
            </w:pPr>
            <w:r>
              <w:rPr>
                <w:rFonts w:ascii="Arial" w:cs="Arial" w:eastAsia="Arial" w:hAnsi="Arial"/>
                <w:sz w:val="17"/>
                <w:szCs w:val="17"/>
                <w:color w:val="auto"/>
              </w:rPr>
              <w:t>(13)</w:t>
            </w:r>
          </w:p>
        </w:tc>
      </w:tr>
      <w:tr>
        <w:trPr>
          <w:trHeight w:val="20"/>
        </w:trPr>
        <w:tc>
          <w:tcPr>
            <w:tcW w:w="46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40" w:hanging="298"/>
        <w:spacing w:after="0" w:line="274" w:lineRule="auto"/>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non-platform-specific game-related revenues, such as standalone sales of toys and accessories.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and the Overwatch League.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Console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net revenues from console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lower revenues recognized from the Destiny franchise (reflecting our sale of the publishing rights for Destiny to Bungie in December 2018); and</w:t>
      </w:r>
    </w:p>
    <w:p>
      <w:pPr>
        <w:spacing w:after="0" w:line="224" w:lineRule="exact"/>
        <w:rPr>
          <w:rFonts w:ascii="Arial" w:cs="Arial" w:eastAsia="Arial" w:hAnsi="Arial"/>
          <w:sz w:val="16"/>
          <w:szCs w:val="16"/>
          <w:color w:val="auto"/>
        </w:rPr>
      </w:pPr>
    </w:p>
    <w:p>
      <w:pPr>
        <w:ind w:left="920" w:hanging="306"/>
        <w:spacing w:after="0"/>
        <w:tabs>
          <w:tab w:leader="none" w:pos="9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lower revenues recognized from Call of Duty franchise catalog titles.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The decrease was partially offset by revenues recognized from </w:t>
      </w:r>
      <w:r>
        <w:rPr>
          <w:rFonts w:ascii="Arial" w:cs="Arial" w:eastAsia="Arial" w:hAnsi="Arial"/>
          <w:sz w:val="17"/>
          <w:szCs w:val="17"/>
          <w:i w:val="1"/>
          <w:iCs w:val="1"/>
          <w:color w:val="auto"/>
        </w:rPr>
        <w:t>Crash Team Racing Nitro-Fueled</w:t>
      </w:r>
      <w:r>
        <w:rPr>
          <w:rFonts w:ascii="Arial" w:cs="Arial" w:eastAsia="Arial" w:hAnsi="Arial"/>
          <w:sz w:val="17"/>
          <w:szCs w:val="17"/>
          <w:color w:val="auto"/>
        </w:rPr>
        <w:t>, which was released in June 2019.</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PC</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decrease in net revenues from PC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lower revenues recognized from the Destiny franchise;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lower revenues recognized from </w:t>
      </w:r>
      <w:r>
        <w:rPr>
          <w:rFonts w:ascii="Arial" w:cs="Arial" w:eastAsia="Arial" w:hAnsi="Arial"/>
          <w:sz w:val="17"/>
          <w:szCs w:val="17"/>
          <w:i w:val="1"/>
          <w:iCs w:val="1"/>
          <w:color w:val="auto"/>
        </w:rPr>
        <w:t>Hearthstone</w:t>
      </w: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Mobile and Ancillary</w:t>
      </w:r>
    </w:p>
    <w:p>
      <w:pPr>
        <w:spacing w:after="0" w:line="213" w:lineRule="exact"/>
        <w:rPr>
          <w:sz w:val="20"/>
          <w:szCs w:val="20"/>
          <w:color w:val="auto"/>
        </w:rPr>
      </w:pPr>
    </w:p>
    <w:p>
      <w:pPr>
        <w:ind w:right="340" w:firstLine="408"/>
        <w:spacing w:after="0" w:line="274" w:lineRule="auto"/>
        <w:rPr>
          <w:sz w:val="20"/>
          <w:szCs w:val="20"/>
          <w:color w:val="auto"/>
        </w:rPr>
      </w:pPr>
      <w:r>
        <w:rPr>
          <w:rFonts w:ascii="Arial" w:cs="Arial" w:eastAsia="Arial" w:hAnsi="Arial"/>
          <w:sz w:val="17"/>
          <w:szCs w:val="17"/>
          <w:color w:val="auto"/>
        </w:rPr>
        <w:t xml:space="preserve">The increase in net revenues from mobile and ancillary for 2019, as compared to 2018, was primarily due to revenues recognized from </w:t>
      </w: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Costs and 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detail the components of cost of revenues in dollars (amounts in millions) and as a percentage of associated net revenues: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of</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46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1"/>
              </w:rPr>
              <w:t>Year Ended December</w:t>
            </w: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0"/>
              </w:rPr>
              <w:t>associated</w:t>
            </w:r>
          </w:p>
        </w:tc>
        <w:tc>
          <w:tcPr>
            <w:tcW w:w="148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2"/>
              </w:rPr>
              <w:t>Year Ended December</w:t>
            </w: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0"/>
              </w:rPr>
              <w:t>associated</w:t>
            </w:r>
          </w:p>
        </w:tc>
        <w:tc>
          <w:tcPr>
            <w:tcW w:w="260" w:type="dxa"/>
            <w:vAlign w:val="bottom"/>
          </w:tcPr>
          <w:p>
            <w:pPr>
              <w:spacing w:after="0"/>
              <w:rPr>
                <w:sz w:val="12"/>
                <w:szCs w:val="12"/>
                <w:color w:val="auto"/>
              </w:rPr>
            </w:pPr>
          </w:p>
        </w:tc>
        <w:tc>
          <w:tcPr>
            <w:tcW w:w="1200" w:type="dxa"/>
            <w:vAlign w:val="bottom"/>
          </w:tcPr>
          <w:p>
            <w:pPr>
              <w:jc w:val="right"/>
              <w:ind w:right="400"/>
              <w:spacing w:after="0" w:line="141" w:lineRule="exact"/>
              <w:rPr>
                <w:sz w:val="20"/>
                <w:szCs w:val="20"/>
                <w:color w:val="auto"/>
              </w:rPr>
            </w:pPr>
            <w:r>
              <w:rPr>
                <w:rFonts w:ascii="Arial" w:cs="Arial" w:eastAsia="Arial" w:hAnsi="Arial"/>
                <w:sz w:val="14"/>
                <w:szCs w:val="14"/>
                <w:b w:val="1"/>
                <w:bCs w:val="1"/>
                <w:color w:val="auto"/>
              </w:rPr>
              <w:t>Increase</w:t>
            </w:r>
          </w:p>
        </w:tc>
      </w:tr>
      <w:tr>
        <w:trPr>
          <w:trHeight w:val="181"/>
        </w:trPr>
        <w:tc>
          <w:tcPr>
            <w:tcW w:w="3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18"/>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5"/>
                <w:szCs w:val="15"/>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net revenues</w:t>
            </w:r>
          </w:p>
        </w:tc>
        <w:tc>
          <w:tcPr>
            <w:tcW w:w="300" w:type="dxa"/>
            <w:vAlign w:val="bottom"/>
          </w:tcPr>
          <w:p>
            <w:pPr>
              <w:spacing w:after="0"/>
              <w:rPr>
                <w:sz w:val="15"/>
                <w:szCs w:val="15"/>
                <w:color w:val="auto"/>
              </w:rPr>
            </w:pPr>
          </w:p>
        </w:tc>
        <w:tc>
          <w:tcPr>
            <w:tcW w:w="1180" w:type="dxa"/>
            <w:vAlign w:val="bottom"/>
          </w:tcPr>
          <w:p>
            <w:pPr>
              <w:jc w:val="right"/>
              <w:ind w:right="418"/>
              <w:spacing w:after="0"/>
              <w:rPr>
                <w:sz w:val="20"/>
                <w:szCs w:val="20"/>
                <w:color w:val="auto"/>
              </w:rPr>
            </w:pPr>
            <w:r>
              <w:rPr>
                <w:rFonts w:ascii="Arial" w:cs="Arial" w:eastAsia="Arial" w:hAnsi="Arial"/>
                <w:sz w:val="14"/>
                <w:szCs w:val="14"/>
                <w:b w:val="1"/>
                <w:bCs w:val="1"/>
                <w:color w:val="auto"/>
              </w:rPr>
              <w:t>31, 2018</w:t>
            </w:r>
          </w:p>
        </w:tc>
        <w:tc>
          <w:tcPr>
            <w:tcW w:w="100" w:type="dxa"/>
            <w:vAlign w:val="bottom"/>
          </w:tcPr>
          <w:p>
            <w:pPr>
              <w:spacing w:after="0"/>
              <w:rPr>
                <w:sz w:val="15"/>
                <w:szCs w:val="15"/>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net revenues</w:t>
            </w:r>
          </w:p>
        </w:tc>
        <w:tc>
          <w:tcPr>
            <w:tcW w:w="260" w:type="dxa"/>
            <w:vAlign w:val="bottom"/>
          </w:tcPr>
          <w:p>
            <w:pPr>
              <w:spacing w:after="0"/>
              <w:rPr>
                <w:sz w:val="15"/>
                <w:szCs w:val="15"/>
                <w:color w:val="auto"/>
              </w:rPr>
            </w:pPr>
          </w:p>
        </w:tc>
        <w:tc>
          <w:tcPr>
            <w:tcW w:w="1200" w:type="dxa"/>
            <w:vAlign w:val="bottom"/>
          </w:tcPr>
          <w:p>
            <w:pPr>
              <w:jc w:val="right"/>
              <w:ind w:right="340"/>
              <w:spacing w:after="0"/>
              <w:rPr>
                <w:sz w:val="20"/>
                <w:szCs w:val="20"/>
                <w:color w:val="auto"/>
              </w:rPr>
            </w:pPr>
            <w:r>
              <w:rPr>
                <w:rFonts w:ascii="Arial" w:cs="Arial" w:eastAsia="Arial" w:hAnsi="Arial"/>
                <w:sz w:val="14"/>
                <w:szCs w:val="14"/>
                <w:b w:val="1"/>
                <w:bCs w:val="1"/>
                <w:color w:val="auto"/>
              </w:rPr>
              <w:t>(Decrease)</w:t>
            </w:r>
          </w:p>
        </w:tc>
      </w:tr>
      <w:tr>
        <w:trPr>
          <w:trHeight w:val="233"/>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Cost of revenues—product sales: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9"/>
        </w:trPr>
        <w:tc>
          <w:tcPr>
            <w:tcW w:w="3540" w:type="dxa"/>
            <w:vAlign w:val="bottom"/>
          </w:tcPr>
          <w:p>
            <w:pPr>
              <w:ind w:left="160"/>
              <w:spacing w:after="0"/>
              <w:rPr>
                <w:sz w:val="20"/>
                <w:szCs w:val="20"/>
                <w:color w:val="auto"/>
              </w:rPr>
            </w:pPr>
            <w:r>
              <w:rPr>
                <w:rFonts w:ascii="Arial" w:cs="Arial" w:eastAsia="Arial" w:hAnsi="Arial"/>
                <w:sz w:val="17"/>
                <w:szCs w:val="17"/>
                <w:color w:val="auto"/>
              </w:rPr>
              <w:t>Product costs</w:t>
            </w:r>
          </w:p>
        </w:tc>
        <w:tc>
          <w:tcPr>
            <w:tcW w:w="300" w:type="dxa"/>
            <w:vAlign w:val="bottom"/>
          </w:tcPr>
          <w:p>
            <w:pPr>
              <w:jc w:val="right"/>
              <w:ind w:right="121"/>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656</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9"/>
                <w:szCs w:val="19"/>
                <w:color w:val="auto"/>
              </w:rPr>
            </w:pPr>
          </w:p>
        </w:tc>
        <w:tc>
          <w:tcPr>
            <w:tcW w:w="300" w:type="dxa"/>
            <w:vAlign w:val="bottom"/>
          </w:tcPr>
          <w:p>
            <w:pPr>
              <w:jc w:val="right"/>
              <w:ind w:right="101"/>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719</w:t>
            </w:r>
          </w:p>
        </w:tc>
        <w:tc>
          <w:tcPr>
            <w:tcW w:w="1640" w:type="dxa"/>
            <w:vAlign w:val="bottom"/>
            <w:gridSpan w:val="2"/>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6"/>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17"/>
        </w:trPr>
        <w:tc>
          <w:tcPr>
            <w:tcW w:w="35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Software royalties, amortization, intellectual</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2"/>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property licenses</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240</w:t>
            </w:r>
          </w:p>
        </w:tc>
        <w:tc>
          <w:tcPr>
            <w:tcW w:w="164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371</w:t>
            </w:r>
          </w:p>
        </w:tc>
        <w:tc>
          <w:tcPr>
            <w:tcW w:w="164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17"/>
        </w:trPr>
        <w:tc>
          <w:tcPr>
            <w:tcW w:w="3540" w:type="dxa"/>
            <w:vAlign w:val="bottom"/>
          </w:tcPr>
          <w:p>
            <w:pPr>
              <w:ind w:left="20"/>
              <w:spacing w:after="0"/>
              <w:rPr>
                <w:sz w:val="20"/>
                <w:szCs w:val="20"/>
                <w:color w:val="auto"/>
              </w:rPr>
            </w:pPr>
            <w:r>
              <w:rPr>
                <w:rFonts w:ascii="Arial" w:cs="Arial" w:eastAsia="Arial" w:hAnsi="Arial"/>
                <w:sz w:val="17"/>
                <w:szCs w:val="17"/>
                <w:color w:val="auto"/>
              </w:rPr>
              <w:t>Cost of revenues—subscription, licensing, and</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3540" w:type="dxa"/>
            <w:vAlign w:val="bottom"/>
          </w:tcPr>
          <w:p>
            <w:pPr>
              <w:ind w:left="100"/>
              <w:spacing w:after="0"/>
              <w:rPr>
                <w:sz w:val="20"/>
                <w:szCs w:val="20"/>
                <w:color w:val="auto"/>
              </w:rPr>
            </w:pPr>
            <w:r>
              <w:rPr>
                <w:rFonts w:ascii="Arial" w:cs="Arial" w:eastAsia="Arial" w:hAnsi="Arial"/>
                <w:sz w:val="17"/>
                <w:szCs w:val="17"/>
                <w:color w:val="auto"/>
              </w:rPr>
              <w:t>other revenues: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7"/>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3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Game operations and distribution costs</w:t>
            </w: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965</w:t>
            </w:r>
          </w:p>
        </w:tc>
        <w:tc>
          <w:tcPr>
            <w:tcW w:w="164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1,028</w:t>
            </w:r>
          </w:p>
        </w:tc>
        <w:tc>
          <w:tcPr>
            <w:tcW w:w="164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Arial" w:cs="Arial" w:eastAsia="Arial" w:hAnsi="Arial"/>
                <w:sz w:val="17"/>
                <w:szCs w:val="17"/>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7"/>
        </w:trPr>
        <w:tc>
          <w:tcPr>
            <w:tcW w:w="3540" w:type="dxa"/>
            <w:vAlign w:val="bottom"/>
          </w:tcPr>
          <w:p>
            <w:pPr>
              <w:ind w:left="160"/>
              <w:spacing w:after="0"/>
              <w:rPr>
                <w:sz w:val="20"/>
                <w:szCs w:val="20"/>
                <w:color w:val="auto"/>
              </w:rPr>
            </w:pPr>
            <w:r>
              <w:rPr>
                <w:rFonts w:ascii="Arial" w:cs="Arial" w:eastAsia="Arial" w:hAnsi="Arial"/>
                <w:sz w:val="17"/>
                <w:szCs w:val="17"/>
                <w:color w:val="auto"/>
              </w:rPr>
              <w:t>Software royalties, amortization, intellectual</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5"/>
        </w:trPr>
        <w:tc>
          <w:tcPr>
            <w:tcW w:w="3540" w:type="dxa"/>
            <w:vAlign w:val="bottom"/>
          </w:tcPr>
          <w:p>
            <w:pPr>
              <w:ind w:left="240"/>
              <w:spacing w:after="0"/>
              <w:rPr>
                <w:sz w:val="20"/>
                <w:szCs w:val="20"/>
                <w:color w:val="auto"/>
              </w:rPr>
            </w:pPr>
            <w:r>
              <w:rPr>
                <w:rFonts w:ascii="Arial" w:cs="Arial" w:eastAsia="Arial" w:hAnsi="Arial"/>
                <w:sz w:val="17"/>
                <w:szCs w:val="17"/>
                <w:color w:val="auto"/>
              </w:rPr>
              <w:t>property licenses</w:t>
            </w:r>
          </w:p>
        </w:tc>
        <w:tc>
          <w:tcPr>
            <w:tcW w:w="300" w:type="dxa"/>
            <w:vAlign w:val="bottom"/>
          </w:tcPr>
          <w:p>
            <w:pPr>
              <w:spacing w:after="0"/>
              <w:rPr>
                <w:sz w:val="18"/>
                <w:szCs w:val="18"/>
                <w:color w:val="auto"/>
              </w:rPr>
            </w:pPr>
          </w:p>
        </w:tc>
        <w:tc>
          <w:tcPr>
            <w:tcW w:w="1160" w:type="dxa"/>
            <w:vAlign w:val="bottom"/>
          </w:tcPr>
          <w:p>
            <w:pPr>
              <w:jc w:val="right"/>
              <w:ind w:right="18"/>
              <w:spacing w:after="0"/>
              <w:rPr>
                <w:sz w:val="20"/>
                <w:szCs w:val="20"/>
                <w:color w:val="auto"/>
              </w:rPr>
            </w:pPr>
            <w:r>
              <w:rPr>
                <w:rFonts w:ascii="Arial" w:cs="Arial" w:eastAsia="Arial" w:hAnsi="Arial"/>
                <w:sz w:val="17"/>
                <w:szCs w:val="17"/>
                <w:color w:val="auto"/>
              </w:rPr>
              <w:t>233</w:t>
            </w:r>
          </w:p>
        </w:tc>
        <w:tc>
          <w:tcPr>
            <w:tcW w:w="1640" w:type="dxa"/>
            <w:vAlign w:val="bottom"/>
            <w:gridSpan w:val="2"/>
          </w:tcPr>
          <w:p>
            <w:pPr>
              <w:jc w:val="right"/>
              <w:ind w:right="112"/>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8"/>
              <w:spacing w:after="0"/>
              <w:rPr>
                <w:sz w:val="20"/>
                <w:szCs w:val="20"/>
                <w:color w:val="auto"/>
              </w:rPr>
            </w:pPr>
            <w:r>
              <w:rPr>
                <w:rFonts w:ascii="Arial" w:cs="Arial" w:eastAsia="Arial" w:hAnsi="Arial"/>
                <w:sz w:val="17"/>
                <w:szCs w:val="17"/>
                <w:color w:val="auto"/>
              </w:rPr>
              <w:t>399</w:t>
            </w:r>
          </w:p>
        </w:tc>
        <w:tc>
          <w:tcPr>
            <w:tcW w:w="1640" w:type="dxa"/>
            <w:vAlign w:val="bottom"/>
            <w:gridSpan w:val="2"/>
          </w:tcPr>
          <w:p>
            <w:pPr>
              <w:jc w:val="right"/>
              <w:ind w:right="112"/>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(166)</w:t>
            </w:r>
          </w:p>
        </w:tc>
      </w:tr>
      <w:tr>
        <w:trPr>
          <w:trHeight w:val="27"/>
        </w:trPr>
        <w:tc>
          <w:tcPr>
            <w:tcW w:w="3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cost of revenues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2,094</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2,517</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w:t>
            </w:r>
          </w:p>
        </w:tc>
      </w:tr>
      <w:tr>
        <w:trPr>
          <w:trHeight w:val="20"/>
        </w:trPr>
        <w:tc>
          <w:tcPr>
            <w:tcW w:w="3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Revenues—Product Sales</w:t>
      </w:r>
      <w:r>
        <w:rPr>
          <w:rFonts w:ascii="Arial" w:cs="Arial" w:eastAsia="Arial" w:hAnsi="Arial"/>
          <w:sz w:val="17"/>
          <w:szCs w:val="17"/>
          <w:color w:val="auto"/>
        </w:rPr>
        <w:t>:</w:t>
      </w:r>
    </w:p>
    <w:p>
      <w:pPr>
        <w:spacing w:after="0" w:line="213" w:lineRule="exact"/>
        <w:rPr>
          <w:sz w:val="20"/>
          <w:szCs w:val="20"/>
          <w:color w:val="auto"/>
        </w:rPr>
      </w:pPr>
    </w:p>
    <w:p>
      <w:pPr>
        <w:ind w:right="60" w:firstLine="382"/>
        <w:spacing w:after="0" w:line="274" w:lineRule="auto"/>
        <w:rPr>
          <w:sz w:val="20"/>
          <w:szCs w:val="20"/>
          <w:color w:val="auto"/>
        </w:rPr>
      </w:pPr>
      <w:r>
        <w:rPr>
          <w:rFonts w:ascii="Arial" w:cs="Arial" w:eastAsia="Arial" w:hAnsi="Arial"/>
          <w:sz w:val="17"/>
          <w:szCs w:val="17"/>
          <w:color w:val="auto"/>
        </w:rPr>
        <w:t>The decrease in product costs for 2019, as compared to 2018, was due to the decrease in product sales, primarily associated with the Destiny franchise (reflecting our sale of the publishing rights for Destiny to Bungie in December 2018).</w:t>
      </w:r>
    </w:p>
    <w:p>
      <w:pPr>
        <w:spacing w:after="0" w:line="166" w:lineRule="exact"/>
        <w:rPr>
          <w:sz w:val="20"/>
          <w:szCs w:val="20"/>
          <w:color w:val="auto"/>
        </w:rPr>
      </w:pPr>
    </w:p>
    <w:p>
      <w:pPr>
        <w:ind w:right="100" w:firstLine="382"/>
        <w:spacing w:after="0" w:line="343" w:lineRule="auto"/>
        <w:rPr>
          <w:sz w:val="20"/>
          <w:szCs w:val="20"/>
          <w:color w:val="auto"/>
        </w:rPr>
      </w:pPr>
      <w:r>
        <w:rPr>
          <w:rFonts w:ascii="Arial" w:cs="Arial" w:eastAsia="Arial" w:hAnsi="Arial"/>
          <w:sz w:val="15"/>
          <w:szCs w:val="15"/>
          <w:color w:val="auto"/>
        </w:rPr>
        <w:t>The decrease in software royalties, amortization, and intellectual property licenses related to product sales for 2019, as compared to 2018, was primarily due to a decrease of $133 million in software amortization and royalties from Activision, primarily due to the Destiny franchise. The decrease was partially offset by:</w:t>
      </w:r>
    </w:p>
    <w:p>
      <w:pPr>
        <w:spacing w:after="0" w:line="119" w:lineRule="exact"/>
        <w:rPr>
          <w:sz w:val="20"/>
          <w:szCs w:val="20"/>
          <w:color w:val="auto"/>
        </w:rPr>
      </w:pPr>
    </w:p>
    <w:p>
      <w:pPr>
        <w:ind w:left="920" w:right="20" w:hanging="306"/>
        <w:spacing w:after="0" w:line="274"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higher software amortization and royalties for </w:t>
      </w:r>
      <w:r>
        <w:rPr>
          <w:rFonts w:ascii="Arial" w:cs="Arial" w:eastAsia="Arial" w:hAnsi="Arial"/>
          <w:sz w:val="17"/>
          <w:szCs w:val="17"/>
          <w:i w:val="1"/>
          <w:iCs w:val="1"/>
          <w:color w:val="auto"/>
        </w:rPr>
        <w:t>Call of Duty: Black Ops 4</w:t>
      </w:r>
      <w:r>
        <w:rPr>
          <w:rFonts w:ascii="Arial" w:cs="Arial" w:eastAsia="Arial" w:hAnsi="Arial"/>
          <w:sz w:val="17"/>
          <w:szCs w:val="17"/>
          <w:color w:val="auto"/>
        </w:rPr>
        <w:t xml:space="preserve">, which was released in October 2018, as compared to </w:t>
      </w:r>
      <w:r>
        <w:rPr>
          <w:rFonts w:ascii="Arial" w:cs="Arial" w:eastAsia="Arial" w:hAnsi="Arial"/>
          <w:sz w:val="17"/>
          <w:szCs w:val="17"/>
          <w:i w:val="1"/>
          <w:iCs w:val="1"/>
          <w:color w:val="auto"/>
        </w:rPr>
        <w:t>Call of Duty: WWII</w:t>
      </w:r>
      <w:r>
        <w:rPr>
          <w:rFonts w:ascii="Arial" w:cs="Arial" w:eastAsia="Arial" w:hAnsi="Arial"/>
          <w:sz w:val="17"/>
          <w:szCs w:val="17"/>
          <w:color w:val="auto"/>
        </w:rPr>
        <w:t>, which was released in November 2017;</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software amortization and royalties from </w:t>
      </w:r>
      <w:r>
        <w:rPr>
          <w:rFonts w:ascii="Arial" w:cs="Arial" w:eastAsia="Arial" w:hAnsi="Arial"/>
          <w:sz w:val="17"/>
          <w:szCs w:val="17"/>
          <w:i w:val="1"/>
          <w:iCs w:val="1"/>
          <w:color w:val="auto"/>
        </w:rPr>
        <w:t>Sekiro: Shadows Die Twice</w:t>
      </w:r>
      <w:r>
        <w:rPr>
          <w:rFonts w:ascii="Arial" w:cs="Arial" w:eastAsia="Arial" w:hAnsi="Arial"/>
          <w:sz w:val="17"/>
          <w:szCs w:val="17"/>
          <w:color w:val="auto"/>
        </w:rPr>
        <w:t>, which was released in March 2019; and</w:t>
      </w:r>
    </w:p>
    <w:p>
      <w:pPr>
        <w:spacing w:after="0" w:line="212" w:lineRule="exact"/>
        <w:rPr>
          <w:rFonts w:ascii="Arial" w:cs="Arial" w:eastAsia="Arial" w:hAnsi="Arial"/>
          <w:sz w:val="17"/>
          <w:szCs w:val="17"/>
          <w:color w:val="auto"/>
        </w:rPr>
      </w:pPr>
    </w:p>
    <w:p>
      <w:pPr>
        <w:ind w:left="920" w:right="240" w:hanging="306"/>
        <w:spacing w:after="0" w:line="274" w:lineRule="auto"/>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higher software amortization and royalties for </w:t>
      </w:r>
      <w:r>
        <w:rPr>
          <w:rFonts w:ascii="Arial" w:cs="Arial" w:eastAsia="Arial" w:hAnsi="Arial"/>
          <w:sz w:val="17"/>
          <w:szCs w:val="17"/>
          <w:i w:val="1"/>
          <w:iCs w:val="1"/>
          <w:color w:val="auto"/>
        </w:rPr>
        <w:t>Call of Duty: Modern Warfare</w:t>
      </w:r>
      <w:r>
        <w:rPr>
          <w:rFonts w:ascii="Arial" w:cs="Arial" w:eastAsia="Arial" w:hAnsi="Arial"/>
          <w:sz w:val="17"/>
          <w:szCs w:val="17"/>
          <w:color w:val="auto"/>
        </w:rPr>
        <w:t xml:space="preserve">, which was released in October 2019, as compared to </w:t>
      </w:r>
      <w:r>
        <w:rPr>
          <w:rFonts w:ascii="Arial" w:cs="Arial" w:eastAsia="Arial" w:hAnsi="Arial"/>
          <w:sz w:val="17"/>
          <w:szCs w:val="17"/>
          <w:i w:val="1"/>
          <w:iCs w:val="1"/>
          <w:color w:val="auto"/>
        </w:rPr>
        <w:t>Call of Duty: Black</w:t>
      </w:r>
      <w:r>
        <w:rPr>
          <w:rFonts w:ascii="Arial" w:cs="Arial" w:eastAsia="Arial" w:hAnsi="Arial"/>
          <w:sz w:val="17"/>
          <w:szCs w:val="17"/>
          <w:color w:val="auto"/>
        </w:rPr>
        <w:t xml:space="preserve"> </w:t>
      </w:r>
      <w:r>
        <w:rPr>
          <w:rFonts w:ascii="Arial" w:cs="Arial" w:eastAsia="Arial" w:hAnsi="Arial"/>
          <w:sz w:val="17"/>
          <w:szCs w:val="17"/>
          <w:i w:val="1"/>
          <w:iCs w:val="1"/>
          <w:color w:val="auto"/>
        </w:rPr>
        <w:t>Ops 4</w:t>
      </w:r>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Revenues—Subscription, Licensing, and Other Revenues:</w:t>
      </w:r>
    </w:p>
    <w:p>
      <w:pPr>
        <w:spacing w:after="0" w:line="213" w:lineRule="exact"/>
        <w:rPr>
          <w:sz w:val="20"/>
          <w:szCs w:val="20"/>
          <w:color w:val="auto"/>
        </w:rPr>
      </w:pPr>
    </w:p>
    <w:p>
      <w:pPr>
        <w:ind w:right="320" w:firstLine="382"/>
        <w:spacing w:after="0" w:line="343" w:lineRule="auto"/>
        <w:rPr>
          <w:sz w:val="20"/>
          <w:szCs w:val="20"/>
          <w:color w:val="auto"/>
        </w:rPr>
      </w:pPr>
      <w:r>
        <w:rPr>
          <w:rFonts w:ascii="Arial" w:cs="Arial" w:eastAsia="Arial" w:hAnsi="Arial"/>
          <w:sz w:val="15"/>
          <w:szCs w:val="15"/>
          <w:color w:val="auto"/>
        </w:rPr>
        <w:t>The decrease in game operations and distribution costs for 2019, as compared to 2018, was primarily due to a decrease of $50 million in service provider fees such as digital storefront fees (e.g., fees retained by Apple and Google for our sales on their platforms), payment processor fees, and server bandwidth fees.</w:t>
      </w:r>
    </w:p>
    <w:p>
      <w:pPr>
        <w:spacing w:after="0" w:line="119" w:lineRule="exact"/>
        <w:rPr>
          <w:sz w:val="20"/>
          <w:szCs w:val="20"/>
          <w:color w:val="auto"/>
        </w:rPr>
      </w:pPr>
    </w:p>
    <w:p>
      <w:pPr>
        <w:ind w:right="80" w:firstLine="382"/>
        <w:spacing w:after="0" w:line="274" w:lineRule="auto"/>
        <w:rPr>
          <w:sz w:val="20"/>
          <w:szCs w:val="20"/>
          <w:color w:val="auto"/>
        </w:rPr>
      </w:pPr>
      <w:r>
        <w:rPr>
          <w:rFonts w:ascii="Arial" w:cs="Arial" w:eastAsia="Arial" w:hAnsi="Arial"/>
          <w:sz w:val="17"/>
          <w:szCs w:val="17"/>
          <w:color w:val="auto"/>
        </w:rPr>
        <w:t>The decrease in software royalties, amortization, and intellectual property licenses related to subscription, licensing, and other revenues for 2019, as compared to 2018, was primarily due to:</w:t>
      </w:r>
    </w:p>
    <w:p>
      <w:pPr>
        <w:spacing w:after="0" w:line="166" w:lineRule="exact"/>
        <w:rPr>
          <w:sz w:val="20"/>
          <w:szCs w:val="20"/>
          <w:color w:val="auto"/>
        </w:rPr>
      </w:pPr>
    </w:p>
    <w:p>
      <w:pPr>
        <w:ind w:left="920" w:hanging="306"/>
        <w:spacing w:after="0"/>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decrease of $122 million in amortization of internally-developed franchise intangible assets acquired as part of our acquisition of King;</w:t>
      </w:r>
    </w:p>
    <w:p>
      <w:pPr>
        <w:spacing w:after="0" w:line="212" w:lineRule="exact"/>
        <w:rPr>
          <w:rFonts w:ascii="Arial" w:cs="Arial" w:eastAsia="Arial" w:hAnsi="Arial"/>
          <w:sz w:val="17"/>
          <w:szCs w:val="17"/>
          <w:color w:val="auto"/>
        </w:rPr>
      </w:pPr>
    </w:p>
    <w:p>
      <w:pPr>
        <w:ind w:left="920" w:right="60" w:hanging="306"/>
        <w:spacing w:after="0" w:line="274"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 decrease of $36 million in software amortization and royalties from Activision, driven by the Destiny franchise, partially offset by software royalties on </w:t>
      </w:r>
      <w:r>
        <w:rPr>
          <w:rFonts w:ascii="Arial" w:cs="Arial" w:eastAsia="Arial" w:hAnsi="Arial"/>
          <w:sz w:val="17"/>
          <w:szCs w:val="17"/>
          <w:i w:val="1"/>
          <w:iCs w:val="1"/>
          <w:color w:val="auto"/>
        </w:rPr>
        <w:t>Call of Duty: Mobile</w:t>
      </w:r>
      <w:r>
        <w:rPr>
          <w:rFonts w:ascii="Arial" w:cs="Arial" w:eastAsia="Arial" w:hAnsi="Arial"/>
          <w:sz w:val="17"/>
          <w:szCs w:val="17"/>
          <w:color w:val="auto"/>
        </w:rPr>
        <w:t>, which was released in October 2019; and</w:t>
      </w:r>
    </w:p>
    <w:p>
      <w:pPr>
        <w:spacing w:after="0" w:line="165" w:lineRule="exact"/>
        <w:rPr>
          <w:rFonts w:ascii="Arial" w:cs="Arial" w:eastAsia="Arial" w:hAnsi="Arial"/>
          <w:sz w:val="17"/>
          <w:szCs w:val="17"/>
          <w:color w:val="auto"/>
        </w:rPr>
      </w:pPr>
    </w:p>
    <w:p>
      <w:pPr>
        <w:ind w:left="920" w:right="160" w:hanging="306"/>
        <w:spacing w:after="0" w:line="274" w:lineRule="auto"/>
        <w:tabs>
          <w:tab w:leader="none" w:pos="9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lower amortization of capitalized film costs due to the release of the third season of the animated TV series, </w:t>
      </w:r>
      <w:r>
        <w:rPr>
          <w:rFonts w:ascii="Arial" w:cs="Arial" w:eastAsia="Arial" w:hAnsi="Arial"/>
          <w:sz w:val="17"/>
          <w:szCs w:val="17"/>
          <w:i w:val="1"/>
          <w:iCs w:val="1"/>
          <w:color w:val="auto"/>
        </w:rPr>
        <w:t>Skylanders</w:t>
      </w:r>
      <w:r>
        <w:rPr>
          <w:rFonts w:ascii="Arial" w:cs="Arial" w:eastAsia="Arial" w:hAnsi="Arial"/>
          <w:sz w:val="17"/>
          <w:szCs w:val="17"/>
          <w:color w:val="auto"/>
        </w:rPr>
        <w:t xml:space="preserve">™ </w:t>
      </w:r>
      <w:r>
        <w:rPr>
          <w:rFonts w:ascii="Arial" w:cs="Arial" w:eastAsia="Arial" w:hAnsi="Arial"/>
          <w:sz w:val="17"/>
          <w:szCs w:val="17"/>
          <w:i w:val="1"/>
          <w:iCs w:val="1"/>
          <w:color w:val="auto"/>
        </w:rPr>
        <w:t>Academy</w:t>
      </w:r>
      <w:r>
        <w:rPr>
          <w:rFonts w:ascii="Arial" w:cs="Arial" w:eastAsia="Arial" w:hAnsi="Arial"/>
          <w:sz w:val="17"/>
          <w:szCs w:val="17"/>
          <w:color w:val="auto"/>
        </w:rPr>
        <w:t>, in September 2018, with no comparable release in 2019.</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Development (amounts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64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998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1,101</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r>
      <w:tr>
        <w:trPr>
          <w:trHeight w:val="27"/>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product development costs for 2019, as compared to 2018, was primarily due to:</w:t>
      </w:r>
    </w:p>
    <w:p>
      <w:pPr>
        <w:spacing w:after="0" w:line="213" w:lineRule="exact"/>
        <w:rPr>
          <w:sz w:val="20"/>
          <w:szCs w:val="20"/>
          <w:color w:val="auto"/>
        </w:rPr>
      </w:pPr>
    </w:p>
    <w:p>
      <w:pPr>
        <w:ind w:left="920" w:hanging="306"/>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lower product development costs from the Destiny franchise;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$25 million increase in capitalization of development costs, primarily driven by the timing of Blizzard’s game development cycles.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and Marketing (amounts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64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1,062</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7"/>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sales and marketing expenses for 2019, as compared to 2018, was primarily due to:</w:t>
      </w:r>
    </w:p>
    <w:p>
      <w:pPr>
        <w:spacing w:after="0" w:line="213" w:lineRule="exact"/>
        <w:rPr>
          <w:sz w:val="20"/>
          <w:szCs w:val="20"/>
          <w:color w:val="auto"/>
        </w:rPr>
      </w:pPr>
    </w:p>
    <w:p>
      <w:pPr>
        <w:ind w:left="920" w:right="400" w:hanging="306"/>
        <w:spacing w:after="0" w:line="274"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 decrease of $107 million in marketing spending and personnel costs, primarily associated with lower marketing costs for esports initiatives and the Destiny franchise, partially offset by marketing costs for </w:t>
      </w:r>
      <w:r>
        <w:rPr>
          <w:rFonts w:ascii="Arial" w:cs="Arial" w:eastAsia="Arial" w:hAnsi="Arial"/>
          <w:sz w:val="17"/>
          <w:szCs w:val="17"/>
          <w:i w:val="1"/>
          <w:iCs w:val="1"/>
          <w:color w:val="auto"/>
        </w:rPr>
        <w:t>Call of Duty: Mobile</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left="920" w:hanging="306"/>
        <w:spacing w:after="0" w:line="274"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decrease of $44 million in amortization of the customer base intangible asset acquired as part of our acquisition of King, as the asset was fully amortized during the first quarter of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(amounts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64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822</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r>
      <w:tr>
        <w:trPr>
          <w:trHeight w:val="27"/>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decrease in general and administrative expenses for 2019, as compared to 2018, was primarily due to a $72 million decrease in personnel costs.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Restructuring and related costs (amounts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ind w:left="292"/>
              <w:spacing w:after="0"/>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200" w:type="dxa"/>
            <w:vAlign w:val="bottom"/>
          </w:tcPr>
          <w:p>
            <w:pPr>
              <w:jc w:val="center"/>
              <w:ind w:left="292"/>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center"/>
              <w:ind w:left="292"/>
              <w:spacing w:after="0"/>
              <w:rPr>
                <w:sz w:val="20"/>
                <w:szCs w:val="20"/>
                <w:color w:val="auto"/>
              </w:rPr>
            </w:pPr>
            <w:r>
              <w:rPr>
                <w:rFonts w:ascii="Arial" w:cs="Arial" w:eastAsia="Arial" w:hAnsi="Arial"/>
                <w:sz w:val="14"/>
                <w:szCs w:val="14"/>
                <w:b w:val="1"/>
                <w:bCs w:val="1"/>
                <w:color w:val="auto"/>
                <w:w w:val="83"/>
              </w:rPr>
              <w:t>net revenues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and related costs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132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12"/>
              <w:spacing w:after="0"/>
              <w:rPr>
                <w:sz w:val="20"/>
                <w:szCs w:val="20"/>
                <w:color w:val="auto"/>
              </w:rPr>
            </w:pPr>
            <w:r>
              <w:rPr>
                <w:rFonts w:ascii="Arial" w:cs="Arial" w:eastAsia="Arial" w:hAnsi="Arial"/>
                <w:sz w:val="17"/>
                <w:szCs w:val="17"/>
                <w:color w:val="auto"/>
              </w:rPr>
              <w:t>2%  $</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  $</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122</w:t>
            </w:r>
          </w:p>
        </w:tc>
      </w:tr>
      <w:tr>
        <w:trPr>
          <w:trHeight w:val="26"/>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right="60" w:firstLine="382"/>
        <w:spacing w:after="0" w:line="256" w:lineRule="auto"/>
        <w:rPr>
          <w:rFonts w:ascii="Arial" w:cs="Arial" w:eastAsia="Arial" w:hAnsi="Arial"/>
          <w:sz w:val="17"/>
          <w:szCs w:val="17"/>
          <w:color w:val="auto"/>
        </w:rPr>
      </w:pPr>
      <w:r>
        <w:rPr>
          <w:rFonts w:ascii="Arial" w:cs="Arial" w:eastAsia="Arial" w:hAnsi="Arial"/>
          <w:sz w:val="17"/>
          <w:szCs w:val="17"/>
          <w:color w:val="auto"/>
        </w:rPr>
        <w:t xml:space="preserve">During 2019, we implemented our previously announced restructuring plan, which was aimed at refocusing our resources on our largest opportunities and to remove unnecessary levels of complexity and duplication from certain parts of our business. Since the roll out of the plan, we have been, and will continue focusing on these goals. The restructuring and related costs incurred during 2019, relate primarily to severance costs, write-downs of lease facility assets, and the write-downs of other assets that will no longer be used. Refer to </w:t>
      </w:r>
      <w:hyperlink w:anchor="page112">
        <w:r>
          <w:rPr>
            <w:rFonts w:ascii="Arial" w:cs="Arial" w:eastAsia="Arial" w:hAnsi="Arial"/>
            <w:sz w:val="17"/>
            <w:szCs w:val="17"/>
            <w:u w:val="single" w:color="auto"/>
            <w:color w:val="0000EE"/>
          </w:rPr>
          <w:t>Note 17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further discussion.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7"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Other Expense (Income), Net (amounts in millions)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640" w:type="dxa"/>
            <w:vAlign w:val="bottom"/>
            <w:gridSpan w:val="2"/>
          </w:tcPr>
          <w:p>
            <w:pPr>
              <w:jc w:val="center"/>
              <w:ind w:right="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80"/>
              <w:spacing w:after="0" w:line="141" w:lineRule="exact"/>
              <w:rPr>
                <w:sz w:val="20"/>
                <w:szCs w:val="20"/>
                <w:color w:val="auto"/>
              </w:rPr>
            </w:pPr>
            <w:r>
              <w:rPr>
                <w:rFonts w:ascii="Arial" w:cs="Arial" w:eastAsia="Arial" w:hAnsi="Arial"/>
                <w:sz w:val="14"/>
                <w:szCs w:val="14"/>
                <w:b w:val="1"/>
                <w:bCs w:val="1"/>
                <w:color w:val="auto"/>
                <w:w w:val="83"/>
              </w:rPr>
              <w:t>consolidated</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6"/>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decrease in interest and other expense (income), net, for 2019, as compared to 2018, was primarily due to:</w:t>
      </w:r>
    </w:p>
    <w:p>
      <w:pPr>
        <w:spacing w:after="0" w:line="213" w:lineRule="exact"/>
        <w:rPr>
          <w:sz w:val="20"/>
          <w:szCs w:val="20"/>
          <w:color w:val="auto"/>
        </w:rPr>
      </w:pPr>
    </w:p>
    <w:p>
      <w:pPr>
        <w:ind w:left="920" w:right="200" w:hanging="306"/>
        <w:spacing w:after="0" w:line="274"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$49 million decrease in interest expense and amortization of deferred financing costs associated with our debt obligations, reflecting a decrease in our total debt outstanding as a result of our debt redemptions and repayment activities during 2018;</w:t>
      </w:r>
    </w:p>
    <w:p>
      <w:pPr>
        <w:spacing w:after="0" w:line="165" w:lineRule="exact"/>
        <w:rPr>
          <w:rFonts w:ascii="Arial" w:cs="Arial" w:eastAsia="Arial" w:hAnsi="Arial"/>
          <w:sz w:val="17"/>
          <w:szCs w:val="17"/>
          <w:color w:val="auto"/>
        </w:rPr>
      </w:pPr>
    </w:p>
    <w:p>
      <w:pPr>
        <w:ind w:left="920" w:right="60" w:hanging="306"/>
        <w:spacing w:after="0" w:line="274" w:lineRule="auto"/>
        <w:tabs>
          <w:tab w:leader="none" w:pos="920" w:val="left"/>
        </w:tabs>
        <w:numPr>
          <w:ilvl w:val="0"/>
          <w:numId w:val="40"/>
        </w:numPr>
        <w:rPr>
          <w:rFonts w:ascii="Arial" w:cs="Arial" w:eastAsia="Arial" w:hAnsi="Arial"/>
          <w:sz w:val="17"/>
          <w:szCs w:val="17"/>
          <w:color w:val="0000EE"/>
        </w:rPr>
      </w:pPr>
      <w:r>
        <w:rPr>
          <w:rFonts w:ascii="Arial" w:cs="Arial" w:eastAsia="Arial" w:hAnsi="Arial"/>
          <w:sz w:val="17"/>
          <w:szCs w:val="17"/>
          <w:color w:val="auto"/>
        </w:rPr>
        <w:t xml:space="preserve">a $38 million gain recognized as a result of adjusting a cost-method equity investment to fair value, with no comparable activity in the prior year (refer to </w:t>
      </w:r>
      <w:hyperlink w:anchor="page92">
        <w:r>
          <w:rPr>
            <w:rFonts w:ascii="Arial" w:cs="Arial" w:eastAsia="Arial" w:hAnsi="Arial"/>
            <w:sz w:val="17"/>
            <w:szCs w:val="17"/>
            <w:u w:val="single" w:color="auto"/>
            <w:color w:val="0000EE"/>
          </w:rPr>
          <w:t>Note 10</w:t>
        </w:r>
        <w:r>
          <w:rPr>
            <w:rFonts w:ascii="Arial" w:cs="Arial" w:eastAsia="Arial" w:hAnsi="Arial"/>
            <w:sz w:val="17"/>
            <w:szCs w:val="17"/>
            <w:color w:val="0000EE"/>
          </w:rPr>
          <w:t xml:space="preserve"> </w:t>
        </w:r>
      </w:hyperlink>
      <w:r>
        <w:rPr>
          <w:rFonts w:ascii="Arial" w:cs="Arial" w:eastAsia="Arial" w:hAnsi="Arial"/>
          <w:sz w:val="17"/>
          <w:szCs w:val="17"/>
          <w:color w:val="000000"/>
        </w:rPr>
        <w:t>in</w:t>
      </w:r>
      <w:r>
        <w:rPr>
          <w:rFonts w:ascii="Arial" w:cs="Arial" w:eastAsia="Arial" w:hAnsi="Arial"/>
          <w:sz w:val="17"/>
          <w:szCs w:val="17"/>
          <w:color w:val="0000EE"/>
        </w:rPr>
        <w:t xml:space="preserve"> </w:t>
      </w:r>
      <w:r>
        <w:rPr>
          <w:rFonts w:ascii="Arial" w:cs="Arial" w:eastAsia="Arial" w:hAnsi="Arial"/>
          <w:sz w:val="17"/>
          <w:szCs w:val="17"/>
          <w:color w:val="000000"/>
        </w:rPr>
        <w:t>the notes to the consolidated financial statements included in Item 8 of this Annual Report on Form 10-K); and</w:t>
      </w:r>
    </w:p>
    <w:p>
      <w:pPr>
        <w:spacing w:after="0" w:line="165" w:lineRule="exact"/>
        <w:rPr>
          <w:rFonts w:ascii="Arial" w:cs="Arial" w:eastAsia="Arial" w:hAnsi="Arial"/>
          <w:sz w:val="17"/>
          <w:szCs w:val="17"/>
          <w:color w:val="0000EE"/>
        </w:rPr>
      </w:pPr>
    </w:p>
    <w:p>
      <w:pPr>
        <w:ind w:left="920" w:right="240" w:hanging="306"/>
        <w:spacing w:after="0" w:line="274" w:lineRule="auto"/>
        <w:tabs>
          <w:tab w:leader="none" w:pos="9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$14 million increase in interest income due to our cash and cash equivalent balances earning interest at higher rates, along with a higher average cash balance, in 2019 as compared to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 (amounts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 of</w:t>
            </w:r>
          </w:p>
        </w:tc>
        <w:tc>
          <w:tcPr>
            <w:tcW w:w="1200" w:type="dxa"/>
            <w:vAlign w:val="bottom"/>
          </w:tcPr>
          <w:p>
            <w:pPr>
              <w:spacing w:after="0"/>
              <w:rPr>
                <w:sz w:val="14"/>
                <w:szCs w:val="14"/>
                <w:color w:val="auto"/>
              </w:rPr>
            </w:pPr>
          </w:p>
        </w:tc>
      </w:tr>
      <w:tr>
        <w:trPr>
          <w:trHeight w:val="140"/>
        </w:trPr>
        <w:tc>
          <w:tcPr>
            <w:tcW w:w="3540" w:type="dxa"/>
            <w:vAlign w:val="bottom"/>
          </w:tcPr>
          <w:p>
            <w:pPr>
              <w:spacing w:after="0"/>
              <w:rPr>
                <w:sz w:val="12"/>
                <w:szCs w:val="12"/>
                <w:color w:val="auto"/>
              </w:rPr>
            </w:pPr>
          </w:p>
        </w:tc>
        <w:tc>
          <w:tcPr>
            <w:tcW w:w="156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Year Ended December</w:t>
            </w:r>
          </w:p>
        </w:tc>
        <w:tc>
          <w:tcPr>
            <w:tcW w:w="16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Pretax</w:t>
            </w:r>
          </w:p>
        </w:tc>
        <w:tc>
          <w:tcPr>
            <w:tcW w:w="158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Year Ended December</w:t>
            </w:r>
          </w:p>
        </w:tc>
        <w:tc>
          <w:tcPr>
            <w:tcW w:w="1900" w:type="dxa"/>
            <w:vAlign w:val="bottom"/>
            <w:gridSpan w:val="3"/>
          </w:tcPr>
          <w:p>
            <w:pPr>
              <w:jc w:val="center"/>
              <w:ind w:right="360"/>
              <w:spacing w:after="0" w:line="141" w:lineRule="exact"/>
              <w:rPr>
                <w:sz w:val="20"/>
                <w:szCs w:val="20"/>
                <w:color w:val="auto"/>
              </w:rPr>
            </w:pPr>
            <w:r>
              <w:rPr>
                <w:rFonts w:ascii="Arial" w:cs="Arial" w:eastAsia="Arial" w:hAnsi="Arial"/>
                <w:sz w:val="14"/>
                <w:szCs w:val="14"/>
                <w:b w:val="1"/>
                <w:bCs w:val="1"/>
                <w:color w:val="auto"/>
                <w:w w:val="88"/>
              </w:rPr>
              <w:t>Pretax</w:t>
            </w:r>
          </w:p>
        </w:tc>
        <w:tc>
          <w:tcPr>
            <w:tcW w:w="1200" w:type="dxa"/>
            <w:vAlign w:val="bottom"/>
          </w:tcPr>
          <w:p>
            <w:pPr>
              <w:jc w:val="center"/>
              <w:ind w:right="186"/>
              <w:spacing w:after="0" w:line="141" w:lineRule="exact"/>
              <w:rPr>
                <w:sz w:val="20"/>
                <w:szCs w:val="20"/>
                <w:color w:val="auto"/>
              </w:rPr>
            </w:pPr>
            <w:r>
              <w:rPr>
                <w:rFonts w:ascii="Arial" w:cs="Arial" w:eastAsia="Arial" w:hAnsi="Arial"/>
                <w:sz w:val="14"/>
                <w:szCs w:val="14"/>
                <w:b w:val="1"/>
                <w:bCs w:val="1"/>
                <w:color w:val="auto"/>
                <w:w w:val="87"/>
              </w:rPr>
              <w:t>Increase</w:t>
            </w:r>
          </w:p>
        </w:tc>
      </w:tr>
      <w:tr>
        <w:trPr>
          <w:trHeight w:val="181"/>
        </w:trPr>
        <w:tc>
          <w:tcPr>
            <w:tcW w:w="35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31, 2019</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31, 2018</w:t>
            </w:r>
          </w:p>
        </w:tc>
        <w:tc>
          <w:tcPr>
            <w:tcW w:w="1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6"/>
              </w:rPr>
              <w:t>(Decrease)</w:t>
            </w:r>
          </w:p>
        </w:tc>
      </w:tr>
      <w:tr>
        <w:trPr>
          <w:trHeight w:val="227"/>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  $</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101</w:t>
            </w:r>
          </w:p>
        </w:tc>
      </w:tr>
      <w:tr>
        <w:trPr>
          <w:trHeight w:val="27"/>
        </w:trPr>
        <w:tc>
          <w:tcPr>
            <w:tcW w:w="3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2"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For the years ended December 31, 2019 and 2018, the Company’s income before income tax expense was $1.6 billion and $1.9 billion, respectively, and our income tax expense was $130 million (or an 8% effective tax rate) and $29 million (or a 2% effective tax rate), respectively. Our full year 2019 effective tax rate of 8% is lower than the U.S. statutory rate of 21% primarily due to one-time tax benefits related to the intra-entity transfer of certain intellectual property rights, as further described below, and earnings taxed at relatively lower rates in foreign jurisdictions, partially offset by changes in the Company's liability for uncertain tax positions and audit settlements.</w:t>
      </w:r>
    </w:p>
    <w:p>
      <w:pPr>
        <w:spacing w:after="0" w:line="181" w:lineRule="exact"/>
        <w:rPr>
          <w:sz w:val="20"/>
          <w:szCs w:val="20"/>
          <w:color w:val="auto"/>
        </w:rPr>
      </w:pPr>
    </w:p>
    <w:p>
      <w:pPr>
        <w:ind w:right="60" w:firstLine="382"/>
        <w:spacing w:after="0" w:line="262" w:lineRule="auto"/>
        <w:rPr>
          <w:sz w:val="20"/>
          <w:szCs w:val="20"/>
          <w:color w:val="auto"/>
        </w:rPr>
      </w:pPr>
      <w:r>
        <w:rPr>
          <w:rFonts w:ascii="Arial" w:cs="Arial" w:eastAsia="Arial" w:hAnsi="Arial"/>
          <w:sz w:val="17"/>
          <w:szCs w:val="17"/>
          <w:color w:val="auto"/>
        </w:rPr>
        <w:t>The effective tax rate in 2019 was higher than in 2018, primarily due to one-time tax benefits reported in the prior year related to the U.S. Tax Reform Act and an IRS audit settlement. This increase was partially offset by one-time tax benefits reported in the current year related to the intra-entity transfer of certain intellectual property rights, net of changes in the Company’s liability for uncertain tax positions in the current year.</w:t>
      </w:r>
    </w:p>
    <w:p>
      <w:pPr>
        <w:spacing w:after="0" w:line="176" w:lineRule="exact"/>
        <w:rPr>
          <w:sz w:val="20"/>
          <w:szCs w:val="20"/>
          <w:color w:val="auto"/>
        </w:rPr>
      </w:pPr>
    </w:p>
    <w:p>
      <w:pPr>
        <w:ind w:right="280" w:firstLine="382"/>
        <w:spacing w:after="0" w:line="262" w:lineRule="auto"/>
        <w:rPr>
          <w:sz w:val="20"/>
          <w:szCs w:val="20"/>
          <w:color w:val="auto"/>
        </w:rPr>
      </w:pPr>
      <w:r>
        <w:rPr>
          <w:rFonts w:ascii="Arial" w:cs="Arial" w:eastAsia="Arial" w:hAnsi="Arial"/>
          <w:sz w:val="17"/>
          <w:szCs w:val="17"/>
          <w:color w:val="auto"/>
        </w:rPr>
        <w:t>The overall effective income tax rate in future periods will depend on a variety of factors, such as changes in pre-tax income or loss by jurisdiction, applicable accounting rules, applicable tax laws and regulations, and rulings and interpretations thereof, developments in tax audits and other matters, and variations in the estimated and actual level of annual pre-tax income or loss.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Intellectual Property Right Transfer</w:t>
      </w:r>
    </w:p>
    <w:p>
      <w:pPr>
        <w:spacing w:after="0" w:line="213" w:lineRule="exact"/>
        <w:rPr>
          <w:sz w:val="20"/>
          <w:szCs w:val="20"/>
          <w:color w:val="auto"/>
        </w:rPr>
      </w:pPr>
    </w:p>
    <w:p>
      <w:pPr>
        <w:ind w:firstLine="382"/>
        <w:spacing w:after="0" w:line="291" w:lineRule="auto"/>
        <w:rPr>
          <w:sz w:val="20"/>
          <w:szCs w:val="20"/>
          <w:color w:val="auto"/>
        </w:rPr>
      </w:pPr>
      <w:r>
        <w:rPr>
          <w:rFonts w:ascii="Arial" w:cs="Arial" w:eastAsia="Arial" w:hAnsi="Arial"/>
          <w:sz w:val="15"/>
          <w:szCs w:val="15"/>
          <w:color w:val="auto"/>
        </w:rPr>
        <w:t>In October 2019, we completed an intra-entity transfer of certain intellectual property rights to one of our subsidiaries in the U.K., aligning the ownership of these rights with our evolving business. The transfer did not result in a taxable gain; however, our U.K. subsidiary received a step-up in tax basis based on the fair value of the transferred intellectual property rights. Such fair value was determined based on our expectations of future cash flows, long-term growth rates, and discount rates. We recorded a one-time benefit of $230 million in the quarter ended December 31, 2019 for the recognition of a $1.1 billion deferred tax asset in the U.K. related to the amortizable tax basis in the transferred intellectual property, net of uncertain tax positions and valuation allowance, partially offset by a related $920 million deferred tax liability for U.S. taxes on foreign earnings. The U.K. amortizable tax basis will be recovered over a period of three to 25 years and the related deferred tax asset was measured using the U.K. corporate tax rates in effect for the years in which the amortization will be realized. We recorded a valuation allowance of $110 million for the portion of the deferred tax asset for which it is more-likely-than-not that a benefit will not be realized based on objective evidence available as of December 31, 2019. We will update the measurement and realizability analysis going forward and record the impact from any change in determination in the period of the change.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French Tax Settlement</w:t>
      </w:r>
    </w:p>
    <w:p>
      <w:pPr>
        <w:spacing w:after="0" w:line="213" w:lineRule="exact"/>
        <w:rPr>
          <w:sz w:val="20"/>
          <w:szCs w:val="20"/>
          <w:color w:val="auto"/>
        </w:rPr>
      </w:pPr>
    </w:p>
    <w:p>
      <w:pPr>
        <w:ind w:right="20" w:firstLine="382"/>
        <w:spacing w:after="0" w:line="303" w:lineRule="auto"/>
        <w:rPr>
          <w:sz w:val="20"/>
          <w:szCs w:val="20"/>
          <w:color w:val="auto"/>
        </w:rPr>
      </w:pPr>
      <w:r>
        <w:rPr>
          <w:rFonts w:ascii="Arial" w:cs="Arial" w:eastAsia="Arial" w:hAnsi="Arial"/>
          <w:sz w:val="15"/>
          <w:szCs w:val="15"/>
          <w:color w:val="auto"/>
        </w:rPr>
        <w:t>In December 2017, we received a Notice of Reassessment from the FTA related to transfer pricing for intercompany transactions involving one of our French subsidiaries for the 2011 through 2013 tax years. The total assessment, including interest and penalties, was approximately €571 million (approximately $638 million). In December 2019, the Company reached a settlement with the FTA for the 2011 through 2018 tax years, resulting in the recognition of $54 million of tax expense in the period ended December 31, 2019 and a tax payment of €161 million (approximately $179 million), including interest and penalties, in January 2020.</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IRS Closing Agreement</w:t>
      </w:r>
    </w:p>
    <w:p>
      <w:pPr>
        <w:spacing w:after="0" w:line="213" w:lineRule="exact"/>
        <w:rPr>
          <w:sz w:val="20"/>
          <w:szCs w:val="20"/>
          <w:color w:val="auto"/>
        </w:rPr>
      </w:pPr>
    </w:p>
    <w:p>
      <w:pPr>
        <w:ind w:right="100" w:firstLine="382"/>
        <w:spacing w:after="0" w:line="298" w:lineRule="auto"/>
        <w:rPr>
          <w:sz w:val="20"/>
          <w:szCs w:val="20"/>
          <w:color w:val="auto"/>
        </w:rPr>
      </w:pPr>
      <w:r>
        <w:rPr>
          <w:rFonts w:ascii="Arial" w:cs="Arial" w:eastAsia="Arial" w:hAnsi="Arial"/>
          <w:sz w:val="15"/>
          <w:szCs w:val="15"/>
          <w:color w:val="auto"/>
        </w:rPr>
        <w:t>On June 27, 2018, we entered into a closing agreement with the Internal Revenue Service (“IRS”) to resolve certain intercompany transfer pricing arrangements for tax periods starting in 2009 (the “Closing Agreement”). The primary adjustments related to the Closing Agreement were recognized in the second quarter of 2018 and consisted of a tax expense of $70 million and a reduction in unrecognized tax benefits of $437 million. In addition, we recognized $185 million of tax benefits related to other tax adjustments resulting from the changes in U.S. tax attributes and taxable income caused by the primary adjustments. The Closing Agreement resulted in federal and state cash tax payments totaling approximately $345 million, of which federal tax payments of $334 million were made in October 2018.</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U.S. Tax Reform Act</w:t>
      </w:r>
    </w:p>
    <w:p>
      <w:pPr>
        <w:spacing w:after="0" w:line="213" w:lineRule="exact"/>
        <w:rPr>
          <w:sz w:val="20"/>
          <w:szCs w:val="20"/>
          <w:color w:val="auto"/>
        </w:rPr>
      </w:pPr>
    </w:p>
    <w:p>
      <w:pPr>
        <w:ind w:right="160" w:firstLine="382"/>
        <w:spacing w:after="0" w:line="298" w:lineRule="auto"/>
        <w:rPr>
          <w:sz w:val="20"/>
          <w:szCs w:val="20"/>
          <w:color w:val="auto"/>
        </w:rPr>
      </w:pPr>
      <w:r>
        <w:rPr>
          <w:rFonts w:ascii="Arial" w:cs="Arial" w:eastAsia="Arial" w:hAnsi="Arial"/>
          <w:sz w:val="15"/>
          <w:szCs w:val="15"/>
          <w:color w:val="auto"/>
        </w:rPr>
        <w:t>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 (the “Transition Tax”). In the fourth quarter of 2018, we completed our analysis of the effect of the U.S. Tax Reform Act. For the year ended December 31, 2018, we recorded a net tax benefit of $340 million for the effects of the U.S. Tax Reform Act. This is primarily related to adoption of global intangible low-taxed income deferred tax accounting and remeasurement of deferred tax assets and liabilities, partially offset by tax expense related to Transition Tax.</w:t>
      </w:r>
    </w:p>
    <w:p>
      <w:pPr>
        <w:spacing w:after="0" w:line="153" w:lineRule="exact"/>
        <w:rPr>
          <w:sz w:val="20"/>
          <w:szCs w:val="20"/>
          <w:color w:val="auto"/>
        </w:rPr>
      </w:pPr>
    </w:p>
    <w:p>
      <w:pPr>
        <w:ind w:right="200" w:firstLine="382"/>
        <w:spacing w:after="0" w:line="307" w:lineRule="auto"/>
        <w:rPr>
          <w:rFonts w:ascii="Arial" w:cs="Arial" w:eastAsia="Arial" w:hAnsi="Arial"/>
          <w:sz w:val="16"/>
          <w:szCs w:val="16"/>
          <w:color w:val="auto"/>
        </w:rPr>
      </w:pPr>
      <w:r>
        <w:rPr>
          <w:rFonts w:ascii="Arial" w:cs="Arial" w:eastAsia="Arial" w:hAnsi="Arial"/>
          <w:sz w:val="16"/>
          <w:szCs w:val="16"/>
          <w:color w:val="auto"/>
        </w:rPr>
        <w:t xml:space="preserve">Further analysis of the differences between the U.S. federal statutory rate and the consolidated effective tax rate, as well as other information about our income taxes, is provided in </w:t>
      </w:r>
      <w:hyperlink w:anchor="page115">
        <w:r>
          <w:rPr>
            <w:rFonts w:ascii="Arial" w:cs="Arial" w:eastAsia="Arial" w:hAnsi="Arial"/>
            <w:sz w:val="16"/>
            <w:szCs w:val="16"/>
            <w:u w:val="single" w:color="auto"/>
            <w:color w:val="0000EE"/>
          </w:rPr>
          <w:t>Note 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included in Item 8 of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 Impact</w:t>
      </w:r>
    </w:p>
    <w:p>
      <w:pPr>
        <w:spacing w:after="0" w:line="213" w:lineRule="exact"/>
        <w:rPr>
          <w:sz w:val="20"/>
          <w:szCs w:val="20"/>
          <w:color w:val="auto"/>
        </w:rPr>
      </w:pPr>
    </w:p>
    <w:p>
      <w:pPr>
        <w:ind w:firstLine="408"/>
        <w:spacing w:after="0" w:line="262" w:lineRule="auto"/>
        <w:rPr>
          <w:sz w:val="20"/>
          <w:szCs w:val="20"/>
          <w:color w:val="auto"/>
        </w:rPr>
      </w:pPr>
      <w:r>
        <w:rPr>
          <w:rFonts w:ascii="Arial" w:cs="Arial" w:eastAsia="Arial" w:hAnsi="Arial"/>
          <w:sz w:val="17"/>
          <w:szCs w:val="17"/>
          <w:color w:val="auto"/>
        </w:rPr>
        <w:t>Changes in foreign exchange rates had a negative impact of $71 million and a positive impact of $68 million on Activision Blizzard’s consolidated operating income in 2019 and 2018, respectively. The changes are primarily due to changes in the value of the U.S. dollar relative to the euro and British pound and its impact on our foreign operating income.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2018 to 2017</w:t>
      </w:r>
    </w:p>
    <w:p>
      <w:pPr>
        <w:spacing w:after="0" w:line="217" w:lineRule="exact"/>
        <w:rPr>
          <w:sz w:val="20"/>
          <w:szCs w:val="20"/>
          <w:color w:val="auto"/>
        </w:rPr>
      </w:pPr>
    </w:p>
    <w:p>
      <w:pPr>
        <w:ind w:right="240" w:firstLine="382"/>
        <w:spacing w:after="0" w:line="274" w:lineRule="auto"/>
        <w:rPr>
          <w:sz w:val="20"/>
          <w:szCs w:val="20"/>
          <w:color w:val="auto"/>
        </w:rPr>
      </w:pPr>
      <w:r>
        <w:rPr>
          <w:rFonts w:ascii="Arial" w:cs="Arial" w:eastAsia="Arial" w:hAnsi="Arial"/>
          <w:sz w:val="17"/>
          <w:szCs w:val="17"/>
          <w:color w:val="auto"/>
        </w:rPr>
        <w:t>For the comparison of 2018 to 2017, refer to Part II, Item 7 “Management’s Discussion and Analysis of Financial Condition and Results of Operations” of our Annual Report on Form 10-K for the year ended December 31, 2018, filed with the SEC on February 28, 2019.</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7" w:lineRule="exact"/>
        <w:rPr>
          <w:sz w:val="20"/>
          <w:szCs w:val="20"/>
          <w:color w:val="auto"/>
        </w:rPr>
      </w:pPr>
    </w:p>
    <w:p>
      <w:pPr>
        <w:ind w:right="40" w:firstLine="382"/>
        <w:spacing w:after="0" w:line="255" w:lineRule="auto"/>
        <w:rPr>
          <w:sz w:val="20"/>
          <w:szCs w:val="20"/>
          <w:color w:val="auto"/>
        </w:rPr>
      </w:pPr>
      <w:r>
        <w:rPr>
          <w:rFonts w:ascii="Arial" w:cs="Arial" w:eastAsia="Arial" w:hAnsi="Arial"/>
          <w:sz w:val="17"/>
          <w:szCs w:val="17"/>
          <w:color w:val="auto"/>
        </w:rPr>
        <w:t>We believe our ability to generate cash flows from operating activities is one of our fundamental financial strengths. In the near term, we expect our business and financial condition to remain strong and to continue to generate significant operating cash flows, which, we believe, in combination with our existing balance of cash and cash equivalents and short-term investments of $5.9 billion, our access to capital, and the availability of our $1.5 billion revolving credit facility, will be sufficient to finance our operational and financing requirements for the next 12 months. Our primary sources of liquidity, which are available to us to fund cash outflows such as potential dividend payments or share repurchases, and scheduled debt maturities, include our cash and cash equivalents, short-term investments, and cash flows provided by operating activities.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127" w:right="27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360" w:firstLine="382"/>
        <w:spacing w:after="0" w:line="307" w:lineRule="auto"/>
        <w:rPr>
          <w:sz w:val="20"/>
          <w:szCs w:val="20"/>
          <w:color w:val="auto"/>
        </w:rPr>
      </w:pPr>
      <w:r>
        <w:rPr>
          <w:rFonts w:ascii="Arial" w:cs="Arial" w:eastAsia="Arial" w:hAnsi="Arial"/>
          <w:sz w:val="16"/>
          <w:szCs w:val="16"/>
          <w:color w:val="auto"/>
        </w:rPr>
        <w:t>As of December 31, 2019, the amount of cash and cash equivalents held outside of the U.S. by our foreign subsidiaries was $2.8 billion, as compared to $1.4 billion as of December 31, 2018. These cash balances are generally available for use in the U.S., subject in some cases to certain restrictions.</w:t>
      </w:r>
    </w:p>
    <w:p>
      <w:pPr>
        <w:spacing w:after="0" w:line="141" w:lineRule="exact"/>
        <w:rPr>
          <w:sz w:val="20"/>
          <w:szCs w:val="20"/>
          <w:color w:val="auto"/>
        </w:rPr>
      </w:pPr>
    </w:p>
    <w:p>
      <w:pPr>
        <w:ind w:right="180" w:firstLine="382"/>
        <w:spacing w:after="0" w:line="258" w:lineRule="auto"/>
        <w:rPr>
          <w:sz w:val="20"/>
          <w:szCs w:val="20"/>
          <w:color w:val="auto"/>
        </w:rPr>
      </w:pPr>
      <w:r>
        <w:rPr>
          <w:rFonts w:ascii="Arial" w:cs="Arial" w:eastAsia="Arial" w:hAnsi="Arial"/>
          <w:sz w:val="17"/>
          <w:szCs w:val="17"/>
          <w:color w:val="auto"/>
        </w:rPr>
        <w:t>Our cash provided from operating activities is somewhat impacted by seasonality. Working capital needs are impacted by weekly sales, which are generally highest in the fourth quarter due to seasonal and holiday-related sales patterns. We consider, on a continuing basis,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320" w:type="dxa"/>
            <w:vAlign w:val="bottom"/>
            <w:gridSpan w:val="7"/>
          </w:tcPr>
          <w:p>
            <w:pPr>
              <w:ind w:left="20"/>
              <w:spacing w:after="0"/>
              <w:rPr>
                <w:sz w:val="20"/>
                <w:szCs w:val="20"/>
                <w:color w:val="auto"/>
              </w:rPr>
            </w:pPr>
            <w:r>
              <w:rPr>
                <w:rFonts w:ascii="Arial" w:cs="Arial" w:eastAsia="Arial" w:hAnsi="Arial"/>
                <w:sz w:val="15"/>
                <w:szCs w:val="15"/>
                <w:b w:val="1"/>
                <w:bCs w:val="1"/>
                <w:color w:val="auto"/>
                <w:w w:val="92"/>
              </w:rPr>
              <w:t>For the Years Ended December 31,</w:t>
            </w: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1"/>
        </w:trPr>
        <w:tc>
          <w:tcPr>
            <w:tcW w:w="49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7"/>
        </w:trPr>
        <w:tc>
          <w:tcPr>
            <w:tcW w:w="4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center"/>
              <w:ind w:right="298"/>
              <w:spacing w:after="0"/>
              <w:rPr>
                <w:sz w:val="20"/>
                <w:szCs w:val="20"/>
                <w:color w:val="auto"/>
              </w:rPr>
            </w:pPr>
            <w:r>
              <w:rPr>
                <w:rFonts w:ascii="Arial" w:cs="Arial" w:eastAsia="Arial" w:hAnsi="Arial"/>
                <w:sz w:val="15"/>
                <w:szCs w:val="15"/>
                <w:b w:val="1"/>
                <w:bCs w:val="1"/>
                <w:color w:val="auto"/>
                <w:w w:val="88"/>
              </w:rPr>
              <w:t>Increase</w:t>
            </w:r>
          </w:p>
        </w:tc>
      </w:tr>
      <w:tr>
        <w:trPr>
          <w:trHeight w:val="198"/>
        </w:trPr>
        <w:tc>
          <w:tcPr>
            <w:tcW w:w="4980" w:type="dxa"/>
            <w:vAlign w:val="bottom"/>
          </w:tcPr>
          <w:p>
            <w:pPr>
              <w:spacing w:after="0"/>
              <w:rPr>
                <w:sz w:val="17"/>
                <w:szCs w:val="17"/>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2019</w:t>
            </w:r>
          </w:p>
        </w:tc>
        <w:tc>
          <w:tcPr>
            <w:tcW w:w="680" w:type="dxa"/>
            <w:vAlign w:val="bottom"/>
          </w:tcPr>
          <w:p>
            <w:pPr>
              <w:spacing w:after="0"/>
              <w:rPr>
                <w:sz w:val="17"/>
                <w:szCs w:val="17"/>
                <w:color w:val="auto"/>
              </w:rPr>
            </w:pPr>
          </w:p>
        </w:tc>
        <w:tc>
          <w:tcPr>
            <w:tcW w:w="1500" w:type="dxa"/>
            <w:vAlign w:val="bottom"/>
            <w:gridSpan w:val="5"/>
          </w:tcPr>
          <w:p>
            <w:pPr>
              <w:jc w:val="center"/>
              <w:ind w:left="759"/>
              <w:spacing w:after="0"/>
              <w:rPr>
                <w:sz w:val="20"/>
                <w:szCs w:val="20"/>
                <w:color w:val="auto"/>
              </w:rPr>
            </w:pPr>
            <w:r>
              <w:rPr>
                <w:rFonts w:ascii="Arial" w:cs="Arial" w:eastAsia="Arial" w:hAnsi="Arial"/>
                <w:sz w:val="15"/>
                <w:szCs w:val="15"/>
                <w:b w:val="1"/>
                <w:bCs w:val="1"/>
                <w:color w:val="auto"/>
                <w:w w:val="89"/>
              </w:rPr>
              <w:t>2018</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center"/>
              <w:ind w:right="318"/>
              <w:spacing w:after="0"/>
              <w:rPr>
                <w:sz w:val="20"/>
                <w:szCs w:val="20"/>
                <w:color w:val="auto"/>
              </w:rPr>
            </w:pPr>
            <w:r>
              <w:rPr>
                <w:rFonts w:ascii="Arial" w:cs="Arial" w:eastAsia="Arial" w:hAnsi="Arial"/>
                <w:sz w:val="15"/>
                <w:szCs w:val="15"/>
                <w:b w:val="1"/>
                <w:bCs w:val="1"/>
                <w:color w:val="auto"/>
                <w:w w:val="88"/>
              </w:rPr>
              <w:t>(Decrease)</w:t>
            </w:r>
          </w:p>
        </w:tc>
      </w:tr>
      <w:tr>
        <w:trPr>
          <w:trHeight w:val="31"/>
        </w:trPr>
        <w:tc>
          <w:tcPr>
            <w:tcW w:w="49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1400" w:type="dxa"/>
            <w:vAlign w:val="bottom"/>
            <w:tcBorders>
              <w:bottom w:val="single" w:sz="8" w:color="CCEEFF"/>
            </w:tcBorders>
            <w:gridSpan w:val="2"/>
            <w:shd w:val="clear" w:color="auto" w:fill="CCEEFF"/>
          </w:tcPr>
          <w:p>
            <w:pPr>
              <w:jc w:val="right"/>
              <w:ind w:right="130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5,794</w:t>
            </w:r>
          </w:p>
        </w:tc>
        <w:tc>
          <w:tcPr>
            <w:tcW w:w="1500" w:type="dxa"/>
            <w:vAlign w:val="bottom"/>
            <w:tcBorders>
              <w:bottom w:val="single" w:sz="8" w:color="CCEEFF"/>
            </w:tcBorders>
            <w:gridSpan w:val="5"/>
            <w:shd w:val="clear" w:color="auto" w:fill="CCEEFF"/>
          </w:tcPr>
          <w:p>
            <w:pPr>
              <w:jc w:val="right"/>
              <w:ind w:right="12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4,225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1,569</w:t>
            </w:r>
          </w:p>
        </w:tc>
      </w:tr>
      <w:tr>
        <w:trPr>
          <w:trHeight w:val="228"/>
        </w:trPr>
        <w:tc>
          <w:tcPr>
            <w:tcW w:w="498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ind w:right="75"/>
              <w:spacing w:after="0"/>
              <w:rPr>
                <w:sz w:val="20"/>
                <w:szCs w:val="20"/>
                <w:color w:val="auto"/>
              </w:rPr>
            </w:pPr>
            <w:r>
              <w:rPr>
                <w:rFonts w:ascii="Arial" w:cs="Arial" w:eastAsia="Arial" w:hAnsi="Arial"/>
                <w:sz w:val="17"/>
                <w:szCs w:val="17"/>
                <w:color w:val="auto"/>
              </w:rPr>
              <w:t>69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ind w:right="95"/>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7"/>
        </w:trPr>
        <w:tc>
          <w:tcPr>
            <w:tcW w:w="49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3"/>
        </w:trPr>
        <w:tc>
          <w:tcPr>
            <w:tcW w:w="49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300"/>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5,863</w:t>
            </w:r>
          </w:p>
        </w:tc>
        <w:tc>
          <w:tcPr>
            <w:tcW w:w="1500" w:type="dxa"/>
            <w:vAlign w:val="bottom"/>
            <w:tcBorders>
              <w:bottom w:val="single" w:sz="8" w:color="CCEEFF"/>
            </w:tcBorders>
            <w:gridSpan w:val="5"/>
            <w:shd w:val="clear" w:color="auto" w:fill="CCEEFF"/>
          </w:tcPr>
          <w:p>
            <w:pPr>
              <w:jc w:val="right"/>
              <w:ind w:right="12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4,380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1,483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r>
        <w:trPr>
          <w:trHeight w:val="207"/>
        </w:trPr>
        <w:tc>
          <w:tcPr>
            <w:tcW w:w="4980" w:type="dxa"/>
            <w:vAlign w:val="bottom"/>
          </w:tcPr>
          <w:p>
            <w:pPr>
              <w:ind w:left="20"/>
              <w:spacing w:after="0"/>
              <w:rPr>
                <w:sz w:val="20"/>
                <w:szCs w:val="20"/>
                <w:color w:val="auto"/>
              </w:rPr>
            </w:pPr>
            <w:r>
              <w:rPr>
                <w:rFonts w:ascii="Arial" w:cs="Arial" w:eastAsia="Arial" w:hAnsi="Arial"/>
                <w:sz w:val="17"/>
                <w:szCs w:val="17"/>
                <w:color w:val="auto"/>
              </w:rPr>
              <w:t>Percentage of total assets</w:t>
            </w: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366"/>
        </w:trPr>
        <w:tc>
          <w:tcPr>
            <w:tcW w:w="4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00" w:type="dxa"/>
            <w:vAlign w:val="bottom"/>
            <w:gridSpan w:val="6"/>
          </w:tcPr>
          <w:p>
            <w:pPr>
              <w:jc w:val="center"/>
              <w:spacing w:after="0"/>
              <w:rPr>
                <w:sz w:val="20"/>
                <w:szCs w:val="20"/>
                <w:color w:val="auto"/>
              </w:rPr>
            </w:pPr>
            <w:r>
              <w:rPr>
                <w:rFonts w:ascii="Arial" w:cs="Arial" w:eastAsia="Arial" w:hAnsi="Arial"/>
                <w:sz w:val="15"/>
                <w:szCs w:val="15"/>
                <w:b w:val="1"/>
                <w:bCs w:val="1"/>
                <w:color w:val="auto"/>
                <w:w w:val="92"/>
              </w:rPr>
              <w:t>For the Years Ended December 31,</w:t>
            </w: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1"/>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7"/>
        </w:trPr>
        <w:tc>
          <w:tcPr>
            <w:tcW w:w="4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center"/>
              <w:ind w:right="298"/>
              <w:spacing w:after="0"/>
              <w:rPr>
                <w:sz w:val="20"/>
                <w:szCs w:val="20"/>
                <w:color w:val="auto"/>
              </w:rPr>
            </w:pPr>
            <w:r>
              <w:rPr>
                <w:rFonts w:ascii="Arial" w:cs="Arial" w:eastAsia="Arial" w:hAnsi="Arial"/>
                <w:sz w:val="15"/>
                <w:szCs w:val="15"/>
                <w:b w:val="1"/>
                <w:bCs w:val="1"/>
                <w:color w:val="auto"/>
                <w:w w:val="88"/>
              </w:rPr>
              <w:t>Increase</w:t>
            </w:r>
          </w:p>
        </w:tc>
      </w:tr>
      <w:tr>
        <w:trPr>
          <w:trHeight w:val="198"/>
        </w:trPr>
        <w:tc>
          <w:tcPr>
            <w:tcW w:w="4980" w:type="dxa"/>
            <w:vAlign w:val="bottom"/>
          </w:tcPr>
          <w:p>
            <w:pPr>
              <w:spacing w:after="0"/>
              <w:rPr>
                <w:sz w:val="17"/>
                <w:szCs w:val="17"/>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2019</w:t>
            </w:r>
          </w:p>
        </w:tc>
        <w:tc>
          <w:tcPr>
            <w:tcW w:w="680" w:type="dxa"/>
            <w:vAlign w:val="bottom"/>
          </w:tcPr>
          <w:p>
            <w:pPr>
              <w:spacing w:after="0"/>
              <w:rPr>
                <w:sz w:val="17"/>
                <w:szCs w:val="17"/>
                <w:color w:val="auto"/>
              </w:rPr>
            </w:pPr>
          </w:p>
        </w:tc>
        <w:tc>
          <w:tcPr>
            <w:tcW w:w="1500" w:type="dxa"/>
            <w:vAlign w:val="bottom"/>
            <w:gridSpan w:val="5"/>
          </w:tcPr>
          <w:p>
            <w:pPr>
              <w:jc w:val="center"/>
              <w:ind w:left="819"/>
              <w:spacing w:after="0"/>
              <w:rPr>
                <w:sz w:val="20"/>
                <w:szCs w:val="20"/>
                <w:color w:val="auto"/>
              </w:rPr>
            </w:pPr>
            <w:r>
              <w:rPr>
                <w:rFonts w:ascii="Arial" w:cs="Arial" w:eastAsia="Arial" w:hAnsi="Arial"/>
                <w:sz w:val="15"/>
                <w:szCs w:val="15"/>
                <w:b w:val="1"/>
                <w:bCs w:val="1"/>
                <w:color w:val="auto"/>
                <w:w w:val="95"/>
              </w:rPr>
              <w:t>2018</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40" w:type="dxa"/>
            <w:vAlign w:val="bottom"/>
          </w:tcPr>
          <w:p>
            <w:pPr>
              <w:jc w:val="center"/>
              <w:ind w:right="318"/>
              <w:spacing w:after="0"/>
              <w:rPr>
                <w:sz w:val="20"/>
                <w:szCs w:val="20"/>
                <w:color w:val="auto"/>
              </w:rPr>
            </w:pPr>
            <w:r>
              <w:rPr>
                <w:rFonts w:ascii="Arial" w:cs="Arial" w:eastAsia="Arial" w:hAnsi="Arial"/>
                <w:sz w:val="15"/>
                <w:szCs w:val="15"/>
                <w:b w:val="1"/>
                <w:bCs w:val="1"/>
                <w:color w:val="auto"/>
                <w:w w:val="88"/>
              </w:rPr>
              <w:t>(Decrease)</w:t>
            </w:r>
          </w:p>
        </w:tc>
      </w:tr>
      <w:tr>
        <w:trPr>
          <w:trHeight w:val="31"/>
        </w:trPr>
        <w:tc>
          <w:tcPr>
            <w:tcW w:w="4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0" w:type="dxa"/>
            <w:vAlign w:val="bottom"/>
            <w:tcBorders>
              <w:bottom w:val="single" w:sz="8" w:color="CCEEFF"/>
            </w:tcBorders>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1,831</w:t>
            </w:r>
          </w:p>
        </w:tc>
        <w:tc>
          <w:tcPr>
            <w:tcW w:w="1500" w:type="dxa"/>
            <w:vAlign w:val="bottom"/>
            <w:tcBorders>
              <w:bottom w:val="single" w:sz="8" w:color="CCEEFF"/>
            </w:tcBorders>
            <w:gridSpan w:val="5"/>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1,790</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41</w:t>
            </w:r>
          </w:p>
        </w:tc>
      </w:tr>
      <w:tr>
        <w:trPr>
          <w:trHeight w:val="228"/>
        </w:trPr>
        <w:tc>
          <w:tcPr>
            <w:tcW w:w="498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color w:val="auto"/>
              </w:rPr>
              <w:t>208</w:t>
            </w:r>
          </w:p>
        </w:tc>
      </w:tr>
      <w:tr>
        <w:trPr>
          <w:trHeight w:val="27"/>
        </w:trPr>
        <w:tc>
          <w:tcPr>
            <w:tcW w:w="4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35"/>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financing activities</w:t>
            </w:r>
          </w:p>
        </w:tc>
        <w:tc>
          <w:tcPr>
            <w:tcW w:w="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(237)</w:t>
            </w: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1,783</w:t>
            </w:r>
          </w:p>
        </w:tc>
      </w:tr>
      <w:tr>
        <w:trPr>
          <w:trHeight w:val="228"/>
        </w:trPr>
        <w:tc>
          <w:tcPr>
            <w:tcW w:w="4980" w:type="dxa"/>
            <w:vAlign w:val="bottom"/>
          </w:tcPr>
          <w:p>
            <w:pPr>
              <w:ind w:left="20"/>
              <w:spacing w:after="0"/>
              <w:rPr>
                <w:sz w:val="20"/>
                <w:szCs w:val="20"/>
                <w:color w:val="auto"/>
              </w:rPr>
            </w:pPr>
            <w:r>
              <w:rPr>
                <w:rFonts w:ascii="Arial" w:cs="Arial" w:eastAsia="Arial" w:hAnsi="Arial"/>
                <w:sz w:val="17"/>
                <w:szCs w:val="17"/>
                <w:color w:val="auto"/>
              </w:rPr>
              <w:t>Effect of foreign exchange rate changes</w:t>
            </w:r>
          </w:p>
        </w:tc>
        <w:tc>
          <w:tcPr>
            <w:tcW w:w="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ind w:right="18"/>
              <w:spacing w:after="0"/>
              <w:rPr>
                <w:sz w:val="20"/>
                <w:szCs w:val="20"/>
                <w:color w:val="auto"/>
              </w:rPr>
            </w:pPr>
            <w:r>
              <w:rPr>
                <w:rFonts w:ascii="Arial" w:cs="Arial" w:eastAsia="Arial" w:hAnsi="Arial"/>
                <w:sz w:val="17"/>
                <w:szCs w:val="17"/>
                <w:color w:val="auto"/>
              </w:rPr>
              <w:t>28</w:t>
            </w:r>
          </w:p>
        </w:tc>
      </w:tr>
      <w:tr>
        <w:trPr>
          <w:trHeight w:val="27"/>
        </w:trPr>
        <w:tc>
          <w:tcPr>
            <w:tcW w:w="4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1"/>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9"/>
              </w:rPr>
              <w:t>Net increase (decrease) in cash and cash equivalents and restricted cash</w:t>
            </w:r>
          </w:p>
        </w:tc>
        <w:tc>
          <w:tcPr>
            <w:tcW w:w="140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1,569</w:t>
            </w:r>
          </w:p>
        </w:tc>
        <w:tc>
          <w:tcPr>
            <w:tcW w:w="1500" w:type="dxa"/>
            <w:vAlign w:val="bottom"/>
            <w:gridSpan w:val="5"/>
            <w:shd w:val="clear" w:color="auto" w:fill="CCEEFF"/>
          </w:tcPr>
          <w:p>
            <w:pPr>
              <w:jc w:val="right"/>
              <w:ind w:right="1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2,060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213" w:lineRule="exact"/>
        <w:rPr>
          <w:sz w:val="20"/>
          <w:szCs w:val="20"/>
          <w:color w:val="auto"/>
        </w:rPr>
      </w:pPr>
    </w:p>
    <w:p>
      <w:pPr>
        <w:ind w:right="80" w:firstLine="382"/>
        <w:spacing w:after="0" w:line="258" w:lineRule="auto"/>
        <w:rPr>
          <w:sz w:val="20"/>
          <w:szCs w:val="20"/>
          <w:color w:val="auto"/>
        </w:rPr>
      </w:pPr>
      <w:r>
        <w:rPr>
          <w:rFonts w:ascii="Arial" w:cs="Arial" w:eastAsia="Arial" w:hAnsi="Arial"/>
          <w:sz w:val="17"/>
          <w:szCs w:val="17"/>
          <w:color w:val="auto"/>
        </w:rPr>
        <w:t>The primary driver of net cash flows associated with our operating activities is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Net cash provided by operating activities for 2019 was $1.83 billion, as compared to $1.79 billion for 2018. The increase was primarily due to:</w:t>
      </w:r>
    </w:p>
    <w:p>
      <w:pPr>
        <w:spacing w:after="0" w:line="213" w:lineRule="exact"/>
        <w:rPr>
          <w:sz w:val="20"/>
          <w:szCs w:val="20"/>
          <w:color w:val="auto"/>
        </w:rPr>
      </w:pPr>
    </w:p>
    <w:p>
      <w:pPr>
        <w:ind w:left="920" w:hanging="306"/>
        <w:spacing w:after="0"/>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lower tax payments, primarily due to payments for a tax settlement in the U.S. in 2018 with no comparable activity in 2019; and</w:t>
      </w:r>
    </w:p>
    <w:p>
      <w:pPr>
        <w:spacing w:after="0" w:line="212" w:lineRule="exact"/>
        <w:rPr>
          <w:rFonts w:ascii="Arial" w:cs="Arial" w:eastAsia="Arial" w:hAnsi="Arial"/>
          <w:sz w:val="17"/>
          <w:szCs w:val="17"/>
          <w:color w:val="auto"/>
        </w:rPr>
      </w:pPr>
    </w:p>
    <w:p>
      <w:pPr>
        <w:ind w:left="920" w:right="340" w:hanging="306"/>
        <w:spacing w:after="0" w:line="274" w:lineRule="auto"/>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our working capital resulting from the timing of collections and payments, in addition to lower cash spent to support the Destiny franchise (reflecting our sale of the publishing rights for Destiny to Bungie in December 2018).</w:t>
      </w:r>
    </w:p>
    <w:p>
      <w:pPr>
        <w:spacing w:after="0" w:line="166" w:lineRule="exact"/>
        <w:rPr>
          <w:sz w:val="20"/>
          <w:szCs w:val="20"/>
          <w:color w:val="auto"/>
        </w:rPr>
      </w:pPr>
    </w:p>
    <w:p>
      <w:pPr>
        <w:jc w:val="both"/>
        <w:ind w:right="100" w:firstLine="382"/>
        <w:spacing w:after="0" w:line="343" w:lineRule="auto"/>
        <w:rPr>
          <w:sz w:val="20"/>
          <w:szCs w:val="20"/>
          <w:color w:val="auto"/>
        </w:rPr>
      </w:pPr>
      <w:r>
        <w:rPr>
          <w:rFonts w:ascii="Arial" w:cs="Arial" w:eastAsia="Arial" w:hAnsi="Arial"/>
          <w:sz w:val="15"/>
          <w:szCs w:val="15"/>
          <w:color w:val="auto"/>
        </w:rPr>
        <w:t>The increase was partially offset by lower net income in 2019 as compared to 2018 and a decrease in non-cash adjustments to net income, primarily due to lower amortization of intangible assets related to the acquisition of King and lower amortization of capitalized software development costs and intellectual property licenses.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127"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213" w:lineRule="exact"/>
        <w:rPr>
          <w:sz w:val="20"/>
          <w:szCs w:val="20"/>
          <w:color w:val="auto"/>
        </w:rPr>
      </w:pPr>
    </w:p>
    <w:p>
      <w:pPr>
        <w:ind w:right="120" w:firstLine="459"/>
        <w:spacing w:after="0" w:line="274" w:lineRule="auto"/>
        <w:rPr>
          <w:sz w:val="20"/>
          <w:szCs w:val="20"/>
          <w:color w:val="auto"/>
        </w:rPr>
      </w:pPr>
      <w:r>
        <w:rPr>
          <w:rFonts w:ascii="Arial" w:cs="Arial" w:eastAsia="Arial" w:hAnsi="Arial"/>
          <w:sz w:val="17"/>
          <w:szCs w:val="17"/>
          <w:color w:val="auto"/>
        </w:rPr>
        <w:t>The primary drivers of net cash flows associated with investing activities typically include capital expenditures, purchases and sales of investments, changes in restricted cash balances, and cash used for acquisitions.</w:t>
      </w:r>
    </w:p>
    <w:p>
      <w:pPr>
        <w:spacing w:after="0" w:line="166" w:lineRule="exact"/>
        <w:rPr>
          <w:sz w:val="20"/>
          <w:szCs w:val="20"/>
          <w:color w:val="auto"/>
        </w:rPr>
      </w:pPr>
    </w:p>
    <w:p>
      <w:pPr>
        <w:ind w:right="260" w:firstLine="382"/>
        <w:spacing w:after="0" w:line="274" w:lineRule="auto"/>
        <w:rPr>
          <w:sz w:val="20"/>
          <w:szCs w:val="20"/>
          <w:color w:val="auto"/>
        </w:rPr>
      </w:pPr>
      <w:r>
        <w:rPr>
          <w:rFonts w:ascii="Arial" w:cs="Arial" w:eastAsia="Arial" w:hAnsi="Arial"/>
          <w:sz w:val="17"/>
          <w:szCs w:val="17"/>
          <w:color w:val="auto"/>
        </w:rPr>
        <w:t>Net cash used in investing activities for 2019 was $22 million, as compared to $230 million for 2018. The decrease in the cash used in investing activities was primarily due to:</w:t>
      </w:r>
    </w:p>
    <w:p>
      <w:pPr>
        <w:spacing w:after="0" w:line="166" w:lineRule="exact"/>
        <w:rPr>
          <w:sz w:val="20"/>
          <w:szCs w:val="20"/>
          <w:color w:val="auto"/>
        </w:rPr>
      </w:pPr>
    </w:p>
    <w:p>
      <w:pPr>
        <w:ind w:left="920" w:hanging="306"/>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lower purchases of available-for-sale investments, with $65 million of purchases in 2019, as compared to $209 million in 2018;</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higher proceeds from maturities of available-for-sale investments, with $153 million of proceeds in 2019, as compared to $116 million in 2018; and</w:t>
      </w:r>
    </w:p>
    <w:p>
      <w:pPr>
        <w:spacing w:after="0" w:line="224" w:lineRule="exact"/>
        <w:rPr>
          <w:rFonts w:ascii="Arial" w:cs="Arial" w:eastAsia="Arial" w:hAnsi="Arial"/>
          <w:sz w:val="16"/>
          <w:szCs w:val="16"/>
          <w:color w:val="auto"/>
        </w:rPr>
      </w:pPr>
    </w:p>
    <w:p>
      <w:pPr>
        <w:ind w:left="920" w:hanging="306"/>
        <w:spacing w:after="0"/>
        <w:tabs>
          <w:tab w:leader="none" w:pos="9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lower capital expenditures, with $116 million of expenditures in 2019, as compared to $131 million in 2018.</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213" w:lineRule="exact"/>
        <w:rPr>
          <w:sz w:val="20"/>
          <w:szCs w:val="20"/>
          <w:color w:val="auto"/>
        </w:rPr>
      </w:pPr>
    </w:p>
    <w:p>
      <w:pPr>
        <w:ind w:firstLine="382"/>
        <w:spacing w:after="0" w:line="262" w:lineRule="auto"/>
        <w:rPr>
          <w:sz w:val="20"/>
          <w:szCs w:val="20"/>
          <w:color w:val="auto"/>
        </w:rPr>
      </w:pPr>
      <w:r>
        <w:rPr>
          <w:rFonts w:ascii="Arial" w:cs="Arial" w:eastAsia="Arial" w:hAnsi="Arial"/>
          <w:sz w:val="17"/>
          <w:szCs w:val="17"/>
          <w:color w:val="auto"/>
        </w:rPr>
        <w:t>The primary drivers of net cash flows associated with financing activities typically include the proceeds from, and repayments of, our long-term debt and transactions involving our common stock, including the issuance of shares of common stock to employees upon the exercise of stock options, as well as the payment of dividends.</w:t>
      </w:r>
    </w:p>
    <w:p>
      <w:pPr>
        <w:spacing w:after="0" w:line="176" w:lineRule="exact"/>
        <w:rPr>
          <w:sz w:val="20"/>
          <w:szCs w:val="20"/>
          <w:color w:val="auto"/>
        </w:rPr>
      </w:pPr>
    </w:p>
    <w:p>
      <w:pPr>
        <w:ind w:right="80" w:firstLine="382"/>
        <w:spacing w:after="0" w:line="303" w:lineRule="auto"/>
        <w:rPr>
          <w:sz w:val="20"/>
          <w:szCs w:val="20"/>
          <w:color w:val="auto"/>
        </w:rPr>
      </w:pPr>
      <w:r>
        <w:rPr>
          <w:rFonts w:ascii="Arial" w:cs="Arial" w:eastAsia="Arial" w:hAnsi="Arial"/>
          <w:sz w:val="15"/>
          <w:szCs w:val="15"/>
          <w:color w:val="auto"/>
        </w:rPr>
        <w:t>Net cash used in financing activities for 2019 was $237 million, as compared to $2.0 billion for 2018. The decrease was primarily due to debt repayments, inclusive of premium payments, of $1.8 billion made in 2018, with no comparable repayment activity in 2019. The decrease in cash used in financing activities was further impacted by lower tax payments made for net share settlements on restricted stock units, with $59 million of payments in 2019, as compared to $94 million for 2018. These decreases were partially offset by higher dividends paid, with $283 million of dividend payments in 2019, as compared to $259 million for 2018.</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 of Foreign Exchange Rate Changes</w:t>
      </w:r>
    </w:p>
    <w:p>
      <w:pPr>
        <w:spacing w:after="0" w:line="213" w:lineRule="exact"/>
        <w:rPr>
          <w:sz w:val="20"/>
          <w:szCs w:val="20"/>
          <w:color w:val="auto"/>
        </w:rPr>
      </w:pPr>
    </w:p>
    <w:p>
      <w:pPr>
        <w:ind w:right="80" w:firstLine="408"/>
        <w:spacing w:after="0" w:line="307" w:lineRule="auto"/>
        <w:rPr>
          <w:sz w:val="20"/>
          <w:szCs w:val="20"/>
          <w:color w:val="auto"/>
        </w:rPr>
      </w:pPr>
      <w:r>
        <w:rPr>
          <w:rFonts w:ascii="Arial" w:cs="Arial" w:eastAsia="Arial" w:hAnsi="Arial"/>
          <w:sz w:val="16"/>
          <w:szCs w:val="16"/>
          <w:color w:val="auto"/>
        </w:rPr>
        <w:t>Changes in foreign exchange rates had a negative impact of $3 million and $31 million on our cash and cash equivalents for the years ended December 31, 2019 and 2018, respectively. The change is primarily due to changes in the value of the U.S. dollar relative to the euro and British pound.</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At both December 31, 2019 and December 31, 2018, our total outstanding debt was $2.7 billion, bearing interest at a weighted average rate of 3.18%.</w:t>
      </w:r>
    </w:p>
    <w:p>
      <w:pPr>
        <w:spacing w:after="0" w:line="22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as of December 31, 2019, is as follows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 2019</w:t>
            </w: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44"/>
        </w:trPr>
        <w:tc>
          <w:tcPr>
            <w:tcW w:w="5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Unamortized</w:t>
            </w: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0"/>
        </w:trPr>
        <w:tc>
          <w:tcPr>
            <w:tcW w:w="5360" w:type="dxa"/>
            <w:vAlign w:val="bottom"/>
          </w:tcPr>
          <w:p>
            <w:pPr>
              <w:spacing w:after="0"/>
              <w:rPr>
                <w:sz w:val="12"/>
                <w:szCs w:val="12"/>
                <w:color w:val="auto"/>
              </w:rPr>
            </w:pPr>
          </w:p>
        </w:tc>
        <w:tc>
          <w:tcPr>
            <w:tcW w:w="14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Gross Carrying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Discount and Deferred</w:t>
            </w:r>
          </w:p>
        </w:tc>
        <w:tc>
          <w:tcPr>
            <w:tcW w:w="340" w:type="dxa"/>
            <w:vAlign w:val="bottom"/>
          </w:tcPr>
          <w:p>
            <w:pPr>
              <w:spacing w:after="0"/>
              <w:rPr>
                <w:sz w:val="12"/>
                <w:szCs w:val="12"/>
                <w:color w:val="auto"/>
              </w:rPr>
            </w:pPr>
          </w:p>
        </w:tc>
        <w:tc>
          <w:tcPr>
            <w:tcW w:w="1580" w:type="dxa"/>
            <w:vAlign w:val="bottom"/>
          </w:tcPr>
          <w:p>
            <w:pPr>
              <w:jc w:val="right"/>
              <w:ind w:right="499"/>
              <w:spacing w:after="0" w:line="141" w:lineRule="exact"/>
              <w:rPr>
                <w:sz w:val="20"/>
                <w:szCs w:val="20"/>
                <w:color w:val="auto"/>
              </w:rPr>
            </w:pPr>
            <w:r>
              <w:rPr>
                <w:rFonts w:ascii="Arial" w:cs="Arial" w:eastAsia="Arial" w:hAnsi="Arial"/>
                <w:sz w:val="14"/>
                <w:szCs w:val="14"/>
                <w:b w:val="1"/>
                <w:bCs w:val="1"/>
                <w:color w:val="auto"/>
              </w:rPr>
              <w:t>Net Carrying</w:t>
            </w:r>
          </w:p>
        </w:tc>
      </w:tr>
      <w:tr>
        <w:trPr>
          <w:trHeight w:val="181"/>
        </w:trPr>
        <w:tc>
          <w:tcPr>
            <w:tcW w:w="5360" w:type="dxa"/>
            <w:vAlign w:val="bottom"/>
          </w:tcPr>
          <w:p>
            <w:pPr>
              <w:spacing w:after="0"/>
              <w:rPr>
                <w:sz w:val="15"/>
                <w:szCs w:val="15"/>
                <w:color w:val="auto"/>
              </w:rPr>
            </w:pPr>
          </w:p>
        </w:tc>
        <w:tc>
          <w:tcPr>
            <w:tcW w:w="1460" w:type="dxa"/>
            <w:vAlign w:val="bottom"/>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Financing Costs</w:t>
            </w:r>
          </w:p>
        </w:tc>
        <w:tc>
          <w:tcPr>
            <w:tcW w:w="340" w:type="dxa"/>
            <w:vAlign w:val="bottom"/>
          </w:tcPr>
          <w:p>
            <w:pPr>
              <w:spacing w:after="0"/>
              <w:rPr>
                <w:sz w:val="15"/>
                <w:szCs w:val="15"/>
                <w:color w:val="auto"/>
              </w:rPr>
            </w:pPr>
          </w:p>
        </w:tc>
        <w:tc>
          <w:tcPr>
            <w:tcW w:w="1580" w:type="dxa"/>
            <w:vAlign w:val="bottom"/>
          </w:tcPr>
          <w:p>
            <w:pPr>
              <w:jc w:val="right"/>
              <w:ind w:right="639"/>
              <w:spacing w:after="0"/>
              <w:rPr>
                <w:sz w:val="20"/>
                <w:szCs w:val="20"/>
                <w:color w:val="auto"/>
              </w:rPr>
            </w:pPr>
            <w:r>
              <w:rPr>
                <w:rFonts w:ascii="Arial" w:cs="Arial" w:eastAsia="Arial" w:hAnsi="Arial"/>
                <w:sz w:val="14"/>
                <w:szCs w:val="14"/>
                <w:b w:val="1"/>
                <w:bCs w:val="1"/>
                <w:color w:val="auto"/>
              </w:rPr>
              <w:t>Amount</w:t>
            </w:r>
          </w:p>
        </w:tc>
      </w:tr>
      <w:tr>
        <w:trPr>
          <w:trHeight w:val="233"/>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Notes</w:t>
            </w:r>
          </w:p>
        </w:tc>
        <w:tc>
          <w:tcPr>
            <w:tcW w:w="1460" w:type="dxa"/>
            <w:vAlign w:val="bottom"/>
            <w:tcBorders>
              <w:top w:val="single" w:sz="8" w:color="auto"/>
              <w:bottom w:val="single" w:sz="8" w:color="CCEEFF"/>
            </w:tcBorders>
            <w:shd w:val="clear" w:color="auto" w:fill="CCEEFF"/>
          </w:tcPr>
          <w:p>
            <w:pPr>
              <w:jc w:val="right"/>
              <w:ind w:right="1262"/>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648</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2022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398</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843</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395</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2047 Notes</w:t>
            </w:r>
          </w:p>
        </w:tc>
        <w:tc>
          <w:tcPr>
            <w:tcW w:w="14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391</w:t>
            </w:r>
          </w:p>
        </w:tc>
      </w:tr>
      <w:tr>
        <w:trPr>
          <w:trHeight w:val="241"/>
        </w:trPr>
        <w:tc>
          <w:tcPr>
            <w:tcW w:w="536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460" w:type="dxa"/>
            <w:vAlign w:val="bottom"/>
            <w:tcBorders>
              <w:top w:val="single" w:sz="8" w:color="auto"/>
              <w:bottom w:val="single" w:sz="8" w:color="auto"/>
            </w:tcBorders>
          </w:tcPr>
          <w:p>
            <w:pPr>
              <w:jc w:val="right"/>
              <w:ind w:right="1262"/>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2,700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2,675</w:t>
            </w:r>
          </w:p>
        </w:tc>
      </w:tr>
      <w:tr>
        <w:trPr>
          <w:trHeight w:val="20"/>
        </w:trPr>
        <w:tc>
          <w:tcPr>
            <w:tcW w:w="5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96"/>
        </w:trPr>
        <w:tc>
          <w:tcPr>
            <w:tcW w:w="5360" w:type="dxa"/>
            <w:vAlign w:val="bottom"/>
          </w:tcPr>
          <w:p>
            <w:pPr>
              <w:spacing w:after="0"/>
              <w:rPr>
                <w:sz w:val="24"/>
                <w:szCs w:val="24"/>
                <w:color w:val="auto"/>
              </w:rPr>
            </w:pPr>
          </w:p>
        </w:tc>
        <w:tc>
          <w:tcPr>
            <w:tcW w:w="1460" w:type="dxa"/>
            <w:vAlign w:val="bottom"/>
          </w:tcPr>
          <w:p>
            <w:pPr>
              <w:jc w:val="right"/>
              <w:ind w:right="942"/>
              <w:spacing w:after="0"/>
              <w:rPr>
                <w:sz w:val="20"/>
                <w:szCs w:val="20"/>
                <w:color w:val="auto"/>
              </w:rPr>
            </w:pPr>
            <w:r>
              <w:rPr>
                <w:rFonts w:ascii="Arial" w:cs="Arial" w:eastAsia="Arial" w:hAnsi="Arial"/>
                <w:sz w:val="17"/>
                <w:szCs w:val="17"/>
                <w:color w:val="auto"/>
              </w:rPr>
              <w:t>51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our outstanding debt as of December 31, 2018, is as follows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December 31, 2018</w:t>
            </w: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44"/>
        </w:trPr>
        <w:tc>
          <w:tcPr>
            <w:tcW w:w="5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Unamortized</w:t>
            </w: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0"/>
        </w:trPr>
        <w:tc>
          <w:tcPr>
            <w:tcW w:w="5380" w:type="dxa"/>
            <w:vAlign w:val="bottom"/>
          </w:tcPr>
          <w:p>
            <w:pPr>
              <w:spacing w:after="0"/>
              <w:rPr>
                <w:sz w:val="12"/>
                <w:szCs w:val="12"/>
                <w:color w:val="auto"/>
              </w:rPr>
            </w:pPr>
          </w:p>
        </w:tc>
        <w:tc>
          <w:tcPr>
            <w:tcW w:w="1460" w:type="dxa"/>
            <w:vAlign w:val="bottom"/>
          </w:tcPr>
          <w:p>
            <w:pPr>
              <w:jc w:val="center"/>
              <w:ind w:left="446"/>
              <w:spacing w:after="0" w:line="141" w:lineRule="exact"/>
              <w:rPr>
                <w:sz w:val="20"/>
                <w:szCs w:val="20"/>
                <w:color w:val="auto"/>
              </w:rPr>
            </w:pPr>
            <w:r>
              <w:rPr>
                <w:rFonts w:ascii="Arial" w:cs="Arial" w:eastAsia="Arial" w:hAnsi="Arial"/>
                <w:sz w:val="14"/>
                <w:szCs w:val="14"/>
                <w:b w:val="1"/>
                <w:bCs w:val="1"/>
                <w:color w:val="auto"/>
                <w:w w:val="88"/>
              </w:rPr>
              <w:t>Gross Carrying</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Discount and Deferred</w:t>
            </w:r>
          </w:p>
        </w:tc>
        <w:tc>
          <w:tcPr>
            <w:tcW w:w="340" w:type="dxa"/>
            <w:vAlign w:val="bottom"/>
          </w:tcPr>
          <w:p>
            <w:pPr>
              <w:spacing w:after="0"/>
              <w:rPr>
                <w:sz w:val="12"/>
                <w:szCs w:val="12"/>
                <w:color w:val="auto"/>
              </w:rPr>
            </w:pPr>
          </w:p>
        </w:tc>
        <w:tc>
          <w:tcPr>
            <w:tcW w:w="1580" w:type="dxa"/>
            <w:vAlign w:val="bottom"/>
          </w:tcPr>
          <w:p>
            <w:pPr>
              <w:jc w:val="right"/>
              <w:ind w:right="479"/>
              <w:spacing w:after="0" w:line="141" w:lineRule="exact"/>
              <w:rPr>
                <w:sz w:val="20"/>
                <w:szCs w:val="20"/>
                <w:color w:val="auto"/>
              </w:rPr>
            </w:pPr>
            <w:r>
              <w:rPr>
                <w:rFonts w:ascii="Arial" w:cs="Arial" w:eastAsia="Arial" w:hAnsi="Arial"/>
                <w:sz w:val="14"/>
                <w:szCs w:val="14"/>
                <w:b w:val="1"/>
                <w:bCs w:val="1"/>
                <w:color w:val="auto"/>
              </w:rPr>
              <w:t>Net Carrying</w:t>
            </w:r>
          </w:p>
        </w:tc>
      </w:tr>
      <w:tr>
        <w:trPr>
          <w:trHeight w:val="181"/>
        </w:trPr>
        <w:tc>
          <w:tcPr>
            <w:tcW w:w="5380" w:type="dxa"/>
            <w:vAlign w:val="bottom"/>
          </w:tcPr>
          <w:p>
            <w:pPr>
              <w:spacing w:after="0"/>
              <w:rPr>
                <w:sz w:val="15"/>
                <w:szCs w:val="15"/>
                <w:color w:val="auto"/>
              </w:rPr>
            </w:pPr>
          </w:p>
        </w:tc>
        <w:tc>
          <w:tcPr>
            <w:tcW w:w="1460" w:type="dxa"/>
            <w:vAlign w:val="bottom"/>
          </w:tcPr>
          <w:p>
            <w:pPr>
              <w:jc w:val="center"/>
              <w:ind w:left="426"/>
              <w:spacing w:after="0"/>
              <w:rPr>
                <w:sz w:val="20"/>
                <w:szCs w:val="20"/>
                <w:color w:val="auto"/>
              </w:rPr>
            </w:pPr>
            <w:r>
              <w:rPr>
                <w:rFonts w:ascii="Arial" w:cs="Arial" w:eastAsia="Arial" w:hAnsi="Arial"/>
                <w:sz w:val="14"/>
                <w:szCs w:val="14"/>
                <w:b w:val="1"/>
                <w:bCs w:val="1"/>
                <w:color w:val="auto"/>
                <w:w w:val="90"/>
              </w:rPr>
              <w:t>Amount</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Financing Costs</w:t>
            </w:r>
          </w:p>
        </w:tc>
        <w:tc>
          <w:tcPr>
            <w:tcW w:w="340" w:type="dxa"/>
            <w:vAlign w:val="bottom"/>
          </w:tcPr>
          <w:p>
            <w:pPr>
              <w:spacing w:after="0"/>
              <w:rPr>
                <w:sz w:val="15"/>
                <w:szCs w:val="15"/>
                <w:color w:val="auto"/>
              </w:rPr>
            </w:pPr>
          </w:p>
        </w:tc>
        <w:tc>
          <w:tcPr>
            <w:tcW w:w="1580" w:type="dxa"/>
            <w:vAlign w:val="bottom"/>
          </w:tcPr>
          <w:p>
            <w:pPr>
              <w:jc w:val="right"/>
              <w:ind w:right="639"/>
              <w:spacing w:after="0"/>
              <w:rPr>
                <w:sz w:val="20"/>
                <w:szCs w:val="20"/>
                <w:color w:val="auto"/>
              </w:rPr>
            </w:pPr>
            <w:r>
              <w:rPr>
                <w:rFonts w:ascii="Arial" w:cs="Arial" w:eastAsia="Arial" w:hAnsi="Arial"/>
                <w:sz w:val="14"/>
                <w:szCs w:val="14"/>
                <w:b w:val="1"/>
                <w:bCs w:val="1"/>
                <w:color w:val="auto"/>
              </w:rPr>
              <w:t>Amount</w:t>
            </w:r>
          </w:p>
        </w:tc>
      </w:tr>
      <w:tr>
        <w:trPr>
          <w:trHeight w:val="233"/>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Notes</w:t>
            </w: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647</w:t>
            </w:r>
          </w:p>
        </w:tc>
      </w:tr>
      <w:tr>
        <w:trPr>
          <w:trHeight w:val="228"/>
        </w:trPr>
        <w:tc>
          <w:tcPr>
            <w:tcW w:w="5380" w:type="dxa"/>
            <w:vAlign w:val="bottom"/>
          </w:tcPr>
          <w:p>
            <w:pPr>
              <w:ind w:left="20"/>
              <w:spacing w:after="0"/>
              <w:rPr>
                <w:sz w:val="20"/>
                <w:szCs w:val="20"/>
                <w:color w:val="auto"/>
              </w:rPr>
            </w:pPr>
            <w:r>
              <w:rPr>
                <w:rFonts w:ascii="Arial" w:cs="Arial" w:eastAsia="Arial" w:hAnsi="Arial"/>
                <w:sz w:val="17"/>
                <w:szCs w:val="17"/>
                <w:color w:val="auto"/>
              </w:rPr>
              <w:t>2022 Notes</w:t>
            </w:r>
          </w:p>
        </w:tc>
        <w:tc>
          <w:tcPr>
            <w:tcW w:w="146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397</w:t>
            </w:r>
          </w:p>
        </w:tc>
      </w:tr>
      <w:tr>
        <w:trPr>
          <w:trHeight w:val="27"/>
        </w:trPr>
        <w:tc>
          <w:tcPr>
            <w:tcW w:w="5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4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850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842</w:t>
            </w:r>
          </w:p>
        </w:tc>
      </w:tr>
      <w:tr>
        <w:trPr>
          <w:trHeight w:val="228"/>
        </w:trPr>
        <w:tc>
          <w:tcPr>
            <w:tcW w:w="538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460" w:type="dxa"/>
            <w:vAlign w:val="bottom"/>
          </w:tcPr>
          <w:p>
            <w:pPr>
              <w:spacing w:after="0"/>
              <w:rPr>
                <w:sz w:val="19"/>
                <w:szCs w:val="19"/>
                <w:color w:val="auto"/>
              </w:rPr>
            </w:pPr>
          </w:p>
        </w:tc>
        <w:tc>
          <w:tcPr>
            <w:tcW w:w="500" w:type="dxa"/>
            <w:vAlign w:val="bottom"/>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395</w:t>
            </w:r>
          </w:p>
        </w:tc>
      </w:tr>
      <w:tr>
        <w:trPr>
          <w:trHeight w:val="27"/>
        </w:trPr>
        <w:tc>
          <w:tcPr>
            <w:tcW w:w="5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2047 Notes</w:t>
            </w:r>
          </w:p>
        </w:tc>
        <w:tc>
          <w:tcPr>
            <w:tcW w:w="14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390</w:t>
            </w:r>
          </w:p>
        </w:tc>
      </w:tr>
      <w:tr>
        <w:trPr>
          <w:trHeight w:val="241"/>
        </w:trPr>
        <w:tc>
          <w:tcPr>
            <w:tcW w:w="5380" w:type="dxa"/>
            <w:vAlign w:val="bottom"/>
          </w:tcPr>
          <w:p>
            <w:pPr>
              <w:ind w:left="20"/>
              <w:spacing w:after="0"/>
              <w:rPr>
                <w:sz w:val="20"/>
                <w:szCs w:val="20"/>
                <w:color w:val="auto"/>
              </w:rPr>
            </w:pPr>
            <w:r>
              <w:rPr>
                <w:rFonts w:ascii="Arial" w:cs="Arial" w:eastAsia="Arial" w:hAnsi="Arial"/>
                <w:sz w:val="17"/>
                <w:szCs w:val="17"/>
                <w:color w:val="auto"/>
              </w:rPr>
              <w:t>Total debt</w:t>
            </w:r>
          </w:p>
        </w:tc>
        <w:tc>
          <w:tcPr>
            <w:tcW w:w="1460" w:type="dxa"/>
            <w:vAlign w:val="bottom"/>
            <w:tcBorders>
              <w:top w:val="single" w:sz="8" w:color="auto"/>
              <w:bottom w:val="single" w:sz="8" w:color="auto"/>
            </w:tcBorders>
          </w:tcPr>
          <w:p>
            <w:pPr>
              <w:jc w:val="right"/>
              <w:ind w:right="1266"/>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9"/>
              </w:rPr>
              <w:t>2,700</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2,671</w:t>
            </w:r>
          </w:p>
        </w:tc>
      </w:tr>
      <w:tr>
        <w:trPr>
          <w:trHeight w:val="20"/>
        </w:trPr>
        <w:tc>
          <w:tcPr>
            <w:tcW w:w="53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right="20" w:firstLine="382"/>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97">
        <w:r>
          <w:rPr>
            <w:rFonts w:ascii="Arial" w:cs="Arial" w:eastAsia="Arial" w:hAnsi="Arial"/>
            <w:sz w:val="17"/>
            <w:szCs w:val="17"/>
            <w:u w:val="single" w:color="auto"/>
            <w:color w:val="0000EE"/>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further disclosures regarding our debt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jc w:val="both"/>
        <w:ind w:right="20" w:firstLine="408"/>
        <w:spacing w:after="0" w:line="274" w:lineRule="auto"/>
        <w:rPr>
          <w:sz w:val="20"/>
          <w:szCs w:val="20"/>
          <w:color w:val="auto"/>
        </w:rPr>
      </w:pPr>
      <w:r>
        <w:rPr>
          <w:rFonts w:ascii="Arial" w:cs="Arial" w:eastAsia="Arial" w:hAnsi="Arial"/>
          <w:sz w:val="17"/>
          <w:szCs w:val="17"/>
          <w:color w:val="auto"/>
        </w:rPr>
        <w:t>On February 6, 2020, our Board of Directors declared a cash dividend of $0.41 per common share, payable on May 6, 2020, to shareholders of record at the close of business on April 15, 2020.</w:t>
      </w:r>
    </w:p>
    <w:p>
      <w:pPr>
        <w:spacing w:after="0" w:line="166" w:lineRule="exact"/>
        <w:rPr>
          <w:sz w:val="20"/>
          <w:szCs w:val="20"/>
          <w:color w:val="auto"/>
        </w:rPr>
      </w:pPr>
    </w:p>
    <w:p>
      <w:pPr>
        <w:ind w:right="500" w:firstLine="382"/>
        <w:spacing w:after="0" w:line="274" w:lineRule="auto"/>
        <w:rPr>
          <w:sz w:val="20"/>
          <w:szCs w:val="20"/>
          <w:color w:val="auto"/>
        </w:rPr>
      </w:pPr>
      <w:r>
        <w:rPr>
          <w:rFonts w:ascii="Arial" w:cs="Arial" w:eastAsia="Arial" w:hAnsi="Arial"/>
          <w:sz w:val="17"/>
          <w:szCs w:val="17"/>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13" w:lineRule="exact"/>
        <w:rPr>
          <w:sz w:val="20"/>
          <w:szCs w:val="20"/>
          <w:color w:val="auto"/>
        </w:rPr>
      </w:pPr>
    </w:p>
    <w:p>
      <w:pPr>
        <w:ind w:right="180" w:firstLine="408"/>
        <w:spacing w:after="0" w:line="274" w:lineRule="auto"/>
        <w:rPr>
          <w:sz w:val="20"/>
          <w:szCs w:val="20"/>
          <w:color w:val="auto"/>
        </w:rPr>
      </w:pPr>
      <w:r>
        <w:rPr>
          <w:rFonts w:ascii="Arial" w:cs="Arial" w:eastAsia="Arial" w:hAnsi="Arial"/>
          <w:sz w:val="17"/>
          <w:szCs w:val="17"/>
          <w:color w:val="auto"/>
        </w:rPr>
        <w:t>We made capital expenditures of $116 million in 2019, as compared to $131 million in 2018. In 2020, we anticipate total capital expenditures of approximately $135 million, primarily for computer hardware, leasehold improvements, and software purchases.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213" w:lineRule="exact"/>
        <w:rPr>
          <w:sz w:val="20"/>
          <w:szCs w:val="20"/>
          <w:color w:val="auto"/>
        </w:rPr>
      </w:pPr>
    </w:p>
    <w:p>
      <w:pPr>
        <w:ind w:right="520" w:firstLine="382"/>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Refer to </w:t>
      </w:r>
      <w:hyperlink w:anchor="page121">
        <w:r>
          <w:rPr>
            <w:rFonts w:ascii="Arial" w:cs="Arial" w:eastAsia="Arial" w:hAnsi="Arial"/>
            <w:sz w:val="17"/>
            <w:szCs w:val="17"/>
            <w:u w:val="single" w:color="auto"/>
            <w:color w:val="0000EE"/>
          </w:rPr>
          <w:t>Note 23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 for disclosures regarding our commitments.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2018 to 2017</w:t>
      </w:r>
    </w:p>
    <w:p>
      <w:pPr>
        <w:spacing w:after="0" w:line="217" w:lineRule="exact"/>
        <w:rPr>
          <w:sz w:val="20"/>
          <w:szCs w:val="20"/>
          <w:color w:val="auto"/>
        </w:rPr>
      </w:pPr>
    </w:p>
    <w:p>
      <w:pPr>
        <w:ind w:right="280" w:firstLine="382"/>
        <w:spacing w:after="0" w:line="262" w:lineRule="auto"/>
        <w:rPr>
          <w:sz w:val="20"/>
          <w:szCs w:val="20"/>
          <w:color w:val="auto"/>
        </w:rPr>
      </w:pPr>
      <w:r>
        <w:rPr>
          <w:rFonts w:ascii="Arial" w:cs="Arial" w:eastAsia="Arial" w:hAnsi="Arial"/>
          <w:sz w:val="17"/>
          <w:szCs w:val="17"/>
          <w:color w:val="auto"/>
        </w:rPr>
        <w:t>For the comparison of 2018 to 2017, refer to Part II, Item 7 “Management’s Discussion and Analysis of Financial Condition and Results of Operations” of our Annual Report on Form 10-K for the year ended December 31, 2018, filed with the SEC on February 28, 2019 under the subheading “Liquidity and Capital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7" w:lineRule="exact"/>
        <w:rPr>
          <w:sz w:val="20"/>
          <w:szCs w:val="20"/>
          <w:color w:val="auto"/>
        </w:rPr>
      </w:pPr>
    </w:p>
    <w:p>
      <w:pPr>
        <w:ind w:right="120" w:firstLine="408"/>
        <w:spacing w:after="0" w:line="258" w:lineRule="auto"/>
        <w:rPr>
          <w:sz w:val="20"/>
          <w:szCs w:val="20"/>
          <w:color w:val="auto"/>
        </w:rPr>
      </w:pPr>
      <w:r>
        <w:rPr>
          <w:rFonts w:ascii="Arial" w:cs="Arial" w:eastAsia="Arial" w:hAnsi="Arial"/>
          <w:sz w:val="17"/>
          <w:szCs w:val="17"/>
          <w:color w:val="auto"/>
        </w:rPr>
        <w:t>At December 31, 2019 and 2018,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7" w:lineRule="exact"/>
        <w:rPr>
          <w:sz w:val="20"/>
          <w:szCs w:val="20"/>
          <w:color w:val="auto"/>
        </w:rPr>
      </w:pPr>
    </w:p>
    <w:p>
      <w:pPr>
        <w:ind w:firstLine="408"/>
        <w:spacing w:after="0" w:line="27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Adoption of Accounting Standards Codification 606: Revenue from Contracts with Customers</w:t>
      </w:r>
    </w:p>
    <w:p>
      <w:pPr>
        <w:spacing w:after="0" w:line="213" w:lineRule="exact"/>
        <w:rPr>
          <w:sz w:val="20"/>
          <w:szCs w:val="20"/>
          <w:color w:val="auto"/>
        </w:rPr>
      </w:pPr>
    </w:p>
    <w:p>
      <w:pPr>
        <w:ind w:right="440" w:firstLine="382"/>
        <w:spacing w:after="0" w:line="274" w:lineRule="auto"/>
        <w:rPr>
          <w:sz w:val="20"/>
          <w:szCs w:val="20"/>
          <w:color w:val="auto"/>
        </w:rPr>
      </w:pPr>
      <w:r>
        <w:rPr>
          <w:rFonts w:ascii="Arial" w:cs="Arial" w:eastAsia="Arial" w:hAnsi="Arial"/>
          <w:sz w:val="17"/>
          <w:szCs w:val="17"/>
          <w:color w:val="auto"/>
        </w:rPr>
        <w:t>In May 2014, the Financial Accounting Standards Board (“FASB”) issued new accounting guidance related to revenue recognition. On January 1, 2018, we adopted the new accounting standard and related amendments.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3" w:lineRule="exact"/>
        <w:rPr>
          <w:sz w:val="20"/>
          <w:szCs w:val="20"/>
          <w:color w:val="auto"/>
        </w:rPr>
      </w:pPr>
    </w:p>
    <w:p>
      <w:pPr>
        <w:jc w:val="both"/>
        <w:ind w:right="220" w:firstLine="382"/>
        <w:spacing w:after="0" w:line="262"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176" w:lineRule="exact"/>
        <w:rPr>
          <w:sz w:val="20"/>
          <w:szCs w:val="20"/>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full games, which typically provide access to main game content, primarily for the console or PC platform;</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downloadable content, which provides players with additional in-game content to purchase following the purchase of a full game;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microtransactions, which typically provide relatively small pieces of additional in-game content or enhancements to gameplay;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subscriptions to players in our World of Warcraft franchise, which provide continual access to the game content.</w:t>
      </w:r>
    </w:p>
    <w:p>
      <w:pPr>
        <w:spacing w:after="0" w:line="213" w:lineRule="exact"/>
        <w:rPr>
          <w:sz w:val="20"/>
          <w:szCs w:val="20"/>
          <w:color w:val="auto"/>
        </w:rPr>
      </w:pPr>
    </w:p>
    <w:p>
      <w:pPr>
        <w:ind w:right="60" w:firstLine="370"/>
        <w:spacing w:after="0" w:line="274" w:lineRule="auto"/>
        <w:rPr>
          <w:sz w:val="20"/>
          <w:szCs w:val="20"/>
          <w:color w:val="auto"/>
        </w:rPr>
      </w:pPr>
      <w:r>
        <w:rPr>
          <w:rFonts w:ascii="Arial" w:cs="Arial" w:eastAsia="Arial" w:hAnsi="Arial"/>
          <w:sz w:val="17"/>
          <w:szCs w:val="17"/>
          <w:color w:val="auto"/>
        </w:rPr>
        <w:t>When control of the promised products and services is transferred to our customers, we recognize revenue in the amount that reflects the consideration we expect to receive in exchange for these products and services.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determine revenue recognition by:</w:t>
      </w:r>
    </w:p>
    <w:p>
      <w:pPr>
        <w:spacing w:after="0" w:line="213" w:lineRule="exact"/>
        <w:rPr>
          <w:sz w:val="20"/>
          <w:szCs w:val="20"/>
          <w:color w:val="auto"/>
        </w:rPr>
      </w:pPr>
    </w:p>
    <w:p>
      <w:pPr>
        <w:ind w:left="920" w:hanging="306"/>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identifying the contract, or contracts, with a customer;</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identifying the performance obligations in each contract;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 in each contract;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recognizing revenue when, or as, we satisfy performance obligations by transferring the promised goods or services.</w:t>
      </w:r>
    </w:p>
    <w:p>
      <w:pPr>
        <w:spacing w:after="0" w:line="213" w:lineRule="exact"/>
        <w:rPr>
          <w:sz w:val="20"/>
          <w:szCs w:val="20"/>
          <w:color w:val="auto"/>
        </w:rPr>
      </w:pPr>
    </w:p>
    <w:p>
      <w:pPr>
        <w:ind w:right="80" w:firstLine="370"/>
        <w:spacing w:after="0" w:line="279"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00"/>
          </w:cols>
          <w:pgMar w:left="240" w:top="127"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160" w:firstLine="370"/>
        <w:spacing w:after="0" w:line="25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Product Sales</w:t>
      </w:r>
    </w:p>
    <w:p>
      <w:pPr>
        <w:spacing w:after="0" w:line="213" w:lineRule="exact"/>
        <w:rPr>
          <w:sz w:val="20"/>
          <w:szCs w:val="20"/>
          <w:color w:val="auto"/>
        </w:rPr>
      </w:pPr>
    </w:p>
    <w:p>
      <w:pPr>
        <w:ind w:right="100" w:firstLine="370"/>
        <w:spacing w:after="0" w:line="258" w:lineRule="auto"/>
        <w:rPr>
          <w:sz w:val="20"/>
          <w:szCs w:val="20"/>
          <w:color w:val="auto"/>
        </w:rPr>
      </w:pPr>
      <w:r>
        <w:rPr>
          <w:rFonts w:ascii="Arial" w:cs="Arial" w:eastAsia="Arial" w:hAnsi="Arial"/>
          <w:sz w:val="17"/>
          <w:szCs w:val="17"/>
          <w:color w:val="auto"/>
        </w:rPr>
        <w:t>Product sales consist of sales of our games, including physical products and digital full-game downloads.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179" w:lineRule="exact"/>
        <w:rPr>
          <w:sz w:val="20"/>
          <w:szCs w:val="20"/>
          <w:color w:val="auto"/>
        </w:rPr>
      </w:pPr>
    </w:p>
    <w:p>
      <w:pPr>
        <w:ind w:right="400" w:firstLine="370"/>
        <w:spacing w:after="0" w:line="262" w:lineRule="auto"/>
        <w:rPr>
          <w:sz w:val="20"/>
          <w:szCs w:val="20"/>
          <w:color w:val="auto"/>
        </w:rPr>
      </w:pPr>
      <w:r>
        <w:rPr>
          <w:rFonts w:ascii="Arial" w:cs="Arial" w:eastAsia="Arial" w:hAnsi="Arial"/>
          <w:sz w:val="17"/>
          <w:szCs w:val="17"/>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76" w:lineRule="exact"/>
        <w:rPr>
          <w:sz w:val="20"/>
          <w:szCs w:val="20"/>
          <w:color w:val="auto"/>
        </w:rPr>
      </w:pPr>
    </w:p>
    <w:p>
      <w:pPr>
        <w:ind w:right="160" w:firstLine="370"/>
        <w:spacing w:after="0" w:line="303" w:lineRule="auto"/>
        <w:rPr>
          <w:sz w:val="20"/>
          <w:szCs w:val="20"/>
          <w:color w:val="auto"/>
        </w:rPr>
      </w:pPr>
      <w:r>
        <w:rPr>
          <w:rFonts w:ascii="Arial" w:cs="Arial" w:eastAsia="Arial" w:hAnsi="Arial"/>
          <w:sz w:val="15"/>
          <w:szCs w:val="15"/>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Products with Online Functionality</w:t>
      </w:r>
    </w:p>
    <w:p>
      <w:pPr>
        <w:spacing w:after="0" w:line="213" w:lineRule="exact"/>
        <w:rPr>
          <w:sz w:val="20"/>
          <w:szCs w:val="20"/>
          <w:color w:val="auto"/>
        </w:rPr>
      </w:pPr>
    </w:p>
    <w:p>
      <w:pPr>
        <w:ind w:firstLine="382"/>
        <w:spacing w:after="0" w:line="270" w:lineRule="auto"/>
        <w:rPr>
          <w:sz w:val="20"/>
          <w:szCs w:val="20"/>
          <w:color w:val="auto"/>
        </w:rPr>
      </w:pPr>
      <w:r>
        <w:rPr>
          <w:rFonts w:ascii="Arial" w:cs="Arial" w:eastAsia="Arial" w:hAnsi="Arial"/>
          <w:sz w:val="16"/>
          <w:szCs w:val="16"/>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174" w:lineRule="exact"/>
        <w:rPr>
          <w:sz w:val="20"/>
          <w:szCs w:val="20"/>
          <w:color w:val="auto"/>
        </w:rPr>
      </w:pPr>
    </w:p>
    <w:p>
      <w:pPr>
        <w:ind w:right="40" w:firstLine="382"/>
        <w:spacing w:after="0" w:line="27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27"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Online Hosted Software Arrangements</w:t>
      </w:r>
    </w:p>
    <w:p>
      <w:pPr>
        <w:spacing w:after="0" w:line="213" w:lineRule="exact"/>
        <w:rPr>
          <w:sz w:val="20"/>
          <w:szCs w:val="20"/>
          <w:color w:val="auto"/>
        </w:rPr>
      </w:pPr>
    </w:p>
    <w:p>
      <w:pPr>
        <w:ind w:right="140" w:firstLine="382"/>
        <w:spacing w:after="0" w:line="298" w:lineRule="auto"/>
        <w:rPr>
          <w:sz w:val="20"/>
          <w:szCs w:val="20"/>
          <w:color w:val="auto"/>
        </w:rPr>
      </w:pPr>
      <w:r>
        <w:rPr>
          <w:rFonts w:ascii="Arial" w:cs="Arial" w:eastAsia="Arial" w:hAnsi="Arial"/>
          <w:sz w:val="15"/>
          <w:szCs w:val="15"/>
          <w:color w:val="auto"/>
        </w:rPr>
        <w:t>For our online hosted software arrangements, such as titles for the Overwatch, World of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153"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Subscription, Licensing, and Other Revenues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Subscription Arrangements</w:t>
      </w:r>
    </w:p>
    <w:p>
      <w:pPr>
        <w:spacing w:after="0" w:line="213" w:lineRule="exact"/>
        <w:rPr>
          <w:sz w:val="20"/>
          <w:szCs w:val="20"/>
          <w:color w:val="auto"/>
        </w:rPr>
      </w:pPr>
    </w:p>
    <w:p>
      <w:pPr>
        <w:ind w:right="500" w:firstLine="382"/>
        <w:spacing w:after="0" w:line="262" w:lineRule="auto"/>
        <w:rPr>
          <w:sz w:val="20"/>
          <w:szCs w:val="20"/>
          <w:color w:val="auto"/>
        </w:rPr>
      </w:pPr>
      <w:r>
        <w:rPr>
          <w:rFonts w:ascii="Arial" w:cs="Arial" w:eastAsia="Arial" w:hAnsi="Arial"/>
          <w:sz w:val="17"/>
          <w:szCs w:val="17"/>
          <w:color w:val="auto"/>
        </w:rPr>
        <w:t xml:space="preserve">Subscription revenue arrangements are mostly derived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which is playable through Blizzard’s servers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76" w:lineRule="exact"/>
        <w:rPr>
          <w:sz w:val="20"/>
          <w:szCs w:val="20"/>
          <w:color w:val="auto"/>
        </w:rPr>
      </w:pPr>
    </w:p>
    <w:p>
      <w:pPr>
        <w:ind w:right="360" w:firstLine="382"/>
        <w:spacing w:after="0" w:line="274" w:lineRule="auto"/>
        <w:rPr>
          <w:sz w:val="20"/>
          <w:szCs w:val="20"/>
          <w:color w:val="auto"/>
        </w:rPr>
      </w:pPr>
      <w:r>
        <w:rPr>
          <w:rFonts w:ascii="Arial" w:cs="Arial" w:eastAsia="Arial" w:hAnsi="Arial"/>
          <w:sz w:val="17"/>
          <w:szCs w:val="17"/>
          <w:color w:val="auto"/>
        </w:rPr>
        <w:t xml:space="preserve">Revenues attributable to the purchase of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software by our customers, including expansion packs, are classified as “Product sales,” whereas revenues attributable to subscriptions and other in-game revenues are classified as “Subscription, licensing, and other revenues.”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Software Licensing Revenues</w:t>
      </w:r>
    </w:p>
    <w:p>
      <w:pPr>
        <w:spacing w:after="0" w:line="213" w:lineRule="exact"/>
        <w:rPr>
          <w:sz w:val="20"/>
          <w:szCs w:val="20"/>
          <w:color w:val="auto"/>
        </w:rPr>
      </w:pPr>
    </w:p>
    <w:p>
      <w:pPr>
        <w:ind w:right="20" w:firstLine="382"/>
        <w:spacing w:after="0" w:line="292" w:lineRule="auto"/>
        <w:rPr>
          <w:sz w:val="20"/>
          <w:szCs w:val="20"/>
          <w:color w:val="auto"/>
        </w:rPr>
      </w:pPr>
      <w:r>
        <w:rPr>
          <w:rFonts w:ascii="Arial" w:cs="Arial" w:eastAsia="Arial" w:hAnsi="Arial"/>
          <w:sz w:val="15"/>
          <w:szCs w:val="15"/>
          <w:color w:val="auto"/>
        </w:rPr>
        <w:t>In certain countries,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 Revenues from these licensing arrangements with third-parties to distribute and host our games are recognized in "Subscriptions, licensing, and other revenues" on our consolidated statement of operations.</w:t>
      </w:r>
    </w:p>
    <w:p>
      <w:pPr>
        <w:spacing w:after="0" w:line="157" w:lineRule="exact"/>
        <w:rPr>
          <w:sz w:val="20"/>
          <w:szCs w:val="20"/>
          <w:color w:val="auto"/>
        </w:rPr>
      </w:pPr>
    </w:p>
    <w:p>
      <w:pPr>
        <w:ind w:left="380"/>
        <w:spacing w:after="0"/>
        <w:rPr>
          <w:sz w:val="20"/>
          <w:szCs w:val="20"/>
          <w:color w:val="auto"/>
        </w:rPr>
      </w:pPr>
      <w:r>
        <w:rPr>
          <w:rFonts w:ascii="Arial" w:cs="Arial" w:eastAsia="Arial" w:hAnsi="Arial"/>
          <w:sz w:val="17"/>
          <w:szCs w:val="17"/>
          <w:u w:val="single" w:color="auto"/>
          <w:color w:val="auto"/>
        </w:rPr>
        <w:t>Other Revenues</w:t>
      </w:r>
    </w:p>
    <w:p>
      <w:pPr>
        <w:spacing w:after="0" w:line="213" w:lineRule="exact"/>
        <w:rPr>
          <w:sz w:val="20"/>
          <w:szCs w:val="20"/>
          <w:color w:val="auto"/>
        </w:rPr>
      </w:pPr>
    </w:p>
    <w:p>
      <w:pPr>
        <w:ind w:firstLine="382"/>
        <w:spacing w:after="0" w:line="343" w:lineRule="auto"/>
        <w:rPr>
          <w:sz w:val="20"/>
          <w:szCs w:val="20"/>
          <w:color w:val="auto"/>
        </w:rPr>
      </w:pPr>
      <w:r>
        <w:rPr>
          <w:rFonts w:ascii="Arial" w:cs="Arial" w:eastAsia="Arial" w:hAnsi="Arial"/>
          <w:sz w:val="15"/>
          <w:szCs w:val="15"/>
          <w:color w:val="auto"/>
        </w:rPr>
        <w:t>Other revenues primarily include revenues from downloadable content (e.g., multi-player content packs), microtransactions, and licensing of intellectual property other than software to third-parties. These revenues are recognized in "Subscriptions, licensing, and other revenues" on our consolidated statement of operations.</w:t>
      </w:r>
    </w:p>
    <w:p>
      <w:pPr>
        <w:spacing w:after="0" w:line="119" w:lineRule="exact"/>
        <w:rPr>
          <w:sz w:val="20"/>
          <w:szCs w:val="20"/>
          <w:color w:val="auto"/>
        </w:rPr>
      </w:pPr>
    </w:p>
    <w:p>
      <w:pPr>
        <w:ind w:right="100" w:firstLine="382"/>
        <w:spacing w:after="0" w:line="253" w:lineRule="auto"/>
        <w:rPr>
          <w:sz w:val="20"/>
          <w:szCs w:val="20"/>
          <w:color w:val="auto"/>
        </w:rPr>
      </w:pPr>
      <w:r>
        <w:rPr>
          <w:rFonts w:ascii="Arial" w:cs="Arial" w:eastAsia="Arial" w:hAnsi="Arial"/>
          <w:sz w:val="17"/>
          <w:szCs w:val="17"/>
          <w:color w:val="auto"/>
        </w:rPr>
        <w:t>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360"/>
          </w:cols>
          <w:pgMar w:left="240" w:top="127" w:right="29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ind w:right="40" w:firstLine="382"/>
        <w:spacing w:after="0" w:line="258" w:lineRule="auto"/>
        <w:rPr>
          <w:sz w:val="20"/>
          <w:szCs w:val="20"/>
          <w:color w:val="auto"/>
        </w:rPr>
      </w:pPr>
      <w:r>
        <w:rPr>
          <w:rFonts w:ascii="Arial" w:cs="Arial" w:eastAsia="Arial" w:hAnsi="Arial"/>
          <w:sz w:val="17"/>
          <w:szCs w:val="17"/>
          <w:color w:val="auto"/>
        </w:rPr>
        <w:t>Revenues from the licensing of intellectual property other than software to third parties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13" w:lineRule="exact"/>
        <w:rPr>
          <w:sz w:val="20"/>
          <w:szCs w:val="20"/>
          <w:color w:val="auto"/>
        </w:rPr>
      </w:pPr>
    </w:p>
    <w:p>
      <w:pPr>
        <w:ind w:firstLine="370"/>
        <w:spacing w:after="0" w:line="272"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72" w:lineRule="exact"/>
        <w:rPr>
          <w:sz w:val="20"/>
          <w:szCs w:val="20"/>
          <w:color w:val="auto"/>
        </w:rPr>
      </w:pPr>
    </w:p>
    <w:p>
      <w:pPr>
        <w:ind w:right="100" w:firstLine="370"/>
        <w:spacing w:after="0" w:line="256" w:lineRule="auto"/>
        <w:rPr>
          <w:sz w:val="20"/>
          <w:szCs w:val="20"/>
          <w:color w:val="auto"/>
        </w:rPr>
      </w:pPr>
      <w:r>
        <w:rPr>
          <w:rFonts w:ascii="Arial" w:cs="Arial" w:eastAsia="Arial" w:hAnsi="Arial"/>
          <w:sz w:val="17"/>
          <w:szCs w:val="17"/>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Estimated Service Period</w:t>
      </w:r>
    </w:p>
    <w:p>
      <w:pPr>
        <w:spacing w:after="0" w:line="213" w:lineRule="exact"/>
        <w:rPr>
          <w:sz w:val="20"/>
          <w:szCs w:val="20"/>
          <w:color w:val="auto"/>
        </w:rPr>
      </w:pPr>
    </w:p>
    <w:p>
      <w:pPr>
        <w:ind w:right="200" w:firstLine="306"/>
        <w:spacing w:after="0" w:line="293" w:lineRule="auto"/>
        <w:rPr>
          <w:sz w:val="20"/>
          <w:szCs w:val="20"/>
          <w:color w:val="auto"/>
        </w:rPr>
      </w:pPr>
      <w:r>
        <w:rPr>
          <w:rFonts w:ascii="Arial" w:cs="Arial" w:eastAsia="Arial" w:hAnsi="Arial"/>
          <w:sz w:val="15"/>
          <w:szCs w:val="15"/>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Principal Agent Considerations</w:t>
      </w:r>
    </w:p>
    <w:p>
      <w:pPr>
        <w:spacing w:after="0" w:line="213" w:lineRule="exact"/>
        <w:rPr>
          <w:sz w:val="20"/>
          <w:szCs w:val="20"/>
          <w:color w:val="auto"/>
        </w:rPr>
      </w:pPr>
    </w:p>
    <w:p>
      <w:pPr>
        <w:jc w:val="both"/>
        <w:ind w:right="20" w:firstLine="306"/>
        <w:spacing w:after="0" w:line="286"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our revenues should be reported gross or net of fees retained by the storefront. Key indicators that we evaluate in determining whether we are the principal in the sale (gross reporting) or an agent (net reporting) include, but are not limited to:</w:t>
      </w:r>
    </w:p>
    <w:p>
      <w:pPr>
        <w:spacing w:after="0" w:line="158" w:lineRule="exact"/>
        <w:rPr>
          <w:sz w:val="20"/>
          <w:szCs w:val="20"/>
          <w:color w:val="auto"/>
        </w:rPr>
      </w:pPr>
    </w:p>
    <w:p>
      <w:pPr>
        <w:ind w:left="920" w:hanging="306"/>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which party is primarily responsible for fulfilling the promise to provide the specified good or service;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which party has discretion in establishing the price for the specified good or service.</w:t>
      </w:r>
    </w:p>
    <w:p>
      <w:pPr>
        <w:spacing w:after="0" w:line="213" w:lineRule="exact"/>
        <w:rPr>
          <w:sz w:val="20"/>
          <w:szCs w:val="20"/>
          <w:color w:val="auto"/>
        </w:rPr>
      </w:pPr>
    </w:p>
    <w:p>
      <w:pPr>
        <w:ind w:right="240" w:firstLine="306"/>
        <w:spacing w:after="0" w:line="343" w:lineRule="auto"/>
        <w:rPr>
          <w:sz w:val="20"/>
          <w:szCs w:val="20"/>
          <w:color w:val="auto"/>
        </w:rPr>
      </w:pPr>
      <w:r>
        <w:rPr>
          <w:rFonts w:ascii="Arial" w:cs="Arial" w:eastAsia="Arial" w:hAnsi="Arial"/>
          <w:sz w:val="15"/>
          <w:szCs w:val="15"/>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firstLine="370"/>
        <w:spacing w:after="0" w:line="272"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72" w:lineRule="exact"/>
        <w:rPr>
          <w:sz w:val="20"/>
          <w:szCs w:val="20"/>
          <w:color w:val="auto"/>
        </w:rPr>
      </w:pPr>
    </w:p>
    <w:p>
      <w:pPr>
        <w:ind w:right="40" w:firstLine="370"/>
        <w:spacing w:after="0" w:line="274" w:lineRule="auto"/>
        <w:rPr>
          <w:sz w:val="20"/>
          <w:szCs w:val="20"/>
          <w:color w:val="auto"/>
        </w:rPr>
      </w:pPr>
      <w:r>
        <w:rPr>
          <w:rFonts w:ascii="Arial" w:cs="Arial" w:eastAsia="Arial" w:hAnsi="Arial"/>
          <w:sz w:val="16"/>
          <w:szCs w:val="16"/>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 in the period such determination is made. The calculation of tax liabilities involves significant judgment in estimating the impact of uncertainties in the application of ASC Topic 740 and complex tax laws. Resolution of these uncertainties in a manner inconsistent with management’s expectations could have a material impact on our business and results of operations in an interim period in which the uncertainties are ultimately resolved.</w:t>
      </w:r>
    </w:p>
    <w:p>
      <w:pPr>
        <w:spacing w:after="0" w:line="168" w:lineRule="exact"/>
        <w:rPr>
          <w:sz w:val="20"/>
          <w:szCs w:val="20"/>
          <w:color w:val="auto"/>
        </w:rPr>
      </w:pPr>
    </w:p>
    <w:p>
      <w:pPr>
        <w:ind w:right="20" w:firstLine="370"/>
        <w:spacing w:after="0" w:line="255"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182" w:lineRule="exact"/>
        <w:rPr>
          <w:sz w:val="20"/>
          <w:szCs w:val="20"/>
          <w:color w:val="auto"/>
        </w:rPr>
      </w:pPr>
    </w:p>
    <w:p>
      <w:pPr>
        <w:ind w:right="20" w:firstLine="370"/>
        <w:spacing w:after="0" w:line="270" w:lineRule="auto"/>
        <w:rPr>
          <w:sz w:val="20"/>
          <w:szCs w:val="20"/>
          <w:color w:val="auto"/>
        </w:rPr>
      </w:pPr>
      <w:r>
        <w:rPr>
          <w:rFonts w:ascii="Arial" w:cs="Arial" w:eastAsia="Arial" w:hAnsi="Arial"/>
          <w:sz w:val="16"/>
          <w:szCs w:val="16"/>
          <w:color w:val="auto"/>
        </w:rPr>
        <w:t>Our provision for income taxes is subject to volatility and could be adversely impacted by: (1) changes in the mix of earnings in countries with differing statutory tax rates; (2) changes in the valuation of our deferred tax assets and liabilities; (3) tax effects of nondeductible compensation; (4) tax costs related to intercompany realignments; (5) differences between amounts included in our tax filings and the estimate of such amounts included in our tax expenses; (6) changes in accounting principles; or (7) changes in tax laws, regulations, administrative practices, principles or interpretations, including fundamental changes to the tax laws applicable to multinational corporations. Significant judgment is required to determine the recognition and measurement attributes prescribed in the accounting guidance for uncertainty in income taxes. The accounting guidance for uncertainty in income taxes applies to all income tax positions, including the potential recovery of previously paid taxes, which if settled unfavorably could adversely impact our provision for income taxes. In addition, we are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74" w:lineRule="exact"/>
        <w:rPr>
          <w:sz w:val="20"/>
          <w:szCs w:val="20"/>
          <w:color w:val="auto"/>
        </w:rPr>
      </w:pPr>
    </w:p>
    <w:p>
      <w:pPr>
        <w:ind w:right="100" w:firstLine="382"/>
        <w:spacing w:after="0" w:line="262" w:lineRule="auto"/>
        <w:rPr>
          <w:sz w:val="20"/>
          <w:szCs w:val="20"/>
          <w:color w:val="auto"/>
        </w:rPr>
      </w:pPr>
      <w:r>
        <w:rPr>
          <w:rFonts w:ascii="Arial" w:cs="Arial" w:eastAsia="Arial" w:hAnsi="Arial"/>
          <w:sz w:val="17"/>
          <w:szCs w:val="17"/>
          <w:color w:val="auto"/>
        </w:rPr>
        <w:t>As further described in “Consolidated Results” above, on December 22, 2017, the U.S. Tax Reform Act was enacted. The U.S. Tax Reform Act, among other things, reduced the U.S. corporate income tax rate from 35% to 21% beginning in 2018 and implemented a modified territorial tax system that imposed a one-time tax on deemed repatriated earnings of foreign subsidiaries.</w:t>
      </w:r>
    </w:p>
    <w:p>
      <w:pPr>
        <w:spacing w:after="0" w:line="176" w:lineRule="exact"/>
        <w:rPr>
          <w:sz w:val="20"/>
          <w:szCs w:val="20"/>
          <w:color w:val="auto"/>
        </w:rPr>
      </w:pPr>
    </w:p>
    <w:p>
      <w:pPr>
        <w:jc w:val="both"/>
        <w:ind w:right="160" w:firstLine="382"/>
        <w:spacing w:after="0" w:line="258" w:lineRule="auto"/>
        <w:rPr>
          <w:sz w:val="20"/>
          <w:szCs w:val="20"/>
          <w:color w:val="auto"/>
        </w:rPr>
      </w:pPr>
      <w:r>
        <w:rPr>
          <w:rFonts w:ascii="Arial" w:cs="Arial" w:eastAsia="Arial" w:hAnsi="Arial"/>
          <w:sz w:val="17"/>
          <w:szCs w:val="17"/>
          <w:color w:val="auto"/>
        </w:rPr>
        <w:t>On December 22, 2017, the SEC staff issued SAB 118, which provided guidance on how to account for the effects of the U.S. Tax Reform Act under ASC 740. SAB 118 enabled companies to record a provisional amount for the effects of the U.S. Tax Reform Act based on a reasonable estimate, subject to adjustment during a measurement period of up to one year, until accounting is complete. In the fourth quarter of 2018, we completed our analysis to determine the effects of the U.S. Tax Reform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127" w:right="23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13" w:lineRule="exact"/>
        <w:rPr>
          <w:sz w:val="20"/>
          <w:szCs w:val="20"/>
          <w:color w:val="auto"/>
        </w:rPr>
      </w:pPr>
    </w:p>
    <w:p>
      <w:pPr>
        <w:ind w:firstLine="408"/>
        <w:spacing w:after="0" w:line="270"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the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74" w:lineRule="exact"/>
        <w:rPr>
          <w:sz w:val="20"/>
          <w:szCs w:val="20"/>
          <w:color w:val="auto"/>
        </w:rPr>
      </w:pPr>
    </w:p>
    <w:p>
      <w:pPr>
        <w:ind w:right="40" w:firstLine="408"/>
        <w:spacing w:after="0" w:line="262"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76" w:lineRule="exact"/>
        <w:rPr>
          <w:sz w:val="20"/>
          <w:szCs w:val="20"/>
          <w:color w:val="auto"/>
        </w:rPr>
      </w:pPr>
    </w:p>
    <w:p>
      <w:pPr>
        <w:ind w:right="20" w:firstLine="408"/>
        <w:spacing w:after="0" w:line="298" w:lineRule="auto"/>
        <w:rPr>
          <w:sz w:val="20"/>
          <w:szCs w:val="20"/>
          <w:color w:val="auto"/>
        </w:rPr>
      </w:pPr>
      <w:r>
        <w:rPr>
          <w:rFonts w:ascii="Arial" w:cs="Arial" w:eastAsia="Arial" w:hAnsi="Arial"/>
          <w:sz w:val="15"/>
          <w:szCs w:val="15"/>
          <w:color w:val="auto"/>
        </w:rPr>
        <w:t>We evaluate the future recoverability of capitalized software development costs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53" w:lineRule="exact"/>
        <w:rPr>
          <w:sz w:val="20"/>
          <w:szCs w:val="20"/>
          <w:color w:val="auto"/>
        </w:rPr>
      </w:pPr>
    </w:p>
    <w:p>
      <w:pPr>
        <w:ind w:right="80" w:firstLine="408"/>
        <w:spacing w:after="0" w:line="256" w:lineRule="auto"/>
        <w:rPr>
          <w:sz w:val="20"/>
          <w:szCs w:val="20"/>
          <w:color w:val="auto"/>
        </w:rPr>
      </w:pPr>
      <w:r>
        <w:rPr>
          <w:rFonts w:ascii="Arial" w:cs="Arial" w:eastAsia="Arial" w:hAnsi="Arial"/>
          <w:sz w:val="17"/>
          <w:szCs w:val="17"/>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Estimates</w:t>
      </w:r>
    </w:p>
    <w:p>
      <w:pPr>
        <w:spacing w:after="0" w:line="213" w:lineRule="exact"/>
        <w:rPr>
          <w:sz w:val="20"/>
          <w:szCs w:val="20"/>
          <w:color w:val="auto"/>
        </w:rPr>
      </w:pPr>
    </w:p>
    <w:p>
      <w:pPr>
        <w:ind w:right="100" w:firstLine="408"/>
        <w:spacing w:after="0" w:line="262" w:lineRule="auto"/>
        <w:rPr>
          <w:sz w:val="20"/>
          <w:szCs w:val="20"/>
          <w:color w:val="auto"/>
        </w:rPr>
      </w:pPr>
      <w:r>
        <w:rPr>
          <w:rFonts w:ascii="Arial" w:cs="Arial" w:eastAsia="Arial" w:hAnsi="Arial"/>
          <w:sz w:val="17"/>
          <w:szCs w:val="17"/>
          <w:color w:val="auto"/>
        </w:rPr>
        <w:t>The preparation of financial statements often requires us to determine the fair value of a particular item to fairly present in our consolidated financial statements. Without an independent market or another representative transaction, determining the fair value of a particular item requires us to make several assumptions that are inherently difficult to predict and can have a material impact on the conclusion of the appropriate accounting.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408"/>
        <w:spacing w:after="0" w:line="289" w:lineRule="auto"/>
        <w:rPr>
          <w:sz w:val="20"/>
          <w:szCs w:val="20"/>
          <w:color w:val="auto"/>
        </w:rPr>
      </w:pPr>
      <w:r>
        <w:rPr>
          <w:rFonts w:ascii="Arial" w:cs="Arial" w:eastAsia="Arial" w:hAnsi="Arial"/>
          <w:sz w:val="15"/>
          <w:szCs w:val="15"/>
          <w:color w:val="auto"/>
        </w:rPr>
        <w:t>There are various valuation techniques used to estimate fair value. These include: (1) the market approach, where market transactions for identical or comparable assets or liabilities are used to determine the fair value; (2) the income approach, which uses valuation techniques to convert future amounts (for example, future cash flows or future earnings) to a single present amount; and (3) the cost approach, which is based on the amount that would be required to replace an asset. For many of our fair value estimates, we use the income approach. Using the income approach requires the use of financial models, which require us to make various estimates including, but not limited to: (1) the potential future cash flows for the asset, liability or equity instrument being measured; (2) the timing of receipt or payment of those future cash flows; (3) the time value of money associated with the delayed receipt or payment of such cash flows; and (4) the inherent risk associated with the cash flows (that is, the risk premium). Determining these cash flow estimates is inherently difficult and subjective, and, if any of the estimates used to determine the fair value using the income approach turns out to be inaccurate, our financial results may be negatively impacted. Furthermore, relatively small changes in many of these estimates can have a significant impact on the estimated fair value resulting from the financial models or the related accounting conclusion reached. For example, a relatively small change in the estimated fair value of an asset may change a conclusion as to whether an asset is impaired. While we are required to make certain fair value assessments associated with the accounting for several types of transactions, the following areas are the most sensitive to the assessments:</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Assessment of Impairment of Goodwill and Indefinite-lived Intangible Assets</w:t>
      </w:r>
    </w:p>
    <w:p>
      <w:pPr>
        <w:spacing w:after="0" w:line="213" w:lineRule="exact"/>
        <w:rPr>
          <w:sz w:val="20"/>
          <w:szCs w:val="20"/>
          <w:color w:val="auto"/>
        </w:rPr>
      </w:pPr>
    </w:p>
    <w:p>
      <w:pPr>
        <w:ind w:right="40" w:firstLine="408"/>
        <w:spacing w:after="0" w:line="254" w:lineRule="auto"/>
        <w:rPr>
          <w:sz w:val="20"/>
          <w:szCs w:val="20"/>
          <w:color w:val="auto"/>
        </w:rPr>
      </w:pPr>
      <w:r>
        <w:rPr>
          <w:rFonts w:ascii="Arial" w:cs="Arial" w:eastAsia="Arial" w:hAnsi="Arial"/>
          <w:sz w:val="17"/>
          <w:szCs w:val="17"/>
          <w:color w:val="auto"/>
        </w:rPr>
        <w:t>We are required to test goodwill and other indefinite-lived intangible assets for impairment on an annual basis and, if current events or circumstances require, on an interim basis. ASC Topic 350 provides companies an option to first perform a qualitative assessment to determine whether it is more likely than not that the fair value of a reporting unit or indefinite-lived intangible asset is less than its carrying value before performing a quantitative two-step approach to testing goodwill for impairment. If a qualitative assessment is not used, or if the qualitative assessment is not conclusive, a quantitative impairment test is performed. For goodwill, the first step of the quantitative test measures for impairment by applying fair value-based tests at the reporting unit level. The second step (if necessary) measures the amount of impairment by applying fair value-based tests to the individual assets and liabilities within each reporting unit. We perform our annual impairment test as of December 31.</w:t>
      </w:r>
    </w:p>
    <w:p>
      <w:pPr>
        <w:spacing w:after="0" w:line="184" w:lineRule="exact"/>
        <w:rPr>
          <w:sz w:val="20"/>
          <w:szCs w:val="20"/>
          <w:color w:val="auto"/>
        </w:rPr>
      </w:pPr>
    </w:p>
    <w:p>
      <w:pPr>
        <w:ind w:right="80" w:firstLine="408"/>
        <w:spacing w:after="0" w:line="271" w:lineRule="auto"/>
        <w:rPr>
          <w:sz w:val="20"/>
          <w:szCs w:val="20"/>
          <w:color w:val="auto"/>
        </w:rPr>
      </w:pPr>
      <w:r>
        <w:rPr>
          <w:rFonts w:ascii="Arial" w:cs="Arial" w:eastAsia="Arial" w:hAnsi="Arial"/>
          <w:sz w:val="16"/>
          <w:szCs w:val="16"/>
          <w:color w:val="auto"/>
        </w:rPr>
        <w:t>In the instances when a quantitative test is performed, we use a discounted cash flow approach to determine the fair values of the reporting units in performing the first step. Each step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and future economic and market conditions. These estimates and assumptions must be made for each reporting unit evaluated for impairment. Our estimates for market growth, our market share and costs are based on historical data, various internal estimates and certain external sources, as well as on assumptions that are consistent with the plans and estimates we are using to manage the underlying business. If future forecasts are revised, they may indicate or require future impairment charges. Assumptions used in our estimates are unpredictable and inherently uncertain, but we base our fair value estimates on assumptions we believe to be reasonable. Actual future results may differ from those estimates. Based on our annual impairment assessment, no impairments of goodwill were identified for the years ended December 31, 2019, 2018, and 2017.</w:t>
      </w:r>
    </w:p>
    <w:p>
      <w:pPr>
        <w:spacing w:after="0" w:line="170" w:lineRule="exact"/>
        <w:rPr>
          <w:sz w:val="20"/>
          <w:szCs w:val="20"/>
          <w:color w:val="auto"/>
        </w:rPr>
      </w:pPr>
    </w:p>
    <w:p>
      <w:pPr>
        <w:ind w:right="160" w:firstLine="408"/>
        <w:spacing w:after="0" w:line="262" w:lineRule="auto"/>
        <w:rPr>
          <w:sz w:val="20"/>
          <w:szCs w:val="20"/>
          <w:color w:val="auto"/>
        </w:rPr>
      </w:pPr>
      <w:r>
        <w:rPr>
          <w:rFonts w:ascii="Arial" w:cs="Arial" w:eastAsia="Arial" w:hAnsi="Arial"/>
          <w:sz w:val="17"/>
          <w:szCs w:val="17"/>
          <w:color w:val="auto"/>
        </w:rPr>
        <w:t>We test our acquired trade names for possible impairment by applying the same process as for goodwill. In the instance when a qualitative test is not performed or is inconclusive, a quantitative test is performed by using a discounted cash flow model to estimate fair value of our acquired trade names. For the years ended December 31, 2019, 2018, and 2017, we concluded that no impairment had occurred.</w:t>
      </w:r>
    </w:p>
    <w:p>
      <w:pPr>
        <w:spacing w:after="0" w:line="176" w:lineRule="exact"/>
        <w:rPr>
          <w:sz w:val="20"/>
          <w:szCs w:val="20"/>
          <w:color w:val="auto"/>
        </w:rPr>
      </w:pPr>
    </w:p>
    <w:p>
      <w:pPr>
        <w:ind w:right="320" w:firstLine="408"/>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For a detailed discussion of the application of these and other accounting policies, see </w:t>
      </w:r>
      <w:hyperlink w:anchor="page75">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17" w:lineRule="exact"/>
        <w:rPr>
          <w:sz w:val="20"/>
          <w:szCs w:val="20"/>
          <w:color w:val="auto"/>
        </w:rPr>
      </w:pPr>
    </w:p>
    <w:p>
      <w:pPr>
        <w:ind w:right="160" w:firstLine="408"/>
        <w:spacing w:after="0" w:line="262" w:lineRule="auto"/>
        <w:rPr>
          <w:rFonts w:ascii="Arial" w:cs="Arial" w:eastAsia="Arial" w:hAnsi="Arial"/>
          <w:sz w:val="17"/>
          <w:szCs w:val="17"/>
          <w:color w:val="auto"/>
        </w:rPr>
      </w:pPr>
      <w:r>
        <w:rPr>
          <w:rFonts w:ascii="Arial" w:cs="Arial" w:eastAsia="Arial" w:hAnsi="Arial"/>
          <w:sz w:val="17"/>
          <w:szCs w:val="17"/>
          <w:color w:val="auto"/>
        </w:rPr>
        <w:t xml:space="preserve">Recently issued accounting pronouncements that were most significant to our accounting policy activities for fiscal 2019 relate to our adoption of the new lease accounting standard, which we adopted on January 1, 2019. For a detailed discussion regarding the accounting adoption and impacts, see </w:t>
      </w:r>
      <w:hyperlink w:anchor="page75">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w:anchor="page88">
        <w:r>
          <w:rPr>
            <w:rFonts w:ascii="Arial" w:cs="Arial" w:eastAsia="Arial" w:hAnsi="Arial"/>
            <w:sz w:val="17"/>
            <w:szCs w:val="17"/>
            <w:u w:val="single" w:color="auto"/>
            <w:color w:val="0000EE"/>
          </w:rPr>
          <w:t>Note 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20"/>
          </w:cols>
          <w:pgMar w:left="240" w:top="127" w:right="23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17" w:lineRule="exact"/>
        <w:rPr>
          <w:sz w:val="20"/>
          <w:szCs w:val="20"/>
          <w:color w:val="auto"/>
        </w:rPr>
      </w:pPr>
    </w:p>
    <w:p>
      <w:pPr>
        <w:ind w:right="80" w:firstLine="408"/>
        <w:spacing w:after="0" w:line="274" w:lineRule="auto"/>
        <w:rPr>
          <w:sz w:val="20"/>
          <w:szCs w:val="20"/>
          <w:color w:val="auto"/>
        </w:rPr>
      </w:pPr>
      <w:r>
        <w:rPr>
          <w:rFonts w:ascii="Arial" w:cs="Arial" w:eastAsia="Arial" w:hAnsi="Arial"/>
          <w:sz w:val="17"/>
          <w:szCs w:val="17"/>
          <w:color w:val="auto"/>
        </w:rPr>
        <w:t>Market risk is the potential loss arising from fluctuations in market rates and prices. Our market risk exposures primarily include fluctuations in foreign currency exchange rates and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Risk</w:t>
      </w:r>
    </w:p>
    <w:p>
      <w:pPr>
        <w:spacing w:after="0" w:line="213" w:lineRule="exact"/>
        <w:rPr>
          <w:sz w:val="20"/>
          <w:szCs w:val="20"/>
          <w:color w:val="auto"/>
        </w:rPr>
      </w:pPr>
    </w:p>
    <w:p>
      <w:pPr>
        <w:ind w:firstLine="408"/>
        <w:spacing w:after="0" w:line="253" w:lineRule="auto"/>
        <w:rPr>
          <w:sz w:val="20"/>
          <w:szCs w:val="20"/>
          <w:color w:val="auto"/>
        </w:rPr>
      </w:pPr>
      <w:r>
        <w:rPr>
          <w:rFonts w:ascii="Arial" w:cs="Arial" w:eastAsia="Arial" w:hAnsi="Arial"/>
          <w:sz w:val="17"/>
          <w:szCs w:val="17"/>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will result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88" w:lineRule="exact"/>
        <w:rPr>
          <w:sz w:val="20"/>
          <w:szCs w:val="20"/>
          <w:color w:val="auto"/>
        </w:rPr>
      </w:pPr>
    </w:p>
    <w:p>
      <w:pPr>
        <w:ind w:right="120" w:firstLine="370"/>
        <w:spacing w:after="0" w:line="258" w:lineRule="auto"/>
        <w:rPr>
          <w:sz w:val="20"/>
          <w:szCs w:val="20"/>
          <w:color w:val="auto"/>
        </w:rPr>
      </w:pPr>
      <w:r>
        <w:rPr>
          <w:rFonts w:ascii="Arial" w:cs="Arial" w:eastAsia="Arial" w:hAnsi="Arial"/>
          <w:sz w:val="17"/>
          <w:szCs w:val="17"/>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fair values of our foreign currency contracts are estimated based on the prevailing exchange rates of the various hedged currencies as of the end of the period.</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13" w:lineRule="exact"/>
        <w:rPr>
          <w:sz w:val="20"/>
          <w:szCs w:val="20"/>
          <w:color w:val="auto"/>
        </w:rPr>
      </w:pPr>
    </w:p>
    <w:p>
      <w:pPr>
        <w:ind w:right="260" w:firstLine="382"/>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For a detailed discussion of our accounting policies for our foreign currency forward contracts, see </w:t>
      </w:r>
      <w:hyperlink w:anchor="page75">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Designated as Hedges (“Cash Flow Hedges”)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total gross notional amounts and fair values of our Cash Flow Hedges are as follows (amounts in millions):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15875</wp:posOffset>
            </wp:positionV>
            <wp:extent cx="2275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74" w:lineRule="exact"/>
        <w:rPr>
          <w:sz w:val="20"/>
          <w:szCs w:val="20"/>
          <w:color w:val="auto"/>
        </w:rPr>
      </w:pPr>
    </w:p>
    <w:p>
      <w:pPr>
        <w:ind w:left="4380"/>
        <w:spacing w:after="0"/>
        <w:tabs>
          <w:tab w:leader="none" w:pos="604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170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24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15875</wp:posOffset>
            </wp:positionV>
            <wp:extent cx="2299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spacing w:after="0" w:line="74"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47" w:lineRule="exact"/>
        <w:rPr>
          <w:sz w:val="20"/>
          <w:szCs w:val="20"/>
          <w:color w:val="auto"/>
        </w:rPr>
      </w:pPr>
    </w:p>
    <w:p>
      <w:pPr>
        <w:sectPr>
          <w:pgSz w:w="11900" w:h="16838" w:orient="portrait"/>
          <w:cols w:equalWidth="0" w:num="2">
            <w:col w:w="7500" w:space="720"/>
            <w:col w:w="3200"/>
          </w:cols>
          <w:pgMar w:left="240" w:top="127" w:right="2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64" w:lineRule="exact"/>
        <w:rPr>
          <w:sz w:val="20"/>
          <w:szCs w:val="20"/>
          <w:color w:val="auto"/>
        </w:rPr>
      </w:pPr>
    </w:p>
    <w:p>
      <w:pPr>
        <w:ind w:left="20"/>
        <w:spacing w:after="0"/>
        <w:tabs>
          <w:tab w:leader="none" w:pos="4020" w:val="left"/>
          <w:tab w:leader="none" w:pos="5360" w:val="left"/>
          <w:tab w:leader="none" w:pos="5740" w:val="left"/>
          <w:tab w:leader="none" w:pos="7320" w:val="left"/>
          <w:tab w:leader="none" w:pos="7820" w:val="left"/>
          <w:tab w:leader="none" w:pos="9240" w:val="left"/>
          <w:tab w:leader="none" w:pos="11140" w:val="left"/>
        </w:tabs>
        <w:rPr>
          <w:sz w:val="20"/>
          <w:szCs w:val="20"/>
          <w:color w:val="auto"/>
        </w:rPr>
      </w:pPr>
      <w:r>
        <w:rPr>
          <w:rFonts w:ascii="Arial" w:cs="Arial" w:eastAsia="Arial" w:hAnsi="Arial"/>
          <w:sz w:val="17"/>
          <w:szCs w:val="17"/>
          <w:color w:val="auto"/>
        </w:rPr>
        <w:t>Buy USD, Sell Euro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350</w:t>
        <w:tab/>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723  $</w:t>
      </w:r>
      <w:r>
        <w:rPr>
          <w:sz w:val="20"/>
          <w:szCs w:val="20"/>
          <w:color w:val="auto"/>
        </w:rPr>
        <w:tab/>
      </w:r>
      <w:r>
        <w:rPr>
          <w:rFonts w:ascii="Arial" w:cs="Arial" w:eastAsia="Arial" w:hAnsi="Arial"/>
          <w:sz w:val="14"/>
          <w:szCs w:val="14"/>
          <w:color w:val="auto"/>
        </w:rPr>
        <w:t>12</w:t>
      </w:r>
    </w:p>
    <w:p>
      <w:pPr>
        <w:spacing w:after="0" w:line="238" w:lineRule="exact"/>
        <w:rPr>
          <w:sz w:val="20"/>
          <w:szCs w:val="20"/>
          <w:color w:val="auto"/>
        </w:rPr>
      </w:pPr>
    </w:p>
    <w:p>
      <w:pPr>
        <w:ind w:right="120" w:firstLine="382"/>
        <w:spacing w:after="0" w:line="313" w:lineRule="auto"/>
        <w:rPr>
          <w:sz w:val="20"/>
          <w:szCs w:val="20"/>
          <w:color w:val="auto"/>
        </w:rPr>
      </w:pPr>
      <w:r>
        <w:rPr>
          <w:rFonts w:ascii="Arial" w:cs="Arial" w:eastAsia="Arial" w:hAnsi="Arial"/>
          <w:sz w:val="15"/>
          <w:szCs w:val="15"/>
          <w:color w:val="auto"/>
        </w:rPr>
        <w:t>At December 31, 2019, our Cash Flow Hedges have remaining maturities of twelve months or less. Additionally, $10 million of net realized but unrecognized gains are recorded within “Accumulated other comprehensive income (loss)” at December 31, 2019, for Cash Flow Hedges that had settled but were deferred and will be amortized into earnings, along with the associated hedged revenues. Such amounts will be reclassified into earnings within the next 12 months.</w:t>
      </w:r>
    </w:p>
    <w:p>
      <w:pPr>
        <w:spacing w:after="0" w:line="141" w:lineRule="exact"/>
        <w:rPr>
          <w:sz w:val="20"/>
          <w:szCs w:val="20"/>
          <w:color w:val="auto"/>
        </w:rPr>
      </w:pPr>
    </w:p>
    <w:p>
      <w:pPr>
        <w:ind w:right="80" w:firstLine="382"/>
        <w:spacing w:after="0" w:line="274" w:lineRule="auto"/>
        <w:rPr>
          <w:sz w:val="20"/>
          <w:szCs w:val="20"/>
          <w:color w:val="auto"/>
        </w:rPr>
      </w:pPr>
      <w:r>
        <w:rPr>
          <w:rFonts w:ascii="Arial" w:cs="Arial" w:eastAsia="Arial" w:hAnsi="Arial"/>
          <w:sz w:val="17"/>
          <w:szCs w:val="17"/>
          <w:color w:val="auto"/>
        </w:rPr>
        <w:t>The amount of pre-tax net realized gains (losses) associated with our Cash Flow Hedges that were reclassified out of “Accumulated other comprehensive income (loss)” and into earnings are as follows (amounts in millions):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26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Borders>
              <w:bottom w:val="single" w:sz="8" w:color="auto"/>
            </w:tcBorders>
          </w:tcPr>
          <w:p>
            <w:pPr>
              <w:spacing w:after="0"/>
              <w:rPr>
                <w:sz w:val="15"/>
                <w:szCs w:val="15"/>
                <w:color w:val="auto"/>
              </w:rPr>
            </w:pPr>
          </w:p>
        </w:tc>
      </w:tr>
      <w:tr>
        <w:trPr>
          <w:trHeight w:val="235"/>
        </w:trPr>
        <w:tc>
          <w:tcPr>
            <w:tcW w:w="26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Statement of Operations Classification</w:t>
            </w:r>
          </w:p>
        </w:tc>
      </w:tr>
      <w:tr>
        <w:trPr>
          <w:trHeight w:val="23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39</w:t>
            </w:r>
          </w:p>
        </w:tc>
        <w:tc>
          <w:tcPr>
            <w:tcW w:w="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8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8"/>
              </w:rPr>
              <w:t>Net revenues</w:t>
            </w:r>
          </w:p>
        </w:tc>
      </w:tr>
      <w:tr>
        <w:trPr>
          <w:trHeight w:val="611"/>
        </w:trPr>
        <w:tc>
          <w:tcPr>
            <w:tcW w:w="2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jc w:val="right"/>
              <w:ind w:right="175"/>
              <w:spacing w:after="0"/>
              <w:rPr>
                <w:sz w:val="20"/>
                <w:szCs w:val="20"/>
                <w:color w:val="auto"/>
              </w:rPr>
            </w:pPr>
            <w:r>
              <w:rPr>
                <w:rFonts w:ascii="Arial" w:cs="Arial" w:eastAsia="Arial" w:hAnsi="Arial"/>
                <w:sz w:val="17"/>
                <w:szCs w:val="17"/>
                <w:color w:val="auto"/>
              </w:rPr>
              <w:t>60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type w:val="continuous"/>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 Not Designated as Hedges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total gross notional amounts and fair values of our foreign currency forward contracts not designated as hedges are as follows (amounts in millions):</w:t>
      </w:r>
    </w:p>
    <w:p>
      <w:pPr>
        <w:sectPr>
          <w:pgSz w:w="11900" w:h="16838" w:orient="portrait"/>
          <w:cols w:equalWidth="0" w:num="1">
            <w:col w:w="11380"/>
          </w:cols>
          <w:pgMar w:left="240" w:top="127" w:right="27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15875</wp:posOffset>
            </wp:positionV>
            <wp:extent cx="22021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180" cy="8255"/>
                    </a:xfrm>
                    <a:prstGeom prst="rect">
                      <a:avLst/>
                    </a:prstGeom>
                    <a:noFill/>
                  </pic:spPr>
                </pic:pic>
              </a:graphicData>
            </a:graphic>
          </wp:anchor>
        </w:drawing>
      </w:r>
    </w:p>
    <w:p>
      <w:pPr>
        <w:spacing w:after="0" w:line="74" w:lineRule="exact"/>
        <w:rPr>
          <w:sz w:val="20"/>
          <w:szCs w:val="20"/>
          <w:color w:val="auto"/>
        </w:rPr>
      </w:pPr>
    </w:p>
    <w:p>
      <w:pPr>
        <w:ind w:left="4720"/>
        <w:spacing w:after="0"/>
        <w:tabs>
          <w:tab w:leader="none" w:pos="63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170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15875</wp:posOffset>
            </wp:positionV>
            <wp:extent cx="21532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7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47" w:lineRule="exact"/>
        <w:rPr>
          <w:sz w:val="20"/>
          <w:szCs w:val="20"/>
          <w:color w:val="auto"/>
        </w:rPr>
      </w:pPr>
    </w:p>
    <w:p>
      <w:pPr>
        <w:sectPr>
          <w:pgSz w:w="11900" w:h="16838" w:orient="portrait"/>
          <w:cols w:equalWidth="0" w:num="2">
            <w:col w:w="7680" w:space="720"/>
            <w:col w:w="2980"/>
          </w:cols>
          <w:pgMar w:left="240" w:top="127" w:right="27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64" w:lineRule="exact"/>
        <w:rPr>
          <w:sz w:val="20"/>
          <w:szCs w:val="20"/>
          <w:color w:val="auto"/>
        </w:rPr>
      </w:pPr>
    </w:p>
    <w:p>
      <w:pPr>
        <w:ind w:left="20"/>
        <w:spacing w:after="0"/>
        <w:tabs>
          <w:tab w:leader="none" w:pos="4360" w:val="left"/>
          <w:tab w:leader="none" w:pos="5780" w:val="left"/>
          <w:tab w:leader="none" w:pos="6080" w:val="left"/>
          <w:tab w:leader="none" w:pos="7540" w:val="left"/>
          <w:tab w:leader="none" w:pos="8040" w:val="left"/>
          <w:tab w:leader="none" w:pos="9440" w:val="left"/>
          <w:tab w:leader="none" w:pos="11220" w:val="left"/>
        </w:tabs>
        <w:rPr>
          <w:sz w:val="20"/>
          <w:szCs w:val="20"/>
          <w:color w:val="auto"/>
        </w:rPr>
      </w:pPr>
      <w:r>
        <w:rPr>
          <w:rFonts w:ascii="Arial" w:cs="Arial" w:eastAsia="Arial" w:hAnsi="Arial"/>
          <w:sz w:val="17"/>
          <w:szCs w:val="17"/>
          <w:color w:val="auto"/>
        </w:rPr>
        <w:t>Buy USD, Sell GBP</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25</w:t>
        <w:tab/>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55  $</w:t>
      </w:r>
      <w:r>
        <w:rPr>
          <w:sz w:val="20"/>
          <w:szCs w:val="20"/>
          <w:color w:val="auto"/>
        </w:rPr>
        <w:tab/>
      </w:r>
      <w:r>
        <w:rPr>
          <w:rFonts w:ascii="Arial" w:cs="Arial" w:eastAsia="Arial" w:hAnsi="Arial"/>
          <w:sz w:val="14"/>
          <w:szCs w:val="14"/>
          <w:color w:val="auto"/>
        </w:rPr>
        <w:t>1</w:t>
      </w:r>
    </w:p>
    <w:p>
      <w:pPr>
        <w:spacing w:after="0" w:line="238" w:lineRule="exact"/>
        <w:rPr>
          <w:sz w:val="20"/>
          <w:szCs w:val="20"/>
          <w:color w:val="auto"/>
        </w:rPr>
      </w:pPr>
    </w:p>
    <w:p>
      <w:pPr>
        <w:ind w:right="520" w:firstLine="382"/>
        <w:spacing w:after="0" w:line="274" w:lineRule="auto"/>
        <w:rPr>
          <w:sz w:val="20"/>
          <w:szCs w:val="20"/>
          <w:color w:val="auto"/>
        </w:rPr>
      </w:pPr>
      <w:r>
        <w:rPr>
          <w:rFonts w:ascii="Arial" w:cs="Arial" w:eastAsia="Arial" w:hAnsi="Arial"/>
          <w:sz w:val="17"/>
          <w:szCs w:val="17"/>
          <w:color w:val="auto"/>
        </w:rPr>
        <w:t>For the years ended December 31, 2019, 2018, and 2017, pre-tax net gains (losses) associated with these forward contracts were recorded in “General and administrative expenses” and were not material.</w:t>
      </w:r>
    </w:p>
    <w:p>
      <w:pPr>
        <w:spacing w:after="0" w:line="166" w:lineRule="exact"/>
        <w:rPr>
          <w:sz w:val="20"/>
          <w:szCs w:val="20"/>
          <w:color w:val="auto"/>
        </w:rPr>
      </w:pPr>
    </w:p>
    <w:p>
      <w:pPr>
        <w:ind w:right="60" w:firstLine="382"/>
        <w:spacing w:after="0" w:line="313" w:lineRule="auto"/>
        <w:rPr>
          <w:sz w:val="20"/>
          <w:szCs w:val="20"/>
          <w:color w:val="auto"/>
        </w:rPr>
      </w:pPr>
      <w:r>
        <w:rPr>
          <w:rFonts w:ascii="Arial" w:cs="Arial" w:eastAsia="Arial" w:hAnsi="Arial"/>
          <w:sz w:val="15"/>
          <w:szCs w:val="15"/>
          <w:color w:val="auto"/>
        </w:rPr>
        <w:t>In the absence of hedging activities for the year ended December 31, 2019, a hypothetical adverse foreign currency exchange rate movement of 10% would have resulted in a theoretical decline of our net income of approximately $133 million. This sensitivity analysis assumes a parallel adverse shift of all foreign currency exchange rates against the U.S. dollar; however, all foreign currency exchange rates do not always move in this manner and actual results may differ materially.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3" w:lineRule="exact"/>
        <w:rPr>
          <w:sz w:val="20"/>
          <w:szCs w:val="20"/>
          <w:color w:val="auto"/>
        </w:rPr>
      </w:pPr>
    </w:p>
    <w:p>
      <w:pPr>
        <w:ind w:firstLine="382"/>
        <w:spacing w:after="0" w:line="255" w:lineRule="auto"/>
        <w:rPr>
          <w:sz w:val="20"/>
          <w:szCs w:val="20"/>
          <w:color w:val="auto"/>
        </w:rPr>
      </w:pPr>
      <w:r>
        <w:rPr>
          <w:rFonts w:ascii="Arial" w:cs="Arial" w:eastAsia="Arial" w:hAnsi="Arial"/>
          <w:sz w:val="17"/>
          <w:szCs w:val="17"/>
          <w:color w:val="auto"/>
        </w:rPr>
        <w:t>Our exposure to market rate risk for changes in interest rates relates primarily to our investment portfolio, as our outstanding debt is all at fixed rates. 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2019, our $5.8 billion of cash and cash equivalents was comprised primarily of money market funds.</w:t>
      </w:r>
    </w:p>
    <w:p>
      <w:pPr>
        <w:spacing w:after="0" w:line="182" w:lineRule="exact"/>
        <w:rPr>
          <w:sz w:val="20"/>
          <w:szCs w:val="20"/>
          <w:color w:val="auto"/>
        </w:rPr>
      </w:pPr>
    </w:p>
    <w:p>
      <w:pPr>
        <w:ind w:right="540" w:firstLine="382"/>
        <w:spacing w:after="0" w:line="274" w:lineRule="auto"/>
        <w:rPr>
          <w:sz w:val="20"/>
          <w:szCs w:val="20"/>
          <w:color w:val="auto"/>
        </w:rPr>
      </w:pPr>
      <w:r>
        <w:rPr>
          <w:rFonts w:ascii="Arial" w:cs="Arial" w:eastAsia="Arial" w:hAnsi="Arial"/>
          <w:sz w:val="17"/>
          <w:szCs w:val="17"/>
          <w:color w:val="auto"/>
        </w:rPr>
        <w:t>The Company has determined that, based on the composition of our investment portfolio as of December 31, 2019, there was no material interest rate risk exposure to the Company’s consolidated financial condition, results of operations, or liquidity as of that date.</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80"/>
          </w:cols>
          <w:pgMar w:left="240" w:top="127" w:right="279" w:bottom="144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9880" w:type="dxa"/>
            <w:vAlign w:val="bottom"/>
            <w:gridSpan w:val="11"/>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29"/>
        </w:trPr>
        <w:tc>
          <w:tcPr>
            <w:tcW w:w="9880" w:type="dxa"/>
            <w:vAlign w:val="bottom"/>
            <w:gridSpan w:val="11"/>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24"/>
        </w:trPr>
        <w:tc>
          <w:tcPr>
            <w:tcW w:w="660" w:type="dxa"/>
            <w:vAlign w:val="bottom"/>
          </w:tcPr>
          <w:p>
            <w:pPr>
              <w:spacing w:after="0"/>
              <w:rPr>
                <w:sz w:val="24"/>
                <w:szCs w:val="24"/>
                <w:color w:val="auto"/>
              </w:rPr>
            </w:pPr>
          </w:p>
        </w:tc>
        <w:tc>
          <w:tcPr>
            <w:tcW w:w="9220" w:type="dxa"/>
            <w:vAlign w:val="bottom"/>
            <w:gridSpan w:val="10"/>
          </w:tcPr>
          <w:p>
            <w:pPr>
              <w:spacing w:after="0"/>
              <w:rPr>
                <w:rFonts w:ascii="Arial" w:cs="Arial" w:eastAsia="Arial" w:hAnsi="Arial"/>
                <w:sz w:val="17"/>
                <w:szCs w:val="17"/>
                <w:color w:val="0000EE"/>
              </w:rPr>
            </w:pPr>
            <w:hyperlink w:anchor="page66">
              <w:r>
                <w:rPr>
                  <w:rFonts w:ascii="Arial" w:cs="Arial" w:eastAsia="Arial" w:hAnsi="Arial"/>
                  <w:sz w:val="17"/>
                  <w:szCs w:val="17"/>
                  <w:color w:val="0000EE"/>
                </w:rPr>
                <w:t>Report of Independent Registered Public Accounting Firm</w:t>
              </w:r>
            </w:hyperlink>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jc w:val="right"/>
              <w:spacing w:after="0"/>
              <w:rPr>
                <w:rFonts w:ascii="Arial" w:cs="Arial" w:eastAsia="Arial" w:hAnsi="Arial"/>
                <w:sz w:val="17"/>
                <w:szCs w:val="17"/>
                <w:color w:val="0000EE"/>
                <w:w w:val="86"/>
              </w:rPr>
            </w:pPr>
            <w:hyperlink w:anchor="page66">
              <w:r>
                <w:rPr>
                  <w:rFonts w:ascii="Arial" w:cs="Arial" w:eastAsia="Arial" w:hAnsi="Arial"/>
                  <w:sz w:val="17"/>
                  <w:szCs w:val="17"/>
                  <w:color w:val="0000EE"/>
                  <w:w w:val="86"/>
                </w:rPr>
                <w:t>F-1</w:t>
              </w:r>
            </w:hyperlink>
          </w:p>
        </w:tc>
      </w:tr>
      <w:tr>
        <w:trPr>
          <w:trHeight w:val="20"/>
        </w:trPr>
        <w:tc>
          <w:tcPr>
            <w:tcW w:w="66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5"/>
        </w:trPr>
        <w:tc>
          <w:tcPr>
            <w:tcW w:w="660" w:type="dxa"/>
            <w:vAlign w:val="bottom"/>
          </w:tcPr>
          <w:p>
            <w:pPr>
              <w:spacing w:after="0"/>
              <w:rPr>
                <w:sz w:val="20"/>
                <w:szCs w:val="20"/>
                <w:color w:val="auto"/>
              </w:rPr>
            </w:pPr>
          </w:p>
        </w:tc>
        <w:tc>
          <w:tcPr>
            <w:tcW w:w="420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69">
              <w:r>
                <w:rPr>
                  <w:rFonts w:ascii="Arial" w:cs="Arial" w:eastAsia="Arial" w:hAnsi="Arial"/>
                  <w:sz w:val="17"/>
                  <w:szCs w:val="17"/>
                  <w:color w:val="0000EE"/>
                  <w:w w:val="88"/>
                </w:rPr>
                <w:t>Consolidated Balance Sheets at December 31, 2019 and 2018</w:t>
              </w:r>
            </w:hyperlink>
          </w:p>
        </w:tc>
        <w:tc>
          <w:tcPr>
            <w:tcW w:w="5020" w:type="dxa"/>
            <w:vAlign w:val="bottom"/>
            <w:gridSpan w:val="6"/>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69">
              <w:r>
                <w:rPr>
                  <w:rFonts w:ascii="Arial" w:cs="Arial" w:eastAsia="Arial" w:hAnsi="Arial"/>
                  <w:sz w:val="17"/>
                  <w:szCs w:val="17"/>
                  <w:color w:val="0000EE"/>
                  <w:w w:val="86"/>
                </w:rPr>
                <w:t>F-4</w:t>
              </w:r>
            </w:hyperlink>
          </w:p>
        </w:tc>
      </w:tr>
      <w:tr>
        <w:trPr>
          <w:trHeight w:val="235"/>
        </w:trPr>
        <w:tc>
          <w:tcPr>
            <w:tcW w:w="660" w:type="dxa"/>
            <w:vAlign w:val="bottom"/>
          </w:tcPr>
          <w:p>
            <w:pPr>
              <w:spacing w:after="0"/>
              <w:rPr>
                <w:sz w:val="20"/>
                <w:szCs w:val="20"/>
                <w:color w:val="auto"/>
              </w:rPr>
            </w:pPr>
          </w:p>
        </w:tc>
        <w:tc>
          <w:tcPr>
            <w:tcW w:w="9220" w:type="dxa"/>
            <w:vAlign w:val="bottom"/>
            <w:gridSpan w:val="10"/>
          </w:tcPr>
          <w:p>
            <w:pPr>
              <w:spacing w:after="0"/>
              <w:rPr>
                <w:rFonts w:ascii="Arial" w:cs="Arial" w:eastAsia="Arial" w:hAnsi="Arial"/>
                <w:sz w:val="17"/>
                <w:szCs w:val="17"/>
                <w:color w:val="0000EE"/>
              </w:rPr>
            </w:pPr>
            <w:hyperlink w:anchor="page70">
              <w:r>
                <w:rPr>
                  <w:rFonts w:ascii="Arial" w:cs="Arial" w:eastAsia="Arial" w:hAnsi="Arial"/>
                  <w:sz w:val="17"/>
                  <w:szCs w:val="17"/>
                  <w:color w:val="0000EE"/>
                </w:rPr>
                <w:t>Consolidated Statements of Operations for the Years Ended December 31, 2019, 2018, and 2017</w:t>
              </w:r>
            </w:hyperlink>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rFonts w:ascii="Arial" w:cs="Arial" w:eastAsia="Arial" w:hAnsi="Arial"/>
                <w:sz w:val="17"/>
                <w:szCs w:val="17"/>
                <w:color w:val="0000EE"/>
                <w:w w:val="86"/>
              </w:rPr>
            </w:pPr>
            <w:hyperlink w:anchor="page70">
              <w:r>
                <w:rPr>
                  <w:rFonts w:ascii="Arial" w:cs="Arial" w:eastAsia="Arial" w:hAnsi="Arial"/>
                  <w:sz w:val="17"/>
                  <w:szCs w:val="17"/>
                  <w:color w:val="0000EE"/>
                  <w:w w:val="86"/>
                </w:rPr>
                <w:t>F-5</w:t>
              </w:r>
            </w:hyperlink>
          </w:p>
        </w:tc>
      </w:tr>
      <w:tr>
        <w:trPr>
          <w:trHeight w:val="20"/>
        </w:trPr>
        <w:tc>
          <w:tcPr>
            <w:tcW w:w="660" w:type="dxa"/>
            <w:vAlign w:val="bottom"/>
          </w:tcPr>
          <w:p>
            <w:pPr>
              <w:spacing w:after="0" w:line="20" w:lineRule="exact"/>
              <w:rPr>
                <w:sz w:val="1"/>
                <w:szCs w:val="1"/>
                <w:color w:val="auto"/>
              </w:rPr>
            </w:pPr>
          </w:p>
        </w:tc>
        <w:tc>
          <w:tcPr>
            <w:tcW w:w="2980" w:type="dxa"/>
            <w:vAlign w:val="bottom"/>
            <w:gridSpan w:val="2"/>
            <w:shd w:val="clear" w:color="auto" w:fill="0000EE"/>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5"/>
        </w:trPr>
        <w:tc>
          <w:tcPr>
            <w:tcW w:w="660" w:type="dxa"/>
            <w:vAlign w:val="bottom"/>
          </w:tcPr>
          <w:p>
            <w:pPr>
              <w:spacing w:after="0"/>
              <w:rPr>
                <w:sz w:val="20"/>
                <w:szCs w:val="20"/>
                <w:color w:val="auto"/>
              </w:rPr>
            </w:pPr>
          </w:p>
        </w:tc>
        <w:tc>
          <w:tcPr>
            <w:tcW w:w="744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71">
              <w:r>
                <w:rPr>
                  <w:rFonts w:ascii="Arial" w:cs="Arial" w:eastAsia="Arial" w:hAnsi="Arial"/>
                  <w:sz w:val="17"/>
                  <w:szCs w:val="17"/>
                  <w:color w:val="0000EE"/>
                  <w:w w:val="89"/>
                </w:rPr>
                <w:t>Consolidated Statements of Comprehensive Income for the Years Ended December 31, 2019, 2018, and 2017</w:t>
              </w:r>
            </w:hyperlink>
          </w:p>
        </w:tc>
        <w:tc>
          <w:tcPr>
            <w:tcW w:w="1780" w:type="dxa"/>
            <w:vAlign w:val="bottom"/>
            <w:gridSpan w:val="2"/>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71">
              <w:r>
                <w:rPr>
                  <w:rFonts w:ascii="Arial" w:cs="Arial" w:eastAsia="Arial" w:hAnsi="Arial"/>
                  <w:sz w:val="17"/>
                  <w:szCs w:val="17"/>
                  <w:color w:val="0000EE"/>
                  <w:w w:val="86"/>
                </w:rPr>
                <w:t>F-6</w:t>
              </w:r>
            </w:hyperlink>
          </w:p>
        </w:tc>
      </w:tr>
      <w:tr>
        <w:trPr>
          <w:trHeight w:val="235"/>
        </w:trPr>
        <w:tc>
          <w:tcPr>
            <w:tcW w:w="660" w:type="dxa"/>
            <w:vAlign w:val="bottom"/>
          </w:tcPr>
          <w:p>
            <w:pPr>
              <w:spacing w:after="0"/>
              <w:rPr>
                <w:sz w:val="20"/>
                <w:szCs w:val="20"/>
                <w:color w:val="auto"/>
              </w:rPr>
            </w:pPr>
          </w:p>
        </w:tc>
        <w:tc>
          <w:tcPr>
            <w:tcW w:w="9220" w:type="dxa"/>
            <w:vAlign w:val="bottom"/>
            <w:gridSpan w:val="10"/>
          </w:tcPr>
          <w:p>
            <w:pPr>
              <w:spacing w:after="0"/>
              <w:rPr>
                <w:rFonts w:ascii="Arial" w:cs="Arial" w:eastAsia="Arial" w:hAnsi="Arial"/>
                <w:sz w:val="17"/>
                <w:szCs w:val="17"/>
                <w:color w:val="0000EE"/>
              </w:rPr>
            </w:pPr>
            <w:hyperlink w:anchor="page72">
              <w:r>
                <w:rPr>
                  <w:rFonts w:ascii="Arial" w:cs="Arial" w:eastAsia="Arial" w:hAnsi="Arial"/>
                  <w:sz w:val="17"/>
                  <w:szCs w:val="17"/>
                  <w:color w:val="0000EE"/>
                </w:rPr>
                <w:t>Consolidated Statements of Changes in Shareholders’ Equity for the Years Ended December 31, 2019, 2018, and 2017</w:t>
              </w:r>
            </w:hyperlink>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rFonts w:ascii="Arial" w:cs="Arial" w:eastAsia="Arial" w:hAnsi="Arial"/>
                <w:sz w:val="17"/>
                <w:szCs w:val="17"/>
                <w:color w:val="0000EE"/>
                <w:w w:val="86"/>
              </w:rPr>
            </w:pPr>
            <w:hyperlink w:anchor="page72">
              <w:r>
                <w:rPr>
                  <w:rFonts w:ascii="Arial" w:cs="Arial" w:eastAsia="Arial" w:hAnsi="Arial"/>
                  <w:sz w:val="17"/>
                  <w:szCs w:val="17"/>
                  <w:color w:val="0000EE"/>
                  <w:w w:val="86"/>
                </w:rPr>
                <w:t>F-7</w:t>
              </w:r>
            </w:hyperlink>
          </w:p>
        </w:tc>
      </w:tr>
      <w:tr>
        <w:trPr>
          <w:trHeight w:val="235"/>
        </w:trPr>
        <w:tc>
          <w:tcPr>
            <w:tcW w:w="660" w:type="dxa"/>
            <w:vAlign w:val="bottom"/>
          </w:tcPr>
          <w:p>
            <w:pPr>
              <w:spacing w:after="0"/>
              <w:rPr>
                <w:sz w:val="20"/>
                <w:szCs w:val="20"/>
                <w:color w:val="auto"/>
              </w:rPr>
            </w:pPr>
          </w:p>
        </w:tc>
        <w:tc>
          <w:tcPr>
            <w:tcW w:w="6620" w:type="dxa"/>
            <w:vAlign w:val="bottom"/>
            <w:tcBorders>
              <w:top w:val="single" w:sz="8" w:color="0000EE"/>
              <w:bottom w:val="single" w:sz="8" w:color="0000EE"/>
            </w:tcBorders>
            <w:gridSpan w:val="7"/>
          </w:tcPr>
          <w:p>
            <w:pPr>
              <w:spacing w:after="0"/>
              <w:rPr>
                <w:rFonts w:ascii="Arial" w:cs="Arial" w:eastAsia="Arial" w:hAnsi="Arial"/>
                <w:sz w:val="17"/>
                <w:szCs w:val="17"/>
                <w:color w:val="0000EE"/>
                <w:w w:val="89"/>
              </w:rPr>
            </w:pPr>
            <w:hyperlink w:anchor="page73">
              <w:r>
                <w:rPr>
                  <w:rFonts w:ascii="Arial" w:cs="Arial" w:eastAsia="Arial" w:hAnsi="Arial"/>
                  <w:sz w:val="17"/>
                  <w:szCs w:val="17"/>
                  <w:color w:val="0000EE"/>
                  <w:w w:val="89"/>
                </w:rPr>
                <w:t>Consolidated Statements of Cash Flows for the Years Ended December 31, 2019, 2018, and 2017</w:t>
              </w:r>
            </w:hyperlink>
          </w:p>
        </w:tc>
        <w:tc>
          <w:tcPr>
            <w:tcW w:w="1440" w:type="dxa"/>
            <w:vAlign w:val="bottom"/>
            <w:tcBorders>
              <w:top w:val="single" w:sz="8" w:color="0000EE"/>
            </w:tcBorders>
            <w:gridSpan w:val="2"/>
          </w:tcPr>
          <w:p>
            <w:pPr>
              <w:spacing w:after="0"/>
              <w:rPr>
                <w:sz w:val="20"/>
                <w:szCs w:val="20"/>
                <w:color w:val="auto"/>
              </w:rPr>
            </w:pPr>
          </w:p>
        </w:tc>
        <w:tc>
          <w:tcPr>
            <w:tcW w:w="1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0000EE"/>
              <w:bottom w:val="single" w:sz="8" w:color="0000EE"/>
            </w:tcBorders>
          </w:tcPr>
          <w:p>
            <w:pPr>
              <w:jc w:val="right"/>
              <w:spacing w:after="0"/>
              <w:rPr>
                <w:rFonts w:ascii="Arial" w:cs="Arial" w:eastAsia="Arial" w:hAnsi="Arial"/>
                <w:sz w:val="17"/>
                <w:szCs w:val="17"/>
                <w:color w:val="0000EE"/>
                <w:w w:val="86"/>
              </w:rPr>
            </w:pPr>
            <w:hyperlink w:anchor="page73">
              <w:r>
                <w:rPr>
                  <w:rFonts w:ascii="Arial" w:cs="Arial" w:eastAsia="Arial" w:hAnsi="Arial"/>
                  <w:sz w:val="17"/>
                  <w:szCs w:val="17"/>
                  <w:color w:val="0000EE"/>
                  <w:w w:val="86"/>
                </w:rPr>
                <w:t>F-8</w:t>
              </w:r>
            </w:hyperlink>
          </w:p>
        </w:tc>
      </w:tr>
      <w:tr>
        <w:trPr>
          <w:trHeight w:val="235"/>
        </w:trPr>
        <w:tc>
          <w:tcPr>
            <w:tcW w:w="660" w:type="dxa"/>
            <w:vAlign w:val="bottom"/>
          </w:tcPr>
          <w:p>
            <w:pPr>
              <w:spacing w:after="0"/>
              <w:rPr>
                <w:sz w:val="20"/>
                <w:szCs w:val="20"/>
                <w:color w:val="auto"/>
              </w:rPr>
            </w:pPr>
          </w:p>
        </w:tc>
        <w:tc>
          <w:tcPr>
            <w:tcW w:w="2980" w:type="dxa"/>
            <w:vAlign w:val="bottom"/>
            <w:tcBorders>
              <w:bottom w:val="single" w:sz="8" w:color="0000EE"/>
            </w:tcBorders>
            <w:gridSpan w:val="2"/>
          </w:tcPr>
          <w:p>
            <w:pPr>
              <w:spacing w:after="0"/>
              <w:rPr>
                <w:rFonts w:ascii="Arial" w:cs="Arial" w:eastAsia="Arial" w:hAnsi="Arial"/>
                <w:sz w:val="17"/>
                <w:szCs w:val="17"/>
                <w:color w:val="0000EE"/>
                <w:w w:val="89"/>
              </w:rPr>
            </w:pPr>
            <w:hyperlink w:anchor="page74">
              <w:r>
                <w:rPr>
                  <w:rFonts w:ascii="Arial" w:cs="Arial" w:eastAsia="Arial" w:hAnsi="Arial"/>
                  <w:sz w:val="17"/>
                  <w:szCs w:val="17"/>
                  <w:color w:val="0000EE"/>
                  <w:w w:val="89"/>
                </w:rPr>
                <w:t>Notes to Consolidated Financial Statements</w:t>
              </w:r>
            </w:hyperlink>
          </w:p>
        </w:tc>
        <w:tc>
          <w:tcPr>
            <w:tcW w:w="6240" w:type="dxa"/>
            <w:vAlign w:val="bottom"/>
            <w:gridSpan w:val="8"/>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74">
              <w:r>
                <w:rPr>
                  <w:rFonts w:ascii="Arial" w:cs="Arial" w:eastAsia="Arial" w:hAnsi="Arial"/>
                  <w:sz w:val="17"/>
                  <w:szCs w:val="17"/>
                  <w:color w:val="0000EE"/>
                  <w:w w:val="86"/>
                </w:rPr>
                <w:t>F-9</w:t>
              </w:r>
            </w:hyperlink>
          </w:p>
        </w:tc>
      </w:tr>
      <w:tr>
        <w:trPr>
          <w:trHeight w:val="235"/>
        </w:trPr>
        <w:tc>
          <w:tcPr>
            <w:tcW w:w="660" w:type="dxa"/>
            <w:vAlign w:val="bottom"/>
          </w:tcPr>
          <w:p>
            <w:pPr>
              <w:spacing w:after="0"/>
              <w:rPr>
                <w:sz w:val="20"/>
                <w:szCs w:val="20"/>
                <w:color w:val="auto"/>
              </w:rPr>
            </w:pPr>
          </w:p>
        </w:tc>
        <w:tc>
          <w:tcPr>
            <w:tcW w:w="6040" w:type="dxa"/>
            <w:vAlign w:val="bottom"/>
            <w:gridSpan w:val="5"/>
          </w:tcPr>
          <w:p>
            <w:pPr>
              <w:spacing w:after="0"/>
              <w:rPr>
                <w:rFonts w:ascii="Arial" w:cs="Arial" w:eastAsia="Arial" w:hAnsi="Arial"/>
                <w:sz w:val="17"/>
                <w:szCs w:val="17"/>
                <w:color w:val="0000EE"/>
                <w:w w:val="91"/>
              </w:rPr>
            </w:pPr>
            <w:hyperlink w:anchor="page123">
              <w:r>
                <w:rPr>
                  <w:rFonts w:ascii="Arial" w:cs="Arial" w:eastAsia="Arial" w:hAnsi="Arial"/>
                  <w:sz w:val="17"/>
                  <w:szCs w:val="17"/>
                  <w:color w:val="0000EE"/>
                  <w:w w:val="91"/>
                </w:rPr>
                <w:t>Schedule II—Valuation and Qualifying Accounts at December 31, 2019, 2018, and 2017</w:t>
              </w:r>
            </w:hyperlink>
          </w:p>
        </w:tc>
        <w:tc>
          <w:tcPr>
            <w:tcW w:w="3180" w:type="dxa"/>
            <w:vAlign w:val="bottom"/>
            <w:gridSpan w:val="5"/>
          </w:tcPr>
          <w:p>
            <w:pPr>
              <w:spacing w:after="0"/>
              <w:rPr>
                <w:sz w:val="20"/>
                <w:szCs w:val="20"/>
                <w:color w:val="auto"/>
              </w:rPr>
            </w:pPr>
          </w:p>
        </w:tc>
        <w:tc>
          <w:tcPr>
            <w:tcW w:w="1500" w:type="dxa"/>
            <w:vAlign w:val="bottom"/>
            <w:gridSpan w:val="3"/>
          </w:tcPr>
          <w:p>
            <w:pPr>
              <w:jc w:val="right"/>
              <w:spacing w:after="0"/>
              <w:rPr>
                <w:rFonts w:ascii="Arial" w:cs="Arial" w:eastAsia="Arial" w:hAnsi="Arial"/>
                <w:sz w:val="17"/>
                <w:szCs w:val="17"/>
                <w:color w:val="0000EE"/>
              </w:rPr>
            </w:pPr>
            <w:hyperlink w:anchor="page123">
              <w:r>
                <w:rPr>
                  <w:rFonts w:ascii="Arial" w:cs="Arial" w:eastAsia="Arial" w:hAnsi="Arial"/>
                  <w:sz w:val="17"/>
                  <w:szCs w:val="17"/>
                  <w:color w:val="0000EE"/>
                </w:rPr>
                <w:t>F-56</w:t>
              </w:r>
            </w:hyperlink>
          </w:p>
        </w:tc>
      </w:tr>
      <w:tr>
        <w:trPr>
          <w:trHeight w:val="20"/>
        </w:trPr>
        <w:tc>
          <w:tcPr>
            <w:tcW w:w="6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43" w:lineRule="exact"/>
        <w:rPr>
          <w:sz w:val="20"/>
          <w:szCs w:val="20"/>
          <w:color w:val="auto"/>
        </w:rPr>
      </w:pPr>
    </w:p>
    <w:p>
      <w:pPr>
        <w:ind w:right="180" w:firstLine="408"/>
        <w:spacing w:after="0" w:line="274"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Disclosure Controls and Procedures.</w:t>
      </w:r>
    </w:p>
    <w:p>
      <w:pPr>
        <w:spacing w:after="0" w:line="213" w:lineRule="exact"/>
        <w:rPr>
          <w:sz w:val="20"/>
          <w:szCs w:val="20"/>
          <w:color w:val="auto"/>
        </w:rPr>
      </w:pPr>
    </w:p>
    <w:p>
      <w:pPr>
        <w:ind w:firstLine="408"/>
        <w:spacing w:after="0" w:line="292" w:lineRule="auto"/>
        <w:rPr>
          <w:sz w:val="20"/>
          <w:szCs w:val="20"/>
          <w:color w:val="auto"/>
        </w:rPr>
      </w:pPr>
      <w:r>
        <w:rPr>
          <w:rFonts w:ascii="Arial" w:cs="Arial" w:eastAsia="Arial" w:hAnsi="Arial"/>
          <w:sz w:val="15"/>
          <w:szCs w:val="15"/>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13" w:lineRule="exact"/>
        <w:rPr>
          <w:sz w:val="20"/>
          <w:szCs w:val="20"/>
          <w:color w:val="auto"/>
        </w:rPr>
      </w:pPr>
    </w:p>
    <w:p>
      <w:pPr>
        <w:ind w:firstLine="408"/>
        <w:spacing w:after="0" w:line="287" w:lineRule="auto"/>
        <w:rPr>
          <w:sz w:val="20"/>
          <w:szCs w:val="20"/>
          <w:color w:val="auto"/>
        </w:rPr>
      </w:pPr>
      <w:r>
        <w:rPr>
          <w:rFonts w:ascii="Arial" w:cs="Arial" w:eastAsia="Arial" w:hAnsi="Arial"/>
          <w:sz w:val="15"/>
          <w:szCs w:val="15"/>
          <w:color w:val="auto"/>
        </w:rPr>
        <w:t>Our management, with the participation of our principal executive officer and principal financial officer, has evaluated the effectiveness of our disclosure controls and procedures at December 31, 2019, the end of the period covered by this report. Based on this evaluation, the principal executive officer and principal financial officer concluded that, at December 31, 2019, our disclosure controls and procedures were effective to provide reasonable assurance that information required to be disclosed by the Company in the reports that it files or submits under the Exchange Act is (1) recorded, processed, summarized, and reported on a timely basis, and</w:t>
      </w:r>
    </w:p>
    <w:p>
      <w:pPr>
        <w:spacing w:after="0" w:line="2" w:lineRule="exact"/>
        <w:rPr>
          <w:sz w:val="20"/>
          <w:szCs w:val="20"/>
          <w:color w:val="auto"/>
        </w:rPr>
      </w:pPr>
    </w:p>
    <w:p>
      <w:pPr>
        <w:ind w:right="640" w:firstLine="2"/>
        <w:spacing w:after="0" w:line="260" w:lineRule="auto"/>
        <w:tabs>
          <w:tab w:leader="none" w:pos="241"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accumulated and communicated to our management, including our principal executive officer and principal financial officer, as appropriate to allow timely decisions regarding required disclosures.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420"/>
          </w:cols>
          <w:pgMar w:left="240" w:top="110"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Management’s Report on Internal Control Over Financial Reporting.</w:t>
      </w:r>
    </w:p>
    <w:p>
      <w:pPr>
        <w:spacing w:after="0" w:line="213" w:lineRule="exact"/>
        <w:rPr>
          <w:sz w:val="20"/>
          <w:szCs w:val="20"/>
          <w:color w:val="auto"/>
        </w:rPr>
      </w:pPr>
    </w:p>
    <w:p>
      <w:pPr>
        <w:ind w:firstLine="408"/>
        <w:spacing w:after="0" w:line="25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2019,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2019.</w:t>
      </w:r>
    </w:p>
    <w:p>
      <w:pPr>
        <w:spacing w:after="0" w:line="181" w:lineRule="exact"/>
        <w:rPr>
          <w:sz w:val="20"/>
          <w:szCs w:val="20"/>
          <w:color w:val="auto"/>
        </w:rPr>
      </w:pPr>
    </w:p>
    <w:p>
      <w:pPr>
        <w:ind w:right="60" w:firstLine="408"/>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76" w:lineRule="exact"/>
        <w:rPr>
          <w:sz w:val="20"/>
          <w:szCs w:val="20"/>
          <w:color w:val="auto"/>
        </w:rPr>
      </w:pPr>
    </w:p>
    <w:p>
      <w:pPr>
        <w:ind w:right="260" w:firstLine="408"/>
        <w:spacing w:after="0" w:line="274" w:lineRule="auto"/>
        <w:rPr>
          <w:sz w:val="20"/>
          <w:szCs w:val="20"/>
          <w:color w:val="auto"/>
        </w:rPr>
      </w:pPr>
      <w:r>
        <w:rPr>
          <w:rFonts w:ascii="Arial" w:cs="Arial" w:eastAsia="Arial" w:hAnsi="Arial"/>
          <w:sz w:val="17"/>
          <w:szCs w:val="17"/>
          <w:color w:val="auto"/>
        </w:rPr>
        <w:t>The effectiveness of our internal control over financial reporting as of December 31, 2019, has been audited by PricewaterhouseCoopers LLP, an independent registered public accounting firm, as stated in their report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13" w:lineRule="exact"/>
        <w:rPr>
          <w:sz w:val="20"/>
          <w:szCs w:val="20"/>
          <w:color w:val="auto"/>
        </w:rPr>
      </w:pPr>
    </w:p>
    <w:p>
      <w:pPr>
        <w:jc w:val="both"/>
        <w:ind w:right="180" w:firstLine="382"/>
        <w:spacing w:after="0" w:line="279"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any changes in our internal control over financial reporting that occurred during the quarter ended December 31, 2019. Based on this evaluation, the principal executive officer and principal financial officer concluded that, at December 31, 2019, 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60"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9B.</w:t>
        <w:tab/>
        <w:t>OTHER INFORMATION</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00"/>
          </w:cols>
          <w:pgMar w:left="240" w:top="127"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217" w:lineRule="exact"/>
        <w:rPr>
          <w:sz w:val="20"/>
          <w:szCs w:val="20"/>
          <w:color w:val="auto"/>
        </w:rPr>
      </w:pPr>
    </w:p>
    <w:p>
      <w:pPr>
        <w:ind w:right="120" w:firstLine="408"/>
        <w:spacing w:after="0" w:line="279" w:lineRule="auto"/>
        <w:rPr>
          <w:sz w:val="20"/>
          <w:szCs w:val="20"/>
          <w:color w:val="auto"/>
        </w:rPr>
      </w:pPr>
      <w:r>
        <w:rPr>
          <w:rFonts w:ascii="Arial" w:cs="Arial" w:eastAsia="Arial" w:hAnsi="Arial"/>
          <w:sz w:val="16"/>
          <w:szCs w:val="16"/>
          <w:color w:val="auto"/>
        </w:rPr>
        <w:t>The information required by this Item, other than the information regarding executive officers, which is included in Item 1 of this report, is incorporated by reference to the sections of our definitive Proxy Statement for our 2020 Annual Meeting of Shareholders entitled “Proposal 1—Election of Directors,” “Corporate Governance Matters—Board of Directors and Committees—Board Committees,” “Corporate Governance Matters—Code of Conduct,” and, if applicable, “Beneficial Ownership Matters—Delinquent Section 16(a) Reports Beneficial Ownership Reporting Compliance” to be filed with the SEC.</w:t>
      </w:r>
    </w:p>
    <w:p>
      <w:pPr>
        <w:spacing w:after="0" w:line="160"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17" w:lineRule="exact"/>
        <w:rPr>
          <w:sz w:val="20"/>
          <w:szCs w:val="20"/>
          <w:color w:val="auto"/>
        </w:rPr>
      </w:pPr>
    </w:p>
    <w:p>
      <w:pPr>
        <w:ind w:firstLine="408"/>
        <w:spacing w:after="0" w:line="274"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2020 Annual Meeting of Shareholders entitled “Executive Compensation” and “Director Compensation” to be filed with the SEC.</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217" w:lineRule="exact"/>
        <w:rPr>
          <w:sz w:val="20"/>
          <w:szCs w:val="20"/>
          <w:color w:val="auto"/>
        </w:rPr>
      </w:pPr>
    </w:p>
    <w:p>
      <w:pPr>
        <w:ind w:firstLine="408"/>
        <w:spacing w:after="0" w:line="274"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2020 Annual Meeting of Shareholders entitled “Beneficial Ownership Matters” and “Equity Compensation Plan Information” to be filed with the SEC.</w:t>
      </w:r>
    </w:p>
    <w:p>
      <w:pPr>
        <w:spacing w:after="0" w:line="16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217" w:lineRule="exact"/>
        <w:rPr>
          <w:sz w:val="20"/>
          <w:szCs w:val="20"/>
          <w:color w:val="auto"/>
        </w:rPr>
      </w:pPr>
    </w:p>
    <w:p>
      <w:pPr>
        <w:ind w:firstLine="408"/>
        <w:spacing w:after="0" w:line="343" w:lineRule="auto"/>
        <w:rPr>
          <w:sz w:val="20"/>
          <w:szCs w:val="20"/>
          <w:color w:val="auto"/>
        </w:rPr>
      </w:pPr>
      <w:r>
        <w:rPr>
          <w:rFonts w:ascii="Arial" w:cs="Arial" w:eastAsia="Arial" w:hAnsi="Arial"/>
          <w:sz w:val="15"/>
          <w:szCs w:val="15"/>
          <w:color w:val="auto"/>
        </w:rPr>
        <w:t>The information required by this Item is incorporated by reference to the sections of our definitive Proxy Statement for our 2020 Annual Meeting of Shareholders entitled “Corporate Governance Matters—Board of Directors and Committees” and “Certain Relationships and Related Person Transactions” to be filed with the SEC.</w:t>
      </w:r>
    </w:p>
    <w:p>
      <w:pPr>
        <w:spacing w:after="0" w:line="11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17" w:lineRule="exact"/>
        <w:rPr>
          <w:sz w:val="20"/>
          <w:szCs w:val="20"/>
          <w:color w:val="auto"/>
        </w:rPr>
      </w:pPr>
    </w:p>
    <w:p>
      <w:pPr>
        <w:ind w:firstLine="408"/>
        <w:spacing w:after="0" w:line="274" w:lineRule="auto"/>
        <w:rPr>
          <w:sz w:val="20"/>
          <w:szCs w:val="20"/>
          <w:color w:val="auto"/>
        </w:rPr>
      </w:pPr>
      <w:r>
        <w:rPr>
          <w:rFonts w:ascii="Arial" w:cs="Arial" w:eastAsia="Arial" w:hAnsi="Arial"/>
          <w:sz w:val="17"/>
          <w:szCs w:val="17"/>
          <w:color w:val="auto"/>
        </w:rPr>
        <w:t>The information required by this Item is incorporated by reference to the sections of our definitive Proxy Statement for our 2020 Annual Meeting of Shareholders entitled “Audit-Related Matters” to be filed with the SEC.</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127"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PART IV</w:t>
      </w:r>
    </w:p>
    <w:p>
      <w:pPr>
        <w:spacing w:after="0" w:line="2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15.</w:t>
        <w:tab/>
        <w:t>EXHIBITS, FINANCIAL STATEMENT SCHEDULES</w:t>
      </w:r>
    </w:p>
    <w:p>
      <w:pPr>
        <w:spacing w:after="0" w:line="370" w:lineRule="exact"/>
        <w:rPr>
          <w:sz w:val="20"/>
          <w:szCs w:val="20"/>
          <w:color w:val="auto"/>
        </w:rPr>
      </w:pPr>
    </w:p>
    <w:p>
      <w:pPr>
        <w:ind w:left="840" w:hanging="813"/>
        <w:spacing w:after="0" w:line="274" w:lineRule="auto"/>
        <w:tabs>
          <w:tab w:leader="none" w:pos="61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1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See Item 8.—Consolidated Financial Statements and Supplementary Data for index to Financial Statements and Financial Statement Schedule on page </w:t>
      </w:r>
      <w:hyperlink w:anchor="page62">
        <w:r>
          <w:rPr>
            <w:rFonts w:ascii="Arial" w:cs="Arial" w:eastAsia="Arial" w:hAnsi="Arial"/>
            <w:sz w:val="17"/>
            <w:szCs w:val="17"/>
            <w:u w:val="single" w:color="auto"/>
            <w:color w:val="0000EE"/>
          </w:rPr>
          <w:t>62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herein.</w:t>
      </w:r>
    </w:p>
    <w:p>
      <w:pPr>
        <w:spacing w:after="0" w:line="319" w:lineRule="exact"/>
        <w:rPr>
          <w:sz w:val="20"/>
          <w:szCs w:val="20"/>
          <w:color w:val="auto"/>
        </w:rPr>
      </w:pPr>
    </w:p>
    <w:p>
      <w:pPr>
        <w:ind w:left="840" w:right="80" w:hanging="234"/>
        <w:spacing w:after="0" w:line="307"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 </w:t>
      </w:r>
      <w:r>
        <w:rPr>
          <w:rFonts w:ascii="Arial" w:cs="Arial" w:eastAsia="Arial" w:hAnsi="Arial"/>
          <w:sz w:val="16"/>
          <w:szCs w:val="16"/>
          <w:color w:val="auto"/>
        </w:rPr>
        <w:t>The following financial statement schedule of Activision Blizzard for the years ended December 31, 2019, 2018, and 2017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is filed as part of this report on page </w:t>
      </w:r>
      <w:hyperlink w:anchor="page123">
        <w:r>
          <w:rPr>
            <w:rFonts w:ascii="Arial" w:cs="Arial" w:eastAsia="Arial" w:hAnsi="Arial"/>
            <w:sz w:val="16"/>
            <w:szCs w:val="16"/>
            <w:u w:val="single" w:color="auto"/>
            <w:color w:val="0000EE"/>
          </w:rPr>
          <w:t>F-56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and should be read in conjunction with the consolidated financial statements of Activision Blizzard:</w:t>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Schedule II—Valuation and Qualifying Accounts</w:t>
      </w:r>
    </w:p>
    <w:p>
      <w:pPr>
        <w:spacing w:after="0" w:line="366" w:lineRule="exact"/>
        <w:rPr>
          <w:sz w:val="20"/>
          <w:szCs w:val="20"/>
          <w:color w:val="auto"/>
        </w:rPr>
      </w:pPr>
    </w:p>
    <w:p>
      <w:pPr>
        <w:ind w:left="840" w:right="440"/>
        <w:spacing w:after="0" w:line="274" w:lineRule="auto"/>
        <w:rPr>
          <w:sz w:val="20"/>
          <w:szCs w:val="20"/>
          <w:color w:val="auto"/>
        </w:rPr>
      </w:pPr>
      <w:r>
        <w:rPr>
          <w:rFonts w:ascii="Arial" w:cs="Arial" w:eastAsia="Arial" w:hAnsi="Arial"/>
          <w:sz w:val="17"/>
          <w:szCs w:val="17"/>
          <w:color w:val="auto"/>
        </w:rPr>
        <w:t>Other financial statement schedules are omitted because the information called for is not applicable or is shown either in the Consolidated Financial Statements or the Notes thereto.</w:t>
      </w:r>
    </w:p>
    <w:p>
      <w:pPr>
        <w:spacing w:after="0" w:line="319" w:lineRule="exact"/>
        <w:rPr>
          <w:sz w:val="20"/>
          <w:szCs w:val="20"/>
          <w:color w:val="auto"/>
        </w:rPr>
      </w:pPr>
    </w:p>
    <w:p>
      <w:pPr>
        <w:ind w:left="840" w:right="200" w:hanging="234"/>
        <w:spacing w:after="0" w:line="274" w:lineRule="auto"/>
        <w:tabs>
          <w:tab w:leader="none" w:pos="8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exhibits listed on the accompanying index to exhibits immediately following the financial statements are filed as part of, or hereby incorporated by reference into, this Annual Report on Form 10-K.</w:t>
      </w:r>
    </w:p>
    <w:p>
      <w:pPr>
        <w:spacing w:after="0" w:line="187"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16.</w:t>
        <w:tab/>
        <w:t>FORM 10-K SUMMARY</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20"/>
          </w:cols>
          <w:pgMar w:left="240" w:top="127" w:right="3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Activision Blizzard, Inc.</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Opinions on the Financial Statements and Internal Control over Financial Reporting</w:t>
      </w:r>
    </w:p>
    <w:p>
      <w:pPr>
        <w:spacing w:after="0" w:line="213" w:lineRule="exact"/>
        <w:rPr>
          <w:sz w:val="20"/>
          <w:szCs w:val="20"/>
          <w:color w:val="auto"/>
        </w:rPr>
      </w:pPr>
    </w:p>
    <w:p>
      <w:pPr>
        <w:ind w:firstLine="382"/>
        <w:spacing w:after="0" w:line="298" w:lineRule="auto"/>
        <w:rPr>
          <w:sz w:val="20"/>
          <w:szCs w:val="20"/>
          <w:color w:val="auto"/>
        </w:rPr>
      </w:pPr>
      <w:r>
        <w:rPr>
          <w:rFonts w:ascii="Arial" w:cs="Arial" w:eastAsia="Arial" w:hAnsi="Arial"/>
          <w:sz w:val="15"/>
          <w:szCs w:val="15"/>
          <w:color w:val="auto"/>
        </w:rPr>
        <w:t xml:space="preserve">We have audited the accompanying consolidated balance sheets of Activision Blizzard, Inc. and its subsidiaries (the “Company”) as of December 31, 2019 and 2018, and the related consolidated statements of operations, of comprehensive income, of changes in shareholders' equity and of cash flows for each of the three years in the period ended December 31, 2019, including the related notes and financial statement schedule listed in the index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53" w:lineRule="exact"/>
        <w:rPr>
          <w:sz w:val="20"/>
          <w:szCs w:val="20"/>
          <w:color w:val="auto"/>
        </w:rPr>
      </w:pPr>
    </w:p>
    <w:p>
      <w:pPr>
        <w:ind w:right="80" w:firstLine="382"/>
        <w:spacing w:after="0" w:line="303"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Changes in Accounting Principles</w:t>
      </w:r>
    </w:p>
    <w:p>
      <w:pPr>
        <w:spacing w:after="0" w:line="213" w:lineRule="exact"/>
        <w:rPr>
          <w:sz w:val="20"/>
          <w:szCs w:val="20"/>
          <w:color w:val="auto"/>
        </w:rPr>
      </w:pPr>
    </w:p>
    <w:p>
      <w:pPr>
        <w:ind w:right="420" w:firstLine="382"/>
        <w:spacing w:after="0" w:line="274" w:lineRule="auto"/>
        <w:rPr>
          <w:sz w:val="20"/>
          <w:szCs w:val="20"/>
          <w:color w:val="auto"/>
        </w:rPr>
      </w:pPr>
      <w:r>
        <w:rPr>
          <w:rFonts w:ascii="Arial" w:cs="Arial" w:eastAsia="Arial" w:hAnsi="Arial"/>
          <w:sz w:val="17"/>
          <w:szCs w:val="17"/>
          <w:color w:val="auto"/>
        </w:rPr>
        <w:t>As discussed in Note 2 to the consolidated financial statements, the Company changed the manner in which it accounts for leases in 2019 and the manner in which it accounts for revenues from contracts with customers in 2018.</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Opinions</w:t>
      </w:r>
    </w:p>
    <w:p>
      <w:pPr>
        <w:spacing w:after="0" w:line="213" w:lineRule="exact"/>
        <w:rPr>
          <w:sz w:val="20"/>
          <w:szCs w:val="20"/>
          <w:color w:val="auto"/>
        </w:rPr>
      </w:pPr>
    </w:p>
    <w:p>
      <w:pPr>
        <w:ind w:right="60" w:firstLine="382"/>
        <w:spacing w:after="0" w:line="255"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ind w:right="200" w:firstLine="382"/>
        <w:spacing w:after="0" w:line="26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ind w:right="80" w:firstLine="382"/>
        <w:spacing w:after="0" w:line="27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00"/>
          </w:cols>
          <w:pgMar w:left="240" w:top="127" w:right="25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213" w:lineRule="exact"/>
        <w:rPr>
          <w:sz w:val="20"/>
          <w:szCs w:val="20"/>
          <w:color w:val="auto"/>
        </w:rPr>
      </w:pPr>
    </w:p>
    <w:p>
      <w:pPr>
        <w:ind w:firstLine="382"/>
        <w:spacing w:after="0" w:line="27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20" w:firstLine="382"/>
        <w:spacing w:after="0" w:line="26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213" w:lineRule="exact"/>
        <w:rPr>
          <w:sz w:val="20"/>
          <w:szCs w:val="20"/>
          <w:color w:val="auto"/>
        </w:rPr>
      </w:pPr>
    </w:p>
    <w:p>
      <w:pPr>
        <w:ind w:right="20" w:firstLine="382"/>
        <w:spacing w:after="0" w:line="25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 - Determination of Service Period for the Online Functionality</w:t>
      </w:r>
    </w:p>
    <w:p>
      <w:pPr>
        <w:spacing w:after="0" w:line="213" w:lineRule="exact"/>
        <w:rPr>
          <w:sz w:val="20"/>
          <w:szCs w:val="20"/>
          <w:color w:val="auto"/>
        </w:rPr>
      </w:pPr>
    </w:p>
    <w:p>
      <w:pPr>
        <w:ind w:right="60" w:firstLine="382"/>
        <w:spacing w:after="0" w:line="254" w:lineRule="auto"/>
        <w:rPr>
          <w:sz w:val="20"/>
          <w:szCs w:val="20"/>
          <w:color w:val="auto"/>
        </w:rPr>
      </w:pPr>
      <w:r>
        <w:rPr>
          <w:rFonts w:ascii="Arial" w:cs="Arial" w:eastAsia="Arial" w:hAnsi="Arial"/>
          <w:sz w:val="17"/>
          <w:szCs w:val="17"/>
          <w:color w:val="auto"/>
        </w:rPr>
        <w:t>As described in Note 2 to the consolidated financial statements, the Company recognizes a significant portion of their revenue ratably over the estimated service period for the portion of the transaction price allocable to the online functionality, which is generally less than twelve months. When determining the estimated service period for players of the Company’s games, management considers a variety of data points including the weighted-average number of days between the players’ first and last days played online, the average total hours played, the average number of days in which the player activity stabilizes, and the weighted-average number of days between players’ first purchase date and last date played online. Management also considers known online trends, the service period of their previously released games, and the service period of their competitors’ games that are similar in nature, to the extent they are publicly available. Determining the estimated service period is subjective and requires management’s judgment.</w:t>
      </w:r>
    </w:p>
    <w:p>
      <w:pPr>
        <w:spacing w:after="0" w:line="184" w:lineRule="exact"/>
        <w:rPr>
          <w:sz w:val="20"/>
          <w:szCs w:val="20"/>
          <w:color w:val="auto"/>
        </w:rPr>
      </w:pPr>
    </w:p>
    <w:p>
      <w:pPr>
        <w:ind w:right="80" w:firstLine="382"/>
        <w:spacing w:after="0" w:line="298" w:lineRule="auto"/>
        <w:rPr>
          <w:sz w:val="20"/>
          <w:szCs w:val="20"/>
          <w:color w:val="auto"/>
        </w:rPr>
      </w:pPr>
      <w:r>
        <w:rPr>
          <w:rFonts w:ascii="Arial" w:cs="Arial" w:eastAsia="Arial" w:hAnsi="Arial"/>
          <w:sz w:val="15"/>
          <w:szCs w:val="15"/>
          <w:color w:val="auto"/>
        </w:rPr>
        <w:t>The principal considerations for our determination that performing procedures relating to revenue recognition - determination of the service period for the online functionality is a critical audit matter are there was significant judgment by management when determining the service period. This in turn led to a high degree of auditor judgment, subjectivity and effort in performing procedures and in evaluating audit evidence relating to the data used in developing the service period assumption, including the player data assessed by management for historical or comparable titles to determine the weighted-average number of days between players' first purchase date and last date played online, as well as qualitative factors utilized by management, such as analysis of competitor and industry information.</w:t>
      </w:r>
    </w:p>
    <w:p>
      <w:pPr>
        <w:spacing w:after="0" w:line="153" w:lineRule="exact"/>
        <w:rPr>
          <w:sz w:val="20"/>
          <w:szCs w:val="20"/>
          <w:color w:val="auto"/>
        </w:rPr>
      </w:pPr>
    </w:p>
    <w:p>
      <w:pPr>
        <w:ind w:right="300" w:firstLine="382"/>
        <w:spacing w:after="0" w:line="298"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determination of the service period for the online functionality. These procedures also included, among others, testing management’s method of obtaining and analyzing player data, assessing qualitative factors utilized by management, such as comparison to similar or historical titles and analysis of competitor and industry information, evaluating the reasonableness of management’s determination of the estimated service period and testing the completeness and accuracy of player data used in the determination of the service period estimate.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400"/>
          </w:cols>
          <w:pgMar w:left="240" w:top="127" w:right="25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Transferred Intellectual Property Rights That Give Rise to Deferred Tax Assets</w:t>
      </w:r>
    </w:p>
    <w:p>
      <w:pPr>
        <w:spacing w:after="0" w:line="213" w:lineRule="exact"/>
        <w:rPr>
          <w:sz w:val="20"/>
          <w:szCs w:val="20"/>
          <w:color w:val="auto"/>
        </w:rPr>
      </w:pPr>
    </w:p>
    <w:p>
      <w:pPr>
        <w:ind w:firstLine="382"/>
        <w:spacing w:after="0" w:line="274" w:lineRule="auto"/>
        <w:rPr>
          <w:sz w:val="20"/>
          <w:szCs w:val="20"/>
          <w:color w:val="auto"/>
        </w:rPr>
      </w:pPr>
      <w:r>
        <w:rPr>
          <w:rFonts w:ascii="Arial" w:cs="Arial" w:eastAsia="Arial" w:hAnsi="Arial"/>
          <w:sz w:val="16"/>
          <w:szCs w:val="16"/>
          <w:color w:val="auto"/>
        </w:rPr>
        <w:t>As described in Note 19 to the consolidated financial statements, in October 2019, the Company completed an intra-entity transfer of certain intellectual property rights to one of its subsidiaries in the U.K. The transfer did not result in a taxable gain; however, the Company’s U.K. subsidiary received a step-up in tax basis based on the fair value of the transferred intellectual property rights. Such fair value was determined based on management’s expectations of future cash flows, long-term growth rates, and discount rates. The Company recorded a one-time benefit of $230 million in the quarter ended December 31, 2019 for the recognition of a $1.1 billion deferred tax asset in the U.K. related to the amortizable tax basis in the transferred intellectual property, net of uncertain tax positions and valuation allowance, partially offset by a related $920 million deferred tax liability for U.S. taxes on foreign earnings.</w:t>
      </w:r>
    </w:p>
    <w:p>
      <w:pPr>
        <w:spacing w:after="0" w:line="168" w:lineRule="exact"/>
        <w:rPr>
          <w:sz w:val="20"/>
          <w:szCs w:val="20"/>
          <w:color w:val="auto"/>
        </w:rPr>
      </w:pPr>
    </w:p>
    <w:p>
      <w:pPr>
        <w:ind w:firstLine="382"/>
        <w:spacing w:after="0" w:line="276" w:lineRule="auto"/>
        <w:rPr>
          <w:sz w:val="20"/>
          <w:szCs w:val="20"/>
          <w:color w:val="auto"/>
        </w:rPr>
      </w:pPr>
      <w:r>
        <w:rPr>
          <w:rFonts w:ascii="Arial" w:cs="Arial" w:eastAsia="Arial" w:hAnsi="Arial"/>
          <w:sz w:val="16"/>
          <w:szCs w:val="16"/>
          <w:color w:val="auto"/>
        </w:rPr>
        <w:t>The principal considerations for our determination that performing procedures relating to the valuation of transferred intellectual property rights that give rise to deferred tax assets is a critical audit matter are there was significant judgment by management in developing the fair value of the intangible assets transferred, which is used as the basis for the recording of the deferred tax assets. This led to significant auditor judgment, subjectivity, and effort in performing procedures to evaluate the estimates and assumptions, including, future cash flows, long-term growth rates, and discount rates. In addition, the audit effort involved the use of professionals with specialized skill and knowledge to assist in performing these procedures and evaluating the audit evidence obtained.</w:t>
      </w:r>
    </w:p>
    <w:p>
      <w:pPr>
        <w:spacing w:after="0" w:line="166" w:lineRule="exact"/>
        <w:rPr>
          <w:sz w:val="20"/>
          <w:szCs w:val="20"/>
          <w:color w:val="auto"/>
        </w:rPr>
      </w:pPr>
    </w:p>
    <w:p>
      <w:pPr>
        <w:ind w:right="20" w:firstLine="382"/>
        <w:spacing w:after="0" w:line="274"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the intangible assets transferred. These procedures also included, among others, testing management’s process for developing the fair value of the intangible assets transferred; evaluating the appropriateness of the discounted cash flow model; testing the completeness, accuracy, and relevance of underlying data used in the model; and evaluating the significant assumptions used by management, including, future cash flows, long-term growth rates, and discount rates. Professionals with specialized skill and knowledge were used to assist in the evaluation of the Company’s discounted cash flow model and certain significant assumptions, including discount rates.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2008.</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360"/>
          </w:cols>
          <w:pgMar w:left="240" w:top="127" w:right="29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4"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CONSOLIDATED BALANCE SHEETS</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7"/>
          <w:szCs w:val="17"/>
          <w:b w:val="1"/>
          <w:bCs w:val="1"/>
          <w:color w:val="auto"/>
        </w:rPr>
        <w:t>(Amounts in millions, except share data)</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2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At December 31, 2019</w:t>
            </w:r>
          </w:p>
        </w:tc>
        <w:tc>
          <w:tcPr>
            <w:tcW w:w="120" w:type="dxa"/>
            <w:vAlign w:val="bottom"/>
          </w:tcPr>
          <w:p>
            <w:pPr>
              <w:spacing w:after="0"/>
              <w:rPr>
                <w:sz w:val="15"/>
                <w:szCs w:val="15"/>
                <w:color w:val="auto"/>
              </w:rPr>
            </w:pPr>
          </w:p>
        </w:tc>
        <w:tc>
          <w:tcPr>
            <w:tcW w:w="1460" w:type="dxa"/>
            <w:vAlign w:val="bottom"/>
          </w:tcPr>
          <w:p>
            <w:pPr>
              <w:jc w:val="right"/>
              <w:ind w:right="84"/>
              <w:spacing w:after="0"/>
              <w:rPr>
                <w:sz w:val="20"/>
                <w:szCs w:val="20"/>
                <w:color w:val="auto"/>
              </w:rPr>
            </w:pPr>
            <w:r>
              <w:rPr>
                <w:rFonts w:ascii="Arial" w:cs="Arial" w:eastAsia="Arial" w:hAnsi="Arial"/>
                <w:sz w:val="14"/>
                <w:szCs w:val="14"/>
                <w:b w:val="1"/>
                <w:bCs w:val="1"/>
                <w:color w:val="auto"/>
                <w:w w:val="88"/>
              </w:rPr>
              <w:t>At December 31, 2018</w:t>
            </w:r>
          </w:p>
        </w:tc>
      </w:tr>
      <w:tr>
        <w:trPr>
          <w:trHeight w:val="233"/>
        </w:trPr>
        <w:tc>
          <w:tcPr>
            <w:tcW w:w="81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5"/>
                <w:szCs w:val="15"/>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5,794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4,225</w:t>
            </w:r>
          </w:p>
        </w:tc>
      </w:tr>
      <w:tr>
        <w:trPr>
          <w:trHeight w:val="224"/>
        </w:trPr>
        <w:tc>
          <w:tcPr>
            <w:tcW w:w="8100" w:type="dxa"/>
            <w:vAlign w:val="bottom"/>
            <w:gridSpan w:val="3"/>
          </w:tcPr>
          <w:p>
            <w:pPr>
              <w:ind w:left="360"/>
              <w:spacing w:after="0"/>
              <w:rPr>
                <w:sz w:val="20"/>
                <w:szCs w:val="20"/>
                <w:color w:val="auto"/>
              </w:rPr>
            </w:pPr>
            <w:r>
              <w:rPr>
                <w:rFonts w:ascii="Arial" w:cs="Arial" w:eastAsia="Arial" w:hAnsi="Arial"/>
                <w:sz w:val="15"/>
                <w:szCs w:val="15"/>
                <w:color w:val="auto"/>
                <w:w w:val="97"/>
              </w:rPr>
              <w:t>Accounts receivable, net of allowances of $132 and $190, at December 31, 2019 and December 31, 2018, respectively</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848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1,035</w:t>
            </w: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5"/>
                <w:szCs w:val="15"/>
                <w:color w:val="auto"/>
              </w:rPr>
              <w:t>Inventories, net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43</w:t>
            </w:r>
          </w:p>
        </w:tc>
      </w:tr>
      <w:tr>
        <w:trPr>
          <w:trHeight w:val="224"/>
        </w:trPr>
        <w:tc>
          <w:tcPr>
            <w:tcW w:w="8100" w:type="dxa"/>
            <w:vAlign w:val="bottom"/>
            <w:gridSpan w:val="3"/>
          </w:tcPr>
          <w:p>
            <w:pPr>
              <w:ind w:left="360"/>
              <w:spacing w:after="0"/>
              <w:rPr>
                <w:sz w:val="20"/>
                <w:szCs w:val="20"/>
                <w:color w:val="auto"/>
              </w:rPr>
            </w:pPr>
            <w:r>
              <w:rPr>
                <w:rFonts w:ascii="Arial" w:cs="Arial" w:eastAsia="Arial" w:hAnsi="Arial"/>
                <w:sz w:val="15"/>
                <w:szCs w:val="15"/>
                <w:color w:val="auto"/>
              </w:rPr>
              <w:t>Software development</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322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264</w:t>
            </w: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5"/>
        </w:trPr>
        <w:tc>
          <w:tcPr>
            <w:tcW w:w="8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5"/>
                <w:szCs w:val="15"/>
                <w:color w:val="auto"/>
              </w:rPr>
              <w:t>Other current assets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296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539</w:t>
            </w:r>
          </w:p>
        </w:tc>
      </w:tr>
      <w:tr>
        <w:trPr>
          <w:trHeight w:val="204"/>
        </w:trPr>
        <w:tc>
          <w:tcPr>
            <w:tcW w:w="8100" w:type="dxa"/>
            <w:vAlign w:val="bottom"/>
            <w:gridSpan w:val="3"/>
          </w:tcPr>
          <w:p>
            <w:pPr>
              <w:ind w:left="460"/>
              <w:spacing w:after="0"/>
              <w:rPr>
                <w:sz w:val="20"/>
                <w:szCs w:val="20"/>
                <w:color w:val="auto"/>
              </w:rPr>
            </w:pPr>
            <w:r>
              <w:rPr>
                <w:rFonts w:ascii="Arial" w:cs="Arial" w:eastAsia="Arial" w:hAnsi="Arial"/>
                <w:sz w:val="15"/>
                <w:szCs w:val="15"/>
                <w:color w:val="auto"/>
              </w:rPr>
              <w:t>Total current assets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7,292</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6,106</w:t>
            </w: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Software development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65</w:t>
            </w:r>
          </w:p>
        </w:tc>
      </w:tr>
      <w:tr>
        <w:trPr>
          <w:trHeight w:val="224"/>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Property and equipment, net</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253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282</w:t>
            </w: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Deferred income taxes, net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1,293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458</w:t>
            </w:r>
          </w:p>
        </w:tc>
      </w:tr>
      <w:tr>
        <w:trPr>
          <w:trHeight w:val="224"/>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Other assets</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658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482</w:t>
            </w: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Intangible assets, net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531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735</w:t>
            </w:r>
          </w:p>
        </w:tc>
      </w:tr>
      <w:tr>
        <w:trPr>
          <w:trHeight w:val="224"/>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9,764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9,762</w:t>
            </w:r>
          </w:p>
        </w:tc>
      </w:tr>
      <w:tr>
        <w:trPr>
          <w:trHeight w:val="31"/>
        </w:trPr>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81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19,845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17,890</w:t>
            </w:r>
          </w:p>
        </w:tc>
      </w:tr>
      <w:tr>
        <w:trPr>
          <w:trHeight w:val="20"/>
        </w:trPr>
        <w:tc>
          <w:tcPr>
            <w:tcW w:w="2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3"/>
        </w:trPr>
        <w:tc>
          <w:tcPr>
            <w:tcW w:w="2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35"/>
        </w:trPr>
        <w:tc>
          <w:tcPr>
            <w:tcW w:w="81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b w:val="1"/>
                <w:bCs w:val="1"/>
                <w:color w:val="auto"/>
              </w:rPr>
              <w:t>Liabilities and Shareholders’ Equity</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1"/>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5"/>
                <w:szCs w:val="15"/>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292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253</w:t>
            </w:r>
          </w:p>
        </w:tc>
      </w:tr>
      <w:tr>
        <w:trPr>
          <w:trHeight w:val="224"/>
        </w:trPr>
        <w:tc>
          <w:tcPr>
            <w:tcW w:w="8100" w:type="dxa"/>
            <w:vAlign w:val="bottom"/>
            <w:gridSpan w:val="3"/>
          </w:tcPr>
          <w:p>
            <w:pPr>
              <w:ind w:left="360"/>
              <w:spacing w:after="0"/>
              <w:rPr>
                <w:sz w:val="20"/>
                <w:szCs w:val="20"/>
                <w:color w:val="auto"/>
              </w:rPr>
            </w:pPr>
            <w:r>
              <w:rPr>
                <w:rFonts w:ascii="Arial" w:cs="Arial" w:eastAsia="Arial" w:hAnsi="Arial"/>
                <w:sz w:val="15"/>
                <w:szCs w:val="15"/>
                <w:color w:val="auto"/>
              </w:rPr>
              <w:t>Deferred revenues</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1,375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1,493</w:t>
            </w: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5"/>
        </w:trPr>
        <w:tc>
          <w:tcPr>
            <w:tcW w:w="81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5"/>
                <w:szCs w:val="15"/>
                <w:color w:val="auto"/>
              </w:rPr>
              <w:t>Accrued expenses and other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1,248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896</w:t>
            </w:r>
          </w:p>
        </w:tc>
      </w:tr>
      <w:tr>
        <w:trPr>
          <w:trHeight w:val="205"/>
        </w:trPr>
        <w:tc>
          <w:tcPr>
            <w:tcW w:w="8100" w:type="dxa"/>
            <w:vAlign w:val="bottom"/>
            <w:gridSpan w:val="3"/>
          </w:tcPr>
          <w:p>
            <w:pPr>
              <w:ind w:left="460"/>
              <w:spacing w:after="0"/>
              <w:rPr>
                <w:sz w:val="20"/>
                <w:szCs w:val="20"/>
                <w:color w:val="auto"/>
              </w:rPr>
            </w:pPr>
            <w:r>
              <w:rPr>
                <w:rFonts w:ascii="Arial" w:cs="Arial" w:eastAsia="Arial" w:hAnsi="Arial"/>
                <w:sz w:val="15"/>
                <w:szCs w:val="15"/>
                <w:color w:val="auto"/>
              </w:rPr>
              <w:t>Total current liabilities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2,915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2,642</w:t>
            </w: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Long-term debt, net</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2,675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2,671</w:t>
            </w:r>
          </w:p>
        </w:tc>
      </w:tr>
      <w:tr>
        <w:trPr>
          <w:trHeight w:val="225"/>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Deferred income taxes, net</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w:t>
            </w: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Other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rPr>
              <w:t>945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1,167</w:t>
            </w:r>
          </w:p>
        </w:tc>
      </w:tr>
      <w:tr>
        <w:trPr>
          <w:trHeight w:val="205"/>
        </w:trPr>
        <w:tc>
          <w:tcPr>
            <w:tcW w:w="8100" w:type="dxa"/>
            <w:vAlign w:val="bottom"/>
            <w:gridSpan w:val="3"/>
          </w:tcPr>
          <w:p>
            <w:pPr>
              <w:ind w:left="460"/>
              <w:spacing w:after="0"/>
              <w:rPr>
                <w:sz w:val="20"/>
                <w:szCs w:val="20"/>
                <w:color w:val="auto"/>
              </w:rPr>
            </w:pPr>
            <w:r>
              <w:rPr>
                <w:rFonts w:ascii="Arial" w:cs="Arial" w:eastAsia="Arial" w:hAnsi="Arial"/>
                <w:sz w:val="15"/>
                <w:szCs w:val="15"/>
                <w:color w:val="auto"/>
              </w:rPr>
              <w:t>Total liabilities</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7,040</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6,498</w:t>
            </w:r>
          </w:p>
        </w:tc>
      </w:tr>
      <w:tr>
        <w:trPr>
          <w:trHeight w:val="30"/>
        </w:trPr>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5"/>
        </w:trPr>
        <w:tc>
          <w:tcPr>
            <w:tcW w:w="8100" w:type="dxa"/>
            <w:vAlign w:val="bottom"/>
            <w:gridSpan w:val="3"/>
            <w:shd w:val="clear" w:color="auto" w:fill="CCEEFF"/>
          </w:tcPr>
          <w:p>
            <w:pPr>
              <w:ind w:left="20"/>
              <w:spacing w:after="0" w:line="172" w:lineRule="exact"/>
              <w:rPr>
                <w:rFonts w:ascii="Arial" w:cs="Arial" w:eastAsia="Arial" w:hAnsi="Arial"/>
                <w:sz w:val="15"/>
                <w:szCs w:val="15"/>
                <w:color w:val="auto"/>
              </w:rPr>
            </w:pPr>
            <w:r>
              <w:rPr>
                <w:rFonts w:ascii="Arial" w:cs="Arial" w:eastAsia="Arial" w:hAnsi="Arial"/>
                <w:sz w:val="15"/>
                <w:szCs w:val="15"/>
                <w:color w:val="auto"/>
              </w:rPr>
              <w:t>Commitments and contingencies (</w:t>
            </w:r>
            <w:hyperlink w:anchor="page121">
              <w:r>
                <w:rPr>
                  <w:rFonts w:ascii="Arial" w:cs="Arial" w:eastAsia="Arial" w:hAnsi="Arial"/>
                  <w:sz w:val="15"/>
                  <w:szCs w:val="15"/>
                  <w:color w:val="0000EE"/>
                </w:rPr>
                <w:t>Note 23</w:t>
              </w:r>
            </w:hyperlink>
            <w:r>
              <w:rPr>
                <w:rFonts w:ascii="Arial" w:cs="Arial" w:eastAsia="Arial" w:hAnsi="Arial"/>
                <w:sz w:val="15"/>
                <w:szCs w:val="15"/>
                <w:color w:val="auto"/>
              </w:rPr>
              <w: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5"/>
        </w:trPr>
        <w:tc>
          <w:tcPr>
            <w:tcW w:w="2120" w:type="dxa"/>
            <w:vAlign w:val="bottom"/>
            <w:tcBorders>
              <w:top w:val="single" w:sz="8" w:color="CCEEFF"/>
            </w:tcBorders>
          </w:tcPr>
          <w:p>
            <w:pPr>
              <w:ind w:left="20"/>
              <w:spacing w:after="0"/>
              <w:rPr>
                <w:sz w:val="20"/>
                <w:szCs w:val="20"/>
                <w:color w:val="auto"/>
              </w:rPr>
            </w:pPr>
            <w:r>
              <w:rPr>
                <w:rFonts w:ascii="Arial" w:cs="Arial" w:eastAsia="Arial" w:hAnsi="Arial"/>
                <w:sz w:val="15"/>
                <w:szCs w:val="15"/>
                <w:color w:val="auto"/>
              </w:rPr>
              <w:t>Shareholders’ equity:</w:t>
            </w:r>
          </w:p>
        </w:tc>
        <w:tc>
          <w:tcPr>
            <w:tcW w:w="480" w:type="dxa"/>
            <w:vAlign w:val="bottom"/>
            <w:tcBorders>
              <w:top w:val="single" w:sz="8" w:color="0000EE"/>
            </w:tcBorders>
          </w:tcPr>
          <w:p>
            <w:pPr>
              <w:spacing w:after="0"/>
              <w:rPr>
                <w:sz w:val="19"/>
                <w:szCs w:val="19"/>
                <w:color w:val="auto"/>
              </w:rPr>
            </w:pPr>
          </w:p>
        </w:tc>
        <w:tc>
          <w:tcPr>
            <w:tcW w:w="55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8100" w:type="dxa"/>
            <w:vAlign w:val="bottom"/>
            <w:gridSpan w:val="3"/>
            <w:shd w:val="clear" w:color="auto" w:fill="CCEEFF"/>
          </w:tcPr>
          <w:p>
            <w:pPr>
              <w:ind w:left="140"/>
              <w:spacing w:after="0"/>
              <w:rPr>
                <w:sz w:val="20"/>
                <w:szCs w:val="20"/>
                <w:color w:val="auto"/>
              </w:rPr>
            </w:pPr>
            <w:r>
              <w:rPr>
                <w:rFonts w:ascii="Arial" w:cs="Arial" w:eastAsia="Arial" w:hAnsi="Arial"/>
                <w:sz w:val="15"/>
                <w:szCs w:val="15"/>
                <w:color w:val="auto"/>
                <w:w w:val="96"/>
              </w:rPr>
              <w:t>Common stock, $0.000001 par value, 2,400,000,000 shares authorized, 1,197,436,644 and 1,192,093,991 shares issued at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5"/>
        </w:trPr>
        <w:tc>
          <w:tcPr>
            <w:tcW w:w="810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5"/>
                <w:szCs w:val="15"/>
                <w:color w:val="auto"/>
              </w:rPr>
              <w:t>December 31, 2019 and December 31, 2018, respectively</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rPr>
              <w:t>—</w:t>
            </w:r>
          </w:p>
        </w:tc>
      </w:tr>
      <w:tr>
        <w:trPr>
          <w:trHeight w:val="225"/>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Additional paid-in capital</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11,174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10,963</w:t>
            </w: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Less: Treasury stock, at cost, 428,676,471 shares at December 31, 2019 and December 31, 2018</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(5,563)</w:t>
            </w:r>
          </w:p>
        </w:tc>
      </w:tr>
      <w:tr>
        <w:trPr>
          <w:trHeight w:val="225"/>
        </w:trPr>
        <w:tc>
          <w:tcPr>
            <w:tcW w:w="8100" w:type="dxa"/>
            <w:vAlign w:val="bottom"/>
            <w:gridSpan w:val="3"/>
          </w:tcPr>
          <w:p>
            <w:pPr>
              <w:ind w:left="140"/>
              <w:spacing w:after="0"/>
              <w:rPr>
                <w:sz w:val="20"/>
                <w:szCs w:val="20"/>
                <w:color w:val="auto"/>
              </w:rPr>
            </w:pPr>
            <w:r>
              <w:rPr>
                <w:rFonts w:ascii="Arial" w:cs="Arial" w:eastAsia="Arial" w:hAnsi="Arial"/>
                <w:sz w:val="15"/>
                <w:szCs w:val="15"/>
                <w:color w:val="auto"/>
              </w:rPr>
              <w:t>Retained earnings</w:t>
            </w:r>
          </w:p>
        </w:tc>
        <w:tc>
          <w:tcPr>
            <w:tcW w:w="120" w:type="dxa"/>
            <w:vAlign w:val="bottom"/>
          </w:tcPr>
          <w:p>
            <w:pPr>
              <w:spacing w:after="0"/>
              <w:rPr>
                <w:sz w:val="19"/>
                <w:szCs w:val="19"/>
                <w:color w:val="auto"/>
              </w:rPr>
            </w:pPr>
          </w:p>
        </w:tc>
        <w:tc>
          <w:tcPr>
            <w:tcW w:w="1480" w:type="dxa"/>
            <w:vAlign w:val="bottom"/>
          </w:tcPr>
          <w:p>
            <w:pPr>
              <w:jc w:val="right"/>
              <w:ind w:right="44"/>
              <w:spacing w:after="0"/>
              <w:rPr>
                <w:sz w:val="20"/>
                <w:szCs w:val="20"/>
                <w:color w:val="auto"/>
              </w:rPr>
            </w:pPr>
            <w:r>
              <w:rPr>
                <w:rFonts w:ascii="Arial" w:cs="Arial" w:eastAsia="Arial" w:hAnsi="Arial"/>
                <w:sz w:val="15"/>
                <w:szCs w:val="15"/>
                <w:color w:val="auto"/>
              </w:rPr>
              <w:t>7,813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6,593</w:t>
            </w:r>
          </w:p>
        </w:tc>
      </w:tr>
      <w:tr>
        <w:trPr>
          <w:trHeight w:val="30"/>
        </w:trPr>
        <w:tc>
          <w:tcPr>
            <w:tcW w:w="2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5"/>
        </w:trPr>
        <w:tc>
          <w:tcPr>
            <w:tcW w:w="810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5"/>
                <w:szCs w:val="15"/>
                <w:color w:val="auto"/>
              </w:rPr>
              <w:t>Accumulated other comprehensive loss</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(601)</w:t>
            </w:r>
          </w:p>
        </w:tc>
      </w:tr>
      <w:tr>
        <w:trPr>
          <w:trHeight w:val="205"/>
        </w:trPr>
        <w:tc>
          <w:tcPr>
            <w:tcW w:w="8100" w:type="dxa"/>
            <w:vAlign w:val="bottom"/>
            <w:gridSpan w:val="3"/>
          </w:tcPr>
          <w:p>
            <w:pPr>
              <w:ind w:left="460"/>
              <w:spacing w:after="0"/>
              <w:rPr>
                <w:sz w:val="20"/>
                <w:szCs w:val="20"/>
                <w:color w:val="auto"/>
              </w:rPr>
            </w:pPr>
            <w:r>
              <w:rPr>
                <w:rFonts w:ascii="Arial" w:cs="Arial" w:eastAsia="Arial" w:hAnsi="Arial"/>
                <w:sz w:val="15"/>
                <w:szCs w:val="15"/>
                <w:color w:val="auto"/>
              </w:rPr>
              <w:t>Total shareholders’ equity</w:t>
            </w:r>
          </w:p>
        </w:tc>
        <w:tc>
          <w:tcPr>
            <w:tcW w:w="1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4"/>
              <w:spacing w:after="0"/>
              <w:rPr>
                <w:sz w:val="20"/>
                <w:szCs w:val="20"/>
                <w:color w:val="auto"/>
              </w:rPr>
            </w:pPr>
            <w:r>
              <w:rPr>
                <w:rFonts w:ascii="Arial" w:cs="Arial" w:eastAsia="Arial" w:hAnsi="Arial"/>
                <w:sz w:val="15"/>
                <w:szCs w:val="15"/>
                <w:color w:val="auto"/>
              </w:rPr>
              <w:t>12,805</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24"/>
              <w:spacing w:after="0"/>
              <w:rPr>
                <w:sz w:val="20"/>
                <w:szCs w:val="20"/>
                <w:color w:val="auto"/>
              </w:rPr>
            </w:pPr>
            <w:r>
              <w:rPr>
                <w:rFonts w:ascii="Arial" w:cs="Arial" w:eastAsia="Arial" w:hAnsi="Arial"/>
                <w:sz w:val="15"/>
                <w:szCs w:val="15"/>
                <w:color w:val="auto"/>
              </w:rPr>
              <w:t>11,392</w:t>
            </w:r>
          </w:p>
        </w:tc>
      </w:tr>
      <w:tr>
        <w:trPr>
          <w:trHeight w:val="30"/>
        </w:trPr>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81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5"/>
                <w:szCs w:val="15"/>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19,845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17,890</w:t>
            </w:r>
          </w:p>
        </w:tc>
      </w:tr>
      <w:tr>
        <w:trPr>
          <w:trHeight w:val="20"/>
        </w:trPr>
        <w:tc>
          <w:tcPr>
            <w:tcW w:w="2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20" w:type="dxa"/>
            <w:vAlign w:val="bottom"/>
            <w:gridSpan w:val="6"/>
          </w:tcPr>
          <w:p>
            <w:pPr>
              <w:jc w:val="right"/>
              <w:ind w:right="135"/>
              <w:spacing w:after="0"/>
              <w:rPr>
                <w:sz w:val="20"/>
                <w:szCs w:val="20"/>
                <w:color w:val="auto"/>
              </w:rPr>
            </w:pPr>
            <w:r>
              <w:rPr>
                <w:rFonts w:ascii="Arial" w:cs="Arial" w:eastAsia="Arial" w:hAnsi="Arial"/>
                <w:sz w:val="15"/>
                <w:szCs w:val="15"/>
                <w:b w:val="1"/>
                <w:bCs w:val="1"/>
                <w:color w:val="auto"/>
              </w:rPr>
              <w:t>For the Years Ended December 31,</w:t>
            </w:r>
          </w:p>
        </w:tc>
        <w:tc>
          <w:tcPr>
            <w:tcW w:w="1140" w:type="dxa"/>
            <w:vAlign w:val="bottom"/>
          </w:tcPr>
          <w:p>
            <w:pPr>
              <w:spacing w:after="0"/>
              <w:rPr>
                <w:sz w:val="17"/>
                <w:szCs w:val="17"/>
                <w:color w:val="auto"/>
              </w:rPr>
            </w:pPr>
          </w:p>
        </w:tc>
      </w:tr>
      <w:tr>
        <w:trPr>
          <w:trHeight w:val="30"/>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5"/>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ind w:right="555"/>
              <w:spacing w:after="0"/>
              <w:rPr>
                <w:sz w:val="20"/>
                <w:szCs w:val="20"/>
                <w:color w:val="auto"/>
              </w:rPr>
            </w:pPr>
            <w:r>
              <w:rPr>
                <w:rFonts w:ascii="Arial" w:cs="Arial" w:eastAsia="Arial" w:hAnsi="Arial"/>
                <w:sz w:val="15"/>
                <w:szCs w:val="15"/>
                <w:b w:val="1"/>
                <w:bCs w:val="1"/>
                <w:color w:val="auto"/>
              </w:rPr>
              <w:t>2017</w:t>
            </w:r>
          </w:p>
        </w:tc>
      </w:tr>
      <w:tr>
        <w:trPr>
          <w:trHeight w:val="31"/>
        </w:trPr>
        <w:tc>
          <w:tcPr>
            <w:tcW w:w="2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revenues</w:t>
            </w:r>
          </w:p>
        </w:tc>
        <w:tc>
          <w:tcPr>
            <w:tcW w:w="10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Product sales</w:t>
            </w: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1,975</w:t>
            </w:r>
          </w:p>
        </w:tc>
        <w:tc>
          <w:tcPr>
            <w:tcW w:w="12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2,255</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2,110</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Subscription, licensing, and other revenues</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4,514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5,245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4,907</w:t>
            </w:r>
          </w:p>
        </w:tc>
      </w:tr>
      <w:tr>
        <w:trPr>
          <w:trHeight w:val="221"/>
        </w:trPr>
        <w:tc>
          <w:tcPr>
            <w:tcW w:w="6380" w:type="dxa"/>
            <w:vAlign w:val="bottom"/>
            <w:gridSpan w:val="3"/>
          </w:tcPr>
          <w:p>
            <w:pPr>
              <w:ind w:left="20"/>
              <w:spacing w:after="0"/>
              <w:rPr>
                <w:sz w:val="20"/>
                <w:szCs w:val="20"/>
                <w:color w:val="auto"/>
              </w:rPr>
            </w:pPr>
            <w:r>
              <w:rPr>
                <w:rFonts w:ascii="Arial" w:cs="Arial" w:eastAsia="Arial" w:hAnsi="Arial"/>
                <w:sz w:val="17"/>
                <w:szCs w:val="17"/>
                <w:color w:val="auto"/>
              </w:rPr>
              <w:t>Total net revenues</w:t>
            </w: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6,489</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7,017</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6"/>
        </w:trPr>
        <w:tc>
          <w:tcPr>
            <w:tcW w:w="2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8"/>
        </w:trPr>
        <w:tc>
          <w:tcPr>
            <w:tcW w:w="6380" w:type="dxa"/>
            <w:vAlign w:val="bottom"/>
            <w:gridSpan w:val="3"/>
          </w:tcPr>
          <w:p>
            <w:pPr>
              <w:ind w:left="20"/>
              <w:spacing w:after="0"/>
              <w:rPr>
                <w:sz w:val="20"/>
                <w:szCs w:val="20"/>
                <w:color w:val="auto"/>
              </w:rPr>
            </w:pPr>
            <w:r>
              <w:rPr>
                <w:rFonts w:ascii="Arial" w:cs="Arial" w:eastAsia="Arial" w:hAnsi="Arial"/>
                <w:sz w:val="17"/>
                <w:szCs w:val="17"/>
                <w:b w:val="1"/>
                <w:bCs w:val="1"/>
                <w:color w:val="auto"/>
              </w:rPr>
              <w:t>Costs and expenses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Cost of revenues—product sales: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8"/>
        </w:trPr>
        <w:tc>
          <w:tcPr>
            <w:tcW w:w="6380" w:type="dxa"/>
            <w:vAlign w:val="bottom"/>
            <w:gridSpan w:val="3"/>
          </w:tcPr>
          <w:p>
            <w:pPr>
              <w:ind w:left="260"/>
              <w:spacing w:after="0"/>
              <w:rPr>
                <w:sz w:val="20"/>
                <w:szCs w:val="20"/>
                <w:color w:val="auto"/>
              </w:rPr>
            </w:pPr>
            <w:r>
              <w:rPr>
                <w:rFonts w:ascii="Arial" w:cs="Arial" w:eastAsia="Arial" w:hAnsi="Arial"/>
                <w:sz w:val="17"/>
                <w:szCs w:val="17"/>
                <w:color w:val="auto"/>
              </w:rPr>
              <w:t>Product costs</w:t>
            </w:r>
          </w:p>
        </w:tc>
        <w:tc>
          <w:tcPr>
            <w:tcW w:w="10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656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733</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300</w:t>
            </w: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Cost of revenues—subscription, licensing, and other revenues: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260"/>
              <w:spacing w:after="0"/>
              <w:rPr>
                <w:sz w:val="20"/>
                <w:szCs w:val="20"/>
                <w:color w:val="auto"/>
              </w:rPr>
            </w:pPr>
            <w:r>
              <w:rPr>
                <w:rFonts w:ascii="Arial" w:cs="Arial" w:eastAsia="Arial" w:hAnsi="Arial"/>
                <w:sz w:val="17"/>
                <w:szCs w:val="17"/>
                <w:color w:val="auto"/>
              </w:rPr>
              <w:t>Game operations and distribution costs</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984</w:t>
            </w:r>
          </w:p>
        </w:tc>
      </w:tr>
      <w:tr>
        <w:trPr>
          <w:trHeight w:val="228"/>
        </w:trPr>
        <w:tc>
          <w:tcPr>
            <w:tcW w:w="6380" w:type="dxa"/>
            <w:vAlign w:val="bottom"/>
            <w:gridSpan w:val="3"/>
          </w:tcPr>
          <w:p>
            <w:pPr>
              <w:ind w:left="260"/>
              <w:spacing w:after="0"/>
              <w:rPr>
                <w:sz w:val="20"/>
                <w:szCs w:val="20"/>
                <w:color w:val="auto"/>
              </w:rPr>
            </w:pPr>
            <w:r>
              <w:rPr>
                <w:rFonts w:ascii="Arial" w:cs="Arial" w:eastAsia="Arial" w:hAnsi="Arial"/>
                <w:sz w:val="17"/>
                <w:szCs w:val="17"/>
                <w:color w:val="auto"/>
              </w:rPr>
              <w:t>Software royalties, amortization, and intellectual property licenses</w:t>
            </w:r>
          </w:p>
        </w:tc>
        <w:tc>
          <w:tcPr>
            <w:tcW w:w="10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233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399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484</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Product development</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998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1,101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1,069</w:t>
            </w: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Sales and marketing</w:t>
            </w:r>
          </w:p>
        </w:tc>
        <w:tc>
          <w:tcPr>
            <w:tcW w:w="10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926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1,062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1,378</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732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745</w:t>
            </w: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Restructuring and related costs</w:t>
            </w:r>
          </w:p>
        </w:tc>
        <w:tc>
          <w:tcPr>
            <w:tcW w:w="10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15</w:t>
            </w:r>
          </w:p>
        </w:tc>
      </w:tr>
      <w:tr>
        <w:trPr>
          <w:trHeight w:val="27"/>
        </w:trPr>
        <w:tc>
          <w:tcPr>
            <w:tcW w:w="286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8"/>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10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5,708</w:t>
            </w:r>
          </w:p>
        </w:tc>
      </w:tr>
      <w:tr>
        <w:trPr>
          <w:trHeight w:val="299"/>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35"/>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1,607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1,988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1,309</w:t>
            </w:r>
          </w:p>
        </w:tc>
      </w:tr>
      <w:tr>
        <w:trPr>
          <w:trHeight w:val="191"/>
        </w:trPr>
        <w:tc>
          <w:tcPr>
            <w:tcW w:w="6380" w:type="dxa"/>
            <w:vAlign w:val="bottom"/>
            <w:gridSpan w:val="3"/>
          </w:tcPr>
          <w:p>
            <w:pPr>
              <w:ind w:left="20"/>
              <w:spacing w:after="0" w:line="191" w:lineRule="exact"/>
              <w:rPr>
                <w:rFonts w:ascii="Arial" w:cs="Arial" w:eastAsia="Arial" w:hAnsi="Arial"/>
                <w:sz w:val="17"/>
                <w:szCs w:val="17"/>
                <w:color w:val="auto"/>
              </w:rPr>
            </w:pPr>
            <w:r>
              <w:rPr>
                <w:rFonts w:ascii="Arial" w:cs="Arial" w:eastAsia="Arial" w:hAnsi="Arial"/>
                <w:sz w:val="17"/>
                <w:szCs w:val="17"/>
                <w:color w:val="auto"/>
              </w:rPr>
              <w:t>Interest and other expense (income), net (</w:t>
            </w:r>
            <w:hyperlink w:anchor="page114">
              <w:r>
                <w:rPr>
                  <w:rFonts w:ascii="Arial" w:cs="Arial" w:eastAsia="Arial" w:hAnsi="Arial"/>
                  <w:sz w:val="17"/>
                  <w:szCs w:val="17"/>
                  <w:color w:val="0000EE"/>
                </w:rPr>
                <w:t>Note 18</w:t>
              </w:r>
            </w:hyperlink>
            <w:r>
              <w:rPr>
                <w:rFonts w:ascii="Arial" w:cs="Arial" w:eastAsia="Arial" w:hAnsi="Arial"/>
                <w:sz w:val="17"/>
                <w:szCs w:val="17"/>
                <w:color w:val="auto"/>
              </w:rPr>
              <w:t>)</w:t>
            </w:r>
          </w:p>
        </w:tc>
        <w:tc>
          <w:tcPr>
            <w:tcW w:w="1060" w:type="dxa"/>
            <w:vAlign w:val="bottom"/>
          </w:tcPr>
          <w:p>
            <w:pPr>
              <w:spacing w:after="0"/>
              <w:rPr>
                <w:sz w:val="16"/>
                <w:szCs w:val="16"/>
                <w:color w:val="auto"/>
              </w:rPr>
            </w:pPr>
          </w:p>
        </w:tc>
        <w:tc>
          <w:tcPr>
            <w:tcW w:w="560" w:type="dxa"/>
            <w:vAlign w:val="bottom"/>
          </w:tcPr>
          <w:p>
            <w:pPr>
              <w:jc w:val="right"/>
              <w:spacing w:after="0" w:line="191" w:lineRule="exact"/>
              <w:rPr>
                <w:sz w:val="20"/>
                <w:szCs w:val="20"/>
                <w:color w:val="auto"/>
              </w:rPr>
            </w:pPr>
            <w:r>
              <w:rPr>
                <w:rFonts w:ascii="Arial" w:cs="Arial" w:eastAsia="Arial" w:hAnsi="Arial"/>
                <w:sz w:val="17"/>
                <w:szCs w:val="17"/>
                <w:color w:val="auto"/>
              </w:rPr>
              <w:t>(26)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15"/>
              <w:spacing w:after="0" w:line="191" w:lineRule="exact"/>
              <w:rPr>
                <w:sz w:val="20"/>
                <w:szCs w:val="20"/>
                <w:color w:val="auto"/>
              </w:rPr>
            </w:pPr>
            <w:r>
              <w:rPr>
                <w:rFonts w:ascii="Arial" w:cs="Arial" w:eastAsia="Arial" w:hAnsi="Arial"/>
                <w:sz w:val="17"/>
                <w:szCs w:val="17"/>
                <w:color w:val="auto"/>
              </w:rPr>
              <w:t>71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15"/>
              <w:spacing w:after="0" w:line="191" w:lineRule="exact"/>
              <w:rPr>
                <w:sz w:val="20"/>
                <w:szCs w:val="20"/>
                <w:color w:val="auto"/>
              </w:rPr>
            </w:pPr>
            <w:r>
              <w:rPr>
                <w:rFonts w:ascii="Arial" w:cs="Arial" w:eastAsia="Arial" w:hAnsi="Arial"/>
                <w:sz w:val="17"/>
                <w:szCs w:val="17"/>
                <w:color w:val="auto"/>
              </w:rPr>
              <w:t>146</w:t>
            </w:r>
          </w:p>
        </w:tc>
      </w:tr>
      <w:tr>
        <w:trPr>
          <w:trHeight w:val="44"/>
        </w:trPr>
        <w:tc>
          <w:tcPr>
            <w:tcW w:w="2860" w:type="dxa"/>
            <w:vAlign w:val="bottom"/>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5"/>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Loss on extinguishment of debt</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w:t>
            </w:r>
          </w:p>
        </w:tc>
      </w:tr>
      <w:tr>
        <w:trPr>
          <w:trHeight w:val="221"/>
        </w:trPr>
        <w:tc>
          <w:tcPr>
            <w:tcW w:w="6380" w:type="dxa"/>
            <w:vAlign w:val="bottom"/>
            <w:gridSpan w:val="3"/>
          </w:tcPr>
          <w:p>
            <w:pPr>
              <w:ind w:left="20"/>
              <w:spacing w:after="0"/>
              <w:rPr>
                <w:sz w:val="20"/>
                <w:szCs w:val="20"/>
                <w:color w:val="auto"/>
              </w:rPr>
            </w:pPr>
            <w:r>
              <w:rPr>
                <w:rFonts w:ascii="Arial" w:cs="Arial" w:eastAsia="Arial" w:hAnsi="Arial"/>
                <w:sz w:val="17"/>
                <w:szCs w:val="17"/>
                <w:color w:val="auto"/>
              </w:rPr>
              <w:t>Income before income tax expense</w:t>
            </w:r>
          </w:p>
        </w:tc>
        <w:tc>
          <w:tcPr>
            <w:tcW w:w="10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1,633</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1,877</w:t>
            </w: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1,151</w:t>
            </w:r>
          </w:p>
        </w:tc>
      </w:tr>
      <w:tr>
        <w:trPr>
          <w:trHeight w:val="26"/>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5"/>
        </w:trPr>
        <w:tc>
          <w:tcPr>
            <w:tcW w:w="63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0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878</w:t>
            </w:r>
          </w:p>
        </w:tc>
      </w:tr>
      <w:tr>
        <w:trPr>
          <w:trHeight w:val="281"/>
        </w:trPr>
        <w:tc>
          <w:tcPr>
            <w:tcW w:w="638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tcBorders>
              <w:top w:val="single" w:sz="8" w:color="auto"/>
              <w:bottom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1,503</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1,848</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273</w:t>
            </w:r>
          </w:p>
        </w:tc>
      </w:tr>
      <w:tr>
        <w:trPr>
          <w:trHeight w:val="291"/>
        </w:trPr>
        <w:tc>
          <w:tcPr>
            <w:tcW w:w="2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8"/>
        </w:trPr>
        <w:tc>
          <w:tcPr>
            <w:tcW w:w="6380" w:type="dxa"/>
            <w:vAlign w:val="bottom"/>
            <w:gridSpan w:val="3"/>
          </w:tcPr>
          <w:p>
            <w:pPr>
              <w:ind w:left="20"/>
              <w:spacing w:after="0"/>
              <w:rPr>
                <w:sz w:val="20"/>
                <w:szCs w:val="20"/>
                <w:color w:val="auto"/>
              </w:rPr>
            </w:pPr>
            <w:r>
              <w:rPr>
                <w:rFonts w:ascii="Arial" w:cs="Arial" w:eastAsia="Arial" w:hAnsi="Arial"/>
                <w:sz w:val="17"/>
                <w:szCs w:val="17"/>
                <w:b w:val="1"/>
                <w:bCs w:val="1"/>
                <w:color w:val="auto"/>
              </w:rPr>
              <w:t>Earnings per common share</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060" w:type="dxa"/>
            <w:vAlign w:val="bottom"/>
            <w:tcBorders>
              <w:bottom w:val="single" w:sz="8" w:color="CCEEFF"/>
            </w:tcBorders>
            <w:shd w:val="clear" w:color="auto" w:fill="CCEEFF"/>
          </w:tcPr>
          <w:p>
            <w:pPr>
              <w:jc w:val="right"/>
              <w:ind w:right="857"/>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0.36</w:t>
            </w: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Diluted</w:t>
            </w:r>
          </w:p>
        </w:tc>
        <w:tc>
          <w:tcPr>
            <w:tcW w:w="1060" w:type="dxa"/>
            <w:vAlign w:val="bottom"/>
          </w:tcPr>
          <w:p>
            <w:pPr>
              <w:jc w:val="right"/>
              <w:ind w:right="857"/>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9"/>
                <w:szCs w:val="19"/>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0.36</w:t>
            </w: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6"/>
        </w:trPr>
        <w:tc>
          <w:tcPr>
            <w:tcW w:w="28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28"/>
        </w:trPr>
        <w:tc>
          <w:tcPr>
            <w:tcW w:w="6380" w:type="dxa"/>
            <w:vAlign w:val="bottom"/>
            <w:gridSpan w:val="3"/>
          </w:tcPr>
          <w:p>
            <w:pPr>
              <w:ind w:left="20"/>
              <w:spacing w:after="0"/>
              <w:rPr>
                <w:sz w:val="20"/>
                <w:szCs w:val="20"/>
                <w:color w:val="auto"/>
              </w:rPr>
            </w:pPr>
            <w:r>
              <w:rPr>
                <w:rFonts w:ascii="Arial" w:cs="Arial" w:eastAsia="Arial" w:hAnsi="Arial"/>
                <w:sz w:val="17"/>
                <w:szCs w:val="17"/>
                <w:b w:val="1"/>
                <w:bCs w:val="1"/>
                <w:color w:val="auto"/>
              </w:rPr>
              <w:t>Weighted-average number of shares outstanding</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2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5"/>
        </w:trPr>
        <w:tc>
          <w:tcPr>
            <w:tcW w:w="63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0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754</w:t>
            </w:r>
          </w:p>
        </w:tc>
      </w:tr>
      <w:tr>
        <w:trPr>
          <w:trHeight w:val="228"/>
        </w:trPr>
        <w:tc>
          <w:tcPr>
            <w:tcW w:w="6380" w:type="dxa"/>
            <w:vAlign w:val="bottom"/>
            <w:gridSpan w:val="3"/>
          </w:tcPr>
          <w:p>
            <w:pPr>
              <w:ind w:left="160"/>
              <w:spacing w:after="0"/>
              <w:rPr>
                <w:sz w:val="20"/>
                <w:szCs w:val="20"/>
                <w:color w:val="auto"/>
              </w:rPr>
            </w:pPr>
            <w:r>
              <w:rPr>
                <w:rFonts w:ascii="Arial" w:cs="Arial" w:eastAsia="Arial" w:hAnsi="Arial"/>
                <w:sz w:val="17"/>
                <w:szCs w:val="17"/>
                <w:color w:val="auto"/>
              </w:rPr>
              <w:t>Diluted</w:t>
            </w:r>
          </w:p>
        </w:tc>
        <w:tc>
          <w:tcPr>
            <w:tcW w:w="1060" w:type="dxa"/>
            <w:vAlign w:val="bottom"/>
          </w:tcPr>
          <w:p>
            <w:pPr>
              <w:spacing w:after="0"/>
              <w:rPr>
                <w:sz w:val="19"/>
                <w:szCs w:val="19"/>
                <w:color w:val="auto"/>
              </w:rPr>
            </w:pPr>
          </w:p>
        </w:tc>
        <w:tc>
          <w:tcPr>
            <w:tcW w:w="560" w:type="dxa"/>
            <w:vAlign w:val="bottom"/>
          </w:tcPr>
          <w:p>
            <w:pPr>
              <w:jc w:val="right"/>
              <w:ind w:right="15"/>
              <w:spacing w:after="0"/>
              <w:rPr>
                <w:sz w:val="20"/>
                <w:szCs w:val="20"/>
                <w:color w:val="auto"/>
              </w:rPr>
            </w:pPr>
            <w:r>
              <w:rPr>
                <w:rFonts w:ascii="Arial" w:cs="Arial" w:eastAsia="Arial" w:hAnsi="Arial"/>
                <w:sz w:val="17"/>
                <w:szCs w:val="17"/>
                <w:color w:val="auto"/>
              </w:rPr>
              <w:t>771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771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766</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00"/>
          </w:cols>
          <w:pgMar w:left="240" w:top="127" w:right="25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60" w:type="dxa"/>
            <w:vAlign w:val="bottom"/>
            <w:gridSpan w:val="6"/>
          </w:tcPr>
          <w:p>
            <w:pPr>
              <w:jc w:val="right"/>
              <w:ind w:right="55"/>
              <w:spacing w:after="0"/>
              <w:rPr>
                <w:sz w:val="20"/>
                <w:szCs w:val="20"/>
                <w:color w:val="auto"/>
              </w:rPr>
            </w:pPr>
            <w:r>
              <w:rPr>
                <w:rFonts w:ascii="Arial" w:cs="Arial" w:eastAsia="Arial" w:hAnsi="Arial"/>
                <w:sz w:val="15"/>
                <w:szCs w:val="15"/>
                <w:b w:val="1"/>
                <w:bCs w:val="1"/>
                <w:color w:val="auto"/>
              </w:rPr>
              <w:t>For the Years Ended December 31,</w:t>
            </w:r>
          </w:p>
        </w:tc>
        <w:tc>
          <w:tcPr>
            <w:tcW w:w="1040" w:type="dxa"/>
            <w:vAlign w:val="bottom"/>
          </w:tcPr>
          <w:p>
            <w:pPr>
              <w:spacing w:after="0"/>
              <w:rPr>
                <w:sz w:val="17"/>
                <w:szCs w:val="17"/>
                <w:color w:val="auto"/>
              </w:rPr>
            </w:pPr>
          </w:p>
        </w:tc>
      </w:tr>
      <w:tr>
        <w:trPr>
          <w:trHeight w:val="31"/>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516"/>
              <w:spacing w:after="0"/>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496"/>
              <w:spacing w:after="0"/>
              <w:rPr>
                <w:sz w:val="20"/>
                <w:szCs w:val="20"/>
                <w:color w:val="auto"/>
              </w:rPr>
            </w:pPr>
            <w:r>
              <w:rPr>
                <w:rFonts w:ascii="Arial" w:cs="Arial" w:eastAsia="Arial" w:hAnsi="Arial"/>
                <w:sz w:val="15"/>
                <w:szCs w:val="15"/>
                <w:b w:val="1"/>
                <w:bCs w:val="1"/>
                <w:color w:val="auto"/>
              </w:rPr>
              <w:t>2017</w:t>
            </w:r>
          </w:p>
        </w:tc>
      </w:tr>
      <w:tr>
        <w:trPr>
          <w:trHeight w:val="31"/>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1,503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1,848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273</w:t>
            </w:r>
          </w:p>
        </w:tc>
      </w:tr>
      <w:tr>
        <w:trPr>
          <w:trHeight w:val="228"/>
        </w:trPr>
        <w:tc>
          <w:tcPr>
            <w:tcW w:w="6740" w:type="dxa"/>
            <w:vAlign w:val="bottom"/>
          </w:tcPr>
          <w:p>
            <w:pPr>
              <w:ind w:left="20"/>
              <w:spacing w:after="0"/>
              <w:rPr>
                <w:sz w:val="20"/>
                <w:szCs w:val="20"/>
                <w:color w:val="auto"/>
              </w:rPr>
            </w:pPr>
            <w:r>
              <w:rPr>
                <w:rFonts w:ascii="Arial" w:cs="Arial" w:eastAsia="Arial" w:hAnsi="Arial"/>
                <w:sz w:val="17"/>
                <w:szCs w:val="17"/>
                <w:color w:val="auto"/>
              </w:rPr>
              <w:t>Other comprehensive income (loss):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5"/>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Foreign currency translation adjustments, net of tax</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36</w:t>
            </w: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Unrealized gains (losses) on forward contracts designated as hedges, net of tax</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Unrealized gains (losses) on investments, net of tax</w:t>
            </w:r>
          </w:p>
        </w:tc>
        <w:tc>
          <w:tcPr>
            <w:tcW w:w="9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1"/>
        </w:trPr>
        <w:tc>
          <w:tcPr>
            <w:tcW w:w="6740" w:type="dxa"/>
            <w:vAlign w:val="bottom"/>
          </w:tcPr>
          <w:p>
            <w:pPr>
              <w:ind w:left="20"/>
              <w:spacing w:after="0"/>
              <w:rPr>
                <w:sz w:val="20"/>
                <w:szCs w:val="20"/>
                <w:color w:val="auto"/>
              </w:rPr>
            </w:pPr>
            <w:r>
              <w:rPr>
                <w:rFonts w:ascii="Arial" w:cs="Arial" w:eastAsia="Arial" w:hAnsi="Arial"/>
                <w:sz w:val="17"/>
                <w:szCs w:val="17"/>
                <w:color w:val="auto"/>
              </w:rPr>
              <w:t>Total other comprehensive income (loss)</w:t>
            </w:r>
          </w:p>
        </w:tc>
        <w:tc>
          <w:tcPr>
            <w:tcW w:w="960" w:type="dxa"/>
            <w:vAlign w:val="bottom"/>
            <w:tcBorders>
              <w:top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340" w:type="dxa"/>
            <w:vAlign w:val="bottom"/>
            <w:tcBorders>
              <w:top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420" w:type="dxa"/>
            <w:vAlign w:val="bottom"/>
            <w:tcBorders>
              <w:top w:val="single" w:sz="8" w:color="auto"/>
            </w:tcBorders>
          </w:tcPr>
          <w:p>
            <w:pPr>
              <w:jc w:val="right"/>
              <w:ind w:right="235"/>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6"/>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93"/>
              </w:rPr>
              <w:t>1,485</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1,882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264</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00"/>
          </w:cols>
          <w:pgMar w:left="240" w:top="127" w:right="25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EQUITY</w:t>
      </w:r>
    </w:p>
    <w:p>
      <w:pPr>
        <w:spacing w:after="0" w:line="9"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2019, 2018, and 2017</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(Amounts and shares in millions, except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380" w:type="dxa"/>
            <w:vAlign w:val="bottom"/>
            <w:gridSpan w:val="5"/>
            <w:vMerge w:val="restart"/>
          </w:tcPr>
          <w:p>
            <w:pPr>
              <w:ind w:left="20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80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800" w:type="dxa"/>
            <w:vAlign w:val="bottom"/>
          </w:tcPr>
          <w:p>
            <w:pPr>
              <w:jc w:val="center"/>
              <w:ind w:right="112"/>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13"/>
        </w:trPr>
        <w:tc>
          <w:tcPr>
            <w:tcW w:w="45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ind w:left="20"/>
              <w:spacing w:after="0" w:line="113" w:lineRule="exact"/>
              <w:rPr>
                <w:sz w:val="20"/>
                <w:szCs w:val="20"/>
                <w:color w:val="auto"/>
              </w:rPr>
            </w:pPr>
            <w:r>
              <w:rPr>
                <w:rFonts w:ascii="Arial" w:cs="Arial" w:eastAsia="Arial" w:hAnsi="Arial"/>
                <w:sz w:val="12"/>
                <w:szCs w:val="12"/>
                <w:b w:val="1"/>
                <w:bCs w:val="1"/>
                <w:color w:val="auto"/>
              </w:rPr>
              <w:t>Paid-In</w:t>
            </w:r>
          </w:p>
        </w:tc>
        <w:tc>
          <w:tcPr>
            <w:tcW w:w="180" w:type="dxa"/>
            <w:vAlign w:val="bottom"/>
          </w:tcPr>
          <w:p>
            <w:pPr>
              <w:spacing w:after="0"/>
              <w:rPr>
                <w:sz w:val="9"/>
                <w:szCs w:val="9"/>
                <w:color w:val="auto"/>
              </w:rPr>
            </w:pPr>
          </w:p>
        </w:tc>
        <w:tc>
          <w:tcPr>
            <w:tcW w:w="960" w:type="dxa"/>
            <w:vAlign w:val="bottom"/>
            <w:gridSpan w:val="2"/>
          </w:tcPr>
          <w:p>
            <w:pPr>
              <w:ind w:left="80"/>
              <w:spacing w:after="0" w:line="113" w:lineRule="exact"/>
              <w:rPr>
                <w:sz w:val="20"/>
                <w:szCs w:val="20"/>
                <w:color w:val="auto"/>
              </w:rPr>
            </w:pPr>
            <w:r>
              <w:rPr>
                <w:rFonts w:ascii="Arial" w:cs="Arial" w:eastAsia="Arial" w:hAnsi="Arial"/>
                <w:sz w:val="12"/>
                <w:szCs w:val="12"/>
                <w:b w:val="1"/>
                <w:bCs w:val="1"/>
                <w:color w:val="auto"/>
              </w:rPr>
              <w:t>Retained</w:t>
            </w:r>
          </w:p>
        </w:tc>
        <w:tc>
          <w:tcPr>
            <w:tcW w:w="1140" w:type="dxa"/>
            <w:vAlign w:val="bottom"/>
            <w:gridSpan w:val="3"/>
          </w:tcPr>
          <w:p>
            <w:pPr>
              <w:jc w:val="center"/>
              <w:ind w:right="100"/>
              <w:spacing w:after="0" w:line="113" w:lineRule="exact"/>
              <w:rPr>
                <w:sz w:val="20"/>
                <w:szCs w:val="20"/>
                <w:color w:val="auto"/>
              </w:rPr>
            </w:pPr>
            <w:r>
              <w:rPr>
                <w:rFonts w:ascii="Arial" w:cs="Arial" w:eastAsia="Arial" w:hAnsi="Arial"/>
                <w:sz w:val="12"/>
                <w:szCs w:val="12"/>
                <w:b w:val="1"/>
                <w:bCs w:val="1"/>
                <w:color w:val="auto"/>
              </w:rPr>
              <w:t>Comprehensive</w:t>
            </w:r>
          </w:p>
        </w:tc>
        <w:tc>
          <w:tcPr>
            <w:tcW w:w="9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81"/>
        </w:trPr>
        <w:tc>
          <w:tcPr>
            <w:tcW w:w="45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2016</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1,174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(5,563)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10,442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4,869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9,119</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50"/>
        </w:trPr>
        <w:tc>
          <w:tcPr>
            <w:tcW w:w="4580" w:type="dxa"/>
            <w:vAlign w:val="bottom"/>
          </w:tcPr>
          <w:p>
            <w:pPr>
              <w:ind w:left="16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7"/>
        </w:trPr>
        <w:tc>
          <w:tcPr>
            <w:tcW w:w="4580" w:type="dxa"/>
            <w:vAlign w:val="bottom"/>
          </w:tcPr>
          <w:p>
            <w:pPr>
              <w:ind w:left="20"/>
              <w:spacing w:after="0" w:line="147"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8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255"/>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($0.30 per common share)</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35"/>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20"/>
                <w:szCs w:val="20"/>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(429)</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 (5,563)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10,747</w:t>
            </w:r>
          </w:p>
        </w:tc>
        <w:tc>
          <w:tcPr>
            <w:tcW w:w="120" w:type="dxa"/>
            <w:vAlign w:val="bottom"/>
          </w:tcPr>
          <w:p>
            <w:pPr>
              <w:spacing w:after="0"/>
              <w:rPr>
                <w:sz w:val="20"/>
                <w:szCs w:val="20"/>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4,916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(638)</w:t>
            </w:r>
          </w:p>
        </w:tc>
        <w:tc>
          <w:tcPr>
            <w:tcW w:w="120" w:type="dxa"/>
            <w:vAlign w:val="bottom"/>
          </w:tcPr>
          <w:p>
            <w:pPr>
              <w:spacing w:after="0"/>
              <w:rPr>
                <w:sz w:val="20"/>
                <w:szCs w:val="20"/>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9,462</w:t>
            </w:r>
          </w:p>
        </w:tc>
        <w:tc>
          <w:tcPr>
            <w:tcW w:w="0" w:type="dxa"/>
            <w:vAlign w:val="bottom"/>
          </w:tcPr>
          <w:p>
            <w:pPr>
              <w:spacing w:after="0"/>
              <w:rPr>
                <w:sz w:val="1"/>
                <w:szCs w:val="1"/>
                <w:color w:val="auto"/>
              </w:rPr>
            </w:pPr>
          </w:p>
        </w:tc>
      </w:tr>
      <w:tr>
        <w:trPr>
          <w:trHeight w:val="26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impact from adoption of new revenue accounting standard</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249"/>
        </w:trPr>
        <w:tc>
          <w:tcPr>
            <w:tcW w:w="4580" w:type="dxa"/>
            <w:vAlign w:val="bottom"/>
          </w:tcPr>
          <w:p>
            <w:pPr>
              <w:ind w:left="20"/>
              <w:spacing w:after="0"/>
              <w:rPr>
                <w:sz w:val="20"/>
                <w:szCs w:val="20"/>
                <w:color w:val="auto"/>
              </w:rPr>
            </w:pPr>
            <w:r>
              <w:rPr>
                <w:rFonts w:ascii="Arial" w:cs="Arial" w:eastAsia="Arial" w:hAnsi="Arial"/>
                <w:sz w:val="14"/>
                <w:szCs w:val="14"/>
                <w:color w:val="auto"/>
              </w:rPr>
              <w:t>Components of comprehensive income:</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1,848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1,848</w:t>
            </w:r>
          </w:p>
        </w:tc>
        <w:tc>
          <w:tcPr>
            <w:tcW w:w="0" w:type="dxa"/>
            <w:vAlign w:val="bottom"/>
          </w:tcPr>
          <w:p>
            <w:pPr>
              <w:spacing w:after="0"/>
              <w:rPr>
                <w:sz w:val="1"/>
                <w:szCs w:val="1"/>
                <w:color w:val="auto"/>
              </w:rPr>
            </w:pPr>
          </w:p>
        </w:tc>
      </w:tr>
      <w:tr>
        <w:trPr>
          <w:trHeight w:val="250"/>
        </w:trPr>
        <w:tc>
          <w:tcPr>
            <w:tcW w:w="4580" w:type="dxa"/>
            <w:vAlign w:val="bottom"/>
          </w:tcPr>
          <w:p>
            <w:pPr>
              <w:ind w:left="16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5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7"/>
        </w:trPr>
        <w:tc>
          <w:tcPr>
            <w:tcW w:w="4580" w:type="dxa"/>
            <w:vAlign w:val="bottom"/>
          </w:tcPr>
          <w:p>
            <w:pPr>
              <w:ind w:left="20"/>
              <w:spacing w:after="0" w:line="147"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4580" w:type="dxa"/>
            <w:vAlign w:val="bottom"/>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55"/>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($0.34 per common share)</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268"/>
        </w:trPr>
        <w:tc>
          <w:tcPr>
            <w:tcW w:w="458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1,192</w:t>
            </w:r>
          </w:p>
        </w:tc>
        <w:tc>
          <w:tcPr>
            <w:tcW w:w="100" w:type="dxa"/>
            <w:vAlign w:val="bottom"/>
          </w:tcPr>
          <w:p>
            <w:pPr>
              <w:spacing w:after="0"/>
              <w:rPr>
                <w:sz w:val="23"/>
                <w:szCs w:val="23"/>
                <w:color w:val="auto"/>
              </w:rPr>
            </w:pPr>
          </w:p>
        </w:tc>
        <w:tc>
          <w:tcPr>
            <w:tcW w:w="220" w:type="dxa"/>
            <w:vAlign w:val="bottom"/>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(429)</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 (5,563)</w:t>
            </w:r>
          </w:p>
        </w:tc>
        <w:tc>
          <w:tcPr>
            <w:tcW w:w="120" w:type="dxa"/>
            <w:vAlign w:val="bottom"/>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10,963</w:t>
            </w:r>
          </w:p>
        </w:tc>
        <w:tc>
          <w:tcPr>
            <w:tcW w:w="120" w:type="dxa"/>
            <w:vAlign w:val="bottom"/>
          </w:tcPr>
          <w:p>
            <w:pPr>
              <w:spacing w:after="0"/>
              <w:rPr>
                <w:sz w:val="23"/>
                <w:szCs w:val="23"/>
                <w:color w:val="auto"/>
              </w:rPr>
            </w:pPr>
          </w:p>
        </w:tc>
        <w:tc>
          <w:tcPr>
            <w:tcW w:w="18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b w:val="1"/>
                <w:bCs w:val="1"/>
                <w:color w:val="auto"/>
              </w:rPr>
              <w:t>6,593</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(601)</w:t>
            </w:r>
          </w:p>
        </w:tc>
        <w:tc>
          <w:tcPr>
            <w:tcW w:w="120" w:type="dxa"/>
            <w:vAlign w:val="bottom"/>
          </w:tcPr>
          <w:p>
            <w:pPr>
              <w:spacing w:after="0"/>
              <w:rPr>
                <w:sz w:val="23"/>
                <w:szCs w:val="23"/>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11,392</w:t>
            </w:r>
          </w:p>
        </w:tc>
        <w:tc>
          <w:tcPr>
            <w:tcW w:w="0" w:type="dxa"/>
            <w:vAlign w:val="bottom"/>
          </w:tcPr>
          <w:p>
            <w:pPr>
              <w:spacing w:after="0"/>
              <w:rPr>
                <w:sz w:val="1"/>
                <w:szCs w:val="1"/>
                <w:color w:val="auto"/>
              </w:rPr>
            </w:pPr>
          </w:p>
        </w:tc>
      </w:tr>
      <w:tr>
        <w:trPr>
          <w:trHeight w:val="208"/>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Components of comprehensive income:</w:t>
            </w: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8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1,503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 (loss)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4580" w:type="dxa"/>
            <w:vAlign w:val="bottom"/>
          </w:tcPr>
          <w:p>
            <w:pPr>
              <w:ind w:left="20"/>
              <w:spacing w:after="0"/>
              <w:rPr>
                <w:sz w:val="20"/>
                <w:szCs w:val="20"/>
                <w:color w:val="auto"/>
              </w:rPr>
            </w:pPr>
            <w:r>
              <w:rPr>
                <w:rFonts w:ascii="Arial" w:cs="Arial" w:eastAsia="Arial" w:hAnsi="Arial"/>
                <w:sz w:val="14"/>
                <w:szCs w:val="14"/>
                <w:color w:val="auto"/>
              </w:rPr>
              <w:t>Issuance of common stock pursuant to employee stock options</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60"/>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pursuant to restricted stock units</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4580" w:type="dxa"/>
            <w:vAlign w:val="bottom"/>
          </w:tcPr>
          <w:p>
            <w:pPr>
              <w:ind w:left="20"/>
              <w:spacing w:after="0"/>
              <w:rPr>
                <w:sz w:val="20"/>
                <w:szCs w:val="20"/>
                <w:color w:val="auto"/>
              </w:rPr>
            </w:pPr>
            <w:r>
              <w:rPr>
                <w:rFonts w:ascii="Arial" w:cs="Arial" w:eastAsia="Arial" w:hAnsi="Arial"/>
                <w:sz w:val="14"/>
                <w:szCs w:val="14"/>
                <w:color w:val="auto"/>
              </w:rPr>
              <w:t>Restricted stock surrendered for employees’ tax liability</w:t>
            </w:r>
          </w:p>
        </w:tc>
        <w:tc>
          <w:tcPr>
            <w:tcW w:w="580" w:type="dxa"/>
            <w:vAlign w:val="bottom"/>
          </w:tcPr>
          <w:p>
            <w:pPr>
              <w:jc w:val="right"/>
              <w:ind w:right="1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97"/>
              </w:rPr>
              <w:t>Share-based compensation expense related to employee stock options and</w:t>
            </w: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restricted stock units</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Dividends ($0.37 per common share)</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28"/>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1,197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2"/>
              </w:rPr>
              <w:t>$ (5,563)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11,174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2"/>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7,813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12,805</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127" w:right="23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(Amounts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00" w:type="dxa"/>
            <w:vAlign w:val="bottom"/>
            <w:gridSpan w:val="6"/>
          </w:tcPr>
          <w:p>
            <w:pPr>
              <w:jc w:val="right"/>
              <w:ind w:right="32"/>
              <w:spacing w:after="0"/>
              <w:rPr>
                <w:sz w:val="20"/>
                <w:szCs w:val="20"/>
                <w:color w:val="auto"/>
              </w:rPr>
            </w:pPr>
            <w:r>
              <w:rPr>
                <w:rFonts w:ascii="Arial" w:cs="Arial" w:eastAsia="Arial" w:hAnsi="Arial"/>
                <w:sz w:val="15"/>
                <w:szCs w:val="15"/>
                <w:b w:val="1"/>
                <w:bCs w:val="1"/>
                <w:color w:val="auto"/>
                <w:w w:val="96"/>
              </w:rPr>
              <w:t>For the Years Ended December 31,</w:t>
            </w:r>
          </w:p>
        </w:tc>
        <w:tc>
          <w:tcPr>
            <w:tcW w:w="920" w:type="dxa"/>
            <w:vAlign w:val="bottom"/>
          </w:tcPr>
          <w:p>
            <w:pPr>
              <w:spacing w:after="0"/>
              <w:rPr>
                <w:sz w:val="17"/>
                <w:szCs w:val="17"/>
                <w:color w:val="auto"/>
              </w:rPr>
            </w:pPr>
          </w:p>
        </w:tc>
      </w:tr>
      <w:tr>
        <w:trPr>
          <w:trHeight w:val="31"/>
        </w:trPr>
        <w:tc>
          <w:tcPr>
            <w:tcW w:w="2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b w:val="1"/>
                <w:bCs w:val="1"/>
                <w:color w:val="auto"/>
              </w:rPr>
              <w:t>2019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52"/>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ind w:right="452"/>
              <w:spacing w:after="0"/>
              <w:rPr>
                <w:sz w:val="20"/>
                <w:szCs w:val="20"/>
                <w:color w:val="auto"/>
              </w:rPr>
            </w:pPr>
            <w:r>
              <w:rPr>
                <w:rFonts w:ascii="Arial" w:cs="Arial" w:eastAsia="Arial" w:hAnsi="Arial"/>
                <w:sz w:val="15"/>
                <w:szCs w:val="15"/>
                <w:b w:val="1"/>
                <w:bCs w:val="1"/>
                <w:color w:val="auto"/>
              </w:rPr>
              <w:t>2017</w:t>
            </w:r>
          </w:p>
        </w:tc>
      </w:tr>
      <w:tr>
        <w:trPr>
          <w:trHeight w:val="31"/>
        </w:trPr>
        <w:tc>
          <w:tcPr>
            <w:tcW w:w="23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49"/>
        </w:trPr>
        <w:tc>
          <w:tcPr>
            <w:tcW w:w="7080" w:type="dxa"/>
            <w:vAlign w:val="bottom"/>
            <w:gridSpan w:val="3"/>
          </w:tcPr>
          <w:p>
            <w:pPr>
              <w:ind w:left="160"/>
              <w:spacing w:after="0"/>
              <w:rPr>
                <w:sz w:val="20"/>
                <w:szCs w:val="20"/>
                <w:color w:val="auto"/>
              </w:rPr>
            </w:pPr>
            <w:r>
              <w:rPr>
                <w:rFonts w:ascii="Arial" w:cs="Arial" w:eastAsia="Arial" w:hAnsi="Arial"/>
                <w:sz w:val="14"/>
                <w:szCs w:val="14"/>
                <w:color w:val="auto"/>
              </w:rPr>
              <w:t>Net income</w:t>
            </w:r>
          </w:p>
        </w:tc>
        <w:tc>
          <w:tcPr>
            <w:tcW w:w="9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1,503</w:t>
            </w:r>
          </w:p>
        </w:tc>
        <w:tc>
          <w:tcPr>
            <w:tcW w:w="100" w:type="dxa"/>
            <w:vAlign w:val="bottom"/>
          </w:tcPr>
          <w:p>
            <w:pPr>
              <w:spacing w:after="0"/>
              <w:rPr>
                <w:sz w:val="21"/>
                <w:szCs w:val="21"/>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1,848</w:t>
            </w:r>
          </w:p>
        </w:tc>
        <w:tc>
          <w:tcPr>
            <w:tcW w:w="120" w:type="dxa"/>
            <w:vAlign w:val="bottom"/>
          </w:tcPr>
          <w:p>
            <w:pPr>
              <w:spacing w:after="0"/>
              <w:rPr>
                <w:sz w:val="21"/>
                <w:szCs w:val="21"/>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273</w:t>
            </w:r>
          </w:p>
        </w:tc>
      </w:tr>
      <w:tr>
        <w:trPr>
          <w:trHeight w:val="261"/>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9"/>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Deferred income taxes</w:t>
            </w:r>
          </w:p>
        </w:tc>
        <w:tc>
          <w:tcPr>
            <w:tcW w:w="9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61"/>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Provision for inventories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33</w:t>
            </w:r>
          </w:p>
        </w:tc>
      </w:tr>
      <w:tr>
        <w:trPr>
          <w:trHeight w:val="249"/>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Non-cash operating lease cost</w:t>
            </w:r>
          </w:p>
        </w:tc>
        <w:tc>
          <w:tcPr>
            <w:tcW w:w="90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61"/>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Depreciation and amortization</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509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888</w:t>
            </w:r>
          </w:p>
        </w:tc>
      </w:tr>
      <w:tr>
        <w:trPr>
          <w:trHeight w:val="249"/>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Amortization of capitalized software development costs and intellectual property licenses (1)</w:t>
            </w:r>
          </w:p>
        </w:tc>
        <w:tc>
          <w:tcPr>
            <w:tcW w:w="90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311</w:t>
            </w:r>
          </w:p>
        </w:tc>
      </w:tr>
      <w:tr>
        <w:trPr>
          <w:trHeight w:val="261"/>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Loss on extinguishment of debt</w:t>
            </w:r>
          </w:p>
        </w:tc>
        <w:tc>
          <w:tcPr>
            <w:tcW w:w="9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w:t>
            </w:r>
          </w:p>
        </w:tc>
      </w:tr>
      <w:tr>
        <w:trPr>
          <w:trHeight w:val="249"/>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Share-based compensation expense (2)</w:t>
            </w:r>
          </w:p>
        </w:tc>
        <w:tc>
          <w:tcPr>
            <w:tcW w:w="90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176</w:t>
            </w:r>
          </w:p>
        </w:tc>
      </w:tr>
      <w:tr>
        <w:trPr>
          <w:trHeight w:val="241"/>
        </w:trPr>
        <w:tc>
          <w:tcPr>
            <w:tcW w:w="7080" w:type="dxa"/>
            <w:vAlign w:val="bottom"/>
            <w:gridSpan w:val="3"/>
            <w:shd w:val="clear" w:color="auto" w:fill="CCEEFF"/>
          </w:tcPr>
          <w:p>
            <w:pPr>
              <w:ind w:left="260"/>
              <w:spacing w:after="0"/>
              <w:rPr>
                <w:rFonts w:ascii="Arial" w:cs="Arial" w:eastAsia="Arial" w:hAnsi="Arial"/>
                <w:sz w:val="14"/>
                <w:szCs w:val="14"/>
                <w:color w:val="auto"/>
              </w:rPr>
            </w:pPr>
            <w:r>
              <w:rPr>
                <w:rFonts w:ascii="Arial" w:cs="Arial" w:eastAsia="Arial" w:hAnsi="Arial"/>
                <w:sz w:val="14"/>
                <w:szCs w:val="14"/>
                <w:color w:val="auto"/>
              </w:rPr>
              <w:t>Unrealized gain on equity investment (</w:t>
            </w:r>
            <w:hyperlink w:anchor="page92">
              <w:r>
                <w:rPr>
                  <w:rFonts w:ascii="Arial" w:cs="Arial" w:eastAsia="Arial" w:hAnsi="Arial"/>
                  <w:sz w:val="14"/>
                  <w:szCs w:val="14"/>
                  <w:color w:val="0000EE"/>
                </w:rPr>
                <w:t>Note 10</w:t>
              </w:r>
            </w:hyperlink>
            <w:r>
              <w:rPr>
                <w:rFonts w:ascii="Arial" w:cs="Arial" w:eastAsia="Arial" w:hAnsi="Arial"/>
                <w:sz w:val="14"/>
                <w:szCs w:val="14"/>
                <w:color w:val="auto"/>
              </w:rPr>
              <w:t>)</w:t>
            </w: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9"/>
        </w:trPr>
        <w:tc>
          <w:tcPr>
            <w:tcW w:w="2380" w:type="dxa"/>
            <w:vAlign w:val="bottom"/>
            <w:tcBorders>
              <w:top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420" w:type="dxa"/>
            <w:vAlign w:val="bottom"/>
            <w:tcBorders>
              <w:top w:val="single" w:sz="8" w:color="0000EE"/>
            </w:tcBorders>
          </w:tcPr>
          <w:p>
            <w:pPr>
              <w:spacing w:after="0"/>
              <w:rPr>
                <w:sz w:val="21"/>
                <w:szCs w:val="21"/>
                <w:color w:val="auto"/>
              </w:rPr>
            </w:pPr>
          </w:p>
        </w:tc>
        <w:tc>
          <w:tcPr>
            <w:tcW w:w="428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jc w:val="right"/>
              <w:ind w:right="52"/>
              <w:spacing w:after="0"/>
              <w:rPr>
                <w:sz w:val="20"/>
                <w:szCs w:val="20"/>
                <w:color w:val="auto"/>
              </w:rPr>
            </w:pPr>
            <w:r>
              <w:rPr>
                <w:rFonts w:ascii="Arial" w:cs="Arial" w:eastAsia="Arial" w:hAnsi="Arial"/>
                <w:sz w:val="14"/>
                <w:szCs w:val="14"/>
                <w:color w:val="auto"/>
              </w:rPr>
              <w:t>51</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1060" w:type="dxa"/>
            <w:vAlign w:val="bottom"/>
            <w:tcBorders>
              <w:top w:val="single" w:sz="8" w:color="CCEEFF"/>
            </w:tcBorders>
          </w:tcPr>
          <w:p>
            <w:pPr>
              <w:jc w:val="right"/>
              <w:ind w:right="32"/>
              <w:spacing w:after="0"/>
              <w:rPr>
                <w:sz w:val="20"/>
                <w:szCs w:val="20"/>
                <w:color w:val="auto"/>
              </w:rPr>
            </w:pPr>
            <w:r>
              <w:rPr>
                <w:rFonts w:ascii="Arial" w:cs="Arial" w:eastAsia="Arial" w:hAnsi="Arial"/>
                <w:sz w:val="14"/>
                <w:szCs w:val="14"/>
                <w:color w:val="auto"/>
              </w:rPr>
              <w:t>7</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right"/>
              <w:ind w:right="32"/>
              <w:spacing w:after="0"/>
              <w:rPr>
                <w:sz w:val="20"/>
                <w:szCs w:val="20"/>
                <w:color w:val="auto"/>
              </w:rPr>
            </w:pPr>
            <w:r>
              <w:rPr>
                <w:rFonts w:ascii="Arial" w:cs="Arial" w:eastAsia="Arial" w:hAnsi="Arial"/>
                <w:sz w:val="14"/>
                <w:szCs w:val="14"/>
                <w:color w:val="auto"/>
              </w:rPr>
              <w:t>40</w:t>
            </w: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Changes in operating assets and liabilities, net of effect from business acquisitions: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50"/>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Accounts receivable, net</w:t>
            </w:r>
          </w:p>
        </w:tc>
        <w:tc>
          <w:tcPr>
            <w:tcW w:w="900" w:type="dxa"/>
            <w:vAlign w:val="bottom"/>
          </w:tcPr>
          <w:p>
            <w:pPr>
              <w:spacing w:after="0"/>
              <w:rPr>
                <w:sz w:val="21"/>
                <w:szCs w:val="21"/>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(165)</w:t>
            </w:r>
          </w:p>
        </w:tc>
      </w:tr>
      <w:tr>
        <w:trPr>
          <w:trHeight w:val="260"/>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Inventories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50"/>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Software development and intellectual property licenses</w:t>
            </w:r>
          </w:p>
        </w:tc>
        <w:tc>
          <w:tcPr>
            <w:tcW w:w="9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(301)</w:t>
            </w:r>
          </w:p>
        </w:tc>
      </w:tr>
      <w:tr>
        <w:trPr>
          <w:trHeight w:val="260"/>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Other assets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50"/>
        </w:trPr>
        <w:tc>
          <w:tcPr>
            <w:tcW w:w="7080" w:type="dxa"/>
            <w:vAlign w:val="bottom"/>
            <w:gridSpan w:val="3"/>
          </w:tcPr>
          <w:p>
            <w:pPr>
              <w:ind w:left="260"/>
              <w:spacing w:after="0"/>
              <w:rPr>
                <w:sz w:val="20"/>
                <w:szCs w:val="20"/>
                <w:color w:val="auto"/>
              </w:rPr>
            </w:pPr>
            <w:r>
              <w:rPr>
                <w:rFonts w:ascii="Arial" w:cs="Arial" w:eastAsia="Arial" w:hAnsi="Arial"/>
                <w:sz w:val="14"/>
                <w:szCs w:val="14"/>
                <w:color w:val="auto"/>
              </w:rPr>
              <w:t>Deferred revenues</w:t>
            </w:r>
          </w:p>
        </w:tc>
        <w:tc>
          <w:tcPr>
            <w:tcW w:w="9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220</w:t>
            </w:r>
          </w:p>
        </w:tc>
      </w:tr>
      <w:tr>
        <w:trPr>
          <w:trHeight w:val="260"/>
        </w:trPr>
        <w:tc>
          <w:tcPr>
            <w:tcW w:w="708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Accounts payable</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85</w:t>
            </w:r>
          </w:p>
        </w:tc>
      </w:tr>
      <w:tr>
        <w:trPr>
          <w:trHeight w:val="250"/>
        </w:trPr>
        <w:tc>
          <w:tcPr>
            <w:tcW w:w="7080" w:type="dxa"/>
            <w:vAlign w:val="bottom"/>
            <w:tcBorders>
              <w:bottom w:val="single" w:sz="8" w:color="CCEEFF"/>
            </w:tcBorders>
            <w:gridSpan w:val="3"/>
          </w:tcPr>
          <w:p>
            <w:pPr>
              <w:ind w:left="260"/>
              <w:spacing w:after="0"/>
              <w:rPr>
                <w:sz w:val="20"/>
                <w:szCs w:val="20"/>
                <w:color w:val="auto"/>
              </w:rPr>
            </w:pPr>
            <w:r>
              <w:rPr>
                <w:rFonts w:ascii="Arial" w:cs="Arial" w:eastAsia="Arial" w:hAnsi="Arial"/>
                <w:sz w:val="14"/>
                <w:szCs w:val="14"/>
                <w:color w:val="auto"/>
              </w:rPr>
              <w:t>Accrued expenses and other liabilities</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945</w:t>
            </w:r>
          </w:p>
        </w:tc>
      </w:tr>
      <w:tr>
        <w:trPr>
          <w:trHeight w:val="24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1,831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1,790</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2,213</w:t>
            </w: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Proceeds from maturities of available-for-sale investments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80</w:t>
            </w:r>
          </w:p>
        </w:tc>
      </w:tr>
      <w:tr>
        <w:trPr>
          <w:trHeight w:val="250"/>
        </w:trPr>
        <w:tc>
          <w:tcPr>
            <w:tcW w:w="7080" w:type="dxa"/>
            <w:vAlign w:val="bottom"/>
            <w:gridSpan w:val="3"/>
          </w:tcPr>
          <w:p>
            <w:pPr>
              <w:ind w:left="160"/>
              <w:spacing w:after="0"/>
              <w:rPr>
                <w:sz w:val="20"/>
                <w:szCs w:val="20"/>
                <w:color w:val="auto"/>
              </w:rPr>
            </w:pPr>
            <w:r>
              <w:rPr>
                <w:rFonts w:ascii="Arial" w:cs="Arial" w:eastAsia="Arial" w:hAnsi="Arial"/>
                <w:sz w:val="14"/>
                <w:szCs w:val="14"/>
                <w:color w:val="auto"/>
              </w:rPr>
              <w:t>Purchases of available-for-sale investments</w:t>
            </w:r>
          </w:p>
        </w:tc>
        <w:tc>
          <w:tcPr>
            <w:tcW w:w="9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w:t>
            </w: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50"/>
        </w:trPr>
        <w:tc>
          <w:tcPr>
            <w:tcW w:w="708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Other investing activities</w:t>
            </w: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w:t>
            </w:r>
          </w:p>
        </w:tc>
      </w:tr>
      <w:tr>
        <w:trPr>
          <w:trHeight w:val="24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w:t>
            </w: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Proceeds from issuance of common stock to employees</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178</w:t>
            </w:r>
          </w:p>
        </w:tc>
      </w:tr>
      <w:tr>
        <w:trPr>
          <w:trHeight w:val="250"/>
        </w:trPr>
        <w:tc>
          <w:tcPr>
            <w:tcW w:w="7080" w:type="dxa"/>
            <w:vAlign w:val="bottom"/>
            <w:gridSpan w:val="3"/>
          </w:tcPr>
          <w:p>
            <w:pPr>
              <w:ind w:left="160"/>
              <w:spacing w:after="0"/>
              <w:rPr>
                <w:sz w:val="20"/>
                <w:szCs w:val="20"/>
                <w:color w:val="auto"/>
              </w:rPr>
            </w:pPr>
            <w:r>
              <w:rPr>
                <w:rFonts w:ascii="Arial" w:cs="Arial" w:eastAsia="Arial" w:hAnsi="Arial"/>
                <w:sz w:val="14"/>
                <w:szCs w:val="14"/>
                <w:color w:val="auto"/>
              </w:rPr>
              <w:t>Tax payment related to net share settlements on restricted stock units</w:t>
            </w:r>
          </w:p>
        </w:tc>
        <w:tc>
          <w:tcPr>
            <w:tcW w:w="90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Dividends paid</w:t>
            </w: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r>
      <w:tr>
        <w:trPr>
          <w:trHeight w:val="250"/>
        </w:trPr>
        <w:tc>
          <w:tcPr>
            <w:tcW w:w="7080" w:type="dxa"/>
            <w:vAlign w:val="bottom"/>
            <w:gridSpan w:val="3"/>
          </w:tcPr>
          <w:p>
            <w:pPr>
              <w:ind w:left="160"/>
              <w:spacing w:after="0"/>
              <w:rPr>
                <w:sz w:val="20"/>
                <w:szCs w:val="20"/>
                <w:color w:val="auto"/>
              </w:rPr>
            </w:pPr>
            <w:r>
              <w:rPr>
                <w:rFonts w:ascii="Arial" w:cs="Arial" w:eastAsia="Arial" w:hAnsi="Arial"/>
                <w:sz w:val="14"/>
                <w:szCs w:val="14"/>
                <w:color w:val="auto"/>
              </w:rPr>
              <w:t>Proceeds from debt issuances, net of discounts</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3,741</w:t>
            </w:r>
          </w:p>
        </w:tc>
      </w:tr>
      <w:tr>
        <w:trPr>
          <w:trHeight w:val="260"/>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Repayment of long-term debt</w:t>
            </w:r>
          </w:p>
        </w:tc>
        <w:tc>
          <w:tcPr>
            <w:tcW w:w="9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(4,251)</w:t>
            </w:r>
          </w:p>
        </w:tc>
      </w:tr>
      <w:tr>
        <w:trPr>
          <w:trHeight w:val="250"/>
        </w:trPr>
        <w:tc>
          <w:tcPr>
            <w:tcW w:w="7080" w:type="dxa"/>
            <w:vAlign w:val="bottom"/>
            <w:gridSpan w:val="3"/>
          </w:tcPr>
          <w:p>
            <w:pPr>
              <w:ind w:left="160"/>
              <w:spacing w:after="0"/>
              <w:rPr>
                <w:sz w:val="20"/>
                <w:szCs w:val="20"/>
                <w:color w:val="auto"/>
              </w:rPr>
            </w:pPr>
            <w:r>
              <w:rPr>
                <w:rFonts w:ascii="Arial" w:cs="Arial" w:eastAsia="Arial" w:hAnsi="Arial"/>
                <w:sz w:val="14"/>
                <w:szCs w:val="14"/>
                <w:color w:val="auto"/>
              </w:rPr>
              <w:t>Premium payment for early redemption of note</w:t>
            </w:r>
          </w:p>
        </w:tc>
        <w:tc>
          <w:tcPr>
            <w:tcW w:w="9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55"/>
        </w:trPr>
        <w:tc>
          <w:tcPr>
            <w:tcW w:w="70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Other financing activities</w:t>
            </w:r>
          </w:p>
        </w:tc>
        <w:tc>
          <w:tcPr>
            <w:tcW w:w="9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35"/>
        </w:trPr>
        <w:tc>
          <w:tcPr>
            <w:tcW w:w="708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Net cash used in financing activities</w:t>
            </w:r>
          </w:p>
        </w:tc>
        <w:tc>
          <w:tcPr>
            <w:tcW w:w="9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(237)</w:t>
            </w:r>
          </w:p>
        </w:tc>
        <w:tc>
          <w:tcPr>
            <w:tcW w:w="10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w:t>
            </w:r>
          </w:p>
        </w:tc>
      </w:tr>
      <w:tr>
        <w:trPr>
          <w:trHeight w:val="23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76</w:t>
            </w:r>
          </w:p>
        </w:tc>
      </w:tr>
      <w:tr>
        <w:trPr>
          <w:trHeight w:val="235"/>
        </w:trPr>
        <w:tc>
          <w:tcPr>
            <w:tcW w:w="7080" w:type="dxa"/>
            <w:vAlign w:val="bottom"/>
            <w:gridSpan w:val="3"/>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w:t>
            </w:r>
          </w:p>
        </w:tc>
        <w:tc>
          <w:tcPr>
            <w:tcW w:w="900" w:type="dxa"/>
            <w:vAlign w:val="bottom"/>
          </w:tcPr>
          <w:p>
            <w:pPr>
              <w:spacing w:after="0"/>
              <w:rPr>
                <w:sz w:val="20"/>
                <w:szCs w:val="20"/>
                <w:color w:val="auto"/>
              </w:rPr>
            </w:pP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1,569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1,458</w:t>
            </w:r>
          </w:p>
        </w:tc>
      </w:tr>
      <w:tr>
        <w:trPr>
          <w:trHeight w:val="25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beginning of period</w:t>
            </w:r>
          </w:p>
        </w:tc>
        <w:tc>
          <w:tcPr>
            <w:tcW w:w="9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w w:val="96"/>
              </w:rPr>
              <w:t>4,229</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4,720</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3,262</w:t>
            </w:r>
          </w:p>
        </w:tc>
      </w:tr>
      <w:tr>
        <w:trPr>
          <w:trHeight w:val="230"/>
        </w:trPr>
        <w:tc>
          <w:tcPr>
            <w:tcW w:w="708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and cash equivalents and restricted cash at end of period</w:t>
            </w:r>
          </w:p>
        </w:tc>
        <w:tc>
          <w:tcPr>
            <w:tcW w:w="900" w:type="dxa"/>
            <w:vAlign w:val="bottom"/>
          </w:tcPr>
          <w:p>
            <w:pPr>
              <w:jc w:val="right"/>
              <w:ind w:right="729"/>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rPr>
                <w:sz w:val="20"/>
                <w:szCs w:val="20"/>
                <w:color w:val="auto"/>
              </w:rPr>
            </w:pPr>
            <w:r>
              <w:rPr>
                <w:rFonts w:ascii="Arial" w:cs="Arial" w:eastAsia="Arial" w:hAnsi="Arial"/>
                <w:sz w:val="14"/>
                <w:szCs w:val="14"/>
                <w:color w:val="auto"/>
                <w:w w:val="96"/>
              </w:rPr>
              <w:t>5,798</w:t>
            </w:r>
          </w:p>
        </w:tc>
        <w:tc>
          <w:tcPr>
            <w:tcW w:w="100" w:type="dxa"/>
            <w:vAlign w:val="bottom"/>
          </w:tcPr>
          <w:p>
            <w:pPr>
              <w:spacing w:after="0"/>
              <w:rPr>
                <w:sz w:val="19"/>
                <w:szCs w:val="19"/>
                <w:color w:val="auto"/>
              </w:rPr>
            </w:pPr>
          </w:p>
        </w:tc>
        <w:tc>
          <w:tcPr>
            <w:tcW w:w="320" w:type="dxa"/>
            <w:vAlign w:val="bottom"/>
          </w:tcPr>
          <w:p>
            <w:pPr>
              <w:jc w:val="right"/>
              <w:ind w:right="152"/>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32"/>
              <w:spacing w:after="0"/>
              <w:rPr>
                <w:sz w:val="20"/>
                <w:szCs w:val="20"/>
                <w:color w:val="auto"/>
              </w:rPr>
            </w:pPr>
            <w:r>
              <w:rPr>
                <w:rFonts w:ascii="Arial" w:cs="Arial" w:eastAsia="Arial" w:hAnsi="Arial"/>
                <w:sz w:val="14"/>
                <w:szCs w:val="14"/>
                <w:color w:val="auto"/>
              </w:rPr>
              <w:t>4,229</w:t>
            </w:r>
          </w:p>
        </w:tc>
        <w:tc>
          <w:tcPr>
            <w:tcW w:w="120" w:type="dxa"/>
            <w:vAlign w:val="bottom"/>
          </w:tcPr>
          <w:p>
            <w:pPr>
              <w:spacing w:after="0"/>
              <w:rPr>
                <w:sz w:val="19"/>
                <w:szCs w:val="19"/>
                <w:color w:val="auto"/>
              </w:rPr>
            </w:pPr>
          </w:p>
        </w:tc>
        <w:tc>
          <w:tcPr>
            <w:tcW w:w="4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2"/>
              <w:spacing w:after="0"/>
              <w:rPr>
                <w:sz w:val="20"/>
                <w:szCs w:val="20"/>
                <w:color w:val="auto"/>
              </w:rPr>
            </w:pPr>
            <w:r>
              <w:rPr>
                <w:rFonts w:ascii="Arial" w:cs="Arial" w:eastAsia="Arial" w:hAnsi="Arial"/>
                <w:sz w:val="14"/>
                <w:szCs w:val="14"/>
                <w:color w:val="auto"/>
              </w:rPr>
              <w:t>4,720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-635</wp:posOffset>
            </wp:positionV>
            <wp:extent cx="274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ind w:left="300" w:hanging="298"/>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deferral and amortization of share-based compensation expense.</w:t>
      </w:r>
    </w:p>
    <w:p>
      <w:pPr>
        <w:spacing w:after="0" w:line="4" w:lineRule="exact"/>
        <w:rPr>
          <w:rFonts w:ascii="Arial" w:cs="Arial" w:eastAsia="Arial" w:hAnsi="Arial"/>
          <w:sz w:val="14"/>
          <w:szCs w:val="14"/>
          <w:color w:val="auto"/>
        </w:rPr>
      </w:pPr>
    </w:p>
    <w:p>
      <w:pPr>
        <w:ind w:left="300" w:hanging="298"/>
        <w:spacing w:after="0"/>
        <w:tabs>
          <w:tab w:leader="none" w:pos="3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the net effects of capitalization, deferral, and amortization of share-based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4494530</wp:posOffset>
            </wp:positionH>
            <wp:positionV relativeFrom="paragraph">
              <wp:posOffset>-202565</wp:posOffset>
            </wp:positionV>
            <wp:extent cx="274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44470" cy="8255"/>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400"/>
          </w:cols>
          <w:pgMar w:left="240" w:top="127"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17" w:lineRule="exact"/>
        <w:rPr>
          <w:sz w:val="20"/>
          <w:szCs w:val="20"/>
          <w:color w:val="auto"/>
        </w:rPr>
      </w:pPr>
    </w:p>
    <w:p>
      <w:pPr>
        <w:ind w:firstLine="382"/>
        <w:spacing w:after="0" w:line="286"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on video game consoles, personal computers (“PC”s), and mobile devices. We also operate esports leagues and offer digital advertising within our content. The terms “Activision Blizzard,” the “Company,” “we,” “us,” and “our” are used to refer collectively to Activision Blizzard, Inc. and its subsidiaries.</w:t>
      </w:r>
    </w:p>
    <w:p>
      <w:pPr>
        <w:spacing w:after="0" w:line="158" w:lineRule="exact"/>
        <w:rPr>
          <w:sz w:val="20"/>
          <w:szCs w:val="20"/>
          <w:color w:val="auto"/>
        </w:rPr>
      </w:pPr>
    </w:p>
    <w:p>
      <w:pPr>
        <w:ind w:right="160" w:firstLine="382"/>
        <w:spacing w:after="0" w:line="258" w:lineRule="auto"/>
        <w:rPr>
          <w:sz w:val="20"/>
          <w:szCs w:val="20"/>
          <w:color w:val="auto"/>
        </w:rPr>
      </w:pPr>
      <w:r>
        <w:rPr>
          <w:rFonts w:ascii="Arial" w:cs="Arial" w:eastAsia="Arial" w:hAnsi="Arial"/>
          <w:sz w:val="17"/>
          <w:szCs w:val="17"/>
          <w:color w:val="auto"/>
        </w:rPr>
        <w:t>The Company was originally incorporated in California in 1979 and was reincorporated in Delaware in December 1992. In connection with the 2008 business combination by and among the Company (then known as Activision, Inc.), Vivendi S.A, and Vivendi Games, Inc., pursuant to which we acquired Blizzard Entertainment, Inc. (“Blizzard”), we were renamed Activision Blizzard, Inc. On February 23, 2016, we acquired King Digital Entertainment plc, a leading interactive mobile entertainment company ("King"), by purchasing all of its outstanding shares.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Segments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Based upon our organizational structure, we conduct our business through three reportable segments,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 Activision Publishing, Inc.</w:t>
      </w:r>
    </w:p>
    <w:p>
      <w:pPr>
        <w:spacing w:after="0" w:line="213" w:lineRule="exact"/>
        <w:rPr>
          <w:sz w:val="20"/>
          <w:szCs w:val="20"/>
          <w:color w:val="auto"/>
        </w:rPr>
      </w:pPr>
    </w:p>
    <w:p>
      <w:pPr>
        <w:ind w:right="100" w:firstLine="382"/>
        <w:spacing w:after="0" w:line="261" w:lineRule="auto"/>
        <w:rPr>
          <w:sz w:val="20"/>
          <w:szCs w:val="20"/>
          <w:color w:val="auto"/>
        </w:rPr>
      </w:pPr>
      <w:r>
        <w:rPr>
          <w:rFonts w:ascii="Arial" w:cs="Arial" w:eastAsia="Arial" w:hAnsi="Arial"/>
          <w:sz w:val="17"/>
          <w:szCs w:val="17"/>
          <w:color w:val="auto"/>
        </w:rPr>
        <w:t>Activision Publishing, Inc. (“Activision”) is a leading global developer and publisher of interactive software products and entertainment content, particularly for the console platform. Activision primarily delivers content through retail and digital channels, including full-game and in-game sales, as well as by licensing software to third-party or related-party companies that distribute Activision products. Activision develops, markets, and sells products primarily based on our internally developed intellectual properties. Activision also includes the activities of the Call of Duty League, a global professional esports league with city-based teams for Call of Duty</w:t>
      </w:r>
      <w:r>
        <w:rPr>
          <w:rFonts w:ascii="Arial" w:cs="Arial" w:eastAsia="Arial" w:hAnsi="Arial"/>
          <w:sz w:val="23"/>
          <w:szCs w:val="23"/>
          <w:color w:val="auto"/>
          <w:vertAlign w:val="superscript"/>
        </w:rPr>
        <w:t>®</w:t>
      </w:r>
      <w:r>
        <w:rPr>
          <w:rFonts w:ascii="Arial" w:cs="Arial" w:eastAsia="Arial" w:hAnsi="Arial"/>
          <w:sz w:val="17"/>
          <w:szCs w:val="17"/>
          <w:color w:val="auto"/>
        </w:rPr>
        <w:t>.</w:t>
      </w:r>
    </w:p>
    <w:p>
      <w:pPr>
        <w:spacing w:after="0" w:line="86" w:lineRule="exact"/>
        <w:rPr>
          <w:sz w:val="20"/>
          <w:szCs w:val="20"/>
          <w:color w:val="auto"/>
        </w:rPr>
      </w:pPr>
    </w:p>
    <w:p>
      <w:pPr>
        <w:ind w:right="20" w:firstLine="382"/>
        <w:spacing w:after="0" w:line="274" w:lineRule="auto"/>
        <w:rPr>
          <w:sz w:val="20"/>
          <w:szCs w:val="20"/>
          <w:color w:val="auto"/>
        </w:rPr>
      </w:pPr>
      <w:r>
        <w:rPr>
          <w:rFonts w:ascii="Arial" w:cs="Arial" w:eastAsia="Arial" w:hAnsi="Arial"/>
          <w:sz w:val="17"/>
          <w:szCs w:val="17"/>
          <w:color w:val="auto"/>
        </w:rPr>
        <w:t xml:space="preserve">Activision’s key product franchise is Call of Duty, a first-person action title for the console and PC platforms and, following the October 1, 2019 launch of </w:t>
      </w:r>
      <w:r>
        <w:rPr>
          <w:rFonts w:ascii="Arial" w:cs="Arial" w:eastAsia="Arial" w:hAnsi="Arial"/>
          <w:sz w:val="17"/>
          <w:szCs w:val="17"/>
          <w:i w:val="1"/>
          <w:iCs w:val="1"/>
          <w:color w:val="auto"/>
        </w:rPr>
        <w:t>Call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Duty: Mobile, </w:t>
      </w:r>
      <w:r>
        <w:rPr>
          <w:rFonts w:ascii="Arial" w:cs="Arial" w:eastAsia="Arial" w:hAnsi="Arial"/>
          <w:sz w:val="17"/>
          <w:szCs w:val="17"/>
          <w:color w:val="auto"/>
        </w:rPr>
        <w:t>the mobile platform, including for Google Inc.’s (“Google”) Android and Apple Inc.’s (“Apple”) iOS.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 Blizzard Entertainment, Inc.</w:t>
      </w:r>
    </w:p>
    <w:p>
      <w:pPr>
        <w:spacing w:after="0" w:line="21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for the PC platform. Blizzard</w:t>
      </w:r>
    </w:p>
    <w:p>
      <w:pPr>
        <w:spacing w:after="0" w:line="3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primarily delivers content through retail and digital channels, including subscriptions, full-game, and in-game sales, as well as by licensing software to third-party or related-party companies that distribute Blizzard products. Blizzard also maintains a proprietary online gaming service, Blizzard Battle.net</w:t>
      </w:r>
      <w:r>
        <w:rPr>
          <w:rFonts w:ascii="Arial" w:cs="Arial" w:eastAsia="Arial" w:hAnsi="Arial"/>
          <w:sz w:val="22"/>
          <w:szCs w:val="22"/>
          <w:color w:val="auto"/>
          <w:vertAlign w:val="superscript"/>
        </w:rPr>
        <w:t>®</w:t>
      </w:r>
      <w:r>
        <w:rPr>
          <w:rFonts w:ascii="Arial" w:cs="Arial" w:eastAsia="Arial" w:hAnsi="Arial"/>
          <w:sz w:val="16"/>
          <w:szCs w:val="16"/>
          <w:color w:val="auto"/>
        </w:rPr>
        <w:t>, which facilitates digital distribution of Blizzard content and selected Activision content, online social connectivity, and the creation of user-generated content. Blizzard also includes the activities of the Overwatch League</w:t>
      </w:r>
      <w:r>
        <w:rPr>
          <w:rFonts w:ascii="Arial" w:cs="Arial" w:eastAsia="Arial" w:hAnsi="Arial"/>
          <w:sz w:val="22"/>
          <w:szCs w:val="22"/>
          <w:color w:val="auto"/>
          <w:vertAlign w:val="superscript"/>
        </w:rPr>
        <w:t>TM</w:t>
      </w:r>
      <w:r>
        <w:rPr>
          <w:rFonts w:ascii="Arial" w:cs="Arial" w:eastAsia="Arial" w:hAnsi="Arial"/>
          <w:sz w:val="16"/>
          <w:szCs w:val="16"/>
          <w:color w:val="auto"/>
        </w:rPr>
        <w:t>, the first major global professional esports league with city-based teams.</w:t>
      </w:r>
    </w:p>
    <w:p>
      <w:pPr>
        <w:spacing w:after="0" w:line="93" w:lineRule="exact"/>
        <w:rPr>
          <w:sz w:val="20"/>
          <w:szCs w:val="20"/>
          <w:color w:val="auto"/>
        </w:rPr>
      </w:pPr>
    </w:p>
    <w:p>
      <w:pPr>
        <w:jc w:val="both"/>
        <w:ind w:right="20" w:firstLine="382"/>
        <w:spacing w:after="0" w:line="189" w:lineRule="auto"/>
        <w:rPr>
          <w:sz w:val="20"/>
          <w:szCs w:val="20"/>
          <w:color w:val="auto"/>
        </w:rPr>
      </w:pPr>
      <w:r>
        <w:rPr>
          <w:rFonts w:ascii="Arial" w:cs="Arial" w:eastAsia="Arial" w:hAnsi="Arial"/>
          <w:sz w:val="17"/>
          <w:szCs w:val="17"/>
          <w:color w:val="auto"/>
        </w:rPr>
        <w:t>Blizzard’s key product franchises include: World of Warcraft</w:t>
      </w:r>
      <w:r>
        <w:rPr>
          <w:rFonts w:ascii="Arial" w:cs="Arial" w:eastAsia="Arial" w:hAnsi="Arial"/>
          <w:sz w:val="23"/>
          <w:szCs w:val="23"/>
          <w:color w:val="auto"/>
          <w:vertAlign w:val="superscript"/>
        </w:rPr>
        <w:t>®</w:t>
      </w:r>
      <w:r>
        <w:rPr>
          <w:rFonts w:ascii="Arial" w:cs="Arial" w:eastAsia="Arial" w:hAnsi="Arial"/>
          <w:sz w:val="17"/>
          <w:szCs w:val="17"/>
          <w:color w:val="auto"/>
        </w:rPr>
        <w:t>, a subscription-based massive multi-player online role-playing game for the PC platform; Diablo</w:t>
      </w:r>
      <w:r>
        <w:rPr>
          <w:rFonts w:ascii="Arial" w:cs="Arial" w:eastAsia="Arial" w:hAnsi="Arial"/>
          <w:sz w:val="23"/>
          <w:szCs w:val="23"/>
          <w:color w:val="auto"/>
          <w:vertAlign w:val="superscript"/>
        </w:rPr>
        <w:t>®</w:t>
      </w:r>
      <w:r>
        <w:rPr>
          <w:rFonts w:ascii="Arial" w:cs="Arial" w:eastAsia="Arial" w:hAnsi="Arial"/>
          <w:sz w:val="17"/>
          <w:szCs w:val="17"/>
          <w:color w:val="auto"/>
        </w:rPr>
        <w:t>, an action role-playing franchise for the PC and console platforms; Hearthstone</w:t>
      </w:r>
      <w:r>
        <w:rPr>
          <w:rFonts w:ascii="Arial" w:cs="Arial" w:eastAsia="Arial" w:hAnsi="Arial"/>
          <w:sz w:val="23"/>
          <w:szCs w:val="23"/>
          <w:color w:val="auto"/>
          <w:vertAlign w:val="superscript"/>
        </w:rPr>
        <w:t>®</w:t>
      </w:r>
      <w:r>
        <w:rPr>
          <w:rFonts w:ascii="Arial" w:cs="Arial" w:eastAsia="Arial" w:hAnsi="Arial"/>
          <w:sz w:val="17"/>
          <w:szCs w:val="17"/>
          <w:color w:val="auto"/>
        </w:rPr>
        <w:t>, an online collectible card franchise for the PC and mobile platforms; and Overwatch</w:t>
      </w:r>
      <w:r>
        <w:rPr>
          <w:rFonts w:ascii="Arial" w:cs="Arial" w:eastAsia="Arial" w:hAnsi="Arial"/>
          <w:sz w:val="23"/>
          <w:szCs w:val="23"/>
          <w:color w:val="auto"/>
          <w:vertAlign w:val="superscript"/>
        </w:rPr>
        <w:t>®</w:t>
      </w:r>
      <w:r>
        <w:rPr>
          <w:rFonts w:ascii="Arial" w:cs="Arial" w:eastAsia="Arial" w:hAnsi="Arial"/>
          <w:sz w:val="17"/>
          <w:szCs w:val="17"/>
          <w:color w:val="auto"/>
        </w:rPr>
        <w:t>, a team-based first-person action title for the PC and console platforms.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(iii) King Digital Entertainment</w:t>
      </w:r>
    </w:p>
    <w:p>
      <w:pPr>
        <w:spacing w:after="0" w:line="213" w:lineRule="exact"/>
        <w:rPr>
          <w:sz w:val="20"/>
          <w:szCs w:val="20"/>
          <w:color w:val="auto"/>
        </w:rPr>
      </w:pPr>
    </w:p>
    <w:p>
      <w:pPr>
        <w:ind w:right="240" w:firstLine="382"/>
        <w:spacing w:after="0" w:line="313" w:lineRule="auto"/>
        <w:rPr>
          <w:sz w:val="20"/>
          <w:szCs w:val="20"/>
          <w:color w:val="auto"/>
        </w:rPr>
      </w:pPr>
      <w:r>
        <w:rPr>
          <w:rFonts w:ascii="Arial" w:cs="Arial" w:eastAsia="Arial" w:hAnsi="Arial"/>
          <w:sz w:val="15"/>
          <w:szCs w:val="15"/>
          <w:color w:val="auto"/>
        </w:rPr>
        <w:t>King is a leading global developer and publisher of interactive entertainment content and services, primarily for the mobile platform, including for Google’s Android and Apple’s iOS. King also distributes its content and services on the PC platform, primarily via Facebook. King’s games are free to play; however, players can acquire in-game items, either with virtual currency or real currency, and we continue to focus on in-game advertising as a growing source of additional revenue.</w:t>
      </w:r>
    </w:p>
    <w:p>
      <w:pPr>
        <w:spacing w:after="0" w:line="14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King’s key product franchise is Candy Crush™, which features “match three” games for the mobile and PC platforms.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127"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213" w:lineRule="exact"/>
        <w:rPr>
          <w:sz w:val="20"/>
          <w:szCs w:val="20"/>
          <w:color w:val="auto"/>
        </w:rPr>
      </w:pPr>
    </w:p>
    <w:p>
      <w:pPr>
        <w:ind w:right="140" w:firstLine="382"/>
        <w:spacing w:after="0" w:line="262" w:lineRule="auto"/>
        <w:rPr>
          <w:sz w:val="20"/>
          <w:szCs w:val="20"/>
          <w:color w:val="auto"/>
        </w:rPr>
      </w:pPr>
      <w:r>
        <w:rPr>
          <w:rFonts w:ascii="Arial" w:cs="Arial" w:eastAsia="Arial" w:hAnsi="Arial"/>
          <w:sz w:val="17"/>
          <w:szCs w:val="17"/>
          <w:color w:val="auto"/>
        </w:rPr>
        <w:t>We also engage in other businesses that do not represent reportable segments, including 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Destiny Franchise</w:t>
      </w:r>
    </w:p>
    <w:p>
      <w:pPr>
        <w:spacing w:after="0" w:line="225" w:lineRule="exact"/>
        <w:rPr>
          <w:sz w:val="20"/>
          <w:szCs w:val="20"/>
          <w:color w:val="auto"/>
        </w:rPr>
      </w:pPr>
    </w:p>
    <w:p>
      <w:pPr>
        <w:ind w:right="100" w:firstLine="382"/>
        <w:spacing w:after="0" w:line="271" w:lineRule="auto"/>
        <w:rPr>
          <w:sz w:val="20"/>
          <w:szCs w:val="20"/>
          <w:color w:val="auto"/>
        </w:rPr>
      </w:pPr>
      <w:r>
        <w:rPr>
          <w:rFonts w:ascii="Arial" w:cs="Arial" w:eastAsia="Arial" w:hAnsi="Arial"/>
          <w:sz w:val="17"/>
          <w:szCs w:val="17"/>
          <w:color w:val="auto"/>
        </w:rPr>
        <w:t>In 2010, Activision entered into an exclusive relationship with Bungie, Inc. (“Bungie”) to publish games in the Destiny franchise. Effective December 31, 2018, Activision and Bungie mutually agreed to terminate their publishing relationship related to the Destiny franchise. As part of this termination, Activision agreed to transfer its publishing rights for the Destiny franchise to Bungie in exchange for cash and Bungie’s assumption of on-going customer obligations of Activision. Going forward, Activision no longer has any material rights or obligations related to the Destiny franchise. As a result of the agreement to terminate the relationship, the Company recognized revenues of $164 million and GAAP operating income of $91 million for the year ended December 31, 2018. Activision no longer has any material rights or obligations related to the Destiny franchise.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Consolidation and Presentation</w:t>
      </w:r>
    </w:p>
    <w:p>
      <w:pPr>
        <w:spacing w:after="0" w:line="213" w:lineRule="exact"/>
        <w:rPr>
          <w:sz w:val="20"/>
          <w:szCs w:val="20"/>
          <w:color w:val="auto"/>
        </w:rPr>
      </w:pPr>
    </w:p>
    <w:p>
      <w:pPr>
        <w:ind w:right="20" w:firstLine="408"/>
        <w:spacing w:after="0" w:line="303" w:lineRule="auto"/>
        <w:rPr>
          <w:sz w:val="20"/>
          <w:szCs w:val="20"/>
          <w:color w:val="auto"/>
        </w:rPr>
      </w:pPr>
      <w:r>
        <w:rPr>
          <w:rFonts w:ascii="Arial" w:cs="Arial" w:eastAsia="Arial" w:hAnsi="Arial"/>
          <w:sz w:val="15"/>
          <w:szCs w:val="15"/>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 United States of America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Certain reclassifications have been made to prior-year amounts to conform to the current period presentation.</w:t>
      </w:r>
    </w:p>
    <w:p>
      <w:pPr>
        <w:spacing w:after="0" w:line="213" w:lineRule="exact"/>
        <w:rPr>
          <w:sz w:val="20"/>
          <w:szCs w:val="20"/>
          <w:color w:val="auto"/>
        </w:rPr>
      </w:pPr>
    </w:p>
    <w:p>
      <w:pPr>
        <w:ind w:right="420" w:firstLine="408"/>
        <w:spacing w:after="0" w:line="274" w:lineRule="auto"/>
        <w:rPr>
          <w:sz w:val="20"/>
          <w:szCs w:val="20"/>
          <w:color w:val="auto"/>
        </w:rPr>
      </w:pPr>
      <w:r>
        <w:rPr>
          <w:rFonts w:ascii="Arial" w:cs="Arial" w:eastAsia="Arial" w:hAnsi="Arial"/>
          <w:sz w:val="17"/>
          <w:szCs w:val="17"/>
          <w:color w:val="auto"/>
        </w:rPr>
        <w:t>The Company considers events or transactions that occur after the balance sheet date, but before the financial statements are issued, for additional evidence relative to certain estimates or to identify matters that require additional disclosures.</w:t>
      </w:r>
    </w:p>
    <w:p>
      <w:pPr>
        <w:spacing w:after="0" w:line="166" w:lineRule="exact"/>
        <w:rPr>
          <w:sz w:val="20"/>
          <w:szCs w:val="20"/>
          <w:color w:val="auto"/>
        </w:rPr>
      </w:pPr>
    </w:p>
    <w:p>
      <w:pPr>
        <w:ind w:firstLine="382"/>
        <w:spacing w:after="0" w:line="303" w:lineRule="auto"/>
        <w:rPr>
          <w:sz w:val="20"/>
          <w:szCs w:val="20"/>
          <w:color w:val="auto"/>
        </w:rPr>
      </w:pPr>
      <w:r>
        <w:rPr>
          <w:rFonts w:ascii="Arial" w:cs="Arial" w:eastAsia="Arial" w:hAnsi="Arial"/>
          <w:sz w:val="15"/>
          <w:szCs w:val="15"/>
          <w:color w:val="auto"/>
        </w:rPr>
        <w:t>During the three months ended March 31, 2019, we identified an error principally related to the initial recognition of income taxes for global intangible low-taxed income (“GILTI”) of foreign subsidiaries which should have been recorded in the three months and year ended December 31, 2018. Income tax expense for the three months and year ended December 31, 2018 should have been reduced by $35 million. This amount is not material to the consolidated financial statements for the year ended December 31, 2018, and we have revised our 2018 consolidated financial statements and impacted footnotes in this Form 10-K to reflect this correction.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3" w:lineRule="exact"/>
        <w:rPr>
          <w:sz w:val="20"/>
          <w:szCs w:val="20"/>
          <w:color w:val="auto"/>
        </w:rPr>
      </w:pPr>
    </w:p>
    <w:p>
      <w:pPr>
        <w:ind w:right="160" w:firstLine="408"/>
        <w:spacing w:after="0" w:line="274" w:lineRule="auto"/>
        <w:rPr>
          <w:sz w:val="20"/>
          <w:szCs w:val="20"/>
          <w:color w:val="auto"/>
        </w:rPr>
      </w:pPr>
      <w:r>
        <w:rPr>
          <w:rFonts w:ascii="Arial" w:cs="Arial" w:eastAsia="Arial" w:hAnsi="Arial"/>
          <w:sz w:val="17"/>
          <w:szCs w:val="17"/>
          <w:color w:val="auto"/>
        </w:rPr>
        <w:t>We consider all money market funds and highly liquid investments with original maturities of three months or less at the time of purchase to be “Cash and cash equivalents.”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213" w:lineRule="exact"/>
        <w:rPr>
          <w:sz w:val="20"/>
          <w:szCs w:val="20"/>
          <w:color w:val="auto"/>
        </w:rPr>
      </w:pPr>
    </w:p>
    <w:p>
      <w:pPr>
        <w:jc w:val="both"/>
        <w:ind w:right="60" w:firstLine="408"/>
        <w:spacing w:after="0" w:line="286" w:lineRule="auto"/>
        <w:rPr>
          <w:sz w:val="20"/>
          <w:szCs w:val="20"/>
          <w:color w:val="auto"/>
        </w:rPr>
      </w:pPr>
      <w:r>
        <w:rPr>
          <w:rFonts w:ascii="Arial" w:cs="Arial" w:eastAsia="Arial" w:hAnsi="Arial"/>
          <w:sz w:val="16"/>
          <w:szCs w:val="16"/>
          <w:color w:val="auto"/>
        </w:rPr>
        <w:t>Investments in debt securities designated as available-for-sale are carried at fair value, which is based on quoted market prices for such securities, if available, or is estimated on the basis of quoted market prices of financial instruments with similar characteristics. Unrealized gains and losses on the Company’s available-for-sale debt securities are excluded from earnings and are reported as a component of “Other comprehensive income (loss).”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400"/>
          </w:cols>
          <w:pgMar w:left="240" w:top="127" w:right="25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00" w:firstLine="408"/>
        <w:spacing w:after="0" w:line="262" w:lineRule="auto"/>
        <w:rPr>
          <w:sz w:val="20"/>
          <w:szCs w:val="20"/>
          <w:color w:val="auto"/>
        </w:rPr>
      </w:pPr>
      <w:r>
        <w:rPr>
          <w:rFonts w:ascii="Arial" w:cs="Arial" w:eastAsia="Arial" w:hAnsi="Arial"/>
          <w:sz w:val="17"/>
          <w:szCs w:val="17"/>
          <w:color w:val="auto"/>
        </w:rPr>
        <w:t>Investments with original maturities greater than three months and remaining maturities of less than one year are normally classified within “Other current assets.” Investments with maturities beyond one year may be classified within “Other current assets” if they are highly liquid in nature and represent the investment of cash that is available for current operations.</w:t>
      </w:r>
    </w:p>
    <w:p>
      <w:pPr>
        <w:spacing w:after="0" w:line="176" w:lineRule="exact"/>
        <w:rPr>
          <w:sz w:val="20"/>
          <w:szCs w:val="20"/>
          <w:color w:val="auto"/>
        </w:rPr>
      </w:pPr>
    </w:p>
    <w:p>
      <w:pPr>
        <w:ind w:right="200" w:firstLine="408"/>
        <w:spacing w:after="0" w:line="274" w:lineRule="auto"/>
        <w:rPr>
          <w:sz w:val="20"/>
          <w:szCs w:val="20"/>
          <w:color w:val="auto"/>
        </w:rPr>
      </w:pPr>
      <w:r>
        <w:rPr>
          <w:rFonts w:ascii="Arial" w:cs="Arial" w:eastAsia="Arial" w:hAnsi="Arial"/>
          <w:sz w:val="17"/>
          <w:szCs w:val="17"/>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66" w:lineRule="exact"/>
        <w:rPr>
          <w:sz w:val="20"/>
          <w:szCs w:val="20"/>
          <w:color w:val="auto"/>
        </w:rPr>
      </w:pPr>
    </w:p>
    <w:p>
      <w:pPr>
        <w:jc w:val="both"/>
        <w:ind w:right="240" w:firstLine="408"/>
        <w:spacing w:after="0" w:line="343" w:lineRule="auto"/>
        <w:rPr>
          <w:sz w:val="20"/>
          <w:szCs w:val="20"/>
          <w:color w:val="auto"/>
        </w:rPr>
      </w:pPr>
      <w:r>
        <w:rPr>
          <w:rFonts w:ascii="Arial" w:cs="Arial" w:eastAsia="Arial" w:hAnsi="Arial"/>
          <w:sz w:val="15"/>
          <w:szCs w:val="15"/>
          <w:color w:val="auto"/>
        </w:rPr>
        <w:t>Investments in equity securities which are not accounted for under the equity method and for which there is not a readily determinable fair value are carried at cost, less impairment, and adjusted for changes resulting from observable price changes in orderly transactions for identical or similar investment of the same issuer.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213" w:lineRule="exact"/>
        <w:rPr>
          <w:sz w:val="20"/>
          <w:szCs w:val="20"/>
          <w:color w:val="auto"/>
        </w:rPr>
      </w:pPr>
    </w:p>
    <w:p>
      <w:pPr>
        <w:ind w:right="240" w:firstLine="408"/>
        <w:spacing w:after="0" w:line="258" w:lineRule="auto"/>
        <w:rPr>
          <w:sz w:val="20"/>
          <w:szCs w:val="20"/>
          <w:color w:val="auto"/>
        </w:rPr>
      </w:pPr>
      <w:r>
        <w:rPr>
          <w:rFonts w:ascii="Arial" w:cs="Arial" w:eastAsia="Arial" w:hAnsi="Arial"/>
          <w:sz w:val="17"/>
          <w:szCs w:val="17"/>
          <w:color w:val="auto"/>
        </w:rPr>
        <w:t>The carrying amounts of “Cash and cash equivalents,” “Accounts receivable, net of allowances,” “Accounts payable,” and “Accrued expenses and other liabilities” approximate fair value due to the short-term nature of these accounts. Our investments in U.S. treasuries, government agency securities, and corporate bonds, if any, are carried at fair value, which is based on quoted market prices for such securities, if available, or is estimated on the basis of quoted market prices of financial instruments with similar characteristics.</w:t>
      </w:r>
    </w:p>
    <w:p>
      <w:pPr>
        <w:spacing w:after="0" w:line="179" w:lineRule="exact"/>
        <w:rPr>
          <w:sz w:val="20"/>
          <w:szCs w:val="20"/>
          <w:color w:val="auto"/>
        </w:rPr>
      </w:pPr>
    </w:p>
    <w:p>
      <w:pPr>
        <w:ind w:right="60" w:firstLine="408"/>
        <w:spacing w:after="0" w:line="256" w:lineRule="auto"/>
        <w:rPr>
          <w:sz w:val="20"/>
          <w:szCs w:val="20"/>
          <w:color w:val="auto"/>
        </w:rPr>
      </w:pPr>
      <w:r>
        <w:rPr>
          <w:rFonts w:ascii="Arial" w:cs="Arial" w:eastAsia="Arial" w:hAnsi="Arial"/>
          <w:sz w:val="17"/>
          <w:szCs w:val="17"/>
          <w:color w:val="auto"/>
        </w:rPr>
        <w:t>The Company transacts business in various foreign currencies and has significant international sales and expenses denominated in foreign currencies, subjecting us to foreign currency risk. To mitigate our foreign currency risk resulting from our foreign currency-denominated monetary assets, liabilities,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81" w:lineRule="exact"/>
        <w:rPr>
          <w:sz w:val="20"/>
          <w:szCs w:val="20"/>
          <w:color w:val="auto"/>
        </w:rPr>
      </w:pPr>
    </w:p>
    <w:p>
      <w:pPr>
        <w:ind w:right="80" w:firstLine="408"/>
        <w:spacing w:after="0" w:line="279"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We do not hold or purchase any foreign currency forward contracts for trading or speculative purposes.</w:t>
      </w:r>
    </w:p>
    <w:p>
      <w:pPr>
        <w:spacing w:after="0" w:line="213" w:lineRule="exact"/>
        <w:rPr>
          <w:sz w:val="20"/>
          <w:szCs w:val="20"/>
          <w:color w:val="auto"/>
        </w:rPr>
      </w:pPr>
    </w:p>
    <w:p>
      <w:pPr>
        <w:ind w:right="140" w:firstLine="408"/>
        <w:spacing w:after="0" w:line="343" w:lineRule="auto"/>
        <w:rPr>
          <w:sz w:val="20"/>
          <w:szCs w:val="20"/>
          <w:color w:val="auto"/>
        </w:rPr>
      </w:pPr>
      <w:r>
        <w:rPr>
          <w:rFonts w:ascii="Arial" w:cs="Arial" w:eastAsia="Arial" w:hAnsi="Arial"/>
          <w:sz w:val="15"/>
          <w:szCs w:val="15"/>
          <w:color w:val="auto"/>
        </w:rPr>
        <w:t>For foreign currency forward contracts which are not designated as hedging instruments under ASC 815, we record the changes in the estimated fair value of these derivatives within “General and administrative expenses” in our consolidated statements of operations, consistent with the nature of the underlying transactions.</w:t>
      </w:r>
    </w:p>
    <w:p>
      <w:pPr>
        <w:spacing w:after="0" w:line="119" w:lineRule="exact"/>
        <w:rPr>
          <w:sz w:val="20"/>
          <w:szCs w:val="20"/>
          <w:color w:val="auto"/>
        </w:rPr>
      </w:pPr>
    </w:p>
    <w:p>
      <w:pPr>
        <w:ind w:firstLine="408"/>
        <w:spacing w:after="0" w:line="293" w:lineRule="auto"/>
        <w:rPr>
          <w:sz w:val="20"/>
          <w:szCs w:val="20"/>
          <w:color w:val="auto"/>
        </w:rPr>
      </w:pPr>
      <w:r>
        <w:rPr>
          <w:rFonts w:ascii="Arial" w:cs="Arial" w:eastAsia="Arial" w:hAnsi="Arial"/>
          <w:sz w:val="15"/>
          <w:szCs w:val="15"/>
          <w:color w:val="auto"/>
        </w:rPr>
        <w:t>For foreign currency forward contracts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changes in the estimated fair value of these derivatives in “Accumulated other comprehensive loss” and subsequently reclassifies the related amount of accumulated other comprehensive income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13" w:lineRule="exact"/>
        <w:rPr>
          <w:sz w:val="20"/>
          <w:szCs w:val="20"/>
          <w:color w:val="auto"/>
        </w:rPr>
      </w:pPr>
    </w:p>
    <w:p>
      <w:pPr>
        <w:ind w:right="540" w:firstLine="408"/>
        <w:spacing w:after="0" w:line="274" w:lineRule="auto"/>
        <w:rPr>
          <w:sz w:val="20"/>
          <w:szCs w:val="20"/>
          <w:color w:val="auto"/>
        </w:rPr>
      </w:pPr>
      <w:r>
        <w:rPr>
          <w:rFonts w:ascii="Arial" w:cs="Arial" w:eastAsia="Arial" w:hAnsi="Arial"/>
          <w:sz w:val="17"/>
          <w:szCs w:val="17"/>
          <w:color w:val="auto"/>
        </w:rPr>
        <w:t>Our concentration of credit risk relates to depositors holding the Company’s cash and cash equivalents and customers with significant accounts receivable balances.</w:t>
      </w:r>
    </w:p>
    <w:p>
      <w:pPr>
        <w:spacing w:after="0" w:line="166" w:lineRule="exact"/>
        <w:rPr>
          <w:sz w:val="20"/>
          <w:szCs w:val="20"/>
          <w:color w:val="auto"/>
        </w:rPr>
      </w:pPr>
    </w:p>
    <w:p>
      <w:pPr>
        <w:ind w:right="160" w:firstLine="408"/>
        <w:spacing w:after="0" w:line="274" w:lineRule="auto"/>
        <w:rPr>
          <w:sz w:val="20"/>
          <w:szCs w:val="20"/>
          <w:color w:val="auto"/>
        </w:rPr>
      </w:pPr>
      <w:r>
        <w:rPr>
          <w:rFonts w:ascii="Arial" w:cs="Arial" w:eastAsia="Arial" w:hAnsi="Arial"/>
          <w:sz w:val="17"/>
          <w:szCs w:val="17"/>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127"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408"/>
        <w:spacing w:after="0" w:line="262" w:lineRule="auto"/>
        <w:rPr>
          <w:sz w:val="20"/>
          <w:szCs w:val="20"/>
          <w:color w:val="auto"/>
        </w:rPr>
      </w:pPr>
      <w:r>
        <w:rPr>
          <w:rFonts w:ascii="Arial" w:cs="Arial" w:eastAsia="Arial" w:hAnsi="Arial"/>
          <w:sz w:val="17"/>
          <w:szCs w:val="17"/>
          <w:color w:val="auto"/>
        </w:rPr>
        <w:t>Our customer base includes retailers and distributors, including mass-market retailers, first party digital storefronts,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76" w:lineRule="exact"/>
        <w:rPr>
          <w:sz w:val="20"/>
          <w:szCs w:val="20"/>
          <w:color w:val="auto"/>
        </w:rPr>
      </w:pPr>
    </w:p>
    <w:p>
      <w:pPr>
        <w:ind w:right="140" w:firstLine="408"/>
        <w:spacing w:after="0" w:line="262" w:lineRule="auto"/>
        <w:rPr>
          <w:sz w:val="20"/>
          <w:szCs w:val="20"/>
          <w:color w:val="auto"/>
        </w:rPr>
      </w:pPr>
      <w:r>
        <w:rPr>
          <w:rFonts w:ascii="Arial" w:cs="Arial" w:eastAsia="Arial" w:hAnsi="Arial"/>
          <w:sz w:val="17"/>
          <w:szCs w:val="17"/>
          <w:color w:val="auto"/>
        </w:rPr>
        <w:t>For the years ended December 31, 2019, 2018, and 2017, Apple, Google, and Sony Interactive Entertainment, Inc. (“Sony”) have been our most significant customers with revenues of 17%, 13%, and 11%, respectively, for 2019, 15%, 11%, and 13%, respectively, for 2018, and 16%, 10%, and 14%, respectively, for 2017. No other customer accounted for 10% or more of our net revenues in the periods discussed above.</w:t>
      </w:r>
    </w:p>
    <w:p>
      <w:pPr>
        <w:spacing w:after="0" w:line="176" w:lineRule="exact"/>
        <w:rPr>
          <w:sz w:val="20"/>
          <w:szCs w:val="20"/>
          <w:color w:val="auto"/>
        </w:rPr>
      </w:pPr>
    </w:p>
    <w:p>
      <w:pPr>
        <w:jc w:val="both"/>
        <w:ind w:right="100" w:firstLine="408"/>
        <w:spacing w:after="0" w:line="262" w:lineRule="auto"/>
        <w:rPr>
          <w:sz w:val="20"/>
          <w:szCs w:val="20"/>
          <w:color w:val="auto"/>
        </w:rPr>
      </w:pPr>
      <w:r>
        <w:rPr>
          <w:rFonts w:ascii="Arial" w:cs="Arial" w:eastAsia="Arial" w:hAnsi="Arial"/>
          <w:sz w:val="17"/>
          <w:szCs w:val="17"/>
          <w:color w:val="auto"/>
        </w:rPr>
        <w:t>We had two customers—Sony and Microsoft—who accounted for 18% and 11%, respectively, of consolidated gross receivables at December 31, 2019. We had two customers—Sony and NetEase, Inc.—who accounted for 15% and 12%, respectively, of consolidated gross receivables at December 31, 2018. No other customer accounted for 10% or more of our consolidated gross receivables in the periods discussed above.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 and Allowances for Obsolescence</w:t>
      </w:r>
    </w:p>
    <w:p>
      <w:pPr>
        <w:spacing w:after="0" w:line="213" w:lineRule="exact"/>
        <w:rPr>
          <w:sz w:val="20"/>
          <w:szCs w:val="20"/>
          <w:color w:val="auto"/>
        </w:rPr>
      </w:pPr>
    </w:p>
    <w:p>
      <w:pPr>
        <w:ind w:right="180" w:firstLine="408"/>
        <w:spacing w:after="0" w:line="274" w:lineRule="auto"/>
        <w:rPr>
          <w:sz w:val="20"/>
          <w:szCs w:val="20"/>
          <w:color w:val="auto"/>
        </w:rPr>
      </w:pPr>
      <w:r>
        <w:rPr>
          <w:rFonts w:ascii="Arial" w:cs="Arial" w:eastAsia="Arial" w:hAnsi="Arial"/>
          <w:sz w:val="17"/>
          <w:szCs w:val="17"/>
          <w:color w:val="auto"/>
        </w:rPr>
        <w:t>Inventories consist of materials (including manufacturing royalties paid to console manufacturers), labor, and freight-in costs and are stated at the lower of cost (weighted-average method) or net realizable value. Inventories are relieved on a weighted-average cost method.</w:t>
      </w:r>
    </w:p>
    <w:p>
      <w:pPr>
        <w:spacing w:after="0" w:line="166" w:lineRule="exact"/>
        <w:rPr>
          <w:sz w:val="20"/>
          <w:szCs w:val="20"/>
          <w:color w:val="auto"/>
        </w:rPr>
      </w:pPr>
    </w:p>
    <w:p>
      <w:pPr>
        <w:ind w:right="200" w:firstLine="408"/>
        <w:spacing w:after="0" w:line="256" w:lineRule="auto"/>
        <w:rPr>
          <w:sz w:val="20"/>
          <w:szCs w:val="20"/>
          <w:color w:val="auto"/>
        </w:rPr>
      </w:pPr>
      <w:r>
        <w:rPr>
          <w:rFonts w:ascii="Arial" w:cs="Arial" w:eastAsia="Arial" w:hAnsi="Arial"/>
          <w:sz w:val="17"/>
          <w:szCs w:val="17"/>
          <w:color w:val="auto"/>
        </w:rPr>
        <w:t>We regularly review inventory quantities on-hand and in the retail channels and will write down inventory on-hand based on excess or obsolete inventories, determined primarily by future anticipated demand for our products. Inventory write-downs are measured as the difference between the cost of the inventory and net realizable value, based upon assumptions about future demand, which are inherently difficult to assess and dependent on market conditions. At the point of a loss recognition, a new, lower cost basis for that inventory is established, and subsequent changes in facts and circumstances do not result in the restoration or increase in that newly established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 and Intellectual Property Licenses</w:t>
      </w:r>
    </w:p>
    <w:p>
      <w:pPr>
        <w:spacing w:after="0" w:line="213" w:lineRule="exact"/>
        <w:rPr>
          <w:sz w:val="20"/>
          <w:szCs w:val="20"/>
          <w:color w:val="auto"/>
        </w:rPr>
      </w:pPr>
    </w:p>
    <w:p>
      <w:pPr>
        <w:ind w:right="40" w:firstLine="408"/>
        <w:spacing w:after="0" w:line="270"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online hosted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74" w:lineRule="exact"/>
        <w:rPr>
          <w:sz w:val="20"/>
          <w:szCs w:val="20"/>
          <w:color w:val="auto"/>
        </w:rPr>
      </w:pPr>
    </w:p>
    <w:p>
      <w:pPr>
        <w:ind w:right="20" w:firstLine="408"/>
        <w:spacing w:after="0" w:line="262" w:lineRule="auto"/>
        <w:rPr>
          <w:sz w:val="20"/>
          <w:szCs w:val="20"/>
          <w:color w:val="auto"/>
        </w:rPr>
      </w:pPr>
      <w:r>
        <w:rPr>
          <w:rFonts w:ascii="Arial" w:cs="Arial" w:eastAsia="Arial" w:hAnsi="Arial"/>
          <w:sz w:val="17"/>
          <w:szCs w:val="17"/>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00"/>
          </w:cols>
          <w:pgMar w:left="240" w:top="127" w:right="25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80" w:firstLine="408"/>
        <w:spacing w:after="0" w:line="298" w:lineRule="auto"/>
        <w:rPr>
          <w:sz w:val="20"/>
          <w:szCs w:val="20"/>
          <w:color w:val="auto"/>
        </w:rPr>
      </w:pPr>
      <w:r>
        <w:rPr>
          <w:rFonts w:ascii="Arial" w:cs="Arial" w:eastAsia="Arial" w:hAnsi="Arial"/>
          <w:sz w:val="15"/>
          <w:szCs w:val="15"/>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 holder, we may obtain the right to use the intellectual property in multiple products or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153" w:lineRule="exact"/>
        <w:rPr>
          <w:sz w:val="20"/>
          <w:szCs w:val="20"/>
          <w:color w:val="auto"/>
        </w:rPr>
      </w:pPr>
    </w:p>
    <w:p>
      <w:pPr>
        <w:jc w:val="both"/>
        <w:ind w:right="80" w:firstLine="408"/>
        <w:spacing w:after="0" w:line="303" w:lineRule="auto"/>
        <w:rPr>
          <w:sz w:val="20"/>
          <w:szCs w:val="20"/>
          <w:color w:val="auto"/>
        </w:rPr>
      </w:pPr>
      <w:r>
        <w:rPr>
          <w:rFonts w:ascii="Arial" w:cs="Arial" w:eastAsia="Arial" w:hAnsi="Arial"/>
          <w:sz w:val="15"/>
          <w:szCs w:val="15"/>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149" w:lineRule="exact"/>
        <w:rPr>
          <w:sz w:val="20"/>
          <w:szCs w:val="20"/>
          <w:color w:val="auto"/>
        </w:rPr>
      </w:pPr>
    </w:p>
    <w:p>
      <w:pPr>
        <w:ind w:firstLine="408"/>
        <w:spacing w:after="0" w:line="292" w:lineRule="auto"/>
        <w:rPr>
          <w:sz w:val="20"/>
          <w:szCs w:val="20"/>
          <w:color w:val="auto"/>
        </w:rPr>
      </w:pPr>
      <w:r>
        <w:rPr>
          <w:rFonts w:ascii="Arial" w:cs="Arial" w:eastAsia="Arial" w:hAnsi="Arial"/>
          <w:sz w:val="15"/>
          <w:szCs w:val="15"/>
          <w:color w:val="auto"/>
        </w:rPr>
        <w:t>We evaluate the future recoverability of capitalized software development costs and intellectual property licenses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 Further, as many of our capitalized intellectual property licenses extend for multiple products over multiple years, we also assess the recoverability of capitalized intellectual property license costs based on certain qualitative factors, such as the success of other products utilizing the intellectual property and the rights holder’s continued promotion and exploitation of the intellectual property.</w:t>
      </w:r>
    </w:p>
    <w:p>
      <w:pPr>
        <w:spacing w:after="0" w:line="157" w:lineRule="exact"/>
        <w:rPr>
          <w:sz w:val="20"/>
          <w:szCs w:val="20"/>
          <w:color w:val="auto"/>
        </w:rPr>
      </w:pPr>
    </w:p>
    <w:p>
      <w:pPr>
        <w:ind w:right="20" w:firstLine="408"/>
        <w:spacing w:after="0" w:line="256" w:lineRule="auto"/>
        <w:rPr>
          <w:sz w:val="20"/>
          <w:szCs w:val="20"/>
          <w:color w:val="auto"/>
        </w:rPr>
      </w:pPr>
      <w:r>
        <w:rPr>
          <w:rFonts w:ascii="Arial" w:cs="Arial" w:eastAsia="Arial" w:hAnsi="Arial"/>
          <w:sz w:val="17"/>
          <w:szCs w:val="17"/>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Recognized from Costs to Obtain a Contract with a Customer</w:t>
      </w:r>
    </w:p>
    <w:p>
      <w:pPr>
        <w:spacing w:after="0" w:line="213" w:lineRule="exact"/>
        <w:rPr>
          <w:sz w:val="20"/>
          <w:szCs w:val="20"/>
          <w:color w:val="auto"/>
        </w:rPr>
      </w:pPr>
    </w:p>
    <w:p>
      <w:pPr>
        <w:jc w:val="both"/>
        <w:ind w:right="220" w:firstLine="370"/>
        <w:spacing w:after="0" w:line="313" w:lineRule="auto"/>
        <w:rPr>
          <w:sz w:val="20"/>
          <w:szCs w:val="20"/>
          <w:color w:val="auto"/>
        </w:rPr>
      </w:pPr>
      <w:r>
        <w:rPr>
          <w:rFonts w:ascii="Arial" w:cs="Arial" w:eastAsia="Arial" w:hAnsi="Arial"/>
          <w:sz w:val="15"/>
          <w:szCs w:val="15"/>
          <w:color w:val="auto"/>
        </w:rPr>
        <w:t>We apply the practical expedient to expense, as incurred, costs to obtain a contract with a customer when the amortization period would have been one year or less for certain similar contracts in which commissions are paid to internal personnel or third parties. We believe application of the practical expedient has a limited effect on the amount and timing of cost recognition. Total capitalized costs to obtain a contract were immaterial as of December 31, 2019 and 2018.</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Property and Equipment.</w:t>
      </w:r>
    </w:p>
    <w:p>
      <w:pPr>
        <w:spacing w:after="0" w:line="213" w:lineRule="exact"/>
        <w:rPr>
          <w:sz w:val="20"/>
          <w:szCs w:val="20"/>
          <w:color w:val="auto"/>
        </w:rPr>
      </w:pPr>
    </w:p>
    <w:p>
      <w:pPr>
        <w:jc w:val="both"/>
        <w:ind w:right="80" w:firstLine="408"/>
        <w:spacing w:after="0" w:line="303" w:lineRule="auto"/>
        <w:rPr>
          <w:sz w:val="20"/>
          <w:szCs w:val="20"/>
          <w:color w:val="auto"/>
        </w:rPr>
      </w:pPr>
      <w:r>
        <w:rPr>
          <w:rFonts w:ascii="Arial" w:cs="Arial" w:eastAsia="Arial" w:hAnsi="Arial"/>
          <w:sz w:val="15"/>
          <w:szCs w:val="15"/>
          <w:color w:val="auto"/>
        </w:rPr>
        <w:t>Property and equipment are recorded at cost and depreciated on a straight-line basis over the estimated useful life of the asset (i.e</w:t>
      </w:r>
      <w:r>
        <w:rPr>
          <w:rFonts w:ascii="Arial" w:cs="Arial" w:eastAsia="Arial" w:hAnsi="Arial"/>
          <w:sz w:val="15"/>
          <w:szCs w:val="15"/>
          <w:i w:val="1"/>
          <w:iCs w:val="1"/>
          <w:color w:val="auto"/>
        </w:rPr>
        <w:t>.</w:t>
      </w:r>
      <w:r>
        <w:rPr>
          <w:rFonts w:ascii="Arial" w:cs="Arial" w:eastAsia="Arial" w:hAnsi="Arial"/>
          <w:sz w:val="15"/>
          <w:szCs w:val="15"/>
          <w:color w:val="auto"/>
        </w:rPr>
        <w:t>, 25 to 33 years for buildings, and 2 to 5 years for computer equipment, office furniture and other equipment).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360"/>
          </w:cols>
          <w:pgMar w:left="240" w:top="127" w:right="29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Goodwill and Other Indefinite-Lived Assets.</w:t>
      </w:r>
    </w:p>
    <w:p>
      <w:pPr>
        <w:spacing w:after="0" w:line="213" w:lineRule="exact"/>
        <w:rPr>
          <w:sz w:val="20"/>
          <w:szCs w:val="20"/>
          <w:color w:val="auto"/>
        </w:rPr>
      </w:pPr>
    </w:p>
    <w:p>
      <w:pPr>
        <w:ind w:firstLine="408"/>
        <w:spacing w:after="0" w:line="258" w:lineRule="auto"/>
        <w:rPr>
          <w:sz w:val="20"/>
          <w:szCs w:val="20"/>
          <w:color w:val="auto"/>
        </w:rPr>
      </w:pPr>
      <w:r>
        <w:rPr>
          <w:rFonts w:ascii="Arial" w:cs="Arial" w:eastAsia="Arial" w:hAnsi="Arial"/>
          <w:sz w:val="17"/>
          <w:szCs w:val="17"/>
          <w:color w:val="auto"/>
        </w:rPr>
        <w:t>Goodwill is considered to have an indefinite life and is carried at cost. Acquired trade names are assessed as indefinite lived assets if there is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179" w:lineRule="exact"/>
        <w:rPr>
          <w:sz w:val="20"/>
          <w:szCs w:val="20"/>
          <w:color w:val="auto"/>
        </w:rPr>
      </w:pPr>
    </w:p>
    <w:p>
      <w:pPr>
        <w:ind w:right="20" w:firstLine="408"/>
        <w:spacing w:after="0" w:line="271" w:lineRule="auto"/>
        <w:rPr>
          <w:sz w:val="20"/>
          <w:szCs w:val="20"/>
          <w:color w:val="auto"/>
        </w:rPr>
      </w:pPr>
      <w:r>
        <w:rPr>
          <w:rFonts w:ascii="Arial" w:cs="Arial" w:eastAsia="Arial" w:hAnsi="Arial"/>
          <w:sz w:val="16"/>
          <w:szCs w:val="16"/>
          <w:color w:val="auto"/>
        </w:rPr>
        <w:t>Our annual goodwill impairment test is performed at the reporting unit level. As of December 31, 2019 and 2018, our reporting units are the same as our operating segments. We generally test goodwill for possible impairment first by performing a qualitative assessment to determine whether it is more likely than not that the fair value of a reporting unit is less than its carrying value. If a qualitative assessment is not used, or if the qualitative assessment is not conclusive, a quantitative impairment test is performed. If a quantitative test is performed, we first determine the fair value of the related reporting unit and comparing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we perform a second step to measure the amount of the impairment, which is equal to the amount by which the recorded goodwill exceeds the implied fair value of the goodwill after assessing the fair value of each of the assets and liabilities within the reporting unit. Based on our annual impairment assessment, no impairments of goodwill were identified for the years ended December 31, 2019, 2018, and 2017.</w:t>
      </w:r>
    </w:p>
    <w:p>
      <w:pPr>
        <w:spacing w:after="0" w:line="170" w:lineRule="exact"/>
        <w:rPr>
          <w:sz w:val="20"/>
          <w:szCs w:val="20"/>
          <w:color w:val="auto"/>
        </w:rPr>
      </w:pPr>
    </w:p>
    <w:p>
      <w:pPr>
        <w:ind w:firstLine="382"/>
        <w:spacing w:after="0" w:line="262" w:lineRule="auto"/>
        <w:rPr>
          <w:sz w:val="20"/>
          <w:szCs w:val="20"/>
          <w:color w:val="auto"/>
        </w:rPr>
      </w:pPr>
      <w:r>
        <w:rPr>
          <w:rFonts w:ascii="Arial" w:cs="Arial" w:eastAsia="Arial" w:hAnsi="Arial"/>
          <w:sz w:val="17"/>
          <w:szCs w:val="17"/>
          <w:color w:val="auto"/>
        </w:rPr>
        <w:t>We test our acquired trade names for possible impairment by applying the same process as for goodwill. In the instance when a qualitative test is not performed or is inconclusive, a quantitative test is performed by using a discounted cash flow model to estimate fair value of our acquired trade names. For the years ended December 31, 2019, 2018, and 2017, we concluded that no impairment had occurred.</w:t>
      </w:r>
    </w:p>
    <w:p>
      <w:pPr>
        <w:spacing w:after="0" w:line="176" w:lineRule="exact"/>
        <w:rPr>
          <w:sz w:val="20"/>
          <w:szCs w:val="20"/>
          <w:color w:val="auto"/>
        </w:rPr>
      </w:pPr>
    </w:p>
    <w:p>
      <w:pPr>
        <w:ind w:right="580" w:firstLine="408"/>
        <w:spacing w:after="0" w:line="274" w:lineRule="auto"/>
        <w:rPr>
          <w:sz w:val="20"/>
          <w:szCs w:val="20"/>
          <w:color w:val="auto"/>
        </w:rPr>
      </w:pPr>
      <w:r>
        <w:rPr>
          <w:rFonts w:ascii="Arial" w:cs="Arial" w:eastAsia="Arial" w:hAnsi="Arial"/>
          <w:sz w:val="17"/>
          <w:szCs w:val="17"/>
          <w:color w:val="auto"/>
        </w:rPr>
        <w:t>Changes in our assumptions underlying our estimates of fair value, which will be a function of our future financial performance and changes in economic conditions, could result in future impairment charges.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Amortizable Intangible and Other Long-lived Assets.</w:t>
      </w:r>
    </w:p>
    <w:p>
      <w:pPr>
        <w:spacing w:after="0" w:line="213" w:lineRule="exact"/>
        <w:rPr>
          <w:sz w:val="20"/>
          <w:szCs w:val="20"/>
          <w:color w:val="auto"/>
        </w:rPr>
      </w:pPr>
    </w:p>
    <w:p>
      <w:pPr>
        <w:ind w:right="520" w:firstLine="408"/>
        <w:spacing w:after="0" w:line="274" w:lineRule="auto"/>
        <w:rPr>
          <w:sz w:val="20"/>
          <w:szCs w:val="20"/>
          <w:color w:val="auto"/>
        </w:rPr>
      </w:pPr>
      <w:r>
        <w:rPr>
          <w:rFonts w:ascii="Arial" w:cs="Arial" w:eastAsia="Arial" w:hAnsi="Arial"/>
          <w:sz w:val="17"/>
          <w:szCs w:val="17"/>
          <w:color w:val="auto"/>
        </w:rPr>
        <w:t>Intangible assets subject to amortization are carried at cost less accumulated amortization, and amortized over the estimated useful life in proportion to the economic benefits received.</w:t>
      </w:r>
    </w:p>
    <w:p>
      <w:pPr>
        <w:spacing w:after="0" w:line="166" w:lineRule="exact"/>
        <w:rPr>
          <w:sz w:val="20"/>
          <w:szCs w:val="20"/>
          <w:color w:val="auto"/>
        </w:rPr>
      </w:pPr>
    </w:p>
    <w:p>
      <w:pPr>
        <w:ind w:right="20" w:firstLine="408"/>
        <w:spacing w:after="0" w:line="292" w:lineRule="auto"/>
        <w:rPr>
          <w:sz w:val="20"/>
          <w:szCs w:val="20"/>
          <w:color w:val="auto"/>
        </w:rPr>
      </w:pPr>
      <w:r>
        <w:rPr>
          <w:rFonts w:ascii="Arial" w:cs="Arial" w:eastAsia="Arial" w:hAnsi="Arial"/>
          <w:sz w:val="15"/>
          <w:szCs w:val="15"/>
          <w:color w:val="auto"/>
        </w:rPr>
        <w:t>We evaluate the recoverability of our definite-lived intangible assets and other long-lived assets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We did not record an impairment charge to our definite-lived intangible assets as of December 31, 2019, 2018, and 2017.</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13" w:lineRule="exact"/>
        <w:rPr>
          <w:sz w:val="20"/>
          <w:szCs w:val="20"/>
          <w:color w:val="auto"/>
        </w:rPr>
      </w:pPr>
    </w:p>
    <w:p>
      <w:pPr>
        <w:ind w:right="100" w:firstLine="382"/>
        <w:spacing w:after="0" w:line="279" w:lineRule="auto"/>
        <w:rPr>
          <w:rFonts w:ascii="Arial" w:cs="Arial" w:eastAsia="Arial" w:hAnsi="Arial"/>
          <w:sz w:val="16"/>
          <w:szCs w:val="16"/>
          <w:color w:val="auto"/>
        </w:rPr>
      </w:pPr>
      <w:r>
        <w:rPr>
          <w:rFonts w:ascii="Arial" w:cs="Arial" w:eastAsia="Arial" w:hAnsi="Arial"/>
          <w:sz w:val="16"/>
          <w:szCs w:val="16"/>
          <w:color w:val="auto"/>
        </w:rPr>
        <w:t xml:space="preserve">In February 2016, the FASB issued new guidance related to the accounting for leases. The new standard replaced all current U.S. GAAP guidance on this topic. The new standard, among other things, requires a lessee to classify a lease as either an operating or financing lease, and to recognize a lease liability and a right-of-use (“ROU”) asset for its leases. On January 1, 2019, we adopted the new lease accounting standard. This is reflected in our significant accounting policy disclosure for leases below. Refer to </w:t>
      </w:r>
      <w:hyperlink w:anchor="page88">
        <w:r>
          <w:rPr>
            <w:rFonts w:ascii="Arial" w:cs="Arial" w:eastAsia="Arial" w:hAnsi="Arial"/>
            <w:sz w:val="16"/>
            <w:szCs w:val="16"/>
            <w:u w:val="single" w:color="auto"/>
            <w:color w:val="0000EE"/>
          </w:rPr>
          <w:t>Note 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information about the impact of adoption on our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firstLine="382"/>
        <w:spacing w:after="0" w:line="270" w:lineRule="auto"/>
        <w:rPr>
          <w:sz w:val="20"/>
          <w:szCs w:val="20"/>
          <w:color w:val="auto"/>
        </w:rPr>
      </w:pPr>
      <w:r>
        <w:rPr>
          <w:rFonts w:ascii="Arial" w:cs="Arial" w:eastAsia="Arial" w:hAnsi="Arial"/>
          <w:sz w:val="16"/>
          <w:szCs w:val="16"/>
          <w:color w:val="auto"/>
        </w:rPr>
        <w:t>We determine if an arrangement is or contains a lease at contract inception.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are payments based on an index or rate known at the commencement date of the lease. Variable lease payments are recognized as lease expenses as incurred, and generally relate to variable payments made based on the level of services provided by the landlords of our leases. The operating lease ROU asset also includes any lease payments made prior to commencement, initial direct costs incurred, and lease incentives received. As most of our leases do not provide an implicit rate, we generally use our incremental borrowing rate in determining the present value of future payments. The incremental borrowing rate represents the rate required to borrow funds over a similar term to purchase the leased asset, and is based on the information available at the commencement date of the lease. For leased assets with similar lease terms and asset type we applied a portfolio approach in determining a single incremental borrowing rate to apply to the leased assets.</w:t>
      </w:r>
    </w:p>
    <w:p>
      <w:pPr>
        <w:spacing w:after="0" w:line="171"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Finance lease assets are depreciated on a straight-line basis over the estimated life of the asset, not to exceed the length of the lease, with interest expense associated with finance lease liabilities recorded using the effective interest method. Leases with an initial term of 12 months or less are not recorded on the balance sheet, and we recognize lease expense for these leases on a straight-line basis over the lease term.</w:t>
      </w:r>
    </w:p>
    <w:p>
      <w:pPr>
        <w:spacing w:after="0" w:line="181" w:lineRule="exact"/>
        <w:rPr>
          <w:sz w:val="20"/>
          <w:szCs w:val="20"/>
          <w:color w:val="auto"/>
        </w:rPr>
      </w:pPr>
    </w:p>
    <w:p>
      <w:pPr>
        <w:ind w:right="180" w:firstLine="382"/>
        <w:spacing w:after="0" w:line="279" w:lineRule="auto"/>
        <w:rPr>
          <w:sz w:val="20"/>
          <w:szCs w:val="20"/>
          <w:color w:val="auto"/>
        </w:rPr>
      </w:pPr>
      <w:r>
        <w:rPr>
          <w:rFonts w:ascii="Arial" w:cs="Arial" w:eastAsia="Arial" w:hAnsi="Arial"/>
          <w:sz w:val="16"/>
          <w:szCs w:val="16"/>
          <w:color w:val="auto"/>
        </w:rPr>
        <w:t>We have lease agreements with lease and non-lease components. For our real estate, server and data center, and event production and broadcasting equipment leases, we elected the practical expedient to account for the lease and non-lease components as a single lease component. In all other lease arrangements, we account for lease and non-lease components separately. Additionally, for certain leases that have a group of leased assets with similar characteristics in size and composition, we may apply a portfolio approach to effectively account for the operating lease ROU assets and liabilities.</w:t>
      </w:r>
    </w:p>
    <w:p>
      <w:pPr>
        <w:spacing w:after="0" w:line="164" w:lineRule="exact"/>
        <w:rPr>
          <w:sz w:val="20"/>
          <w:szCs w:val="20"/>
          <w:color w:val="auto"/>
        </w:rPr>
      </w:pPr>
    </w:p>
    <w:p>
      <w:pPr>
        <w:jc w:val="both"/>
        <w:ind w:right="240" w:firstLine="382"/>
        <w:spacing w:after="0" w:line="274" w:lineRule="auto"/>
        <w:rPr>
          <w:sz w:val="20"/>
          <w:szCs w:val="20"/>
          <w:color w:val="auto"/>
        </w:rPr>
      </w:pPr>
      <w:r>
        <w:rPr>
          <w:rFonts w:ascii="Arial" w:cs="Arial" w:eastAsia="Arial" w:hAnsi="Arial"/>
          <w:sz w:val="17"/>
          <w:szCs w:val="17"/>
          <w:color w:val="auto"/>
        </w:rPr>
        <w:t>Operating lease ROU assets are presented in “Other assets” and operating lease liabilities are presented in “Accrued expenses and other current liabilities” and “Other liabilities” on our consolidated balance sheet.</w:t>
      </w:r>
    </w:p>
    <w:p>
      <w:pPr>
        <w:spacing w:after="0" w:line="166" w:lineRule="exact"/>
        <w:rPr>
          <w:sz w:val="20"/>
          <w:szCs w:val="20"/>
          <w:color w:val="auto"/>
        </w:rPr>
      </w:pPr>
    </w:p>
    <w:p>
      <w:pPr>
        <w:ind w:right="460" w:firstLine="382"/>
        <w:spacing w:after="0" w:line="274" w:lineRule="auto"/>
        <w:rPr>
          <w:sz w:val="20"/>
          <w:szCs w:val="20"/>
          <w:color w:val="auto"/>
        </w:rPr>
      </w:pPr>
      <w:r>
        <w:rPr>
          <w:rFonts w:ascii="Arial" w:cs="Arial" w:eastAsia="Arial" w:hAnsi="Arial"/>
          <w:sz w:val="17"/>
          <w:szCs w:val="17"/>
          <w:color w:val="auto"/>
        </w:rPr>
        <w:t>Finance lease ROU assets are presented in “Property and equipment, net” and finance lease liabilities are presented in “Accrued expenses and other current liabilities” and “Other liabilities” on our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3" w:lineRule="exact"/>
        <w:rPr>
          <w:sz w:val="20"/>
          <w:szCs w:val="20"/>
          <w:color w:val="auto"/>
        </w:rPr>
      </w:pPr>
    </w:p>
    <w:p>
      <w:pPr>
        <w:ind w:right="20" w:firstLine="382"/>
        <w:spacing w:after="0" w:line="274" w:lineRule="auto"/>
        <w:rPr>
          <w:sz w:val="20"/>
          <w:szCs w:val="20"/>
          <w:color w:val="auto"/>
        </w:rPr>
      </w:pPr>
      <w:r>
        <w:rPr>
          <w:rFonts w:ascii="Arial" w:cs="Arial" w:eastAsia="Arial" w:hAnsi="Arial"/>
          <w:sz w:val="17"/>
          <w:szCs w:val="17"/>
          <w:color w:val="auto"/>
        </w:rPr>
        <w:t>In May 2014, the FASB issued new accounting guidance related to revenue recognition. On January 1, 2018, we adopted the new accounting standard and related amendments.</w:t>
      </w:r>
    </w:p>
    <w:p>
      <w:pPr>
        <w:spacing w:after="0" w:line="166" w:lineRule="exact"/>
        <w:rPr>
          <w:sz w:val="20"/>
          <w:szCs w:val="20"/>
          <w:color w:val="auto"/>
        </w:rPr>
      </w:pPr>
    </w:p>
    <w:p>
      <w:pPr>
        <w:jc w:val="both"/>
        <w:ind w:right="220" w:firstLine="382"/>
        <w:spacing w:after="0" w:line="262" w:lineRule="auto"/>
        <w:rPr>
          <w:sz w:val="20"/>
          <w:szCs w:val="20"/>
          <w:color w:val="auto"/>
        </w:rPr>
      </w:pPr>
      <w:r>
        <w:rPr>
          <w:rFonts w:ascii="Arial" w:cs="Arial" w:eastAsia="Arial" w:hAnsi="Arial"/>
          <w:sz w:val="17"/>
          <w:szCs w:val="17"/>
          <w:color w:val="auto"/>
        </w:rPr>
        <w:t>We generate revenue primarily through the sale of our interactive entertainment content and services, principally for the console, PC, and mobile platforms, as well as through the licensing of our intellectual property. Our products span various genres, including first- and third-person action/adventure, role-playing, strategy, and “match three.” We primarily offer the following products and services:</w:t>
      </w:r>
    </w:p>
    <w:p>
      <w:pPr>
        <w:spacing w:after="0" w:line="176" w:lineRule="exact"/>
        <w:rPr>
          <w:sz w:val="20"/>
          <w:szCs w:val="20"/>
          <w:color w:val="auto"/>
        </w:rPr>
      </w:pPr>
    </w:p>
    <w:p>
      <w:pPr>
        <w:ind w:left="920" w:hanging="306"/>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full games, which typically provide access to main game content, primarily for the console or PC platform;</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downloadable content, which provides players with additional in-game content to purchase following the purchase of a full game;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microtransactions, which typically provide relatively small pieces of additional in-game content or enhancements to gameplay;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subscriptions to players in our World of Warcraft franchise, which provide continual access to the game content.</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00"/>
          </w:cols>
          <w:pgMar w:left="240" w:top="127"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firstLine="370"/>
        <w:spacing w:after="0" w:line="274" w:lineRule="auto"/>
        <w:rPr>
          <w:sz w:val="20"/>
          <w:szCs w:val="20"/>
          <w:color w:val="auto"/>
        </w:rPr>
      </w:pPr>
      <w:r>
        <w:rPr>
          <w:rFonts w:ascii="Arial" w:cs="Arial" w:eastAsia="Arial" w:hAnsi="Arial"/>
          <w:sz w:val="17"/>
          <w:szCs w:val="17"/>
          <w:color w:val="auto"/>
        </w:rPr>
        <w:t>When control of the promised products and services is transferred to our customers, we recognize revenue in the amount that reflects the consideration we expect to receive in exchange for these products and services.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determine revenue recognition by:</w:t>
      </w:r>
    </w:p>
    <w:p>
      <w:pPr>
        <w:spacing w:after="0" w:line="213" w:lineRule="exact"/>
        <w:rPr>
          <w:sz w:val="20"/>
          <w:szCs w:val="20"/>
          <w:color w:val="auto"/>
        </w:rPr>
      </w:pPr>
    </w:p>
    <w:p>
      <w:pPr>
        <w:ind w:left="920" w:hanging="306"/>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identifying the contract, or contracts, with a customer;</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identifying the performance obligations in each contract;</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determining the transaction price;</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allocating the transaction price to the performance obligations in each contract;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recognizing revenue when, or as, we satisfy performance obligations by transferring the promised goods or services.</w:t>
      </w:r>
    </w:p>
    <w:p>
      <w:pPr>
        <w:spacing w:after="0" w:line="213" w:lineRule="exact"/>
        <w:rPr>
          <w:sz w:val="20"/>
          <w:szCs w:val="20"/>
          <w:color w:val="auto"/>
        </w:rPr>
      </w:pPr>
    </w:p>
    <w:p>
      <w:pPr>
        <w:ind w:right="20" w:firstLine="370"/>
        <w:spacing w:after="0" w:line="279" w:lineRule="auto"/>
        <w:rPr>
          <w:sz w:val="20"/>
          <w:szCs w:val="20"/>
          <w:color w:val="auto"/>
        </w:rPr>
      </w:pPr>
      <w:r>
        <w:rPr>
          <w:rFonts w:ascii="Arial" w:cs="Arial" w:eastAsia="Arial" w:hAnsi="Arial"/>
          <w:sz w:val="16"/>
          <w:szCs w:val="16"/>
          <w:color w:val="auto"/>
        </w:rPr>
        <w:t>Certain products are sold to customers with a “street date” (which is the earliest date these products may be sold by retailers). For these products, we recognize revenues on the later of the street date and the date the product is sold to our customer. For digital full-game downloads sold to customers, we recognize revenue when it is available for download or is activated for gameplay. Revenues are recorded net of taxes assessed by governmental authorities that are imposed at the time of the specific revenue-producing transaction between us and our customer, such as sales and value-added taxes.</w:t>
      </w:r>
    </w:p>
    <w:p>
      <w:pPr>
        <w:spacing w:after="0" w:line="164" w:lineRule="exact"/>
        <w:rPr>
          <w:sz w:val="20"/>
          <w:szCs w:val="20"/>
          <w:color w:val="auto"/>
        </w:rPr>
      </w:pPr>
    </w:p>
    <w:p>
      <w:pPr>
        <w:jc w:val="both"/>
        <w:ind w:right="80" w:firstLine="370"/>
        <w:spacing w:after="0" w:line="258" w:lineRule="auto"/>
        <w:rPr>
          <w:sz w:val="20"/>
          <w:szCs w:val="20"/>
          <w:color w:val="auto"/>
        </w:rPr>
      </w:pPr>
      <w:r>
        <w:rPr>
          <w:rFonts w:ascii="Arial" w:cs="Arial" w:eastAsia="Arial" w:hAnsi="Arial"/>
          <w:sz w:val="17"/>
          <w:szCs w:val="17"/>
          <w:color w:val="auto"/>
        </w:rPr>
        <w:t>Payment terms and conditions vary by contract type, although terms generally include a requirement of payment immediately upon purchase or within 30 to 90 days.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Sales</w:t>
      </w:r>
    </w:p>
    <w:p>
      <w:pPr>
        <w:spacing w:after="0" w:line="213" w:lineRule="exact"/>
        <w:rPr>
          <w:sz w:val="20"/>
          <w:szCs w:val="20"/>
          <w:color w:val="auto"/>
        </w:rPr>
      </w:pPr>
    </w:p>
    <w:p>
      <w:pPr>
        <w:ind w:right="20" w:firstLine="370"/>
        <w:spacing w:after="0" w:line="258" w:lineRule="auto"/>
        <w:rPr>
          <w:sz w:val="20"/>
          <w:szCs w:val="20"/>
          <w:color w:val="auto"/>
        </w:rPr>
      </w:pPr>
      <w:r>
        <w:rPr>
          <w:rFonts w:ascii="Arial" w:cs="Arial" w:eastAsia="Arial" w:hAnsi="Arial"/>
          <w:sz w:val="17"/>
          <w:szCs w:val="17"/>
          <w:color w:val="auto"/>
        </w:rPr>
        <w:t>Product sales consist of sales of our games, including physical products and digital full-game downloads. We recognize revenues from the sale of our products after both (1) control of the products has been transferred to our customers and (2) the underlying performance obligations have been satisfied. Such revenues, which include our software products with significant online functionality and our online hosted software arrangements, are recognized in "Product sales" on our consolidated statement of operations.</w:t>
      </w:r>
    </w:p>
    <w:p>
      <w:pPr>
        <w:spacing w:after="0" w:line="179" w:lineRule="exact"/>
        <w:rPr>
          <w:sz w:val="20"/>
          <w:szCs w:val="20"/>
          <w:color w:val="auto"/>
        </w:rPr>
      </w:pPr>
    </w:p>
    <w:p>
      <w:pPr>
        <w:ind w:right="320" w:firstLine="370"/>
        <w:spacing w:after="0" w:line="262" w:lineRule="auto"/>
        <w:rPr>
          <w:sz w:val="20"/>
          <w:szCs w:val="20"/>
          <w:color w:val="auto"/>
        </w:rPr>
      </w:pPr>
      <w:r>
        <w:rPr>
          <w:rFonts w:ascii="Arial" w:cs="Arial" w:eastAsia="Arial" w:hAnsi="Arial"/>
          <w:sz w:val="17"/>
          <w:szCs w:val="17"/>
          <w:color w:val="auto"/>
        </w:rPr>
        <w:t>Revenues from product sales are recognized after deducting the estimated allowance for returns and price protection, which are accounted for as variable consideration when estimating the amount of revenue to recognize. Returns and price protection are estimated at contract inception and updated at the end of each reporting period as additional information becomes available.</w:t>
      </w:r>
    </w:p>
    <w:p>
      <w:pPr>
        <w:spacing w:after="0" w:line="176" w:lineRule="exact"/>
        <w:rPr>
          <w:sz w:val="20"/>
          <w:szCs w:val="20"/>
          <w:color w:val="auto"/>
        </w:rPr>
      </w:pPr>
    </w:p>
    <w:p>
      <w:pPr>
        <w:ind w:right="80" w:firstLine="370"/>
        <w:spacing w:after="0" w:line="303" w:lineRule="auto"/>
        <w:rPr>
          <w:sz w:val="20"/>
          <w:szCs w:val="20"/>
          <w:color w:val="auto"/>
        </w:rPr>
      </w:pPr>
      <w:r>
        <w:rPr>
          <w:rFonts w:ascii="Arial" w:cs="Arial" w:eastAsia="Arial" w:hAnsi="Arial"/>
          <w:sz w:val="15"/>
          <w:szCs w:val="15"/>
          <w:color w:val="auto"/>
        </w:rPr>
        <w:t>Sales incentives and other consideration given by us to our customers, such as rebates and product placement fees, are considered adjustments of the transaction price of our products and are reflected as reductions to revenues. Sales incentives and other consideration that represent costs incurred by us for distinct goods or services received, such as the appearance of our products in a customer’s national circular advertisement, are recorded as “Sales and marketing” expense when the benefit from the sales incentive is separable from sales to the same customer and we can reasonably estimate the fair value of the good or service.</w:t>
      </w: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340"/>
          </w:cols>
          <w:pgMar w:left="240" w:top="127" w:right="31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Products with Online Functionality</w:t>
      </w:r>
    </w:p>
    <w:p>
      <w:pPr>
        <w:spacing w:after="0" w:line="213" w:lineRule="exact"/>
        <w:rPr>
          <w:sz w:val="20"/>
          <w:szCs w:val="20"/>
          <w:color w:val="auto"/>
        </w:rPr>
      </w:pPr>
    </w:p>
    <w:p>
      <w:pPr>
        <w:ind w:firstLine="370"/>
        <w:spacing w:after="0" w:line="270" w:lineRule="auto"/>
        <w:rPr>
          <w:sz w:val="20"/>
          <w:szCs w:val="20"/>
          <w:color w:val="auto"/>
        </w:rPr>
      </w:pPr>
      <w:r>
        <w:rPr>
          <w:rFonts w:ascii="Arial" w:cs="Arial" w:eastAsia="Arial" w:hAnsi="Arial"/>
          <w:sz w:val="16"/>
          <w:szCs w:val="16"/>
          <w:color w:val="auto"/>
        </w:rPr>
        <w:t>For our software products that include both offline functionality (i.e., do not require an Internet connection to access) and significant online functionality, such as for most of our titles from the Call of Duty franchise, we evaluate whether the license of our intellectual property and the online functionality each represent separate and distinct performance obligations. In such instances, we typically have two performance obligations: (1) a license to the game software that is accessible without an Internet connection (predominantly the offline single player campaign or game mode) and (2) ongoing activities associated with the online components of the game, such as content updates, hosting of online content and gameplay, and online matchmaking (the “online functionality”). The online functionality generally operates to support the additional features and functionalities of the game that are only available online, not the offline license. This evaluation is performed for each software product or product add-on, including downloadable content. When we determine that our software products contain a license of intellectual property (i.e., the offline software license) that is separate and distinct from the online functionality, we consider market conditions and other observable inputs to estimate the standalone selling price for the performance obligations, since we do not generally sell the software license on a standalone basis. These products may be sold in a bundle with other products and services, which often results in the recognition of additional performance obligations.</w:t>
      </w:r>
    </w:p>
    <w:p>
      <w:pPr>
        <w:spacing w:after="0" w:line="174" w:lineRule="exact"/>
        <w:rPr>
          <w:sz w:val="20"/>
          <w:szCs w:val="20"/>
          <w:color w:val="auto"/>
        </w:rPr>
      </w:pPr>
    </w:p>
    <w:p>
      <w:pPr>
        <w:ind w:right="40" w:firstLine="370"/>
        <w:spacing w:after="0" w:line="276" w:lineRule="auto"/>
        <w:rPr>
          <w:sz w:val="20"/>
          <w:szCs w:val="20"/>
          <w:color w:val="auto"/>
        </w:rPr>
      </w:pPr>
      <w:r>
        <w:rPr>
          <w:rFonts w:ascii="Arial" w:cs="Arial" w:eastAsia="Arial" w:hAnsi="Arial"/>
          <w:sz w:val="16"/>
          <w:szCs w:val="16"/>
          <w:color w:val="auto"/>
        </w:rPr>
        <w:t>For arrangements that include both a license to the game software that is accessible offline and separate online functionality, we recognize revenue when control of the license transfers to our customers for the portion of the transaction price allocable to the offline software license and ratably over the estimated service period for the portion of the transaction price allocable to the online functionality. Similarly, we defer a portion of the cost of revenues on these arrangements and recognize the costs as the related revenues are recognized. The cost of revenues that are deferred include product costs, distribution costs, and software royalties, amortization, and intellectual property licenses, and excludes intangible asset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Online Hosted Software Arrangements</w:t>
      </w:r>
    </w:p>
    <w:p>
      <w:pPr>
        <w:spacing w:after="0" w:line="213" w:lineRule="exact"/>
        <w:rPr>
          <w:sz w:val="20"/>
          <w:szCs w:val="20"/>
          <w:color w:val="auto"/>
        </w:rPr>
      </w:pPr>
    </w:p>
    <w:p>
      <w:pPr>
        <w:ind w:right="200" w:firstLine="370"/>
        <w:spacing w:after="0" w:line="298" w:lineRule="auto"/>
        <w:rPr>
          <w:sz w:val="20"/>
          <w:szCs w:val="20"/>
          <w:color w:val="auto"/>
        </w:rPr>
      </w:pPr>
      <w:r>
        <w:rPr>
          <w:rFonts w:ascii="Arial" w:cs="Arial" w:eastAsia="Arial" w:hAnsi="Arial"/>
          <w:sz w:val="15"/>
          <w:szCs w:val="15"/>
          <w:color w:val="auto"/>
        </w:rPr>
        <w:t>For our online hosted software arrangements, such as titles for the Overwatch, World of Warcraft, and Candy Crush franchises, substantially all gameplay and functionality are obtained through our continuous hosting of the game content for the player. In these instances, we typically have a single performance obligation related to our ongoing activities in the hosted arrangement, including content updates, hosting of the gameplay, online matchmaking, and access to the game content. Similar to our software products with online functionality, these arrangements may include other products and services, which often results in the recognition of additional performance obligations. Revenues related to online hosted software arrangements are generally recognized ratably over the estimated service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Subscription, Licensing, and Other Revenues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Subscription Arrangements</w:t>
      </w:r>
    </w:p>
    <w:p>
      <w:pPr>
        <w:spacing w:after="0" w:line="213" w:lineRule="exact"/>
        <w:rPr>
          <w:sz w:val="20"/>
          <w:szCs w:val="20"/>
          <w:color w:val="auto"/>
        </w:rPr>
      </w:pPr>
    </w:p>
    <w:p>
      <w:pPr>
        <w:ind w:right="560" w:firstLine="370"/>
        <w:spacing w:after="0" w:line="262" w:lineRule="auto"/>
        <w:rPr>
          <w:sz w:val="20"/>
          <w:szCs w:val="20"/>
          <w:color w:val="auto"/>
        </w:rPr>
      </w:pPr>
      <w:r>
        <w:rPr>
          <w:rFonts w:ascii="Arial" w:cs="Arial" w:eastAsia="Arial" w:hAnsi="Arial"/>
          <w:sz w:val="17"/>
          <w:szCs w:val="17"/>
          <w:color w:val="auto"/>
        </w:rPr>
        <w:t xml:space="preserve">Subscription revenue arrangements are mostly derived from </w:t>
      </w:r>
      <w:r>
        <w:rPr>
          <w:rFonts w:ascii="Arial" w:cs="Arial" w:eastAsia="Arial" w:hAnsi="Arial"/>
          <w:sz w:val="17"/>
          <w:szCs w:val="17"/>
          <w:i w:val="1"/>
          <w:iCs w:val="1"/>
          <w:color w:val="auto"/>
        </w:rPr>
        <w:t>World of Warcraft</w:t>
      </w:r>
      <w:r>
        <w:rPr>
          <w:rFonts w:ascii="Arial" w:cs="Arial" w:eastAsia="Arial" w:hAnsi="Arial"/>
          <w:sz w:val="17"/>
          <w:szCs w:val="17"/>
          <w:color w:val="auto"/>
        </w:rPr>
        <w:t>, which is playable through Blizzard’s servers and is generally sold on a subscription-only basis. Revenues associated with the sales of subscriptions are deferred until the subscription service is activated by the consumer and are then recognized ratably over the subscription period as the performance obligations are satisfied.</w:t>
      </w:r>
    </w:p>
    <w:p>
      <w:pPr>
        <w:spacing w:after="0" w:line="176" w:lineRule="exact"/>
        <w:rPr>
          <w:sz w:val="20"/>
          <w:szCs w:val="20"/>
          <w:color w:val="auto"/>
        </w:rPr>
      </w:pPr>
    </w:p>
    <w:p>
      <w:pPr>
        <w:ind w:right="440" w:firstLine="370"/>
        <w:spacing w:after="0" w:line="274" w:lineRule="auto"/>
        <w:rPr>
          <w:sz w:val="20"/>
          <w:szCs w:val="20"/>
          <w:color w:val="auto"/>
        </w:rPr>
      </w:pPr>
      <w:r>
        <w:rPr>
          <w:rFonts w:ascii="Arial" w:cs="Arial" w:eastAsia="Arial" w:hAnsi="Arial"/>
          <w:sz w:val="17"/>
          <w:szCs w:val="17"/>
          <w:color w:val="auto"/>
        </w:rPr>
        <w:t xml:space="preserve">Revenues attributable to the purchase of </w:t>
      </w:r>
      <w:r>
        <w:rPr>
          <w:rFonts w:ascii="Arial" w:cs="Arial" w:eastAsia="Arial" w:hAnsi="Arial"/>
          <w:sz w:val="17"/>
          <w:szCs w:val="17"/>
          <w:i w:val="1"/>
          <w:iCs w:val="1"/>
          <w:color w:val="auto"/>
        </w:rPr>
        <w:t>World of Warcraft</w:t>
      </w:r>
      <w:r>
        <w:rPr>
          <w:rFonts w:ascii="Arial" w:cs="Arial" w:eastAsia="Arial" w:hAnsi="Arial"/>
          <w:sz w:val="17"/>
          <w:szCs w:val="17"/>
          <w:color w:val="auto"/>
        </w:rPr>
        <w:t xml:space="preserve"> software by our customers, including expansion packs, are classified as “Product sales,” whereas revenues attributable to subscriptions and other in-game revenues are classified as “Subscription, licensing, and other revenues.”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127" w:right="23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Software Licensing Revenues</w:t>
      </w:r>
    </w:p>
    <w:p>
      <w:pPr>
        <w:spacing w:after="0" w:line="213" w:lineRule="exact"/>
        <w:rPr>
          <w:sz w:val="20"/>
          <w:szCs w:val="20"/>
          <w:color w:val="auto"/>
        </w:rPr>
      </w:pPr>
    </w:p>
    <w:p>
      <w:pPr>
        <w:ind w:right="80" w:firstLine="370"/>
        <w:spacing w:after="0" w:line="292" w:lineRule="auto"/>
        <w:rPr>
          <w:sz w:val="20"/>
          <w:szCs w:val="20"/>
          <w:color w:val="auto"/>
        </w:rPr>
      </w:pPr>
      <w:r>
        <w:rPr>
          <w:rFonts w:ascii="Arial" w:cs="Arial" w:eastAsia="Arial" w:hAnsi="Arial"/>
          <w:sz w:val="15"/>
          <w:szCs w:val="15"/>
          <w:color w:val="auto"/>
        </w:rPr>
        <w:t>In certain countries, we utilize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specified or unspecified future updates. Our estimate of the selling price is comprised of several factors including, but not limited to, prior selling prices, prices charged separately by other third-party vendors for similar service offerings, and a cost-plus-margin approach. Based on the allocated transaction price, we recognize revenue associated with the minimum guarantee (1) when we transfer control of the upfront license of intellectual property, (2) upon transfer of control of future specified updates, and/or (3) ratably over the contractual term in which we provide the customer with unspecified future updates. Royalty payments in excess of the minimum guarantee are generally recognized when the licensed product is sold by the licensee. Revenues from these licensing arrangements with third-parties to distribute and host our games are recognized in "Subscriptions, licensing, and other revenues" on our consolidated statement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Revenues</w:t>
      </w:r>
    </w:p>
    <w:p>
      <w:pPr>
        <w:spacing w:after="0" w:line="213" w:lineRule="exact"/>
        <w:rPr>
          <w:sz w:val="20"/>
          <w:szCs w:val="20"/>
          <w:color w:val="auto"/>
        </w:rPr>
      </w:pPr>
    </w:p>
    <w:p>
      <w:pPr>
        <w:ind w:right="60" w:firstLine="370"/>
        <w:spacing w:after="0" w:line="343" w:lineRule="auto"/>
        <w:rPr>
          <w:sz w:val="20"/>
          <w:szCs w:val="20"/>
          <w:color w:val="auto"/>
        </w:rPr>
      </w:pPr>
      <w:r>
        <w:rPr>
          <w:rFonts w:ascii="Arial" w:cs="Arial" w:eastAsia="Arial" w:hAnsi="Arial"/>
          <w:sz w:val="15"/>
          <w:szCs w:val="15"/>
          <w:color w:val="auto"/>
        </w:rPr>
        <w:t>Other revenues primarily include revenues from downloadable content (e.g., multi-player content packs), microtransactions, and licensing of intellectual property other than software to third-parties. These revenues are recognized in "Subscriptions, licensing, and other revenues" on our consolidated statement of operations.</w:t>
      </w:r>
    </w:p>
    <w:p>
      <w:pPr>
        <w:spacing w:after="0" w:line="119" w:lineRule="exact"/>
        <w:rPr>
          <w:sz w:val="20"/>
          <w:szCs w:val="20"/>
          <w:color w:val="auto"/>
        </w:rPr>
      </w:pPr>
    </w:p>
    <w:p>
      <w:pPr>
        <w:ind w:right="160" w:firstLine="370"/>
        <w:spacing w:after="0" w:line="253" w:lineRule="auto"/>
        <w:rPr>
          <w:sz w:val="20"/>
          <w:szCs w:val="20"/>
          <w:color w:val="auto"/>
        </w:rPr>
      </w:pPr>
      <w:r>
        <w:rPr>
          <w:rFonts w:ascii="Arial" w:cs="Arial" w:eastAsia="Arial" w:hAnsi="Arial"/>
          <w:sz w:val="17"/>
          <w:szCs w:val="17"/>
          <w:color w:val="auto"/>
        </w:rPr>
        <w:t>Microtransaction revenues are derived from the sale of virtual currencies and goods to our players to enhance their gameplay experience. Proceeds from these sales of virtual currencies and goods are initially recorded in deferred revenue. Proceeds from the sales of virtual currencies are recognized as revenues when a player uses the virtual goods purchased with a virtual currency. Proceeds from the direct sales of virtual goods are similarly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and our performance obligation is satisfied. Durable virtual goods represent goods that are accessible to the player over an extended period of time; accordingly, we recognize revenues from the sale of durable virtual goods ratably over the period of time the goods are available to the player and our performance obligation is satisfied, which is generally the estimated service period.</w:t>
      </w:r>
    </w:p>
    <w:p>
      <w:pPr>
        <w:spacing w:after="0" w:line="188" w:lineRule="exact"/>
        <w:rPr>
          <w:sz w:val="20"/>
          <w:szCs w:val="20"/>
          <w:color w:val="auto"/>
        </w:rPr>
      </w:pPr>
    </w:p>
    <w:p>
      <w:pPr>
        <w:ind w:right="40" w:firstLine="370"/>
        <w:spacing w:after="0" w:line="258" w:lineRule="auto"/>
        <w:rPr>
          <w:sz w:val="20"/>
          <w:szCs w:val="20"/>
          <w:color w:val="auto"/>
        </w:rPr>
      </w:pPr>
      <w:r>
        <w:rPr>
          <w:rFonts w:ascii="Arial" w:cs="Arial" w:eastAsia="Arial" w:hAnsi="Arial"/>
          <w:sz w:val="17"/>
          <w:szCs w:val="17"/>
          <w:color w:val="auto"/>
        </w:rPr>
        <w:t>Revenues from the licensing of intellectual property other than software to third parties primarily include the licensing of our (1) brand, logo, or franchise to customers and (2) media content. Fixed fee payments from customers for the license of our brand or franchise are generally recognized over the license term. Fixed fee payments from customers for the license of our media content are generally recognized when control has transferred to the customer, which may be upfront or over time.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Significant Judgment around Revenue Arrangements with Multiple Deliverables</w:t>
      </w:r>
    </w:p>
    <w:p>
      <w:pPr>
        <w:spacing w:after="0" w:line="213" w:lineRule="exact"/>
        <w:rPr>
          <w:sz w:val="20"/>
          <w:szCs w:val="20"/>
          <w:color w:val="auto"/>
        </w:rPr>
      </w:pPr>
    </w:p>
    <w:p>
      <w:pPr>
        <w:ind w:firstLine="370"/>
        <w:spacing w:after="0" w:line="272" w:lineRule="auto"/>
        <w:rPr>
          <w:sz w:val="20"/>
          <w:szCs w:val="20"/>
          <w:color w:val="auto"/>
        </w:rPr>
      </w:pPr>
      <w:r>
        <w:rPr>
          <w:rFonts w:ascii="Arial" w:cs="Arial" w:eastAsia="Arial" w:hAnsi="Arial"/>
          <w:sz w:val="16"/>
          <w:szCs w:val="16"/>
          <w:color w:val="auto"/>
        </w:rPr>
        <w:t>Our contracts with customers often include promises to transfer multiple products and services. Determining whether products and services are considered distinct performance obligations that should be accounted for separately versus together may require significant judgment. Certain of our games, such as titles in the Call of Duty franchise, may contain a license of our intellectual property to play the game offline, but may also depend on a significant level of integration and interdependency with the online functionality. In these cases, significant judgment is required to determine whether this license of our intellectual property should be considered distinct and accounted for separately, or not distinct and accounted for together with the online functionality provided and recognized over time. Generally, for titles in which the software license is functional without the online functionality and a significant component of gameplay is available offline, we believe we have separate performance obligations for the license of the intellectual property and the online functionality.</w:t>
      </w:r>
    </w:p>
    <w:p>
      <w:pPr>
        <w:spacing w:after="0" w:line="172" w:lineRule="exact"/>
        <w:rPr>
          <w:sz w:val="20"/>
          <w:szCs w:val="20"/>
          <w:color w:val="auto"/>
        </w:rPr>
      </w:pPr>
    </w:p>
    <w:p>
      <w:pPr>
        <w:ind w:right="100" w:firstLine="370"/>
        <w:spacing w:after="0" w:line="256" w:lineRule="auto"/>
        <w:rPr>
          <w:sz w:val="20"/>
          <w:szCs w:val="20"/>
          <w:color w:val="auto"/>
        </w:rPr>
      </w:pPr>
      <w:r>
        <w:rPr>
          <w:rFonts w:ascii="Arial" w:cs="Arial" w:eastAsia="Arial" w:hAnsi="Arial"/>
          <w:sz w:val="17"/>
          <w:szCs w:val="17"/>
          <w:color w:val="auto"/>
        </w:rPr>
        <w:t>Significant judgment is also required to determine the standalone selling price for each distinct performance obligation and to determine whether there is a discount that needs to be allocated based on the relative standalone selling price of the various products and services. To estimate the standalone selling price we generally consider market data, including our pricing strategies for the product being evaluated and other similar products we may offer, competitor pricing to the extent data is available, and the replayability design of both the offline and online components of our games. In limited instances, we may also utilize an expected cost approach to determine whether the estimated selling price yields an appropriate profit margin.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20"/>
          </w:cols>
          <w:pgMar w:left="240" w:top="127" w:right="23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Estimated Service Period</w:t>
      </w:r>
    </w:p>
    <w:p>
      <w:pPr>
        <w:spacing w:after="0" w:line="213" w:lineRule="exact"/>
        <w:rPr>
          <w:sz w:val="20"/>
          <w:szCs w:val="20"/>
          <w:color w:val="auto"/>
        </w:rPr>
      </w:pPr>
    </w:p>
    <w:p>
      <w:pPr>
        <w:ind w:right="200" w:firstLine="370"/>
        <w:spacing w:after="0" w:line="293" w:lineRule="auto"/>
        <w:rPr>
          <w:sz w:val="20"/>
          <w:szCs w:val="20"/>
          <w:color w:val="auto"/>
        </w:rPr>
      </w:pPr>
      <w:r>
        <w:rPr>
          <w:rFonts w:ascii="Arial" w:cs="Arial" w:eastAsia="Arial" w:hAnsi="Arial"/>
          <w:sz w:val="15"/>
          <w:szCs w:val="15"/>
          <w:color w:val="auto"/>
        </w:rPr>
        <w:t>We consider a variety of data points when determining the estimated service period for players of our games,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to the extent publicly available, the service periods of our competitors’ games that are similar in nature to ours. We believe this provides a reasonable depiction of the transfer of services to our customers, as it is the best representation of the time period during which our customers play our games.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Principal Agent Considerations</w:t>
      </w:r>
    </w:p>
    <w:p>
      <w:pPr>
        <w:spacing w:after="0" w:line="213" w:lineRule="exact"/>
        <w:rPr>
          <w:sz w:val="20"/>
          <w:szCs w:val="20"/>
          <w:color w:val="auto"/>
        </w:rPr>
      </w:pPr>
    </w:p>
    <w:p>
      <w:pPr>
        <w:ind w:right="80" w:firstLine="382"/>
        <w:spacing w:after="0" w:line="286" w:lineRule="auto"/>
        <w:rPr>
          <w:sz w:val="20"/>
          <w:szCs w:val="20"/>
          <w:color w:val="auto"/>
        </w:rPr>
      </w:pPr>
      <w:r>
        <w:rPr>
          <w:rFonts w:ascii="Arial" w:cs="Arial" w:eastAsia="Arial" w:hAnsi="Arial"/>
          <w:sz w:val="16"/>
          <w:szCs w:val="16"/>
          <w:color w:val="auto"/>
        </w:rPr>
        <w:t>We evaluate sales of our products and content via third-party digital storefronts, such as Microsoft’s Xbox Games Store, Sony’s PSN, the Apple App Store, and the Google Play Store, to determine whether revenues should be reported gross or net of fees retained by the storefront. Key indicators that we evaluate in determining whether we are the principal in the sale (gross reporting) or an agent (net reporting) include, but are not limited to:</w:t>
      </w:r>
    </w:p>
    <w:p>
      <w:pPr>
        <w:spacing w:after="0" w:line="158" w:lineRule="exact"/>
        <w:rPr>
          <w:sz w:val="20"/>
          <w:szCs w:val="20"/>
          <w:color w:val="auto"/>
        </w:rPr>
      </w:pPr>
    </w:p>
    <w:p>
      <w:pPr>
        <w:ind w:left="920" w:hanging="306"/>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which party is primarily responsible for fulfilling the promise to provide the specified good or service; and</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which party has discretion in establishing the price for the specified good or service.</w:t>
      </w:r>
    </w:p>
    <w:p>
      <w:pPr>
        <w:spacing w:after="0" w:line="213" w:lineRule="exact"/>
        <w:rPr>
          <w:sz w:val="20"/>
          <w:szCs w:val="20"/>
          <w:color w:val="auto"/>
        </w:rPr>
      </w:pPr>
    </w:p>
    <w:p>
      <w:pPr>
        <w:ind w:right="240" w:firstLine="306"/>
        <w:spacing w:after="0" w:line="343" w:lineRule="auto"/>
        <w:rPr>
          <w:sz w:val="20"/>
          <w:szCs w:val="20"/>
          <w:color w:val="auto"/>
        </w:rPr>
      </w:pPr>
      <w:r>
        <w:rPr>
          <w:rFonts w:ascii="Arial" w:cs="Arial" w:eastAsia="Arial" w:hAnsi="Arial"/>
          <w:sz w:val="15"/>
          <w:szCs w:val="15"/>
          <w:color w:val="auto"/>
        </w:rPr>
        <w:t>Based on our evaluation of the above indicators, we report revenues on a gross basis for sales arrangements via the Apple App Store and the Google Play Store, and we report revenues on a net basis (i.e., net of fees retained by the digital storefront) for sales arrangements via Microsoft’s Xbox Games Store and Sony’s PSN.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Allowances for Returns and Price Protection</w:t>
      </w:r>
    </w:p>
    <w:p>
      <w:pPr>
        <w:spacing w:after="0" w:line="213" w:lineRule="exact"/>
        <w:rPr>
          <w:sz w:val="20"/>
          <w:szCs w:val="20"/>
          <w:color w:val="auto"/>
        </w:rPr>
      </w:pPr>
    </w:p>
    <w:p>
      <w:pPr>
        <w:ind w:right="40" w:firstLine="370"/>
        <w:spacing w:after="0" w:line="255" w:lineRule="auto"/>
        <w:rPr>
          <w:sz w:val="20"/>
          <w:szCs w:val="20"/>
          <w:color w:val="auto"/>
        </w:rPr>
      </w:pPr>
      <w:r>
        <w:rPr>
          <w:rFonts w:ascii="Arial" w:cs="Arial" w:eastAsia="Arial" w:hAnsi="Arial"/>
          <w:sz w:val="17"/>
          <w:szCs w:val="17"/>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the facilitation of slow-moving inventory, and other market factors.</w:t>
      </w:r>
    </w:p>
    <w:p>
      <w:pPr>
        <w:spacing w:after="0" w:line="182" w:lineRule="exact"/>
        <w:rPr>
          <w:sz w:val="20"/>
          <w:szCs w:val="20"/>
          <w:color w:val="auto"/>
        </w:rPr>
      </w:pPr>
    </w:p>
    <w:p>
      <w:pPr>
        <w:ind w:firstLine="370"/>
        <w:spacing w:after="0" w:line="271" w:lineRule="auto"/>
        <w:rPr>
          <w:sz w:val="20"/>
          <w:szCs w:val="20"/>
          <w:color w:val="auto"/>
        </w:rPr>
      </w:pPr>
      <w:r>
        <w:rPr>
          <w:rFonts w:ascii="Arial" w:cs="Arial" w:eastAsia="Arial" w:hAnsi="Arial"/>
          <w:sz w:val="16"/>
          <w:szCs w:val="16"/>
          <w:color w:val="auto"/>
        </w:rPr>
        <w:t>Management uses judgment in estimates made with respect to potential future product returns and price protection related to current period product revenues and when establishing the allowance for returns and price protection. We estimate the amount of future returns and price protection for current period product revenues utilizing historical experience and information regarding inventory levels and the demand and acceptance of our products by the end consumer, and record revenue for the transferred products in the amount of consideration to which we expect to be entitled. Various factors are used to estimate the amount of future returns and price protection for a particular title, including but not limited to: historical performance of titles in similar genres and our franchises; historical performance of the hardware platform;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80" w:firstLine="370"/>
        <w:spacing w:after="0" w:line="256" w:lineRule="auto"/>
        <w:rPr>
          <w:sz w:val="20"/>
          <w:szCs w:val="20"/>
          <w:color w:val="auto"/>
        </w:rPr>
      </w:pPr>
      <w:r>
        <w:rPr>
          <w:rFonts w:ascii="Arial" w:cs="Arial" w:eastAsia="Arial" w:hAnsi="Arial"/>
          <w:sz w:val="17"/>
          <w:szCs w:val="17"/>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w:t>
      </w:r>
    </w:p>
    <w:p>
      <w:pPr>
        <w:spacing w:after="0" w:line="213" w:lineRule="exact"/>
        <w:rPr>
          <w:sz w:val="20"/>
          <w:szCs w:val="20"/>
          <w:color w:val="auto"/>
        </w:rPr>
      </w:pPr>
    </w:p>
    <w:p>
      <w:pPr>
        <w:ind w:right="80" w:firstLine="370"/>
        <w:spacing w:after="0" w:line="274" w:lineRule="auto"/>
        <w:rPr>
          <w:sz w:val="20"/>
          <w:szCs w:val="20"/>
          <w:color w:val="auto"/>
        </w:rPr>
      </w:pPr>
      <w:r>
        <w:rPr>
          <w:rFonts w:ascii="Arial" w:cs="Arial" w:eastAsia="Arial" w:hAnsi="Arial"/>
          <w:sz w:val="17"/>
          <w:szCs w:val="17"/>
          <w:color w:val="auto"/>
        </w:rPr>
        <w:t>We generally record a receivable related to revenue when we have an unconditional right to invoice and receive payment, and record deferred revenue when cash payments are received or due in advance of our performance, even if amounts are refundable.</w:t>
      </w:r>
    </w:p>
    <w:p>
      <w:pPr>
        <w:spacing w:after="0" w:line="166" w:lineRule="exact"/>
        <w:rPr>
          <w:sz w:val="20"/>
          <w:szCs w:val="20"/>
          <w:color w:val="auto"/>
        </w:rPr>
      </w:pPr>
    </w:p>
    <w:p>
      <w:pPr>
        <w:ind w:right="380" w:firstLine="370"/>
        <w:spacing w:after="0" w:line="303" w:lineRule="auto"/>
        <w:rPr>
          <w:sz w:val="20"/>
          <w:szCs w:val="20"/>
          <w:color w:val="auto"/>
        </w:rPr>
      </w:pPr>
      <w:r>
        <w:rPr>
          <w:rFonts w:ascii="Arial" w:cs="Arial" w:eastAsia="Arial" w:hAnsi="Arial"/>
          <w:sz w:val="15"/>
          <w:szCs w:val="15"/>
          <w:color w:val="auto"/>
        </w:rPr>
        <w:t>The allowance for doubtful accounts reflects our best estimate of probable losses inherent in our accounts receivable balance.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149" w:lineRule="exact"/>
        <w:rPr>
          <w:sz w:val="20"/>
          <w:szCs w:val="20"/>
          <w:color w:val="auto"/>
        </w:rPr>
      </w:pPr>
    </w:p>
    <w:p>
      <w:pPr>
        <w:ind w:right="40" w:firstLine="370"/>
        <w:spacing w:after="0" w:line="279" w:lineRule="auto"/>
        <w:rPr>
          <w:sz w:val="20"/>
          <w:szCs w:val="20"/>
          <w:color w:val="auto"/>
        </w:rPr>
      </w:pPr>
      <w:r>
        <w:rPr>
          <w:rFonts w:ascii="Arial" w:cs="Arial" w:eastAsia="Arial" w:hAnsi="Arial"/>
          <w:sz w:val="16"/>
          <w:szCs w:val="16"/>
          <w:color w:val="auto"/>
        </w:rPr>
        <w:t>Deferred revenue is comprised primarily of unearned revenue related to the sale of products with online functionality or online hosted arrangements. We typically invoice, and collect payment for, these sales at the beginning of the contract period and recognize revenue ratably over the estimated service period. Deferred revenue also includes payments for: product sales pending delivery or activation; subscription revenues; licensing revenues with fixed minimum guarantees; and other revenues for which we have been paid in advance and earn the revenue when we transfer control of the product or service.</w:t>
      </w:r>
    </w:p>
    <w:p>
      <w:pPr>
        <w:spacing w:after="0" w:line="164" w:lineRule="exact"/>
        <w:rPr>
          <w:sz w:val="20"/>
          <w:szCs w:val="20"/>
          <w:color w:val="auto"/>
        </w:rPr>
      </w:pPr>
    </w:p>
    <w:p>
      <w:pPr>
        <w:ind w:left="380"/>
        <w:spacing w:after="0"/>
        <w:rPr>
          <w:rFonts w:ascii="Arial" w:cs="Arial" w:eastAsia="Arial" w:hAnsi="Arial"/>
          <w:sz w:val="17"/>
          <w:szCs w:val="17"/>
          <w:color w:val="auto"/>
        </w:rPr>
      </w:pPr>
      <w:r>
        <w:rPr>
          <w:rFonts w:ascii="Arial" w:cs="Arial" w:eastAsia="Arial" w:hAnsi="Arial"/>
          <w:sz w:val="17"/>
          <w:szCs w:val="17"/>
          <w:color w:val="auto"/>
        </w:rPr>
        <w:t xml:space="preserve">Refer to </w:t>
      </w:r>
      <w:hyperlink w:anchor="page95">
        <w:r>
          <w:rPr>
            <w:rFonts w:ascii="Arial" w:cs="Arial" w:eastAsia="Arial" w:hAnsi="Arial"/>
            <w:sz w:val="17"/>
            <w:szCs w:val="17"/>
            <w:u w:val="single" w:color="auto"/>
            <w:color w:val="0000EE"/>
          </w:rPr>
          <w:t>Note 11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further information, including changes in deferred revenue during the period.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w:t>
      </w:r>
    </w:p>
    <w:p>
      <w:pPr>
        <w:spacing w:after="0" w:line="213" w:lineRule="exact"/>
        <w:rPr>
          <w:sz w:val="20"/>
          <w:szCs w:val="20"/>
          <w:color w:val="auto"/>
        </w:rPr>
      </w:pPr>
    </w:p>
    <w:p>
      <w:pPr>
        <w:ind w:right="160" w:firstLine="382"/>
        <w:spacing w:after="0" w:line="343" w:lineRule="auto"/>
        <w:rPr>
          <w:sz w:val="20"/>
          <w:szCs w:val="20"/>
          <w:color w:val="auto"/>
        </w:rPr>
      </w:pPr>
      <w:r>
        <w:rPr>
          <w:rFonts w:ascii="Arial" w:cs="Arial" w:eastAsia="Arial" w:hAnsi="Arial"/>
          <w:sz w:val="15"/>
          <w:szCs w:val="15"/>
          <w:color w:val="auto"/>
        </w:rPr>
        <w:t>Shipping and handling costs consist primarily of packaging and transportation charges incurred to move finished goods to customers. We recognize all shipping and handling costs as an expense in “Cost of revenues-product costs,” including those incurred when control of the product has already transferred to the customer.</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Our cost of revenues consist of the following:</w:t>
      </w:r>
    </w:p>
    <w:p>
      <w:pPr>
        <w:spacing w:after="0" w:line="2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revenues—product sales:</w:t>
      </w:r>
    </w:p>
    <w:p>
      <w:pPr>
        <w:spacing w:after="0" w:line="213" w:lineRule="exact"/>
        <w:rPr>
          <w:sz w:val="20"/>
          <w:szCs w:val="20"/>
          <w:color w:val="auto"/>
        </w:rPr>
      </w:pPr>
    </w:p>
    <w:p>
      <w:pPr>
        <w:ind w:left="920" w:hanging="306"/>
        <w:spacing w:after="0" w:line="262" w:lineRule="auto"/>
        <w:tabs>
          <w:tab w:leader="none" w:pos="9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“Product costs”</w:t>
      </w:r>
      <w:r>
        <w:rPr>
          <w:rFonts w:ascii="Arial" w:cs="Arial" w:eastAsia="Arial" w:hAnsi="Arial"/>
          <w:sz w:val="17"/>
          <w:szCs w:val="17"/>
          <w:i w:val="1"/>
          <w:iCs w:val="1"/>
          <w:color w:val="auto"/>
        </w:rPr>
        <w:t>—</w:t>
      </w:r>
      <w:r>
        <w:rPr>
          <w:rFonts w:ascii="Arial" w:cs="Arial" w:eastAsia="Arial" w:hAnsi="Arial"/>
          <w:sz w:val="17"/>
          <w:szCs w:val="17"/>
          <w:color w:val="auto"/>
        </w:rPr>
        <w:t>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175" w:lineRule="exact"/>
        <w:rPr>
          <w:rFonts w:ascii="Arial" w:cs="Arial" w:eastAsia="Arial" w:hAnsi="Arial"/>
          <w:sz w:val="17"/>
          <w:szCs w:val="17"/>
          <w:color w:val="auto"/>
        </w:rPr>
      </w:pPr>
    </w:p>
    <w:p>
      <w:pPr>
        <w:ind w:left="920" w:right="100" w:hanging="306"/>
        <w:spacing w:after="0" w:line="313" w:lineRule="auto"/>
        <w:tabs>
          <w:tab w:leader="none" w:pos="9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“Software royalties, amortization, and intellectual property licenses”</w:t>
      </w:r>
      <w:r>
        <w:rPr>
          <w:rFonts w:ascii="Arial" w:cs="Arial" w:eastAsia="Arial" w:hAnsi="Arial"/>
          <w:sz w:val="15"/>
          <w:szCs w:val="15"/>
          <w:i w:val="1"/>
          <w:iCs w:val="1"/>
          <w:color w:val="auto"/>
        </w:rPr>
        <w:t>—</w:t>
      </w:r>
      <w:r>
        <w:rPr>
          <w:rFonts w:ascii="Arial" w:cs="Arial" w:eastAsia="Arial" w:hAnsi="Arial"/>
          <w:sz w:val="15"/>
          <w:szCs w:val="15"/>
          <w:color w:val="auto"/>
        </w:rPr>
        <w:t>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14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Cost of revenues—subscription, licensing, and other revenues:</w:t>
      </w:r>
    </w:p>
    <w:p>
      <w:pPr>
        <w:spacing w:after="0" w:line="213" w:lineRule="exact"/>
        <w:rPr>
          <w:sz w:val="20"/>
          <w:szCs w:val="20"/>
          <w:color w:val="auto"/>
        </w:rPr>
      </w:pPr>
    </w:p>
    <w:p>
      <w:pPr>
        <w:ind w:left="920" w:right="200" w:hanging="306"/>
        <w:spacing w:after="0" w:line="274" w:lineRule="auto"/>
        <w:tabs>
          <w:tab w:leader="none" w:pos="9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“Game operations and distribution costs”</w:t>
      </w:r>
      <w:r>
        <w:rPr>
          <w:rFonts w:ascii="Arial" w:cs="Arial" w:eastAsia="Arial" w:hAnsi="Arial"/>
          <w:sz w:val="17"/>
          <w:szCs w:val="17"/>
          <w:i w:val="1"/>
          <w:iCs w:val="1"/>
          <w:color w:val="auto"/>
        </w:rPr>
        <w:t>—</w:t>
      </w:r>
      <w:r>
        <w:rPr>
          <w:rFonts w:ascii="Arial" w:cs="Arial" w:eastAsia="Arial" w:hAnsi="Arial"/>
          <w:sz w:val="17"/>
          <w:szCs w:val="17"/>
          <w:color w:val="auto"/>
        </w:rPr>
        <w:t>includes costs to operate our games, such as customer service, Internet bandwidth and server costs, platform provider fees, and payment provider fees, along with costs to associated with our esports activities.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20" w:right="20" w:hanging="306"/>
        <w:spacing w:after="0" w:line="258" w:lineRule="auto"/>
        <w:tabs>
          <w:tab w:leader="none" w:pos="9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“Software royalties, amortization, and intellectual property licenses”</w:t>
      </w:r>
      <w:r>
        <w:rPr>
          <w:rFonts w:ascii="Arial" w:cs="Arial" w:eastAsia="Arial" w:hAnsi="Arial"/>
          <w:sz w:val="17"/>
          <w:szCs w:val="17"/>
          <w:i w:val="1"/>
          <w:iCs w:val="1"/>
          <w:color w:val="auto"/>
        </w:rPr>
        <w:t>—</w:t>
      </w:r>
      <w:r>
        <w:rPr>
          <w:rFonts w:ascii="Arial" w:cs="Arial" w:eastAsia="Arial" w:hAnsi="Arial"/>
          <w:sz w:val="17"/>
          <w:szCs w:val="17"/>
          <w:color w:val="auto"/>
        </w:rPr>
        <w:t>includes the amortization of capitalized software costs and royalties attributable to subscription, licensing and other revenues. These are costs capitalized on the balance sheet until the respective games are released, at which time the capitalized costs are amortized. Also included is amortization of intangible assets recognized in purchase accounting attributable to subscription, licensing and other revenues.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Expenses</w:t>
      </w:r>
    </w:p>
    <w:p>
      <w:pPr>
        <w:spacing w:after="0" w:line="213" w:lineRule="exact"/>
        <w:rPr>
          <w:sz w:val="20"/>
          <w:szCs w:val="20"/>
          <w:color w:val="auto"/>
        </w:rPr>
      </w:pPr>
    </w:p>
    <w:p>
      <w:pPr>
        <w:ind w:right="180" w:firstLine="408"/>
        <w:spacing w:after="0" w:line="262" w:lineRule="auto"/>
        <w:rPr>
          <w:sz w:val="20"/>
          <w:szCs w:val="20"/>
          <w:color w:val="auto"/>
        </w:rPr>
      </w:pPr>
      <w:r>
        <w:rPr>
          <w:rFonts w:ascii="Arial" w:cs="Arial" w:eastAsia="Arial" w:hAnsi="Arial"/>
          <w:sz w:val="17"/>
          <w:szCs w:val="17"/>
          <w:color w:val="auto"/>
        </w:rPr>
        <w:t>We expense advertising as incurred, except for production costs associated with media advertising, which are deferred and charged to expense when the related advertisement is run for the first time. Advertising expenses for the years ended December 31, 2019, 2018, and 2017 were $587 million, $631 million, and $708 million, respectively, and are included in “Sales and marketing” in the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3" w:lineRule="exact"/>
        <w:rPr>
          <w:sz w:val="20"/>
          <w:szCs w:val="20"/>
          <w:color w:val="auto"/>
        </w:rPr>
      </w:pPr>
    </w:p>
    <w:p>
      <w:pPr>
        <w:ind w:firstLine="370"/>
        <w:spacing w:after="0" w:line="272"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72" w:lineRule="exact"/>
        <w:rPr>
          <w:sz w:val="20"/>
          <w:szCs w:val="20"/>
          <w:color w:val="auto"/>
        </w:rPr>
      </w:pPr>
    </w:p>
    <w:p>
      <w:pPr>
        <w:ind w:right="200" w:firstLine="382"/>
        <w:spacing w:after="0" w:line="274" w:lineRule="auto"/>
        <w:rPr>
          <w:sz w:val="20"/>
          <w:szCs w:val="20"/>
          <w:color w:val="auto"/>
        </w:rPr>
      </w:pPr>
      <w:r>
        <w:rPr>
          <w:rFonts w:ascii="Arial" w:cs="Arial" w:eastAsia="Arial" w:hAnsi="Arial"/>
          <w:sz w:val="17"/>
          <w:szCs w:val="17"/>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66" w:lineRule="exact"/>
        <w:rPr>
          <w:sz w:val="20"/>
          <w:szCs w:val="20"/>
          <w:color w:val="auto"/>
        </w:rPr>
      </w:pPr>
    </w:p>
    <w:p>
      <w:pPr>
        <w:ind w:right="160" w:firstLine="382"/>
        <w:spacing w:after="0" w:line="262" w:lineRule="auto"/>
        <w:rPr>
          <w:sz w:val="20"/>
          <w:szCs w:val="20"/>
          <w:color w:val="auto"/>
        </w:rPr>
      </w:pPr>
      <w:r>
        <w:rPr>
          <w:rFonts w:ascii="Arial" w:cs="Arial" w:eastAsia="Arial" w:hAnsi="Arial"/>
          <w:sz w:val="17"/>
          <w:szCs w:val="17"/>
          <w:color w:val="auto"/>
        </w:rPr>
        <w:t>On December 22, 2017, tax reform legislation known as the Tax Cuts and Jobs Act (the “U.S. Tax Reform Act”) was enacted in the United States. The U.S. Tax Reform Act, among other things, reduced the U.S. corporate income tax rate from 35% to 21% beginning in 2018 and implemented a modified territorial tax system that imposed a one-time tax on deemed repatriated earnings of foreign subsidiaries (“Transition Tax”).</w:t>
      </w:r>
    </w:p>
    <w:p>
      <w:pPr>
        <w:spacing w:after="0" w:line="176" w:lineRule="exact"/>
        <w:rPr>
          <w:sz w:val="20"/>
          <w:szCs w:val="20"/>
          <w:color w:val="auto"/>
        </w:rPr>
      </w:pPr>
    </w:p>
    <w:p>
      <w:pPr>
        <w:ind w:firstLine="382"/>
        <w:spacing w:after="0" w:line="256" w:lineRule="auto"/>
        <w:rPr>
          <w:sz w:val="20"/>
          <w:szCs w:val="20"/>
          <w:color w:val="auto"/>
        </w:rPr>
      </w:pPr>
      <w:r>
        <w:rPr>
          <w:rFonts w:ascii="Arial" w:cs="Arial" w:eastAsia="Arial" w:hAnsi="Arial"/>
          <w:sz w:val="17"/>
          <w:szCs w:val="17"/>
          <w:color w:val="auto"/>
        </w:rPr>
        <w:t>On December 22, 2017, the SEC staff issued Staff Accounting Bulletin No. 118 (“SAB 118”), which provides guidance on how to account for the effects of the U.S. Tax Reform Act under ASC 740. SAB 118 enabled companies to record a provisional amount for the effects of the U.S. Tax Reform Act based on a reasonable estimate, subject to adjustment during a measurement period of up to one year, until accounting is complete. In the fourth quarter of 2018, we completed our analysis to determine the effects of the U.S. Tax Reform Act. As a result, we made an election to record deferred U.S. taxes with respect to earnings of our foreign subsidiaries subject to GILTI.</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Excess tax benefits and tax deficiencies from share-based payments are recorded as an income tax expense or benefit in the consolidated statement of operations.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The tax effects of exercised or vested equity awards are treated as discrete items in the reporting period in which they occur.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213" w:lineRule="exact"/>
        <w:rPr>
          <w:sz w:val="20"/>
          <w:szCs w:val="20"/>
          <w:color w:val="auto"/>
        </w:rPr>
      </w:pPr>
    </w:p>
    <w:p>
      <w:pPr>
        <w:jc w:val="both"/>
        <w:ind w:right="60" w:firstLine="408"/>
        <w:spacing w:after="0" w:line="262" w:lineRule="auto"/>
        <w:rPr>
          <w:sz w:val="20"/>
          <w:szCs w:val="20"/>
          <w:color w:val="auto"/>
        </w:rPr>
      </w:pPr>
      <w:r>
        <w:rPr>
          <w:rFonts w:ascii="Arial" w:cs="Arial" w:eastAsia="Arial" w:hAnsi="Arial"/>
          <w:sz w:val="17"/>
          <w:szCs w:val="17"/>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1420"/>
          </w:cols>
          <w:pgMar w:left="240" w:top="127" w:right="23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(Loss) Per Common Share</w:t>
      </w:r>
    </w:p>
    <w:p>
      <w:pPr>
        <w:spacing w:after="0" w:line="213" w:lineRule="exact"/>
        <w:rPr>
          <w:sz w:val="20"/>
          <w:szCs w:val="20"/>
          <w:color w:val="auto"/>
        </w:rPr>
      </w:pPr>
    </w:p>
    <w:p>
      <w:pPr>
        <w:ind w:right="20" w:firstLine="408"/>
        <w:spacing w:after="0" w:line="255" w:lineRule="auto"/>
        <w:rPr>
          <w:sz w:val="20"/>
          <w:szCs w:val="20"/>
          <w:color w:val="auto"/>
        </w:rPr>
      </w:pPr>
      <w:r>
        <w:rPr>
          <w:rFonts w:ascii="Arial" w:cs="Arial" w:eastAsia="Arial" w:hAnsi="Arial"/>
          <w:sz w:val="17"/>
          <w:szCs w:val="17"/>
          <w:color w:val="auto"/>
        </w:rPr>
        <w:t>“Basic (loss) earnings per common share” is computed by dividing income (loss) available to common shareholders by the weighted-average number of common shares outstanding for the periods presented. “Diluted earnings (loss) per common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common share calculation when inclusion of such shares would be anti-dilutive, such as in a period in which a net loss is recorded.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Payments</w:t>
      </w:r>
    </w:p>
    <w:p>
      <w:pPr>
        <w:spacing w:after="0" w:line="213" w:lineRule="exact"/>
        <w:rPr>
          <w:sz w:val="20"/>
          <w:szCs w:val="20"/>
          <w:color w:val="auto"/>
        </w:rPr>
      </w:pPr>
    </w:p>
    <w:p>
      <w:pPr>
        <w:ind w:right="20" w:firstLine="408"/>
        <w:spacing w:after="0" w:line="313" w:lineRule="auto"/>
        <w:rPr>
          <w:sz w:val="20"/>
          <w:szCs w:val="20"/>
          <w:color w:val="auto"/>
        </w:rPr>
      </w:pPr>
      <w:r>
        <w:rPr>
          <w:rFonts w:ascii="Arial" w:cs="Arial" w:eastAsia="Arial" w:hAnsi="Arial"/>
          <w:sz w:val="15"/>
          <w:szCs w:val="15"/>
          <w:color w:val="auto"/>
        </w:rPr>
        <w:t>We account for share-based payments in accordance with ASC Subtopic 718-10.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41" w:lineRule="exact"/>
        <w:rPr>
          <w:sz w:val="20"/>
          <w:szCs w:val="20"/>
          <w:color w:val="auto"/>
        </w:rPr>
      </w:pPr>
    </w:p>
    <w:p>
      <w:pPr>
        <w:jc w:val="both"/>
        <w:ind w:right="100" w:firstLine="408"/>
        <w:spacing w:after="0" w:line="262" w:lineRule="auto"/>
        <w:rPr>
          <w:sz w:val="20"/>
          <w:szCs w:val="20"/>
          <w:color w:val="auto"/>
        </w:rPr>
      </w:pPr>
      <w:r>
        <w:rPr>
          <w:rFonts w:ascii="Arial" w:cs="Arial" w:eastAsia="Arial" w:hAnsi="Arial"/>
          <w:sz w:val="17"/>
          <w:szCs w:val="17"/>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76" w:lineRule="exact"/>
        <w:rPr>
          <w:sz w:val="20"/>
          <w:szCs w:val="20"/>
          <w:color w:val="auto"/>
        </w:rPr>
      </w:pPr>
    </w:p>
    <w:p>
      <w:pPr>
        <w:ind w:firstLine="408"/>
        <w:spacing w:after="0" w:line="290" w:lineRule="auto"/>
        <w:rPr>
          <w:sz w:val="20"/>
          <w:szCs w:val="20"/>
          <w:color w:val="auto"/>
        </w:rPr>
      </w:pPr>
      <w:r>
        <w:rPr>
          <w:rFonts w:ascii="Arial" w:cs="Arial" w:eastAsia="Arial" w:hAnsi="Arial"/>
          <w:sz w:val="15"/>
          <w:szCs w:val="15"/>
          <w:color w:val="auto"/>
        </w:rPr>
        <w:t>We generally determine the fair value of restricted stock units based on the closing market price of the Company’s common stock on the date of grant, reduced by the present value of the estimated future dividends during the vesting period. Certain restricted stock units granted to our employees and senior management vest based on the achievement of pre-established performance or market conditions. For performance-based restricted stock units, each quarter we update our assessment of the probability that the specified performance criteria will be achieved. We amortize the fair values of performance-based restricted stock units over the requisite service period, adjusting for estimated forfeitures for each separately vesting tranche of the award. For market-based restricted stock units,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units at the date of grant incorporates into the valuation the possibility that the market condition may not be satisfied. Provided that the requisite service is rendered, the total fair value of the market-based restricted stock units at the date of grant must be recognized as compensation expense even if the market condition is not achieved. However, the number of shares that ultimately vest can vary significantly with the performance of the specified market criteria.</w:t>
      </w:r>
    </w:p>
    <w:p>
      <w:pPr>
        <w:spacing w:after="0" w:line="160" w:lineRule="exact"/>
        <w:rPr>
          <w:sz w:val="20"/>
          <w:szCs w:val="20"/>
          <w:color w:val="auto"/>
        </w:rPr>
      </w:pPr>
    </w:p>
    <w:p>
      <w:pPr>
        <w:ind w:right="220" w:firstLine="408"/>
        <w:spacing w:after="0" w:line="274" w:lineRule="auto"/>
        <w:rPr>
          <w:sz w:val="20"/>
          <w:szCs w:val="20"/>
          <w:color w:val="auto"/>
        </w:rPr>
      </w:pPr>
      <w:r>
        <w:rPr>
          <w:rFonts w:ascii="Arial" w:cs="Arial" w:eastAsia="Arial" w:hAnsi="Arial"/>
          <w:sz w:val="17"/>
          <w:szCs w:val="17"/>
          <w:color w:val="auto"/>
        </w:rPr>
        <w:t>For share-based compensation grants that are liability classified, if any, we update our grant date valuation at each reporting period and recognize a cumulative catch-up adjustment for changes in the value related to the requisite service already rendered.</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Contingencies</w:t>
      </w:r>
    </w:p>
    <w:p>
      <w:pPr>
        <w:spacing w:after="0" w:line="213" w:lineRule="exact"/>
        <w:rPr>
          <w:sz w:val="20"/>
          <w:szCs w:val="20"/>
          <w:color w:val="auto"/>
        </w:rPr>
      </w:pPr>
    </w:p>
    <w:p>
      <w:pPr>
        <w:ind w:right="20" w:firstLine="382"/>
        <w:spacing w:after="0" w:line="276" w:lineRule="auto"/>
        <w:rPr>
          <w:sz w:val="20"/>
          <w:szCs w:val="20"/>
          <w:color w:val="auto"/>
        </w:rPr>
      </w:pPr>
      <w:r>
        <w:rPr>
          <w:rFonts w:ascii="Arial" w:cs="Arial" w:eastAsia="Arial" w:hAnsi="Arial"/>
          <w:sz w:val="16"/>
          <w:szCs w:val="16"/>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(i.e., more than remote) that the outcomes of such litigation and other claims include potential material adverse impacts on us.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420"/>
          </w:cols>
          <w:pgMar w:left="240" w:top="127" w:right="239" w:bottom="1440" w:gutter="0" w:footer="0" w:header="0"/>
        </w:sectPr>
      </w:pPr>
    </w:p>
    <w:bookmarkStart w:id="87" w:name="page88"/>
    <w:bookmarkEnd w:id="87"/>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3. Recently Issued Accounting Pronouncements</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Leases</w:t>
      </w:r>
    </w:p>
    <w:p>
      <w:pPr>
        <w:spacing w:after="0" w:line="213" w:lineRule="exact"/>
        <w:rPr>
          <w:sz w:val="20"/>
          <w:szCs w:val="20"/>
          <w:color w:val="auto"/>
        </w:rPr>
      </w:pPr>
    </w:p>
    <w:p>
      <w:pPr>
        <w:ind w:left="20" w:right="100" w:firstLine="306"/>
        <w:spacing w:after="0" w:line="258" w:lineRule="auto"/>
        <w:rPr>
          <w:rFonts w:ascii="Arial" w:cs="Arial" w:eastAsia="Arial" w:hAnsi="Arial"/>
          <w:sz w:val="17"/>
          <w:szCs w:val="17"/>
          <w:color w:val="auto"/>
        </w:rPr>
      </w:pPr>
      <w:r>
        <w:rPr>
          <w:rFonts w:ascii="Arial" w:cs="Arial" w:eastAsia="Arial" w:hAnsi="Arial"/>
          <w:sz w:val="17"/>
          <w:szCs w:val="17"/>
          <w:color w:val="auto"/>
        </w:rPr>
        <w:t xml:space="preserve">As noted in </w:t>
      </w:r>
      <w:hyperlink w:anchor="page75">
        <w:r>
          <w:rPr>
            <w:rFonts w:ascii="Arial" w:cs="Arial" w:eastAsia="Arial" w:hAnsi="Arial"/>
            <w:sz w:val="17"/>
            <w:szCs w:val="17"/>
            <w:u w:val="single" w:color="auto"/>
            <w:color w:val="0000EE"/>
          </w:rPr>
          <w:t>Note 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 we adopted the new lease accounting standard effective January 1, 2019. We elected to apply the optional adoption method, which uses the effective date as the initial date of application on transition with no retrospective adjustments to prior periods. Additionally, we elected to apply the package of transition practical expedients which permitted us to, among other things, (1) not reassess if existing contracts contained leases under the new lease accounting standard, and (2) carry forward our historical lease classifications.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impact from the adoption of the new lease accounting standard to our consolidated balance sheet at January 1, 2019, was as follows (amounts in millions):</w:t>
      </w: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1"/>
              </w:rPr>
              <w:t>Adjustments due to</w:t>
            </w: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191"/>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5"/>
                <w:szCs w:val="15"/>
                <w:b w:val="1"/>
                <w:bCs w:val="1"/>
                <w:color w:val="auto"/>
              </w:rPr>
              <w:t>Balance at December 31,</w:t>
            </w:r>
          </w:p>
        </w:tc>
        <w:tc>
          <w:tcPr>
            <w:tcW w:w="16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adoption of new lease</w:t>
            </w:r>
          </w:p>
        </w:tc>
        <w:tc>
          <w:tcPr>
            <w:tcW w:w="140" w:type="dxa"/>
            <w:vAlign w:val="bottom"/>
          </w:tcPr>
          <w:p>
            <w:pPr>
              <w:spacing w:after="0"/>
              <w:rPr>
                <w:sz w:val="16"/>
                <w:szCs w:val="16"/>
                <w:color w:val="auto"/>
              </w:rPr>
            </w:pPr>
          </w:p>
        </w:tc>
        <w:tc>
          <w:tcPr>
            <w:tcW w:w="1660" w:type="dxa"/>
            <w:vAlign w:val="bottom"/>
          </w:tcPr>
          <w:p>
            <w:pPr>
              <w:jc w:val="right"/>
              <w:ind w:right="98"/>
              <w:spacing w:after="0"/>
              <w:rPr>
                <w:sz w:val="20"/>
                <w:szCs w:val="20"/>
                <w:color w:val="auto"/>
              </w:rPr>
            </w:pPr>
            <w:r>
              <w:rPr>
                <w:rFonts w:ascii="Arial" w:cs="Arial" w:eastAsia="Arial" w:hAnsi="Arial"/>
                <w:sz w:val="15"/>
                <w:szCs w:val="15"/>
                <w:b w:val="1"/>
                <w:bCs w:val="1"/>
                <w:color w:val="auto"/>
                <w:w w:val="95"/>
              </w:rPr>
              <w:t>Balance at January 1,</w:t>
            </w:r>
          </w:p>
        </w:tc>
      </w:tr>
      <w:tr>
        <w:trPr>
          <w:trHeight w:val="198"/>
        </w:trPr>
        <w:tc>
          <w:tcPr>
            <w:tcW w:w="5720" w:type="dxa"/>
            <w:vAlign w:val="bottom"/>
          </w:tcPr>
          <w:p>
            <w:pPr>
              <w:ind w:left="20"/>
              <w:spacing w:after="0"/>
              <w:rPr>
                <w:sz w:val="20"/>
                <w:szCs w:val="20"/>
                <w:color w:val="auto"/>
              </w:rPr>
            </w:pPr>
            <w:r>
              <w:rPr>
                <w:rFonts w:ascii="Arial" w:cs="Arial" w:eastAsia="Arial" w:hAnsi="Arial"/>
                <w:sz w:val="15"/>
                <w:szCs w:val="15"/>
                <w:b w:val="1"/>
                <w:bCs w:val="1"/>
                <w:color w:val="auto"/>
              </w:rPr>
              <w:t>Consolidated Balance Sheet:</w:t>
            </w:r>
          </w:p>
        </w:tc>
        <w:tc>
          <w:tcPr>
            <w:tcW w:w="120" w:type="dxa"/>
            <w:vAlign w:val="bottom"/>
          </w:tcPr>
          <w:p>
            <w:pPr>
              <w:spacing w:after="0"/>
              <w:rPr>
                <w:sz w:val="17"/>
                <w:szCs w:val="17"/>
                <w:color w:val="auto"/>
              </w:rPr>
            </w:pPr>
          </w:p>
        </w:tc>
        <w:tc>
          <w:tcPr>
            <w:tcW w:w="1740" w:type="dxa"/>
            <w:vAlign w:val="bottom"/>
          </w:tcPr>
          <w:p>
            <w:pPr>
              <w:jc w:val="right"/>
              <w:ind w:right="698"/>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accounting standard</w:t>
            </w:r>
          </w:p>
        </w:tc>
        <w:tc>
          <w:tcPr>
            <w:tcW w:w="140" w:type="dxa"/>
            <w:vAlign w:val="bottom"/>
          </w:tcPr>
          <w:p>
            <w:pPr>
              <w:spacing w:after="0"/>
              <w:rPr>
                <w:sz w:val="17"/>
                <w:szCs w:val="17"/>
                <w:color w:val="auto"/>
              </w:rPr>
            </w:pPr>
          </w:p>
        </w:tc>
        <w:tc>
          <w:tcPr>
            <w:tcW w:w="1660" w:type="dxa"/>
            <w:vAlign w:val="bottom"/>
          </w:tcPr>
          <w:p>
            <w:pPr>
              <w:jc w:val="right"/>
              <w:ind w:right="658"/>
              <w:spacing w:after="0"/>
              <w:rPr>
                <w:sz w:val="20"/>
                <w:szCs w:val="20"/>
                <w:color w:val="auto"/>
              </w:rPr>
            </w:pPr>
            <w:r>
              <w:rPr>
                <w:rFonts w:ascii="Arial" w:cs="Arial" w:eastAsia="Arial" w:hAnsi="Arial"/>
                <w:sz w:val="15"/>
                <w:szCs w:val="15"/>
                <w:b w:val="1"/>
                <w:bCs w:val="1"/>
                <w:color w:val="auto"/>
              </w:rPr>
              <w:t>2019</w:t>
            </w:r>
          </w:p>
        </w:tc>
      </w:tr>
      <w:tr>
        <w:trPr>
          <w:trHeight w:val="30"/>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2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spacing w:after="0"/>
              <w:rPr>
                <w:sz w:val="19"/>
                <w:szCs w:val="19"/>
                <w:color w:val="auto"/>
              </w:rPr>
            </w:pPr>
          </w:p>
        </w:tc>
      </w:tr>
      <w:tr>
        <w:trPr>
          <w:trHeight w:val="228"/>
        </w:trPr>
        <w:tc>
          <w:tcPr>
            <w:tcW w:w="5720" w:type="dxa"/>
            <w:vAlign w:val="bottom"/>
          </w:tcPr>
          <w:p>
            <w:pPr>
              <w:ind w:left="340"/>
              <w:spacing w:after="0"/>
              <w:rPr>
                <w:sz w:val="20"/>
                <w:szCs w:val="20"/>
                <w:color w:val="auto"/>
              </w:rPr>
            </w:pPr>
            <w:r>
              <w:rPr>
                <w:rFonts w:ascii="Arial" w:cs="Arial" w:eastAsia="Arial" w:hAnsi="Arial"/>
                <w:sz w:val="17"/>
                <w:szCs w:val="17"/>
                <w:color w:val="auto"/>
              </w:rPr>
              <w:t>Other current assets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740" w:type="dxa"/>
            <w:vAlign w:val="bottom"/>
          </w:tcPr>
          <w:p>
            <w:pPr>
              <w:jc w:val="right"/>
              <w:ind w:right="38"/>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Pr>
          <w:p>
            <w:pPr>
              <w:jc w:val="right"/>
              <w:ind w:right="18"/>
              <w:spacing w:after="0"/>
              <w:rPr>
                <w:sz w:val="20"/>
                <w:szCs w:val="20"/>
                <w:color w:val="auto"/>
              </w:rPr>
            </w:pPr>
            <w:r>
              <w:rPr>
                <w:rFonts w:ascii="Arial" w:cs="Arial" w:eastAsia="Arial" w:hAnsi="Arial"/>
                <w:sz w:val="17"/>
                <w:szCs w:val="17"/>
                <w:color w:val="auto"/>
              </w:rPr>
              <w:t>531</w:t>
            </w: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5"/>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734</w:t>
            </w:r>
          </w:p>
        </w:tc>
      </w:tr>
      <w:tr>
        <w:trPr>
          <w:trHeight w:val="228"/>
        </w:trPr>
        <w:tc>
          <w:tcPr>
            <w:tcW w:w="572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5"/>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896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950</w:t>
            </w:r>
          </w:p>
        </w:tc>
      </w:tr>
      <w:tr>
        <w:trPr>
          <w:trHeight w:val="228"/>
        </w:trPr>
        <w:tc>
          <w:tcPr>
            <w:tcW w:w="5720" w:type="dxa"/>
            <w:vAlign w:val="bottom"/>
          </w:tcPr>
          <w:p>
            <w:pPr>
              <w:ind w:left="360"/>
              <w:spacing w:after="0"/>
              <w:rPr>
                <w:sz w:val="20"/>
                <w:szCs w:val="20"/>
                <w:color w:val="auto"/>
              </w:rPr>
            </w:pPr>
            <w:r>
              <w:rPr>
                <w:rFonts w:ascii="Arial" w:cs="Arial" w:eastAsia="Arial" w:hAnsi="Arial"/>
                <w:sz w:val="17"/>
                <w:szCs w:val="17"/>
                <w:color w:val="auto"/>
              </w:rPr>
              <w:t>Other liabilities</w:t>
            </w:r>
          </w:p>
        </w:tc>
        <w:tc>
          <w:tcPr>
            <w:tcW w:w="120" w:type="dxa"/>
            <w:vAlign w:val="bottom"/>
          </w:tcPr>
          <w:p>
            <w:pPr>
              <w:spacing w:after="0"/>
              <w:rPr>
                <w:sz w:val="19"/>
                <w:szCs w:val="19"/>
                <w:color w:val="auto"/>
              </w:rPr>
            </w:pPr>
          </w:p>
        </w:tc>
        <w:tc>
          <w:tcPr>
            <w:tcW w:w="1740" w:type="dxa"/>
            <w:vAlign w:val="bottom"/>
          </w:tcPr>
          <w:p>
            <w:pPr>
              <w:jc w:val="right"/>
              <w:ind w:right="38"/>
              <w:spacing w:after="0"/>
              <w:rPr>
                <w:sz w:val="20"/>
                <w:szCs w:val="20"/>
                <w:color w:val="auto"/>
              </w:rPr>
            </w:pPr>
            <w:r>
              <w:rPr>
                <w:rFonts w:ascii="Arial" w:cs="Arial" w:eastAsia="Arial" w:hAnsi="Arial"/>
                <w:sz w:val="17"/>
                <w:szCs w:val="17"/>
                <w:color w:val="auto"/>
              </w:rPr>
              <w:t>1,167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ind w:right="19"/>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8"/>
              <w:spacing w:after="0"/>
              <w:rPr>
                <w:sz w:val="20"/>
                <w:szCs w:val="20"/>
                <w:color w:val="auto"/>
              </w:rPr>
            </w:pPr>
            <w:r>
              <w:rPr>
                <w:rFonts w:ascii="Arial" w:cs="Arial" w:eastAsia="Arial" w:hAnsi="Arial"/>
                <w:sz w:val="17"/>
                <w:szCs w:val="17"/>
                <w:color w:val="auto"/>
              </w:rPr>
              <w:t>1,357</w:t>
            </w:r>
          </w:p>
        </w:tc>
      </w:tr>
    </w:tbl>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adoption of this standard did not have an impact on our consolidated statement of operations or consolidated statements of cash flows.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Recent Accounting Pronouncements Not Yet Adopted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w:t>
      </w:r>
    </w:p>
    <w:p>
      <w:pPr>
        <w:spacing w:after="0" w:line="213" w:lineRule="exact"/>
        <w:rPr>
          <w:sz w:val="20"/>
          <w:szCs w:val="20"/>
          <w:color w:val="auto"/>
        </w:rPr>
      </w:pPr>
    </w:p>
    <w:p>
      <w:pPr>
        <w:ind w:left="20" w:right="20" w:firstLine="382"/>
        <w:spacing w:after="0" w:line="254" w:lineRule="auto"/>
        <w:rPr>
          <w:sz w:val="20"/>
          <w:szCs w:val="20"/>
          <w:color w:val="auto"/>
        </w:rPr>
      </w:pPr>
      <w:r>
        <w:rPr>
          <w:rFonts w:ascii="Arial" w:cs="Arial" w:eastAsia="Arial" w:hAnsi="Arial"/>
          <w:sz w:val="17"/>
          <w:szCs w:val="17"/>
          <w:color w:val="auto"/>
        </w:rPr>
        <w:t>In January 2017, the FASB issued new guidance that eliminates Step 2 from the goodwill impairment test. Instead, if an entity forgoes a Step 0 test, that entity will be required to perform its annual or interim goodwill impairment test by (1) comparing the fair value of a reporting unit, as determined in Step 1 from the goodwill impairment test, with its carrying amount and (2) recognizing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The effect of adoption should be reflected as of the beginning of the fiscal year of adoption. This standard is effective for us beginning with the first quarter of 2020 and we do not expect it to have an impact on our financial statements and related disclosures upon adoption.</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Cloud Computing Arrangements</w:t>
      </w:r>
    </w:p>
    <w:p>
      <w:pPr>
        <w:spacing w:after="0" w:line="213" w:lineRule="exact"/>
        <w:rPr>
          <w:sz w:val="20"/>
          <w:szCs w:val="20"/>
          <w:color w:val="auto"/>
        </w:rPr>
      </w:pPr>
    </w:p>
    <w:p>
      <w:pPr>
        <w:ind w:left="20" w:right="60" w:firstLine="382"/>
        <w:spacing w:after="0" w:line="272" w:lineRule="auto"/>
        <w:rPr>
          <w:sz w:val="20"/>
          <w:szCs w:val="20"/>
          <w:color w:val="auto"/>
        </w:rPr>
      </w:pPr>
      <w:r>
        <w:rPr>
          <w:rFonts w:ascii="Arial" w:cs="Arial" w:eastAsia="Arial" w:hAnsi="Arial"/>
          <w:sz w:val="16"/>
          <w:szCs w:val="16"/>
          <w:color w:val="auto"/>
        </w:rPr>
        <w:t>In August 2018, the FASB issued new guidance related to a customer’s accounting for implementation costs incurred in a cloud computing arrangement (i.e., hosting arrangement) that is a service contract. The new guidance requires customers to capitalize implementation costs for these arrangements by applying the same criteria that are utilized for existing internal-use software guidance. The capitalized costs are required to be amortized over the associated term of the arrangement, generally on a straight-line basis, with amortization of these costs presented in the same financial statement line item as other costs associated with the arrangement. The new standard is effective for fiscal years beginning after December 15, 2019, and can be applied retrospectively or prospectively. Early adoption is permitted. This standard is effective for us beginning with the first quarter of 2020 and will be applied prospectively. We do not expect it to have a material impact on our financial statements and related disclosures upon adoption.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40"/>
          </w:cols>
          <w:pgMar w:left="220" w:top="127"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Instruments - Credit Losses</w:t>
      </w:r>
    </w:p>
    <w:p>
      <w:pPr>
        <w:spacing w:after="0" w:line="213" w:lineRule="exact"/>
        <w:rPr>
          <w:sz w:val="20"/>
          <w:szCs w:val="20"/>
          <w:color w:val="auto"/>
        </w:rPr>
      </w:pPr>
    </w:p>
    <w:p>
      <w:pPr>
        <w:ind w:right="80" w:firstLine="382"/>
        <w:spacing w:after="0" w:line="293" w:lineRule="auto"/>
        <w:rPr>
          <w:sz w:val="20"/>
          <w:szCs w:val="20"/>
          <w:color w:val="auto"/>
        </w:rPr>
      </w:pPr>
      <w:r>
        <w:rPr>
          <w:rFonts w:ascii="Arial" w:cs="Arial" w:eastAsia="Arial" w:hAnsi="Arial"/>
          <w:sz w:val="15"/>
          <w:szCs w:val="15"/>
          <w:color w:val="212529"/>
        </w:rPr>
        <w:t xml:space="preserve">In June 2016, the FASB issued new guidance related to accounting for credit losses on financial instruments. </w:t>
      </w:r>
      <w:r>
        <w:rPr>
          <w:rFonts w:ascii="Arial" w:cs="Arial" w:eastAsia="Arial" w:hAnsi="Arial"/>
          <w:sz w:val="15"/>
          <w:szCs w:val="15"/>
          <w:color w:val="000000"/>
        </w:rPr>
        <w:t>The update replaces the existing incurred loss</w:t>
      </w:r>
      <w:r>
        <w:rPr>
          <w:rFonts w:ascii="Arial" w:cs="Arial" w:eastAsia="Arial" w:hAnsi="Arial"/>
          <w:sz w:val="15"/>
          <w:szCs w:val="15"/>
          <w:color w:val="212529"/>
        </w:rPr>
        <w:t xml:space="preserve"> </w:t>
      </w:r>
      <w:r>
        <w:rPr>
          <w:rFonts w:ascii="Arial" w:cs="Arial" w:eastAsia="Arial" w:hAnsi="Arial"/>
          <w:sz w:val="15"/>
          <w:szCs w:val="15"/>
          <w:color w:val="000000"/>
        </w:rPr>
        <w:t>impairment model under current GAAP with a methodology that reflects a current expected credit losses model which requires the use of historical and forward– looking information to calculate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generally result in earlier recognition of credit losses. The new standard is effective for fiscal years beginning after December 15, 2019, and will be applied on a modified retrospective basis, with the cumulative effect of adoption recorded as an adjustment to retained earnings. This standard is effective for us beginning with the first quarter of 2020 and we do not expect it to have a material impact on our financial statements and related disclosures upon adoption.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Simplifying the Accounting for Income Taxes</w:t>
      </w:r>
    </w:p>
    <w:p>
      <w:pPr>
        <w:spacing w:after="0" w:line="213" w:lineRule="exact"/>
        <w:rPr>
          <w:sz w:val="20"/>
          <w:szCs w:val="20"/>
          <w:color w:val="auto"/>
        </w:rPr>
      </w:pPr>
    </w:p>
    <w:p>
      <w:pPr>
        <w:ind w:right="100" w:firstLine="382"/>
        <w:spacing w:after="0" w:line="295" w:lineRule="auto"/>
        <w:rPr>
          <w:sz w:val="20"/>
          <w:szCs w:val="20"/>
          <w:color w:val="auto"/>
        </w:rPr>
      </w:pPr>
      <w:r>
        <w:rPr>
          <w:rFonts w:ascii="Arial" w:cs="Arial" w:eastAsia="Arial" w:hAnsi="Arial"/>
          <w:sz w:val="15"/>
          <w:szCs w:val="15"/>
          <w:color w:val="212529"/>
        </w:rPr>
        <w:t>In December 2019, the FASB issued new guidance which is intended to simplify various aspects to accounting for income taxes by removing certain exceptions to the general principles in Topic 740 f</w:t>
      </w:r>
      <w:r>
        <w:rPr>
          <w:rFonts w:ascii="Arial" w:cs="Arial" w:eastAsia="Arial" w:hAnsi="Arial"/>
          <w:sz w:val="15"/>
          <w:szCs w:val="15"/>
          <w:color w:val="000000"/>
        </w:rPr>
        <w:t>or recognizing deferred taxes for investments, performing an intraperiod allocation and calculating income taxes in interim</w:t>
      </w:r>
      <w:r>
        <w:rPr>
          <w:rFonts w:ascii="Arial" w:cs="Arial" w:eastAsia="Arial" w:hAnsi="Arial"/>
          <w:sz w:val="15"/>
          <w:szCs w:val="15"/>
          <w:color w:val="212529"/>
        </w:rPr>
        <w:t xml:space="preserve"> </w:t>
      </w:r>
      <w:r>
        <w:rPr>
          <w:rFonts w:ascii="Arial" w:cs="Arial" w:eastAsia="Arial" w:hAnsi="Arial"/>
          <w:sz w:val="15"/>
          <w:szCs w:val="15"/>
          <w:color w:val="000000"/>
        </w:rPr>
        <w:t>periods</w:t>
      </w:r>
      <w:r>
        <w:rPr>
          <w:rFonts w:ascii="Arial" w:cs="Arial" w:eastAsia="Arial" w:hAnsi="Arial"/>
          <w:sz w:val="15"/>
          <w:szCs w:val="15"/>
          <w:color w:val="212529"/>
        </w:rPr>
        <w:t>. The amendment also clarifies and amends certain areas of existing guidance to reduce complexity and improve consistency in application of Topic 740. The</w:t>
      </w:r>
      <w:r>
        <w:rPr>
          <w:rFonts w:ascii="Arial" w:cs="Arial" w:eastAsia="Arial" w:hAnsi="Arial"/>
          <w:sz w:val="15"/>
          <w:szCs w:val="15"/>
          <w:color w:val="000000"/>
        </w:rPr>
        <w:t xml:space="preserve"> </w:t>
      </w:r>
      <w:r>
        <w:rPr>
          <w:rFonts w:ascii="Arial" w:cs="Arial" w:eastAsia="Arial" w:hAnsi="Arial"/>
          <w:sz w:val="15"/>
          <w:szCs w:val="15"/>
          <w:color w:val="212529"/>
        </w:rPr>
        <w:t xml:space="preserve">new standard is effective for fiscal years beginning after December 15, 2020. Early adoption is permitted, including adoption in any interim period for which financial statements have not yet been issued. Generally the topics must be applied prospectively upon adoption, with the exception of certain topics which are required to be applied on a retrospective or modified retrospective basis. </w:t>
      </w:r>
      <w:r>
        <w:rPr>
          <w:rFonts w:ascii="Arial" w:cs="Arial" w:eastAsia="Arial" w:hAnsi="Arial"/>
          <w:sz w:val="15"/>
          <w:szCs w:val="15"/>
          <w:color w:val="000000"/>
        </w:rPr>
        <w:t>We are evaluating the impact, if any, of adopting this new accounting guidance on our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Cash and Cash Equivalents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components of our cash and cash equivalents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At December 31,</w:t>
            </w:r>
          </w:p>
        </w:tc>
        <w:tc>
          <w:tcPr>
            <w:tcW w:w="960" w:type="dxa"/>
            <w:vAlign w:val="bottom"/>
            <w:tcBorders>
              <w:bottom w:val="single" w:sz="8" w:color="auto"/>
            </w:tcBorders>
          </w:tcPr>
          <w:p>
            <w:pPr>
              <w:spacing w:after="0"/>
              <w:rPr>
                <w:sz w:val="15"/>
                <w:szCs w:val="15"/>
                <w:color w:val="auto"/>
              </w:rPr>
            </w:pPr>
          </w:p>
        </w:tc>
      </w:tr>
      <w:tr>
        <w:trPr>
          <w:trHeight w:val="248"/>
        </w:trPr>
        <w:tc>
          <w:tcPr>
            <w:tcW w:w="83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r>
      <w:tr>
        <w:trPr>
          <w:trHeight w:val="233"/>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437</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268</w:t>
            </w:r>
          </w:p>
        </w:tc>
      </w:tr>
      <w:tr>
        <w:trPr>
          <w:trHeight w:val="228"/>
        </w:trPr>
        <w:tc>
          <w:tcPr>
            <w:tcW w:w="8320" w:type="dxa"/>
            <w:vAlign w:val="bottom"/>
          </w:tcPr>
          <w:p>
            <w:pPr>
              <w:ind w:left="20"/>
              <w:spacing w:after="0"/>
              <w:rPr>
                <w:sz w:val="20"/>
                <w:szCs w:val="20"/>
                <w:color w:val="auto"/>
              </w:rPr>
            </w:pPr>
            <w:r>
              <w:rPr>
                <w:rFonts w:ascii="Arial" w:cs="Arial" w:eastAsia="Arial" w:hAnsi="Arial"/>
                <w:sz w:val="17"/>
                <w:szCs w:val="17"/>
                <w:color w:val="auto"/>
              </w:rPr>
              <w:t>Foreign government treasury bills</w:t>
            </w:r>
          </w:p>
        </w:tc>
        <w:tc>
          <w:tcPr>
            <w:tcW w:w="960" w:type="dxa"/>
            <w:vAlign w:val="bottom"/>
          </w:tcPr>
          <w:p>
            <w:pPr>
              <w:spacing w:after="0"/>
              <w:rPr>
                <w:sz w:val="19"/>
                <w:szCs w:val="19"/>
                <w:color w:val="auto"/>
              </w:rPr>
            </w:pPr>
          </w:p>
        </w:tc>
        <w:tc>
          <w:tcPr>
            <w:tcW w:w="560" w:type="dxa"/>
            <w:vAlign w:val="bottom"/>
          </w:tcPr>
          <w:p>
            <w:pPr>
              <w:jc w:val="right"/>
              <w:ind w:right="38"/>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ind w:right="18"/>
              <w:spacing w:after="0"/>
              <w:rPr>
                <w:sz w:val="20"/>
                <w:szCs w:val="20"/>
                <w:color w:val="auto"/>
              </w:rPr>
            </w:pPr>
            <w:r>
              <w:rPr>
                <w:rFonts w:ascii="Arial" w:cs="Arial" w:eastAsia="Arial" w:hAnsi="Arial"/>
                <w:sz w:val="17"/>
                <w:szCs w:val="17"/>
                <w:color w:val="auto"/>
              </w:rPr>
              <w:t>32</w:t>
            </w:r>
          </w:p>
        </w:tc>
      </w:tr>
      <w:tr>
        <w:trPr>
          <w:trHeight w:val="27"/>
        </w:trPr>
        <w:tc>
          <w:tcPr>
            <w:tcW w:w="8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96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w w:val="98"/>
              </w:rPr>
              <w:t>5,320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3,925</w:t>
            </w:r>
          </w:p>
        </w:tc>
      </w:tr>
      <w:tr>
        <w:trPr>
          <w:trHeight w:val="241"/>
        </w:trPr>
        <w:tc>
          <w:tcPr>
            <w:tcW w:w="832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7"/>
                <w:szCs w:val="17"/>
                <w:color w:val="auto"/>
                <w:w w:val="98"/>
              </w:rPr>
              <w:t>5,794</w:t>
            </w:r>
          </w:p>
        </w:tc>
        <w:tc>
          <w:tcPr>
            <w:tcW w:w="1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4,225</w:t>
            </w:r>
          </w:p>
        </w:tc>
      </w:tr>
      <w:tr>
        <w:trPr>
          <w:trHeight w:val="20"/>
        </w:trPr>
        <w:tc>
          <w:tcPr>
            <w:tcW w:w="8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Software Development and Intellectual Property Licenses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components of our capitalized software development costs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w w:val="94"/>
              </w:rPr>
              <w:t>At December 31,</w:t>
            </w:r>
          </w:p>
        </w:tc>
        <w:tc>
          <w:tcPr>
            <w:tcW w:w="940" w:type="dxa"/>
            <w:vAlign w:val="bottom"/>
            <w:tcBorders>
              <w:bottom w:val="single" w:sz="8" w:color="auto"/>
            </w:tcBorders>
          </w:tcPr>
          <w:p>
            <w:pPr>
              <w:spacing w:after="0"/>
              <w:rPr>
                <w:sz w:val="15"/>
                <w:szCs w:val="15"/>
                <w:color w:val="auto"/>
              </w:rPr>
            </w:pPr>
          </w:p>
        </w:tc>
      </w:tr>
      <w:tr>
        <w:trPr>
          <w:trHeight w:val="248"/>
        </w:trPr>
        <w:tc>
          <w:tcPr>
            <w:tcW w:w="83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3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Internally-developed software costs</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345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291</w:t>
            </w:r>
          </w:p>
        </w:tc>
      </w:tr>
      <w:tr>
        <w:trPr>
          <w:trHeight w:val="229"/>
        </w:trPr>
        <w:tc>
          <w:tcPr>
            <w:tcW w:w="8360" w:type="dxa"/>
            <w:vAlign w:val="bottom"/>
          </w:tcPr>
          <w:p>
            <w:pPr>
              <w:ind w:left="20"/>
              <w:spacing w:after="0"/>
              <w:rPr>
                <w:sz w:val="20"/>
                <w:szCs w:val="20"/>
                <w:color w:val="auto"/>
              </w:rPr>
            </w:pPr>
            <w:r>
              <w:rPr>
                <w:rFonts w:ascii="Arial" w:cs="Arial" w:eastAsia="Arial" w:hAnsi="Arial"/>
                <w:sz w:val="17"/>
                <w:szCs w:val="17"/>
                <w:color w:val="auto"/>
              </w:rPr>
              <w:t>Payments made to third-party software developers</w:t>
            </w:r>
          </w:p>
        </w:tc>
        <w:tc>
          <w:tcPr>
            <w:tcW w:w="960" w:type="dxa"/>
            <w:vAlign w:val="bottom"/>
          </w:tcPr>
          <w:p>
            <w:pPr>
              <w:spacing w:after="0"/>
              <w:rPr>
                <w:sz w:val="19"/>
                <w:szCs w:val="19"/>
                <w:color w:val="auto"/>
              </w:rPr>
            </w:pPr>
          </w:p>
        </w:tc>
        <w:tc>
          <w:tcPr>
            <w:tcW w:w="540" w:type="dxa"/>
            <w:vAlign w:val="bottom"/>
          </w:tcPr>
          <w:p>
            <w:pPr>
              <w:jc w:val="right"/>
              <w:ind w:right="39"/>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7"/>
                <w:szCs w:val="17"/>
                <w:color w:val="auto"/>
              </w:rPr>
              <w:t>38</w:t>
            </w:r>
          </w:p>
        </w:tc>
      </w:tr>
      <w:tr>
        <w:trPr>
          <w:trHeight w:val="26"/>
        </w:trPr>
        <w:tc>
          <w:tcPr>
            <w:tcW w:w="83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software development costs</w:t>
            </w:r>
          </w:p>
        </w:tc>
        <w:tc>
          <w:tcPr>
            <w:tcW w:w="96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7"/>
                <w:szCs w:val="17"/>
                <w:color w:val="auto"/>
                <w:w w:val="84"/>
              </w:rPr>
              <w:t>$</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329</w:t>
            </w: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both December 31, 2019 and December 31, 2018, capitalized intellectual property licenses were not material.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Amortization of capitalized software development costs and intellectual property licenses was as follows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left="44"/>
              <w:spacing w:after="0"/>
              <w:rPr>
                <w:sz w:val="20"/>
                <w:szCs w:val="20"/>
                <w:color w:val="auto"/>
              </w:rPr>
            </w:pPr>
            <w:r>
              <w:rPr>
                <w:rFonts w:ascii="Arial" w:cs="Arial" w:eastAsia="Arial" w:hAnsi="Arial"/>
                <w:sz w:val="14"/>
                <w:szCs w:val="14"/>
                <w:b w:val="1"/>
                <w:bCs w:val="1"/>
                <w:color w:val="auto"/>
                <w:w w:val="87"/>
              </w:rPr>
              <w:t>For the Years Ended December 31,</w:t>
            </w:r>
          </w:p>
        </w:tc>
        <w:tc>
          <w:tcPr>
            <w:tcW w:w="1080" w:type="dxa"/>
            <w:vAlign w:val="bottom"/>
            <w:tcBorders>
              <w:bottom w:val="single" w:sz="8" w:color="auto"/>
            </w:tcBorders>
          </w:tcPr>
          <w:p>
            <w:pPr>
              <w:spacing w:after="0"/>
              <w:rPr>
                <w:sz w:val="15"/>
                <w:szCs w:val="15"/>
                <w:color w:val="auto"/>
              </w:rPr>
            </w:pPr>
          </w:p>
        </w:tc>
      </w:tr>
      <w:tr>
        <w:trPr>
          <w:trHeight w:val="248"/>
        </w:trPr>
        <w:tc>
          <w:tcPr>
            <w:tcW w:w="674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r>
      <w:tr>
        <w:trPr>
          <w:trHeight w:val="22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 of capitalized software development costs and intellectual property licenses</w:t>
            </w:r>
          </w:p>
        </w:tc>
        <w:tc>
          <w:tcPr>
            <w:tcW w:w="1000" w:type="dxa"/>
            <w:vAlign w:val="bottom"/>
            <w:shd w:val="clear" w:color="auto" w:fill="CCEEFF"/>
          </w:tcPr>
          <w:p>
            <w:pPr>
              <w:jc w:val="right"/>
              <w:ind w:right="824"/>
              <w:spacing w:after="0"/>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501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314</w:t>
            </w:r>
          </w:p>
        </w:tc>
      </w:tr>
      <w:tr>
        <w:trPr>
          <w:trHeight w:val="27"/>
        </w:trPr>
        <w:tc>
          <w:tcPr>
            <w:tcW w:w="67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ind w:right="380" w:firstLine="408"/>
        <w:spacing w:after="0" w:line="274" w:lineRule="auto"/>
        <w:rPr>
          <w:sz w:val="20"/>
          <w:szCs w:val="20"/>
          <w:color w:val="auto"/>
        </w:rPr>
      </w:pPr>
      <w:r>
        <w:rPr>
          <w:rFonts w:ascii="Arial" w:cs="Arial" w:eastAsia="Arial" w:hAnsi="Arial"/>
          <w:sz w:val="17"/>
          <w:szCs w:val="17"/>
          <w:color w:val="auto"/>
        </w:rPr>
        <w:t>Write-offs and impairments of capitalized software development costs and intellectual property licenses were not material for the years ended December 31, 2019, 2018, and 2017.</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 Net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Property and equipment, net was comprised of the following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w w:val="96"/>
              </w:rPr>
              <w:t>At December 31,</w:t>
            </w:r>
          </w:p>
        </w:tc>
        <w:tc>
          <w:tcPr>
            <w:tcW w:w="940" w:type="dxa"/>
            <w:vAlign w:val="bottom"/>
            <w:tcBorders>
              <w:bottom w:val="single" w:sz="8" w:color="auto"/>
            </w:tcBorders>
          </w:tcPr>
          <w:p>
            <w:pPr>
              <w:spacing w:after="0"/>
              <w:rPr>
                <w:sz w:val="15"/>
                <w:szCs w:val="15"/>
                <w:color w:val="auto"/>
              </w:rPr>
            </w:pPr>
          </w:p>
        </w:tc>
      </w:tr>
      <w:tr>
        <w:trPr>
          <w:trHeight w:val="248"/>
        </w:trPr>
        <w:tc>
          <w:tcPr>
            <w:tcW w:w="83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3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94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r>
      <w:tr>
        <w:trPr>
          <w:trHeight w:val="228"/>
        </w:trPr>
        <w:tc>
          <w:tcPr>
            <w:tcW w:w="8360" w:type="dxa"/>
            <w:vAlign w:val="bottom"/>
          </w:tcPr>
          <w:p>
            <w:pPr>
              <w:ind w:left="20"/>
              <w:spacing w:after="0"/>
              <w:rPr>
                <w:sz w:val="20"/>
                <w:szCs w:val="20"/>
                <w:color w:val="auto"/>
              </w:rPr>
            </w:pPr>
            <w:r>
              <w:rPr>
                <w:rFonts w:ascii="Arial" w:cs="Arial" w:eastAsia="Arial" w:hAnsi="Arial"/>
                <w:sz w:val="17"/>
                <w:szCs w:val="17"/>
                <w:color w:val="auto"/>
              </w:rPr>
              <w:t>Buildings</w:t>
            </w:r>
          </w:p>
        </w:tc>
        <w:tc>
          <w:tcPr>
            <w:tcW w:w="94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4</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252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248</w:t>
            </w:r>
          </w:p>
        </w:tc>
      </w:tr>
      <w:tr>
        <w:trPr>
          <w:trHeight w:val="228"/>
        </w:trPr>
        <w:tc>
          <w:tcPr>
            <w:tcW w:w="8360" w:type="dxa"/>
            <w:vAlign w:val="bottom"/>
          </w:tcPr>
          <w:p>
            <w:pPr>
              <w:ind w:left="20"/>
              <w:spacing w:after="0"/>
              <w:rPr>
                <w:sz w:val="20"/>
                <w:szCs w:val="20"/>
                <w:color w:val="auto"/>
              </w:rPr>
            </w:pPr>
            <w:r>
              <w:rPr>
                <w:rFonts w:ascii="Arial" w:cs="Arial" w:eastAsia="Arial" w:hAnsi="Arial"/>
                <w:sz w:val="17"/>
                <w:szCs w:val="17"/>
                <w:color w:val="auto"/>
              </w:rPr>
              <w:t>Computer equipment</w:t>
            </w:r>
          </w:p>
        </w:tc>
        <w:tc>
          <w:tcPr>
            <w:tcW w:w="94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654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700</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Office furniture and other equipment</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99</w:t>
            </w:r>
          </w:p>
        </w:tc>
      </w:tr>
      <w:tr>
        <w:trPr>
          <w:trHeight w:val="221"/>
        </w:trPr>
        <w:tc>
          <w:tcPr>
            <w:tcW w:w="8360" w:type="dxa"/>
            <w:vAlign w:val="bottom"/>
          </w:tcPr>
          <w:p>
            <w:pPr>
              <w:ind w:left="160"/>
              <w:spacing w:after="0"/>
              <w:rPr>
                <w:sz w:val="20"/>
                <w:szCs w:val="20"/>
                <w:color w:val="auto"/>
              </w:rPr>
            </w:pPr>
            <w:r>
              <w:rPr>
                <w:rFonts w:ascii="Arial" w:cs="Arial" w:eastAsia="Arial" w:hAnsi="Arial"/>
                <w:sz w:val="17"/>
                <w:szCs w:val="17"/>
                <w:color w:val="auto"/>
              </w:rPr>
              <w:t>Total cost of property and equipment</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7"/>
                <w:szCs w:val="17"/>
                <w:color w:val="auto"/>
                <w:w w:val="98"/>
              </w:rPr>
              <w:t>1,002</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7"/>
                <w:szCs w:val="17"/>
                <w:color w:val="auto"/>
              </w:rPr>
              <w:t>1,052</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Less accumulated depreciation</w:t>
            </w:r>
          </w:p>
        </w:tc>
        <w:tc>
          <w:tcPr>
            <w:tcW w:w="9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(770)</w:t>
            </w:r>
          </w:p>
        </w:tc>
      </w:tr>
      <w:tr>
        <w:trPr>
          <w:trHeight w:val="241"/>
        </w:trPr>
        <w:tc>
          <w:tcPr>
            <w:tcW w:w="8360" w:type="dxa"/>
            <w:vAlign w:val="bottom"/>
          </w:tcPr>
          <w:p>
            <w:pPr>
              <w:ind w:left="160"/>
              <w:spacing w:after="0"/>
              <w:rPr>
                <w:sz w:val="20"/>
                <w:szCs w:val="20"/>
                <w:color w:val="auto"/>
              </w:rPr>
            </w:pPr>
            <w:r>
              <w:rPr>
                <w:rFonts w:ascii="Arial" w:cs="Arial" w:eastAsia="Arial" w:hAnsi="Arial"/>
                <w:sz w:val="17"/>
                <w:szCs w:val="17"/>
                <w:color w:val="auto"/>
              </w:rPr>
              <w:t>Property and equipment, net</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253</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282</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2019, 2018, and 2017 was $124 million, $138 million, and $130 million, respectively.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1420"/>
          </w:cols>
          <w:pgMar w:left="240" w:top="127" w:right="23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 Assets, Net</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Intangible assets, net consist of the following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At December 31, 2019</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Estimated</w:t>
            </w: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4"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jc w:val="center"/>
              <w:ind w:right="139"/>
              <w:spacing w:after="0" w:line="144"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0"/>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7"/>
              </w:rPr>
              <w:t>useful</w:t>
            </w: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34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220" w:type="dxa"/>
            <w:vAlign w:val="bottom"/>
          </w:tcPr>
          <w:p>
            <w:pPr>
              <w:jc w:val="center"/>
              <w:ind w:right="159"/>
              <w:spacing w:after="0" w:line="141"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lives</w:t>
            </w:r>
          </w:p>
        </w:tc>
        <w:tc>
          <w:tcPr>
            <w:tcW w:w="30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33"/>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Internally-developed franchises</w:t>
            </w:r>
          </w:p>
        </w:tc>
        <w:tc>
          <w:tcPr>
            <w:tcW w:w="240" w:type="dxa"/>
            <w:vAlign w:val="bottom"/>
          </w:tcPr>
          <w:p>
            <w:pPr>
              <w:jc w:val="right"/>
              <w:spacing w:after="0"/>
              <w:rPr>
                <w:sz w:val="20"/>
                <w:szCs w:val="20"/>
                <w:color w:val="auto"/>
              </w:rPr>
            </w:pPr>
            <w:r>
              <w:rPr>
                <w:rFonts w:ascii="Arial" w:cs="Arial" w:eastAsia="Arial" w:hAnsi="Arial"/>
                <w:sz w:val="17"/>
                <w:szCs w:val="17"/>
                <w:color w:val="auto"/>
              </w:rPr>
              <w:t>3</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- 11 years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(1,105)</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Developed software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- 5 years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Trade names</w:t>
            </w:r>
          </w:p>
        </w:tc>
        <w:tc>
          <w:tcPr>
            <w:tcW w:w="240" w:type="dxa"/>
            <w:vAlign w:val="bottom"/>
          </w:tcPr>
          <w:p>
            <w:pPr>
              <w:jc w:val="right"/>
              <w:spacing w:after="0"/>
              <w:rPr>
                <w:sz w:val="20"/>
                <w:szCs w:val="20"/>
                <w:color w:val="auto"/>
              </w:rPr>
            </w:pPr>
            <w:r>
              <w:rPr>
                <w:rFonts w:ascii="Arial" w:cs="Arial" w:eastAsia="Arial" w:hAnsi="Arial"/>
                <w:sz w:val="17"/>
                <w:szCs w:val="17"/>
                <w:color w:val="auto"/>
              </w:rPr>
              <w:t>7</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- 10 years</w:t>
            </w:r>
          </w:p>
        </w:tc>
        <w:tc>
          <w:tcPr>
            <w:tcW w:w="30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- 15 years</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81"/>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definite-lived intangible assets (1)</w:t>
            </w:r>
          </w:p>
        </w:tc>
        <w:tc>
          <w:tcPr>
            <w:tcW w:w="2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7"/>
                <w:szCs w:val="17"/>
                <w:color w:val="auto"/>
              </w:rPr>
              <w:t>1,828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91"/>
        </w:trPr>
        <w:tc>
          <w:tcPr>
            <w:tcW w:w="5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Activision trademark</w:t>
            </w:r>
          </w:p>
        </w:tc>
        <w:tc>
          <w:tcPr>
            <w:tcW w:w="2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8"/>
              </w:rPr>
              <w:t>Indefinite</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Acquired trade names</w:t>
            </w: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8"/>
              </w:rPr>
              <w:t>Indefinite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40"/>
        </w:trPr>
        <w:tc>
          <w:tcPr>
            <w:tcW w:w="538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531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gridSpan w:val="5"/>
            <w:vMerge w:val="restart"/>
          </w:tcPr>
          <w:p>
            <w:pPr>
              <w:ind w:left="680"/>
              <w:spacing w:after="0"/>
              <w:rPr>
                <w:sz w:val="20"/>
                <w:szCs w:val="20"/>
                <w:color w:val="auto"/>
              </w:rPr>
            </w:pPr>
            <w:r>
              <w:rPr>
                <w:rFonts w:ascii="Arial" w:cs="Arial" w:eastAsia="Arial" w:hAnsi="Arial"/>
                <w:sz w:val="14"/>
                <w:szCs w:val="14"/>
                <w:b w:val="1"/>
                <w:bCs w:val="1"/>
                <w:color w:val="auto"/>
              </w:rPr>
              <w:t>At December 31, 2018</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5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89"/>
              </w:rPr>
              <w:t>Estimated</w:t>
            </w: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4"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7"/>
              </w:rPr>
              <w:t>useful</w:t>
            </w: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1" w:lineRule="exact"/>
              <w:rPr>
                <w:sz w:val="20"/>
                <w:szCs w:val="20"/>
                <w:color w:val="auto"/>
              </w:rPr>
            </w:pPr>
            <w:r>
              <w:rPr>
                <w:rFonts w:ascii="Arial" w:cs="Arial" w:eastAsia="Arial" w:hAnsi="Arial"/>
                <w:sz w:val="14"/>
                <w:szCs w:val="14"/>
                <w:b w:val="1"/>
                <w:bCs w:val="1"/>
                <w:color w:val="auto"/>
                <w:w w:val="90"/>
              </w:rPr>
              <w:t>carrying</w:t>
            </w:r>
          </w:p>
        </w:tc>
        <w:tc>
          <w:tcPr>
            <w:tcW w:w="220" w:type="dxa"/>
            <w:vAlign w:val="bottom"/>
          </w:tcPr>
          <w:p>
            <w:pPr>
              <w:spacing w:after="0"/>
              <w:rPr>
                <w:sz w:val="12"/>
                <w:szCs w:val="12"/>
                <w:color w:val="auto"/>
              </w:rPr>
            </w:pPr>
          </w:p>
        </w:tc>
        <w:tc>
          <w:tcPr>
            <w:tcW w:w="1340" w:type="dxa"/>
            <w:vAlign w:val="bottom"/>
            <w:gridSpan w:val="2"/>
          </w:tcPr>
          <w:p>
            <w:pPr>
              <w:ind w:left="120"/>
              <w:spacing w:after="0" w:line="141"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220" w:type="dxa"/>
            <w:vAlign w:val="bottom"/>
          </w:tcPr>
          <w:p>
            <w:pPr>
              <w:jc w:val="center"/>
              <w:ind w:right="159"/>
              <w:spacing w:after="0" w:line="141" w:lineRule="exact"/>
              <w:rPr>
                <w:sz w:val="20"/>
                <w:szCs w:val="20"/>
                <w:color w:val="auto"/>
              </w:rPr>
            </w:pPr>
            <w:r>
              <w:rPr>
                <w:rFonts w:ascii="Arial" w:cs="Arial" w:eastAsia="Arial" w:hAnsi="Arial"/>
                <w:sz w:val="14"/>
                <w:szCs w:val="14"/>
                <w:b w:val="1"/>
                <w:bCs w:val="1"/>
                <w:color w:val="auto"/>
                <w:w w:val="90"/>
              </w:rPr>
              <w:t>Net carrying</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6"/>
              </w:rPr>
              <w:t>lives</w:t>
            </w:r>
          </w:p>
        </w:tc>
        <w:tc>
          <w:tcPr>
            <w:tcW w:w="30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33"/>
        </w:trPr>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definite-lived intangible assets:</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Internally-developed franchises</w:t>
            </w:r>
          </w:p>
        </w:tc>
        <w:tc>
          <w:tcPr>
            <w:tcW w:w="240" w:type="dxa"/>
            <w:vAlign w:val="bottom"/>
          </w:tcPr>
          <w:p>
            <w:pPr>
              <w:jc w:val="right"/>
              <w:spacing w:after="0"/>
              <w:rPr>
                <w:sz w:val="20"/>
                <w:szCs w:val="20"/>
                <w:color w:val="auto"/>
              </w:rPr>
            </w:pPr>
            <w:r>
              <w:rPr>
                <w:rFonts w:ascii="Arial" w:cs="Arial" w:eastAsia="Arial" w:hAnsi="Arial"/>
                <w:sz w:val="17"/>
                <w:szCs w:val="17"/>
                <w:color w:val="auto"/>
              </w:rPr>
              <w:t>3</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- 11 years</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1,154</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Developed software</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- 5 years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601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Customer base</w:t>
            </w: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86"/>
              </w:rPr>
              <w:t>2 years</w:t>
            </w:r>
          </w:p>
        </w:tc>
        <w:tc>
          <w:tcPr>
            <w:tcW w:w="30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617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Trade names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- 10 years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29"/>
        </w:trPr>
        <w:tc>
          <w:tcPr>
            <w:tcW w:w="5380" w:type="dxa"/>
            <w:vAlign w:val="bottom"/>
          </w:tcPr>
          <w:p>
            <w:pPr>
              <w:ind w:left="160"/>
              <w:spacing w:after="0"/>
              <w:rPr>
                <w:sz w:val="20"/>
                <w:szCs w:val="20"/>
                <w:color w:val="auto"/>
              </w:rPr>
            </w:pPr>
            <w:r>
              <w:rPr>
                <w:rFonts w:ascii="Arial" w:cs="Arial" w:eastAsia="Arial" w:hAnsi="Arial"/>
                <w:sz w:val="17"/>
                <w:szCs w:val="17"/>
                <w:color w:val="auto"/>
              </w:rPr>
              <w:t>Other</w:t>
            </w: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160" w:type="dxa"/>
            <w:vAlign w:val="bottom"/>
            <w:gridSpan w:val="2"/>
          </w:tcPr>
          <w:p>
            <w:pPr>
              <w:ind w:left="20"/>
              <w:spacing w:after="0"/>
              <w:rPr>
                <w:sz w:val="20"/>
                <w:szCs w:val="20"/>
                <w:color w:val="auto"/>
              </w:rPr>
            </w:pPr>
            <w:r>
              <w:rPr>
                <w:rFonts w:ascii="Arial" w:cs="Arial" w:eastAsia="Arial" w:hAnsi="Arial"/>
                <w:sz w:val="17"/>
                <w:szCs w:val="17"/>
                <w:color w:val="auto"/>
              </w:rPr>
              <w:t>- 15 years</w:t>
            </w:r>
          </w:p>
        </w:tc>
        <w:tc>
          <w:tcPr>
            <w:tcW w:w="300" w:type="dxa"/>
            <w:vAlign w:val="bottom"/>
          </w:tcPr>
          <w:p>
            <w:pPr>
              <w:spacing w:after="0"/>
              <w:rPr>
                <w:sz w:val="19"/>
                <w:szCs w:val="19"/>
                <w:color w:val="auto"/>
              </w:rPr>
            </w:pPr>
          </w:p>
        </w:tc>
        <w:tc>
          <w:tcPr>
            <w:tcW w:w="1200" w:type="dxa"/>
            <w:vAlign w:val="bottom"/>
          </w:tcPr>
          <w:p>
            <w:pPr>
              <w:jc w:val="right"/>
              <w:ind w:right="42"/>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6"/>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7"/>
                <w:szCs w:val="17"/>
                <w:color w:val="auto"/>
              </w:rPr>
              <w:t>2,445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302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Acquired indefinite-lived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380" w:type="dxa"/>
            <w:vAlign w:val="bottom"/>
          </w:tcPr>
          <w:p>
            <w:pPr>
              <w:ind w:left="160"/>
              <w:spacing w:after="0"/>
              <w:rPr>
                <w:sz w:val="20"/>
                <w:szCs w:val="20"/>
                <w:color w:val="auto"/>
              </w:rPr>
            </w:pPr>
            <w:r>
              <w:rPr>
                <w:rFonts w:ascii="Arial" w:cs="Arial" w:eastAsia="Arial" w:hAnsi="Arial"/>
                <w:sz w:val="17"/>
                <w:szCs w:val="17"/>
                <w:color w:val="auto"/>
              </w:rPr>
              <w:t>Activision trademark</w:t>
            </w:r>
          </w:p>
        </w:tc>
        <w:tc>
          <w:tcPr>
            <w:tcW w:w="24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7"/>
                <w:szCs w:val="17"/>
                <w:color w:val="auto"/>
                <w:w w:val="98"/>
              </w:rPr>
              <w:t>Indefinite</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9"/>
              <w:spacing w:after="0"/>
              <w:rPr>
                <w:sz w:val="20"/>
                <w:szCs w:val="20"/>
                <w:color w:val="auto"/>
              </w:rPr>
            </w:pPr>
            <w:r>
              <w:rPr>
                <w:rFonts w:ascii="Arial" w:cs="Arial" w:eastAsia="Arial" w:hAnsi="Arial"/>
                <w:sz w:val="17"/>
                <w:szCs w:val="17"/>
                <w:color w:val="auto"/>
              </w:rPr>
              <w:t>386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5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Acquired trade names</w:t>
            </w:r>
          </w:p>
        </w:tc>
        <w:tc>
          <w:tcPr>
            <w:tcW w:w="2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7"/>
                <w:szCs w:val="17"/>
                <w:color w:val="auto"/>
                <w:w w:val="98"/>
              </w:rPr>
              <w:t>Indefinite</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1"/>
        </w:trPr>
        <w:tc>
          <w:tcPr>
            <w:tcW w:w="5380" w:type="dxa"/>
            <w:vAlign w:val="bottom"/>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7"/>
                <w:szCs w:val="17"/>
                <w:color w:val="auto"/>
              </w:rPr>
              <w:t>433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net</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00" w:right="60" w:hanging="298"/>
        <w:spacing w:after="0" w:line="274" w:lineRule="auto"/>
        <w:tabs>
          <w:tab w:leader="none" w:pos="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Beginning with the first quarter of 2019, the balances of the customer base intangible assets have been removed, as such amounts were fully amortized in the prior year.</w:t>
      </w:r>
    </w:p>
    <w:p>
      <w:pPr>
        <w:spacing w:after="0" w:line="166" w:lineRule="exact"/>
        <w:rPr>
          <w:sz w:val="20"/>
          <w:szCs w:val="20"/>
          <w:color w:val="auto"/>
        </w:rPr>
      </w:pPr>
    </w:p>
    <w:p>
      <w:pPr>
        <w:ind w:right="840" w:firstLine="408"/>
        <w:spacing w:after="0" w:line="274" w:lineRule="auto"/>
        <w:rPr>
          <w:sz w:val="20"/>
          <w:szCs w:val="20"/>
          <w:color w:val="auto"/>
        </w:rPr>
      </w:pPr>
      <w:r>
        <w:rPr>
          <w:rFonts w:ascii="Arial" w:cs="Arial" w:eastAsia="Arial" w:hAnsi="Arial"/>
          <w:sz w:val="17"/>
          <w:szCs w:val="17"/>
          <w:color w:val="auto"/>
        </w:rPr>
        <w:t>Amortization expense of intangible assets was $204 million, $371 million, and $759 million for the years ended December 31, 2019, 2018, and 2017,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127" w:right="23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At December 31, 2019, future amortization of definite-lived intangible assets is estimated as follows (amounts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2020</w:t>
            </w:r>
          </w:p>
        </w:tc>
        <w:tc>
          <w:tcPr>
            <w:tcW w:w="1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2021</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2023</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4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8. Goodwill</w:t>
            </w:r>
          </w:p>
        </w:tc>
        <w:tc>
          <w:tcPr>
            <w:tcW w:w="1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470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8160" w:type="dxa"/>
            <w:vAlign w:val="bottom"/>
            <w:gridSpan w:val="7"/>
          </w:tcPr>
          <w:p>
            <w:pPr>
              <w:ind w:left="420"/>
              <w:spacing w:after="0"/>
              <w:rPr>
                <w:sz w:val="20"/>
                <w:szCs w:val="20"/>
                <w:color w:val="auto"/>
              </w:rPr>
            </w:pPr>
            <w:r>
              <w:rPr>
                <w:rFonts w:ascii="Arial" w:cs="Arial" w:eastAsia="Arial" w:hAnsi="Arial"/>
                <w:sz w:val="17"/>
                <w:szCs w:val="17"/>
                <w:color w:val="auto"/>
                <w:w w:val="96"/>
              </w:rPr>
              <w:t>The changes in the carrying amount of goodwill by operating segment are as follows (amounts in millions):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2"/>
        </w:trPr>
        <w:tc>
          <w:tcPr>
            <w:tcW w:w="47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Activision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4"/>
                <w:szCs w:val="14"/>
                <w:b w:val="1"/>
                <w:bCs w:val="1"/>
                <w:color w:val="auto"/>
              </w:rPr>
              <w:t>Blizzard</w:t>
            </w:r>
          </w:p>
        </w:tc>
        <w:tc>
          <w:tcPr>
            <w:tcW w:w="38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King</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55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3"/>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1100" w:type="dxa"/>
            <w:vAlign w:val="bottom"/>
            <w:tcBorders>
              <w:top w:val="single" w:sz="8" w:color="auto"/>
              <w:bottom w:val="single" w:sz="8" w:color="CCEEFF"/>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6,898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2,675</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9,763</w:t>
            </w:r>
          </w:p>
        </w:tc>
        <w:tc>
          <w:tcPr>
            <w:tcW w:w="0" w:type="dxa"/>
            <w:vAlign w:val="bottom"/>
          </w:tcPr>
          <w:p>
            <w:pPr>
              <w:spacing w:after="0"/>
              <w:rPr>
                <w:sz w:val="1"/>
                <w:szCs w:val="1"/>
                <w:color w:val="auto"/>
              </w:rPr>
            </w:pPr>
          </w:p>
        </w:tc>
      </w:tr>
      <w:tr>
        <w:trPr>
          <w:trHeight w:val="228"/>
        </w:trPr>
        <w:tc>
          <w:tcPr>
            <w:tcW w:w="4700" w:type="dxa"/>
            <w:vAlign w:val="bottom"/>
          </w:tcPr>
          <w:p>
            <w:pPr>
              <w:ind w:left="16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6,897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2,675</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9,762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700" w:type="dxa"/>
            <w:vAlign w:val="bottom"/>
          </w:tcPr>
          <w:p>
            <w:pPr>
              <w:ind w:left="160"/>
              <w:spacing w:after="0"/>
              <w:rPr>
                <w:sz w:val="20"/>
                <w:szCs w:val="20"/>
                <w:color w:val="auto"/>
              </w:rPr>
            </w:pPr>
            <w:r>
              <w:rPr>
                <w:rFonts w:ascii="Arial" w:cs="Arial" w:eastAsia="Arial" w:hAnsi="Arial"/>
                <w:sz w:val="17"/>
                <w:szCs w:val="17"/>
                <w:color w:val="auto"/>
              </w:rPr>
              <w:t>Other</w:t>
            </w:r>
          </w:p>
        </w:tc>
        <w:tc>
          <w:tcPr>
            <w:tcW w:w="1100" w:type="dxa"/>
            <w:vAlign w:val="bottom"/>
          </w:tcPr>
          <w:p>
            <w:pPr>
              <w:spacing w:after="0"/>
              <w:rPr>
                <w:sz w:val="18"/>
                <w:szCs w:val="18"/>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0" w:type="dxa"/>
            <w:vAlign w:val="bottom"/>
          </w:tcPr>
          <w:p>
            <w:pPr>
              <w:jc w:val="right"/>
              <w:ind w:right="1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9"/>
              </w:rPr>
              <w:t>6,898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190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2,676</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9,764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 December 31, 2019, 2018, and 2017, there were no accumulated impairment losses.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Other Assets and Liabilities</w:t>
      </w:r>
    </w:p>
    <w:p>
      <w:pPr>
        <w:spacing w:after="0" w:line="217" w:lineRule="exact"/>
        <w:rPr>
          <w:sz w:val="20"/>
          <w:szCs w:val="20"/>
          <w:color w:val="auto"/>
        </w:rPr>
      </w:pPr>
    </w:p>
    <w:p>
      <w:pPr>
        <w:ind w:right="380" w:firstLine="408"/>
        <w:spacing w:after="0" w:line="262" w:lineRule="auto"/>
        <w:rPr>
          <w:sz w:val="20"/>
          <w:szCs w:val="20"/>
          <w:color w:val="auto"/>
        </w:rPr>
      </w:pPr>
      <w:r>
        <w:rPr>
          <w:rFonts w:ascii="Arial" w:cs="Arial" w:eastAsia="Arial" w:hAnsi="Arial"/>
          <w:sz w:val="17"/>
          <w:szCs w:val="17"/>
          <w:color w:val="auto"/>
        </w:rPr>
        <w:t>Included in “Accrued expenses and other liabilities” in our consolidated balance sheets are accrued payroll-related costs of $395 million and $402 million at December 31, 2019 and 2018, respectively, and the current portion of income taxes payable of $436 million and $203 million at December 31, 2019 and 2018,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Fair Value Measurements</w:t>
      </w:r>
    </w:p>
    <w:p>
      <w:pPr>
        <w:spacing w:after="0" w:line="217" w:lineRule="exact"/>
        <w:rPr>
          <w:sz w:val="20"/>
          <w:szCs w:val="20"/>
          <w:color w:val="auto"/>
        </w:rPr>
      </w:pPr>
    </w:p>
    <w:p>
      <w:pPr>
        <w:ind w:right="60" w:firstLine="382"/>
        <w:spacing w:after="0" w:line="262" w:lineRule="auto"/>
        <w:rPr>
          <w:sz w:val="20"/>
          <w:szCs w:val="20"/>
          <w:color w:val="auto"/>
        </w:rPr>
      </w:pPr>
      <w:r>
        <w:rPr>
          <w:rFonts w:ascii="Arial" w:cs="Arial" w:eastAsia="Arial" w:hAnsi="Arial"/>
          <w:sz w:val="17"/>
          <w:szCs w:val="17"/>
          <w:color w:val="auto"/>
        </w:rPr>
        <w:t>The 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176" w:lineRule="exact"/>
        <w:rPr>
          <w:sz w:val="20"/>
          <w:szCs w:val="20"/>
          <w:color w:val="auto"/>
        </w:rPr>
      </w:pPr>
    </w:p>
    <w:p>
      <w:pPr>
        <w:ind w:left="920" w:hanging="306"/>
        <w:spacing w:after="0"/>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1—Quoted prices in active markets for identical assets or liabilities;</w:t>
      </w:r>
    </w:p>
    <w:p>
      <w:pPr>
        <w:spacing w:after="0" w:line="212" w:lineRule="exact"/>
        <w:rPr>
          <w:rFonts w:ascii="Arial" w:cs="Arial" w:eastAsia="Arial" w:hAnsi="Arial"/>
          <w:sz w:val="17"/>
          <w:szCs w:val="17"/>
          <w:color w:val="auto"/>
        </w:rPr>
      </w:pPr>
    </w:p>
    <w:p>
      <w:pPr>
        <w:ind w:left="920" w:right="180" w:hanging="306"/>
        <w:spacing w:after="0" w:line="274" w:lineRule="auto"/>
        <w:tabs>
          <w:tab w:leader="none" w:pos="9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65" w:lineRule="exact"/>
        <w:rPr>
          <w:rFonts w:ascii="Arial" w:cs="Arial" w:eastAsia="Arial" w:hAnsi="Arial"/>
          <w:sz w:val="17"/>
          <w:szCs w:val="17"/>
          <w:color w:val="auto"/>
        </w:rPr>
      </w:pPr>
    </w:p>
    <w:p>
      <w:pPr>
        <w:ind w:left="920" w:right="640" w:hanging="306"/>
        <w:spacing w:after="0" w:line="343" w:lineRule="auto"/>
        <w:tabs>
          <w:tab w:leader="none" w:pos="920" w:val="left"/>
        </w:tabs>
        <w:numPr>
          <w:ilvl w:val="0"/>
          <w:numId w:val="58"/>
        </w:numPr>
        <w:rPr>
          <w:rFonts w:ascii="Arial" w:cs="Arial" w:eastAsia="Arial" w:hAnsi="Arial"/>
          <w:sz w:val="15"/>
          <w:szCs w:val="15"/>
          <w:color w:val="auto"/>
        </w:rPr>
      </w:pPr>
      <w:r>
        <w:rPr>
          <w:rFonts w:ascii="Arial" w:cs="Arial" w:eastAsia="Arial" w:hAnsi="Arial"/>
          <w:sz w:val="15"/>
          <w:szCs w:val="15"/>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20"/>
          </w:cols>
          <w:pgMar w:left="240" w:top="127" w:right="23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Recurring Basis</w:t>
      </w:r>
    </w:p>
    <w:p>
      <w:pPr>
        <w:spacing w:after="0" w:line="213" w:lineRule="exact"/>
        <w:rPr>
          <w:sz w:val="20"/>
          <w:szCs w:val="20"/>
          <w:color w:val="auto"/>
        </w:rPr>
      </w:pPr>
    </w:p>
    <w:p>
      <w:pPr>
        <w:ind w:right="140" w:firstLine="408"/>
        <w:spacing w:after="0" w:line="274" w:lineRule="auto"/>
        <w:rPr>
          <w:sz w:val="20"/>
          <w:szCs w:val="20"/>
          <w:color w:val="auto"/>
        </w:rPr>
      </w:pPr>
      <w:r>
        <w:rPr>
          <w:rFonts w:ascii="Arial" w:cs="Arial" w:eastAsia="Arial" w:hAnsi="Arial"/>
          <w:sz w:val="17"/>
          <w:szCs w:val="17"/>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(amounts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90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87"/>
              </w:rPr>
              <w:t>Fair Value Measurements at December 31, 2019 Using</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r>
      <w:tr>
        <w:trPr>
          <w:trHeight w:val="144"/>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Quoted Prices in</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Active Markets for</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Significant Other</w:t>
            </w:r>
          </w:p>
        </w:tc>
        <w:tc>
          <w:tcPr>
            <w:tcW w:w="1040" w:type="dxa"/>
            <w:vAlign w:val="bottom"/>
          </w:tcPr>
          <w:p>
            <w:pPr>
              <w:jc w:val="center"/>
              <w:ind w:left="223"/>
              <w:spacing w:after="0" w:line="141"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As of December 31,</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6"/>
              </w:rPr>
              <w:t>Observable Inputs</w:t>
            </w:r>
          </w:p>
        </w:tc>
        <w:tc>
          <w:tcPr>
            <w:tcW w:w="13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Unobservable Inputs</w:t>
            </w:r>
          </w:p>
        </w:tc>
        <w:tc>
          <w:tcPr>
            <w:tcW w:w="100" w:type="dxa"/>
            <w:vAlign w:val="bottom"/>
          </w:tcPr>
          <w:p>
            <w:pPr>
              <w:spacing w:after="0"/>
              <w:rPr>
                <w:sz w:val="12"/>
                <w:szCs w:val="12"/>
                <w:color w:val="auto"/>
              </w:rPr>
            </w:pPr>
          </w:p>
        </w:tc>
        <w:tc>
          <w:tcPr>
            <w:tcW w:w="2500" w:type="dxa"/>
            <w:vAlign w:val="bottom"/>
          </w:tcPr>
          <w:p>
            <w:pPr>
              <w:ind w:left="840"/>
              <w:spacing w:after="0" w:line="141" w:lineRule="exact"/>
              <w:rPr>
                <w:sz w:val="20"/>
                <w:szCs w:val="20"/>
                <w:color w:val="auto"/>
              </w:rPr>
            </w:pPr>
            <w:r>
              <w:rPr>
                <w:rFonts w:ascii="Arial" w:cs="Arial" w:eastAsia="Arial" w:hAnsi="Arial"/>
                <w:sz w:val="14"/>
                <w:szCs w:val="14"/>
                <w:b w:val="1"/>
                <w:bCs w:val="1"/>
                <w:color w:val="auto"/>
              </w:rPr>
              <w:t>Balance Sheet</w:t>
            </w:r>
          </w:p>
        </w:tc>
      </w:tr>
      <w:tr>
        <w:trPr>
          <w:trHeight w:val="179"/>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2)</w:t>
            </w:r>
          </w:p>
        </w:tc>
        <w:tc>
          <w:tcPr>
            <w:tcW w:w="1040" w:type="dxa"/>
            <w:vAlign w:val="bottom"/>
          </w:tcPr>
          <w:p>
            <w:pPr>
              <w:jc w:val="center"/>
              <w:ind w:left="243"/>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860"/>
              <w:spacing w:after="0"/>
              <w:rPr>
                <w:sz w:val="20"/>
                <w:szCs w:val="20"/>
                <w:color w:val="auto"/>
              </w:rPr>
            </w:pPr>
            <w:r>
              <w:rPr>
                <w:rFonts w:ascii="Arial" w:cs="Arial" w:eastAsia="Arial" w:hAnsi="Arial"/>
                <w:sz w:val="14"/>
                <w:szCs w:val="14"/>
                <w:b w:val="1"/>
                <w:bCs w:val="1"/>
                <w:color w:val="auto"/>
              </w:rPr>
              <w:t>Classification</w:t>
            </w:r>
          </w:p>
        </w:tc>
      </w:tr>
      <w:tr>
        <w:trPr>
          <w:trHeight w:val="229"/>
        </w:trPr>
        <w:tc>
          <w:tcPr>
            <w:tcW w:w="298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26"/>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Recurring fair value measurements: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5,320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2"/>
              <w:spacing w:after="0"/>
              <w:rPr>
                <w:sz w:val="20"/>
                <w:szCs w:val="20"/>
                <w:color w:val="auto"/>
              </w:rPr>
            </w:pPr>
            <w:r>
              <w:rPr>
                <w:rFonts w:ascii="Arial" w:cs="Arial" w:eastAsia="Arial" w:hAnsi="Arial"/>
                <w:sz w:val="17"/>
                <w:szCs w:val="17"/>
                <w:color w:val="auto"/>
              </w:rPr>
              <w:t>5,320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r>
      <w:tr>
        <w:trPr>
          <w:trHeight w:val="26"/>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government treasury bills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   Cash and cash equivalents</w:t>
            </w:r>
          </w:p>
        </w:tc>
      </w:tr>
      <w:tr>
        <w:trPr>
          <w:trHeight w:val="217"/>
        </w:trPr>
        <w:tc>
          <w:tcPr>
            <w:tcW w:w="2980" w:type="dxa"/>
            <w:vAlign w:val="bottom"/>
          </w:tcPr>
          <w:p>
            <w:pPr>
              <w:ind w:left="20"/>
              <w:spacing w:after="0"/>
              <w:rPr>
                <w:sz w:val="20"/>
                <w:szCs w:val="20"/>
                <w:color w:val="auto"/>
              </w:rPr>
            </w:pPr>
            <w:r>
              <w:rPr>
                <w:rFonts w:ascii="Arial" w:cs="Arial" w:eastAsia="Arial" w:hAnsi="Arial"/>
                <w:sz w:val="17"/>
                <w:szCs w:val="17"/>
                <w:color w:val="auto"/>
                <w:w w:val="98"/>
              </w:rPr>
              <w:t>U.S. treasuries and government agency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Arial" w:cs="Arial" w:eastAsia="Arial" w:hAnsi="Arial"/>
                <w:sz w:val="17"/>
                <w:szCs w:val="17"/>
                <w:color w:val="auto"/>
              </w:rPr>
              <w:t>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Other current assets</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41"/>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7"/>
              </w:rPr>
              <w:t>Total recurring fair value measurements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5,422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5,422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r>
      <w:tr>
        <w:trPr>
          <w:trHeight w:val="202"/>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7"/>
                <w:szCs w:val="17"/>
                <w:color w:val="auto"/>
              </w:rPr>
              <w:t>Foreign currency forward contracts not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Accrued expenses and other</w:t>
            </w:r>
          </w:p>
        </w:tc>
      </w:tr>
      <w:tr>
        <w:trPr>
          <w:trHeight w:val="215"/>
        </w:trPr>
        <w:tc>
          <w:tcPr>
            <w:tcW w:w="2980" w:type="dxa"/>
            <w:vAlign w:val="bottom"/>
          </w:tcPr>
          <w:p>
            <w:pPr>
              <w:ind w:left="20"/>
              <w:spacing w:after="0"/>
              <w:rPr>
                <w:sz w:val="20"/>
                <w:szCs w:val="20"/>
                <w:color w:val="auto"/>
              </w:rPr>
            </w:pPr>
            <w:r>
              <w:rPr>
                <w:rFonts w:ascii="Arial" w:cs="Arial" w:eastAsia="Arial" w:hAnsi="Arial"/>
                <w:sz w:val="17"/>
                <w:szCs w:val="17"/>
                <w:color w:val="auto"/>
              </w:rPr>
              <w:t>designated as hedges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liabilities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forward</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 and other</w:t>
            </w: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contracts designated as hedges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r>
      <w:tr>
        <w:trPr>
          <w:trHeight w:val="58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center"/>
              <w:ind w:left="122"/>
              <w:spacing w:after="0"/>
              <w:rPr>
                <w:sz w:val="20"/>
                <w:szCs w:val="20"/>
                <w:color w:val="auto"/>
              </w:rPr>
            </w:pPr>
            <w:r>
              <w:rPr>
                <w:rFonts w:ascii="Arial" w:cs="Arial" w:eastAsia="Arial" w:hAnsi="Arial"/>
                <w:sz w:val="14"/>
                <w:szCs w:val="14"/>
                <w:b w:val="1"/>
                <w:bCs w:val="1"/>
                <w:color w:val="auto"/>
                <w:w w:val="87"/>
              </w:rPr>
              <w:t>Fair Value Measurements at December 31, 2018 Using</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44"/>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88"/>
              </w:rPr>
              <w:t>Quoted Prices in</w:t>
            </w: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Active Markets for</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Significant Other</w:t>
            </w:r>
          </w:p>
        </w:tc>
        <w:tc>
          <w:tcPr>
            <w:tcW w:w="1040" w:type="dxa"/>
            <w:vAlign w:val="bottom"/>
          </w:tcPr>
          <w:p>
            <w:pPr>
              <w:jc w:val="center"/>
              <w:ind w:left="223"/>
              <w:spacing w:after="0" w:line="141"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6"/>
              </w:rPr>
              <w:t>As of December 31,</w:t>
            </w:r>
          </w:p>
        </w:tc>
        <w:tc>
          <w:tcPr>
            <w:tcW w:w="120" w:type="dxa"/>
            <w:vAlign w:val="bottom"/>
          </w:tcPr>
          <w:p>
            <w:pPr>
              <w:spacing w:after="0"/>
              <w:rPr>
                <w:sz w:val="12"/>
                <w:szCs w:val="12"/>
                <w:color w:val="auto"/>
              </w:rPr>
            </w:pPr>
          </w:p>
        </w:tc>
        <w:tc>
          <w:tcPr>
            <w:tcW w:w="13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4"/>
              </w:rPr>
              <w:t>Identical Assets</w:t>
            </w: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6"/>
              </w:rPr>
              <w:t>Observable Inputs</w:t>
            </w:r>
          </w:p>
        </w:tc>
        <w:tc>
          <w:tcPr>
            <w:tcW w:w="136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Unobservable Inputs</w:t>
            </w:r>
          </w:p>
        </w:tc>
        <w:tc>
          <w:tcPr>
            <w:tcW w:w="100" w:type="dxa"/>
            <w:vAlign w:val="bottom"/>
          </w:tcPr>
          <w:p>
            <w:pPr>
              <w:spacing w:after="0"/>
              <w:rPr>
                <w:sz w:val="12"/>
                <w:szCs w:val="12"/>
                <w:color w:val="auto"/>
              </w:rPr>
            </w:pPr>
          </w:p>
        </w:tc>
        <w:tc>
          <w:tcPr>
            <w:tcW w:w="2500" w:type="dxa"/>
            <w:vAlign w:val="bottom"/>
          </w:tcPr>
          <w:p>
            <w:pPr>
              <w:ind w:left="840"/>
              <w:spacing w:after="0" w:line="141" w:lineRule="exact"/>
              <w:rPr>
                <w:sz w:val="20"/>
                <w:szCs w:val="20"/>
                <w:color w:val="auto"/>
              </w:rPr>
            </w:pPr>
            <w:r>
              <w:rPr>
                <w:rFonts w:ascii="Arial" w:cs="Arial" w:eastAsia="Arial" w:hAnsi="Arial"/>
                <w:sz w:val="14"/>
                <w:szCs w:val="14"/>
                <w:b w:val="1"/>
                <w:bCs w:val="1"/>
                <w:color w:val="auto"/>
              </w:rPr>
              <w:t>Balance Sheet</w:t>
            </w:r>
          </w:p>
        </w:tc>
      </w:tr>
      <w:tr>
        <w:trPr>
          <w:trHeight w:val="179"/>
        </w:trPr>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39"/>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1)</w:t>
            </w:r>
          </w:p>
        </w:tc>
        <w:tc>
          <w:tcPr>
            <w:tcW w:w="14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(Level 2)</w:t>
            </w:r>
          </w:p>
        </w:tc>
        <w:tc>
          <w:tcPr>
            <w:tcW w:w="1040" w:type="dxa"/>
            <w:vAlign w:val="bottom"/>
          </w:tcPr>
          <w:p>
            <w:pPr>
              <w:jc w:val="center"/>
              <w:ind w:left="243"/>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tcPr>
          <w:p>
            <w:pPr>
              <w:ind w:left="860"/>
              <w:spacing w:after="0"/>
              <w:rPr>
                <w:sz w:val="20"/>
                <w:szCs w:val="20"/>
                <w:color w:val="auto"/>
              </w:rPr>
            </w:pPr>
            <w:r>
              <w:rPr>
                <w:rFonts w:ascii="Arial" w:cs="Arial" w:eastAsia="Arial" w:hAnsi="Arial"/>
                <w:sz w:val="14"/>
                <w:szCs w:val="14"/>
                <w:b w:val="1"/>
                <w:bCs w:val="1"/>
                <w:color w:val="auto"/>
              </w:rPr>
              <w:t>Classification</w:t>
            </w:r>
          </w:p>
        </w:tc>
      </w:tr>
      <w:tr>
        <w:trPr>
          <w:trHeight w:val="228"/>
        </w:trPr>
        <w:tc>
          <w:tcPr>
            <w:tcW w:w="2980" w:type="dxa"/>
            <w:vAlign w:val="bottom"/>
          </w:tcPr>
          <w:p>
            <w:pPr>
              <w:ind w:left="20"/>
              <w:spacing w:after="0"/>
              <w:rPr>
                <w:sz w:val="20"/>
                <w:szCs w:val="20"/>
                <w:color w:val="auto"/>
              </w:rPr>
            </w:pPr>
            <w:r>
              <w:rPr>
                <w:rFonts w:ascii="Arial" w:cs="Arial" w:eastAsia="Arial" w:hAnsi="Arial"/>
                <w:sz w:val="17"/>
                <w:szCs w:val="17"/>
                <w:b w:val="1"/>
                <w:bCs w:val="1"/>
                <w:color w:val="auto"/>
              </w:rPr>
              <w:t>Financial Assets:</w:t>
            </w: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top w:val="single" w:sz="8" w:color="auto"/>
            </w:tcBorders>
          </w:tcPr>
          <w:p>
            <w:pPr>
              <w:spacing w:after="0"/>
              <w:rPr>
                <w:sz w:val="19"/>
                <w:szCs w:val="19"/>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Recurring fair value measurements: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28"/>
        </w:trPr>
        <w:tc>
          <w:tcPr>
            <w:tcW w:w="298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3,925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2"/>
              <w:spacing w:after="0"/>
              <w:rPr>
                <w:sz w:val="20"/>
                <w:szCs w:val="20"/>
                <w:color w:val="auto"/>
              </w:rPr>
            </w:pPr>
            <w:r>
              <w:rPr>
                <w:rFonts w:ascii="Arial" w:cs="Arial" w:eastAsia="Arial" w:hAnsi="Arial"/>
                <w:sz w:val="17"/>
                <w:szCs w:val="17"/>
                <w:color w:val="auto"/>
              </w:rPr>
              <w:t>3,925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Cash and cash equivalents</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40" w:type="dxa"/>
            <w:vAlign w:val="bottom"/>
          </w:tcPr>
          <w:p>
            <w:pPr>
              <w:spacing w:after="0"/>
              <w:rPr>
                <w:sz w:val="2"/>
                <w:szCs w:val="2"/>
                <w:color w:val="auto"/>
              </w:rPr>
            </w:pPr>
          </w:p>
        </w:tc>
        <w:tc>
          <w:tcPr>
            <w:tcW w:w="2920" w:type="dxa"/>
            <w:vAlign w:val="bottom"/>
            <w:gridSpan w:val="3"/>
          </w:tcPr>
          <w:p>
            <w:pPr>
              <w:spacing w:after="0"/>
              <w:rPr>
                <w:sz w:val="2"/>
                <w:szCs w:val="2"/>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government treasury bills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spacing w:after="0"/>
              <w:rPr>
                <w:sz w:val="20"/>
                <w:szCs w:val="20"/>
                <w:color w:val="auto"/>
              </w:rPr>
            </w:pPr>
          </w:p>
        </w:tc>
        <w:tc>
          <w:tcPr>
            <w:tcW w:w="2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   Cash and cash equivalents</w:t>
            </w:r>
          </w:p>
        </w:tc>
      </w:tr>
      <w:tr>
        <w:trPr>
          <w:trHeight w:val="217"/>
        </w:trPr>
        <w:tc>
          <w:tcPr>
            <w:tcW w:w="2980" w:type="dxa"/>
            <w:vAlign w:val="bottom"/>
          </w:tcPr>
          <w:p>
            <w:pPr>
              <w:ind w:left="20"/>
              <w:spacing w:after="0"/>
              <w:rPr>
                <w:sz w:val="20"/>
                <w:szCs w:val="20"/>
                <w:color w:val="auto"/>
              </w:rPr>
            </w:pPr>
            <w:r>
              <w:rPr>
                <w:rFonts w:ascii="Arial" w:cs="Arial" w:eastAsia="Arial" w:hAnsi="Arial"/>
                <w:sz w:val="17"/>
                <w:szCs w:val="17"/>
                <w:color w:val="auto"/>
                <w:w w:val="98"/>
              </w:rPr>
              <w:t>U.S. treasuries and government agency</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22"/>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Other current assets</w:t>
            </w:r>
          </w:p>
        </w:tc>
      </w:tr>
      <w:tr>
        <w:trPr>
          <w:trHeight w:val="26"/>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17"/>
        </w:trPr>
        <w:tc>
          <w:tcPr>
            <w:tcW w:w="2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 currency forward contracts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r>
        <w:trPr>
          <w:trHeight w:val="222"/>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designated as hedges</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7"/>
                <w:szCs w:val="17"/>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r>
      <w:tr>
        <w:trPr>
          <w:trHeight w:val="217"/>
        </w:trPr>
        <w:tc>
          <w:tcPr>
            <w:tcW w:w="2980" w:type="dxa"/>
            <w:vAlign w:val="bottom"/>
          </w:tcPr>
          <w:p>
            <w:pPr>
              <w:ind w:left="20"/>
              <w:spacing w:after="0"/>
              <w:rPr>
                <w:sz w:val="20"/>
                <w:szCs w:val="20"/>
                <w:color w:val="auto"/>
              </w:rPr>
            </w:pPr>
            <w:r>
              <w:rPr>
                <w:rFonts w:ascii="Arial" w:cs="Arial" w:eastAsia="Arial" w:hAnsi="Arial"/>
                <w:sz w:val="17"/>
                <w:szCs w:val="17"/>
                <w:color w:val="auto"/>
              </w:rPr>
              <w:t>Foreign currency forward contracts not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2980" w:type="dxa"/>
            <w:vAlign w:val="bottom"/>
          </w:tcPr>
          <w:p>
            <w:pPr>
              <w:ind w:left="20"/>
              <w:spacing w:after="0"/>
              <w:rPr>
                <w:sz w:val="20"/>
                <w:szCs w:val="20"/>
                <w:color w:val="auto"/>
              </w:rPr>
            </w:pPr>
            <w:r>
              <w:rPr>
                <w:rFonts w:ascii="Arial" w:cs="Arial" w:eastAsia="Arial" w:hAnsi="Arial"/>
                <w:sz w:val="17"/>
                <w:szCs w:val="17"/>
                <w:color w:val="auto"/>
              </w:rPr>
              <w:t>designated as hedges</w:t>
            </w:r>
          </w:p>
        </w:tc>
        <w:tc>
          <w:tcPr>
            <w:tcW w:w="1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Other current assets</w:t>
            </w:r>
          </w:p>
        </w:tc>
      </w:tr>
      <w:tr>
        <w:trPr>
          <w:trHeight w:val="26"/>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41"/>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w w:val="97"/>
              </w:rPr>
              <w:t>Total recurring fair value measurements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7"/>
                <w:szCs w:val="17"/>
                <w:color w:val="auto"/>
              </w:rPr>
              <w:t>4,121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7"/>
                <w:szCs w:val="17"/>
                <w:color w:val="auto"/>
              </w:rPr>
              <w:t>4,107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02"/>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35"/>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Financial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spacing w:after="0"/>
              <w:rPr>
                <w:sz w:val="20"/>
                <w:szCs w:val="20"/>
                <w:color w:val="auto"/>
              </w:rPr>
            </w:pPr>
          </w:p>
        </w:tc>
      </w:tr>
      <w:tr>
        <w:trPr>
          <w:trHeight w:val="217"/>
        </w:trPr>
        <w:tc>
          <w:tcPr>
            <w:tcW w:w="2980" w:type="dxa"/>
            <w:vAlign w:val="bottom"/>
          </w:tcPr>
          <w:p>
            <w:pPr>
              <w:ind w:left="20"/>
              <w:spacing w:after="0"/>
              <w:rPr>
                <w:sz w:val="20"/>
                <w:szCs w:val="20"/>
                <w:color w:val="auto"/>
              </w:rPr>
            </w:pPr>
            <w:r>
              <w:rPr>
                <w:rFonts w:ascii="Arial" w:cs="Arial" w:eastAsia="Arial" w:hAnsi="Arial"/>
                <w:sz w:val="17"/>
                <w:szCs w:val="17"/>
                <w:color w:val="auto"/>
              </w:rPr>
              <w:t>Foreign currency forward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Accrued expenses and other</w:t>
            </w:r>
          </w:p>
        </w:tc>
      </w:tr>
      <w:tr>
        <w:trPr>
          <w:trHeight w:val="215"/>
        </w:trPr>
        <w:tc>
          <w:tcPr>
            <w:tcW w:w="2980" w:type="dxa"/>
            <w:vAlign w:val="bottom"/>
          </w:tcPr>
          <w:p>
            <w:pPr>
              <w:ind w:left="20"/>
              <w:spacing w:after="0"/>
              <w:rPr>
                <w:sz w:val="20"/>
                <w:szCs w:val="20"/>
                <w:color w:val="auto"/>
              </w:rPr>
            </w:pPr>
            <w:r>
              <w:rPr>
                <w:rFonts w:ascii="Arial" w:cs="Arial" w:eastAsia="Arial" w:hAnsi="Arial"/>
                <w:sz w:val="17"/>
                <w:szCs w:val="17"/>
                <w:color w:val="auto"/>
              </w:rPr>
              <w:t>contracts designated as hedges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40" w:type="dxa"/>
            <w:vAlign w:val="bottom"/>
          </w:tcPr>
          <w:p>
            <w:pPr>
              <w:jc w:val="right"/>
              <w:ind w:right="843"/>
              <w:spacing w:after="0"/>
              <w:rPr>
                <w:sz w:val="20"/>
                <w:szCs w:val="20"/>
                <w:color w:val="auto"/>
              </w:rPr>
            </w:pPr>
            <w:r>
              <w:rPr>
                <w:rFonts w:ascii="Arial" w:cs="Arial" w:eastAsia="Arial" w:hAnsi="Arial"/>
                <w:sz w:val="17"/>
                <w:szCs w:val="17"/>
                <w:color w:val="auto"/>
              </w:rPr>
              <w:t>$</w:t>
            </w:r>
          </w:p>
        </w:tc>
        <w:tc>
          <w:tcPr>
            <w:tcW w:w="320" w:type="dxa"/>
            <w:vAlign w:val="bottom"/>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7"/>
                <w:szCs w:val="17"/>
                <w:color w:val="auto"/>
              </w:rPr>
              <w:t>liabilities</w:t>
            </w:r>
          </w:p>
        </w:tc>
      </w:tr>
      <w:tr>
        <w:trPr>
          <w:trHeight w:val="841"/>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960"/>
              <w:spacing w:after="0"/>
              <w:rPr>
                <w:sz w:val="20"/>
                <w:szCs w:val="20"/>
                <w:color w:val="auto"/>
              </w:rPr>
            </w:pPr>
            <w:r>
              <w:rPr>
                <w:rFonts w:ascii="Arial" w:cs="Arial" w:eastAsia="Arial" w:hAnsi="Arial"/>
                <w:sz w:val="17"/>
                <w:szCs w:val="17"/>
                <w:color w:val="auto"/>
              </w:rPr>
              <w:t>F-28</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Designated as Hedges (“Cash Flow Hedges”)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total gross notional amounts and fair values of our Cash Flow Hedges are as follows (amounts in millions):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left="412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15875</wp:posOffset>
            </wp:positionV>
            <wp:extent cx="2275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75205" cy="8255"/>
                    </a:xfrm>
                    <a:prstGeom prst="rect">
                      <a:avLst/>
                    </a:prstGeom>
                    <a:noFill/>
                  </pic:spPr>
                </pic:pic>
              </a:graphicData>
            </a:graphic>
          </wp:anchor>
        </w:drawing>
      </w:r>
    </w:p>
    <w:p>
      <w:pPr>
        <w:spacing w:after="0" w:line="74" w:lineRule="exact"/>
        <w:rPr>
          <w:sz w:val="20"/>
          <w:szCs w:val="20"/>
          <w:color w:val="auto"/>
        </w:rPr>
      </w:pPr>
    </w:p>
    <w:p>
      <w:pPr>
        <w:ind w:left="4380"/>
        <w:spacing w:after="0"/>
        <w:tabs>
          <w:tab w:leader="none" w:pos="604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170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15875</wp:posOffset>
            </wp:positionV>
            <wp:extent cx="22993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spacing w:after="0" w:line="74" w:lineRule="exact"/>
        <w:rPr>
          <w:sz w:val="20"/>
          <w:szCs w:val="20"/>
          <w:color w:val="auto"/>
        </w:rPr>
      </w:pPr>
    </w:p>
    <w:p>
      <w:pPr>
        <w:spacing w:after="0"/>
        <w:tabs>
          <w:tab w:leader="none" w:pos="168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47" w:lineRule="exact"/>
        <w:rPr>
          <w:sz w:val="20"/>
          <w:szCs w:val="20"/>
          <w:color w:val="auto"/>
        </w:rPr>
      </w:pPr>
    </w:p>
    <w:p>
      <w:pPr>
        <w:sectPr>
          <w:pgSz w:w="11900" w:h="16838" w:orient="portrait"/>
          <w:cols w:equalWidth="0" w:num="2">
            <w:col w:w="7500" w:space="720"/>
            <w:col w:w="3200"/>
          </w:cols>
          <w:pgMar w:left="240" w:top="127" w:right="2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64" w:lineRule="exact"/>
        <w:rPr>
          <w:sz w:val="20"/>
          <w:szCs w:val="20"/>
          <w:color w:val="auto"/>
        </w:rPr>
      </w:pPr>
    </w:p>
    <w:p>
      <w:pPr>
        <w:ind w:left="20"/>
        <w:spacing w:after="0"/>
        <w:tabs>
          <w:tab w:leader="none" w:pos="4020" w:val="left"/>
          <w:tab w:leader="none" w:pos="5360" w:val="left"/>
          <w:tab w:leader="none" w:pos="5740" w:val="left"/>
          <w:tab w:leader="none" w:pos="7320" w:val="left"/>
          <w:tab w:leader="none" w:pos="7820" w:val="left"/>
          <w:tab w:leader="none" w:pos="9240" w:val="left"/>
          <w:tab w:leader="none" w:pos="11140" w:val="left"/>
        </w:tabs>
        <w:rPr>
          <w:sz w:val="20"/>
          <w:szCs w:val="20"/>
          <w:color w:val="auto"/>
        </w:rPr>
      </w:pPr>
      <w:r>
        <w:rPr>
          <w:rFonts w:ascii="Arial" w:cs="Arial" w:eastAsia="Arial" w:hAnsi="Arial"/>
          <w:sz w:val="17"/>
          <w:szCs w:val="17"/>
          <w:color w:val="auto"/>
        </w:rPr>
        <w:t>Buy USD, Sell Euro</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350</w:t>
        <w:tab/>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723  $</w:t>
      </w:r>
      <w:r>
        <w:rPr>
          <w:sz w:val="20"/>
          <w:szCs w:val="20"/>
          <w:color w:val="auto"/>
        </w:rPr>
        <w:tab/>
      </w:r>
      <w:r>
        <w:rPr>
          <w:rFonts w:ascii="Arial" w:cs="Arial" w:eastAsia="Arial" w:hAnsi="Arial"/>
          <w:sz w:val="14"/>
          <w:szCs w:val="14"/>
          <w:color w:val="auto"/>
        </w:rPr>
        <w:t>12</w:t>
      </w:r>
    </w:p>
    <w:p>
      <w:pPr>
        <w:spacing w:after="0" w:line="200" w:lineRule="exact"/>
        <w:rPr>
          <w:sz w:val="20"/>
          <w:szCs w:val="20"/>
          <w:color w:val="auto"/>
        </w:rPr>
      </w:pPr>
    </w:p>
    <w:p>
      <w:pPr>
        <w:spacing w:after="0" w:line="242" w:lineRule="exact"/>
        <w:rPr>
          <w:sz w:val="20"/>
          <w:szCs w:val="20"/>
          <w:color w:val="auto"/>
        </w:rPr>
      </w:pPr>
    </w:p>
    <w:p>
      <w:pPr>
        <w:ind w:right="120" w:firstLine="382"/>
        <w:spacing w:after="0" w:line="313" w:lineRule="auto"/>
        <w:rPr>
          <w:sz w:val="20"/>
          <w:szCs w:val="20"/>
          <w:color w:val="auto"/>
        </w:rPr>
      </w:pPr>
      <w:r>
        <w:rPr>
          <w:rFonts w:ascii="Arial" w:cs="Arial" w:eastAsia="Arial" w:hAnsi="Arial"/>
          <w:sz w:val="15"/>
          <w:szCs w:val="15"/>
          <w:color w:val="auto"/>
        </w:rPr>
        <w:t>At December 31, 2019, our Cash Flow Hedges have remaining maturities of twelve months or less. Additionally, $10 million of net realized but unrecognized gains are recorded within “Accumulated other comprehensive income (loss)” at December 31, 2019, for Cash Flow Hedges that had settled but were deferred and will be amortized into earnings, along with the associated hedged revenues. Such amounts will be reclassified into earnings within the next 12 months.</w:t>
      </w:r>
    </w:p>
    <w:p>
      <w:pPr>
        <w:spacing w:after="0" w:line="141" w:lineRule="exact"/>
        <w:rPr>
          <w:sz w:val="20"/>
          <w:szCs w:val="20"/>
          <w:color w:val="auto"/>
        </w:rPr>
      </w:pPr>
    </w:p>
    <w:p>
      <w:pPr>
        <w:ind w:right="80" w:firstLine="382"/>
        <w:spacing w:after="0" w:line="274" w:lineRule="auto"/>
        <w:rPr>
          <w:sz w:val="20"/>
          <w:szCs w:val="20"/>
          <w:color w:val="auto"/>
        </w:rPr>
      </w:pPr>
      <w:r>
        <w:rPr>
          <w:rFonts w:ascii="Arial" w:cs="Arial" w:eastAsia="Arial" w:hAnsi="Arial"/>
          <w:sz w:val="17"/>
          <w:szCs w:val="17"/>
          <w:color w:val="auto"/>
        </w:rPr>
        <w:t>The amount of pre-tax net realized gains (losses) associated with our Cash Flow Hedges that were reclassified out of “Accumulated other comprehensive income (loss)” and into earnings are as follows (amounts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r>
      <w:tr>
        <w:trPr>
          <w:trHeight w:val="235"/>
        </w:trPr>
        <w:tc>
          <w:tcPr>
            <w:tcW w:w="264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Statement of Operations Classification</w:t>
            </w:r>
          </w:p>
        </w:tc>
      </w:tr>
      <w:tr>
        <w:trPr>
          <w:trHeight w:val="227"/>
        </w:trPr>
        <w:tc>
          <w:tcPr>
            <w:tcW w:w="2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 Hedges</w:t>
            </w:r>
          </w:p>
        </w:tc>
        <w:tc>
          <w:tcPr>
            <w:tcW w:w="1060" w:type="dxa"/>
            <w:vAlign w:val="bottom"/>
            <w:shd w:val="clear" w:color="auto" w:fill="CCEEFF"/>
          </w:tcPr>
          <w:p>
            <w:pPr>
              <w:jc w:val="right"/>
              <w:ind w:right="864"/>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39</w:t>
            </w:r>
          </w:p>
        </w:tc>
        <w:tc>
          <w:tcPr>
            <w:tcW w:w="4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6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Net revenues</w:t>
            </w:r>
          </w:p>
        </w:tc>
      </w:tr>
      <w:tr>
        <w:trPr>
          <w:trHeight w:val="27"/>
        </w:trPr>
        <w:tc>
          <w:tcPr>
            <w:tcW w:w="26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Forward Contracts Not Designated as Hedges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total gross notional amounts and fair values of our foreign currency forward contracts not designated as hedges are as follows (amounts in millions):</w:t>
      </w:r>
    </w:p>
    <w:p>
      <w:pPr>
        <w:sectPr>
          <w:pgSz w:w="11900" w:h="16838" w:orient="portrait"/>
          <w:cols w:equalWidth="0" w:num="1">
            <w:col w:w="11420"/>
          </w:cols>
          <w:pgMar w:left="240" w:top="127"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15875</wp:posOffset>
            </wp:positionV>
            <wp:extent cx="2202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2180" cy="8255"/>
                    </a:xfrm>
                    <a:prstGeom prst="rect">
                      <a:avLst/>
                    </a:prstGeom>
                    <a:noFill/>
                  </pic:spPr>
                </pic:pic>
              </a:graphicData>
            </a:graphic>
          </wp:anchor>
        </w:drawing>
      </w:r>
    </w:p>
    <w:p>
      <w:pPr>
        <w:spacing w:after="0" w:line="74" w:lineRule="exact"/>
        <w:rPr>
          <w:sz w:val="20"/>
          <w:szCs w:val="20"/>
          <w:color w:val="auto"/>
        </w:rPr>
      </w:pPr>
    </w:p>
    <w:p>
      <w:pPr>
        <w:ind w:left="4720"/>
        <w:spacing w:after="0"/>
        <w:tabs>
          <w:tab w:leader="none" w:pos="632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170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170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15875</wp:posOffset>
            </wp:positionV>
            <wp:extent cx="21532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74"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b w:val="1"/>
          <w:bCs w:val="1"/>
          <w:color w:val="auto"/>
        </w:rPr>
        <w:t>Notional amount</w:t>
      </w:r>
      <w:r>
        <w:rPr>
          <w:sz w:val="20"/>
          <w:szCs w:val="20"/>
          <w:color w:val="auto"/>
        </w:rPr>
        <w:tab/>
      </w:r>
      <w:r>
        <w:rPr>
          <w:rFonts w:ascii="Arial" w:cs="Arial" w:eastAsia="Arial" w:hAnsi="Arial"/>
          <w:sz w:val="12"/>
          <w:szCs w:val="12"/>
          <w:b w:val="1"/>
          <w:bCs w:val="1"/>
          <w:color w:val="auto"/>
        </w:rPr>
        <w:t>Fair value gain (loss)</w:t>
      </w:r>
    </w:p>
    <w:p>
      <w:pPr>
        <w:spacing w:after="0" w:line="47" w:lineRule="exact"/>
        <w:rPr>
          <w:sz w:val="20"/>
          <w:szCs w:val="20"/>
          <w:color w:val="auto"/>
        </w:rPr>
      </w:pPr>
    </w:p>
    <w:p>
      <w:pPr>
        <w:sectPr>
          <w:pgSz w:w="11900" w:h="16838" w:orient="portrait"/>
          <w:cols w:equalWidth="0" w:num="2">
            <w:col w:w="7680" w:space="720"/>
            <w:col w:w="3020"/>
          </w:cols>
          <w:pgMar w:left="240" w:top="127" w:right="239" w:bottom="1440" w:gutter="0" w:footer="0" w:header="0"/>
          <w:type w:val="continuous"/>
        </w:sectPr>
      </w:pPr>
    </w:p>
    <w:p>
      <w:pPr>
        <w:ind w:left="20"/>
        <w:spacing w:after="0"/>
        <w:rPr>
          <w:sz w:val="20"/>
          <w:szCs w:val="20"/>
          <w:color w:val="auto"/>
        </w:rPr>
      </w:pPr>
      <w:r>
        <w:rPr>
          <w:rFonts w:ascii="Arial" w:cs="Arial" w:eastAsia="Arial" w:hAnsi="Arial"/>
          <w:sz w:val="17"/>
          <w:szCs w:val="17"/>
          <w:b w:val="1"/>
          <w:bCs w:val="1"/>
          <w:color w:val="auto"/>
        </w:rPr>
        <w:t>Foreign Currency:</w:t>
      </w:r>
    </w:p>
    <w:p>
      <w:pPr>
        <w:spacing w:after="0" w:line="64" w:lineRule="exact"/>
        <w:rPr>
          <w:sz w:val="20"/>
          <w:szCs w:val="20"/>
          <w:color w:val="auto"/>
        </w:rPr>
      </w:pPr>
    </w:p>
    <w:p>
      <w:pPr>
        <w:ind w:left="20"/>
        <w:spacing w:after="0"/>
        <w:tabs>
          <w:tab w:leader="none" w:pos="4360" w:val="left"/>
          <w:tab w:leader="none" w:pos="5780" w:val="left"/>
          <w:tab w:leader="none" w:pos="6080" w:val="left"/>
          <w:tab w:leader="none" w:pos="7540" w:val="left"/>
          <w:tab w:leader="none" w:pos="8040" w:val="left"/>
          <w:tab w:leader="none" w:pos="9440" w:val="left"/>
          <w:tab w:leader="none" w:pos="11220" w:val="left"/>
        </w:tabs>
        <w:rPr>
          <w:sz w:val="20"/>
          <w:szCs w:val="20"/>
          <w:color w:val="auto"/>
        </w:rPr>
      </w:pPr>
      <w:r>
        <w:rPr>
          <w:rFonts w:ascii="Arial" w:cs="Arial" w:eastAsia="Arial" w:hAnsi="Arial"/>
          <w:sz w:val="17"/>
          <w:szCs w:val="17"/>
          <w:color w:val="auto"/>
        </w:rPr>
        <w:t>Buy USD, Sell GBP</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25</w:t>
        <w:tab/>
        <w:t>$</w:t>
      </w:r>
      <w:r>
        <w:rPr>
          <w:sz w:val="20"/>
          <w:szCs w:val="20"/>
          <w:color w:val="auto"/>
        </w:rPr>
        <w:tab/>
      </w: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55  $</w:t>
      </w:r>
      <w:r>
        <w:rPr>
          <w:sz w:val="20"/>
          <w:szCs w:val="20"/>
          <w:color w:val="auto"/>
        </w:rPr>
        <w:tab/>
      </w:r>
      <w:r>
        <w:rPr>
          <w:rFonts w:ascii="Arial" w:cs="Arial" w:eastAsia="Arial" w:hAnsi="Arial"/>
          <w:sz w:val="14"/>
          <w:szCs w:val="14"/>
          <w:color w:val="auto"/>
        </w:rPr>
        <w:t>1</w:t>
      </w:r>
    </w:p>
    <w:p>
      <w:pPr>
        <w:spacing w:after="0" w:line="200" w:lineRule="exact"/>
        <w:rPr>
          <w:sz w:val="20"/>
          <w:szCs w:val="20"/>
          <w:color w:val="auto"/>
        </w:rPr>
      </w:pPr>
    </w:p>
    <w:p>
      <w:pPr>
        <w:spacing w:after="0" w:line="242" w:lineRule="exact"/>
        <w:rPr>
          <w:sz w:val="20"/>
          <w:szCs w:val="20"/>
          <w:color w:val="auto"/>
        </w:rPr>
      </w:pPr>
    </w:p>
    <w:p>
      <w:pPr>
        <w:ind w:right="920" w:firstLine="382"/>
        <w:spacing w:after="0" w:line="274" w:lineRule="auto"/>
        <w:rPr>
          <w:sz w:val="20"/>
          <w:szCs w:val="20"/>
          <w:color w:val="auto"/>
        </w:rPr>
      </w:pPr>
      <w:r>
        <w:rPr>
          <w:rFonts w:ascii="Arial" w:cs="Arial" w:eastAsia="Arial" w:hAnsi="Arial"/>
          <w:sz w:val="17"/>
          <w:szCs w:val="17"/>
          <w:color w:val="auto"/>
        </w:rPr>
        <w:t>During the years ended December 31, 2019, 2018, and 2017 pre-tax net gains associated with these forward contracts were recorded in “General and administrative expenses” and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 on a Non-Recurring Basis</w:t>
      </w:r>
    </w:p>
    <w:p>
      <w:pPr>
        <w:spacing w:after="0" w:line="213" w:lineRule="exact"/>
        <w:rPr>
          <w:sz w:val="20"/>
          <w:szCs w:val="20"/>
          <w:color w:val="auto"/>
        </w:rPr>
      </w:pPr>
    </w:p>
    <w:p>
      <w:pPr>
        <w:ind w:right="320" w:firstLine="408"/>
        <w:spacing w:after="0" w:line="274" w:lineRule="auto"/>
        <w:rPr>
          <w:sz w:val="20"/>
          <w:szCs w:val="20"/>
          <w:color w:val="auto"/>
        </w:rPr>
      </w:pPr>
      <w:r>
        <w:rPr>
          <w:rFonts w:ascii="Arial" w:cs="Arial" w:eastAsia="Arial" w:hAnsi="Arial"/>
          <w:sz w:val="17"/>
          <w:szCs w:val="17"/>
          <w:color w:val="auto"/>
        </w:rPr>
        <w:t>We measure the fair value of certain assets on a non-recurring basis, generally annually or when events or changes in circumstances indicate that the carrying amount of the assets may not be recoverable.</w:t>
      </w:r>
    </w:p>
    <w:p>
      <w:pPr>
        <w:spacing w:after="0" w:line="166" w:lineRule="exact"/>
        <w:rPr>
          <w:sz w:val="20"/>
          <w:szCs w:val="20"/>
          <w:color w:val="auto"/>
        </w:rPr>
      </w:pPr>
    </w:p>
    <w:p>
      <w:pPr>
        <w:ind w:right="40" w:firstLine="382"/>
        <w:spacing w:after="0" w:line="276" w:lineRule="auto"/>
        <w:rPr>
          <w:sz w:val="20"/>
          <w:szCs w:val="20"/>
          <w:color w:val="auto"/>
        </w:rPr>
      </w:pPr>
      <w:r>
        <w:rPr>
          <w:rFonts w:ascii="Arial" w:cs="Arial" w:eastAsia="Arial" w:hAnsi="Arial"/>
          <w:sz w:val="16"/>
          <w:szCs w:val="16"/>
          <w:color w:val="auto"/>
        </w:rPr>
        <w:t>During the three months ended June 30, 2019, we recorded an upward adjustment of $38 million to an investment in equity securities, which has been historically recorded at cost, based on an observable and orderly transaction in the common stock of the investee. We recognized a corresponding unrealized gain within “Interest and other expense (income), net” in our consolidated statement of operations. As of December 31, 2019, the carrying value of the investment is $42 million and is recorded in “Other assets” on our consolidated balance sheet. We classify this investment as Level 3 in the fair value hierarchy as we estimated the value based on valuation methods using the observable transaction price in a market with limited activity.</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For the years ended December 31, 2019, 2018, and 2017, there were no impairment charges related to assets that are measured on a non-recurring basis.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1420"/>
          </w:cols>
          <w:pgMar w:left="240" w:top="127" w:right="239" w:bottom="1440" w:gutter="0" w:footer="0" w:header="0"/>
          <w:type w:val="continuous"/>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Deferred Revenues</w:t>
      </w:r>
    </w:p>
    <w:p>
      <w:pPr>
        <w:spacing w:after="0" w:line="217" w:lineRule="exact"/>
        <w:rPr>
          <w:sz w:val="20"/>
          <w:szCs w:val="20"/>
          <w:color w:val="auto"/>
        </w:rPr>
      </w:pPr>
    </w:p>
    <w:p>
      <w:pPr>
        <w:ind w:right="80" w:firstLine="382"/>
        <w:spacing w:after="0" w:line="295" w:lineRule="auto"/>
        <w:rPr>
          <w:sz w:val="20"/>
          <w:szCs w:val="20"/>
          <w:color w:val="auto"/>
        </w:rPr>
      </w:pPr>
      <w:r>
        <w:rPr>
          <w:rFonts w:ascii="Arial" w:cs="Arial" w:eastAsia="Arial" w:hAnsi="Arial"/>
          <w:sz w:val="15"/>
          <w:szCs w:val="15"/>
          <w:color w:val="auto"/>
        </w:rPr>
        <w:t>We record deferred revenues when cash payments are received or due in advance of the fulfillment of our associated performance obligations. The opening balance of deferred revenues as of January 1, 2019 and the ending balance as of December 31, 2019, were $1.6 billion and $1.4 billion, respectively, including our current and non-current balances. For the year ended December 31, 2019, the additions to our deferred revenues balance were primarily due to cash payments received or due in advance of satisfying our performance obligations, while the reductions to our deferred revenues balance were primarily due to the recognition of revenues upon fulfillment of our performance obligations, both of which were in the ordinary course of business. During the years ended December 31, 2019 and December 31, 2018, $1.5 billion and $1.7 billion of revenues, respectively, were recognized that were included in the deferred revenues balance at the beginning of the period.</w:t>
      </w:r>
    </w:p>
    <w:p>
      <w:pPr>
        <w:spacing w:after="0" w:line="156" w:lineRule="exact"/>
        <w:rPr>
          <w:sz w:val="20"/>
          <w:szCs w:val="20"/>
          <w:color w:val="auto"/>
        </w:rPr>
      </w:pPr>
    </w:p>
    <w:p>
      <w:pPr>
        <w:ind w:firstLine="382"/>
        <w:spacing w:after="0" w:line="258" w:lineRule="auto"/>
        <w:rPr>
          <w:sz w:val="20"/>
          <w:szCs w:val="20"/>
          <w:color w:val="auto"/>
        </w:rPr>
      </w:pPr>
      <w:r>
        <w:rPr>
          <w:rFonts w:ascii="Arial" w:cs="Arial" w:eastAsia="Arial" w:hAnsi="Arial"/>
          <w:sz w:val="17"/>
          <w:szCs w:val="17"/>
          <w:color w:val="auto"/>
        </w:rPr>
        <w:t>As of December 31, 2019, the aggregate amount of contracted revenues allocated to our unsatisfied performance obligations is $2.7 billion, which includes our deferred revenues balances and amounts to be invoiced and recognized as revenue in future periods. We expect to recognize approximately $1.5 billion over the next 12 months, $0.4 billion in the subsequent 12-month period, and the remainder thereafter. This balance does not include an estimate for variable consideration arising from sales-based royalty license revenue in excess of the contractual minimum guarantee.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Leases</w:t>
      </w:r>
    </w:p>
    <w:p>
      <w:pPr>
        <w:spacing w:after="0" w:line="217" w:lineRule="exact"/>
        <w:rPr>
          <w:sz w:val="20"/>
          <w:szCs w:val="20"/>
          <w:color w:val="auto"/>
        </w:rPr>
      </w:pPr>
    </w:p>
    <w:p>
      <w:pPr>
        <w:ind w:right="100" w:firstLine="382"/>
        <w:spacing w:after="0" w:line="279" w:lineRule="auto"/>
        <w:rPr>
          <w:sz w:val="20"/>
          <w:szCs w:val="20"/>
          <w:color w:val="auto"/>
        </w:rPr>
      </w:pPr>
      <w:r>
        <w:rPr>
          <w:rFonts w:ascii="Arial" w:cs="Arial" w:eastAsia="Arial" w:hAnsi="Arial"/>
          <w:sz w:val="16"/>
          <w:szCs w:val="16"/>
          <w:color w:val="auto"/>
        </w:rPr>
        <w:t>Our lease arrangements are primarily for: (1) corporate, administrative, and development studio offices; (2) data centers and server equipment; and (3) live event production equipment. Our existing leases have remaining lease terms ranging from one year to 10 years. In certain instances, such leases include one or more options to renew, with renewal terms that generally extend the lease term by one year to five years for each option. The exercise of lease renewal options is generally at our sole discretion. Additionally, the majority of our leases are classified as operating leases; our financing leases are not material.</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Components of our lease costs are as follows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Year Ended December 31,</w:t>
            </w:r>
          </w:p>
        </w:tc>
      </w:tr>
      <w:tr>
        <w:trPr>
          <w:trHeight w:val="219"/>
        </w:trPr>
        <w:tc>
          <w:tcPr>
            <w:tcW w:w="9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ind w:right="815"/>
              <w:spacing w:after="0"/>
              <w:rPr>
                <w:sz w:val="20"/>
                <w:szCs w:val="20"/>
                <w:color w:val="auto"/>
              </w:rPr>
            </w:pPr>
            <w:r>
              <w:rPr>
                <w:rFonts w:ascii="Arial" w:cs="Arial" w:eastAsia="Arial" w:hAnsi="Arial"/>
                <w:sz w:val="17"/>
                <w:szCs w:val="17"/>
                <w:b w:val="1"/>
                <w:bCs w:val="1"/>
                <w:color w:val="auto"/>
              </w:rPr>
              <w:t>2019</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2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r>
      <w:tr>
        <w:trPr>
          <w:trHeight w:val="228"/>
        </w:trPr>
        <w:tc>
          <w:tcPr>
            <w:tcW w:w="9260" w:type="dxa"/>
            <w:vAlign w:val="bottom"/>
          </w:tcPr>
          <w:p>
            <w:pPr>
              <w:ind w:left="160"/>
              <w:spacing w:after="0"/>
              <w:rPr>
                <w:sz w:val="20"/>
                <w:szCs w:val="20"/>
                <w:color w:val="auto"/>
              </w:rPr>
            </w:pPr>
            <w:r>
              <w:rPr>
                <w:rFonts w:ascii="Arial" w:cs="Arial" w:eastAsia="Arial" w:hAnsi="Arial"/>
                <w:sz w:val="17"/>
                <w:szCs w:val="17"/>
                <w:color w:val="auto"/>
              </w:rPr>
              <w:t>Operating lease costs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Pr>
          <w:p>
            <w:pPr>
              <w:jc w:val="right"/>
              <w:ind w:right="15"/>
              <w:spacing w:after="0"/>
              <w:rPr>
                <w:sz w:val="20"/>
                <w:szCs w:val="20"/>
                <w:color w:val="auto"/>
              </w:rPr>
            </w:pPr>
            <w:r>
              <w:rPr>
                <w:rFonts w:ascii="Arial" w:cs="Arial" w:eastAsia="Arial" w:hAnsi="Arial"/>
                <w:sz w:val="17"/>
                <w:szCs w:val="17"/>
                <w:color w:val="auto"/>
              </w:rPr>
              <w:t>75</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8"/>
        </w:trPr>
        <w:tc>
          <w:tcPr>
            <w:tcW w:w="92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Variable lease costs</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6"/>
        </w:trPr>
        <w:tc>
          <w:tcPr>
            <w:tcW w:w="9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Rental expense prior to our adoption of the new lease standard was $75 million and $71 million for the years ended December 31, 2018 and 2017, respectively.</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Supplemental information related to our operating leases is as follows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tcPr>
          <w:p>
            <w:pPr>
              <w:jc w:val="right"/>
              <w:ind w:right="75"/>
              <w:spacing w:after="0"/>
              <w:rPr>
                <w:sz w:val="20"/>
                <w:szCs w:val="20"/>
                <w:color w:val="auto"/>
              </w:rPr>
            </w:pPr>
            <w:r>
              <w:rPr>
                <w:rFonts w:ascii="Arial" w:cs="Arial" w:eastAsia="Arial" w:hAnsi="Arial"/>
                <w:sz w:val="17"/>
                <w:szCs w:val="17"/>
                <w:b w:val="1"/>
                <w:bCs w:val="1"/>
                <w:color w:val="auto"/>
                <w:w w:val="90"/>
              </w:rPr>
              <w:t>Year Ended December 31,</w:t>
            </w:r>
          </w:p>
        </w:tc>
      </w:tr>
      <w:tr>
        <w:trPr>
          <w:trHeight w:val="219"/>
        </w:trPr>
        <w:tc>
          <w:tcPr>
            <w:tcW w:w="9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80" w:type="dxa"/>
            <w:vAlign w:val="bottom"/>
          </w:tcPr>
          <w:p>
            <w:pPr>
              <w:jc w:val="right"/>
              <w:ind w:right="855"/>
              <w:spacing w:after="0"/>
              <w:rPr>
                <w:sz w:val="20"/>
                <w:szCs w:val="20"/>
                <w:color w:val="auto"/>
              </w:rPr>
            </w:pPr>
            <w:r>
              <w:rPr>
                <w:rFonts w:ascii="Arial" w:cs="Arial" w:eastAsia="Arial" w:hAnsi="Arial"/>
                <w:sz w:val="17"/>
                <w:szCs w:val="17"/>
                <w:b w:val="1"/>
                <w:bCs w:val="1"/>
                <w:color w:val="auto"/>
              </w:rPr>
              <w:t>2019</w:t>
            </w:r>
          </w:p>
        </w:tc>
      </w:tr>
      <w:tr>
        <w:trPr>
          <w:trHeight w:val="26"/>
        </w:trPr>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8"/>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Operating Cash Flows Information</w:t>
            </w:r>
          </w:p>
        </w:tc>
        <w:tc>
          <w:tcPr>
            <w:tcW w:w="14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r>
      <w:tr>
        <w:trPr>
          <w:trHeight w:val="228"/>
        </w:trPr>
        <w:tc>
          <w:tcPr>
            <w:tcW w:w="9200" w:type="dxa"/>
            <w:vAlign w:val="bottom"/>
          </w:tcPr>
          <w:p>
            <w:pPr>
              <w:ind w:left="16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2080" w:type="dxa"/>
            <w:vAlign w:val="bottom"/>
          </w:tcPr>
          <w:p>
            <w:pPr>
              <w:jc w:val="right"/>
              <w:ind w:right="95"/>
              <w:spacing w:after="0"/>
              <w:rPr>
                <w:sz w:val="20"/>
                <w:szCs w:val="20"/>
                <w:color w:val="auto"/>
              </w:rPr>
            </w:pPr>
            <w:r>
              <w:rPr>
                <w:rFonts w:ascii="Arial" w:cs="Arial" w:eastAsia="Arial" w:hAnsi="Arial"/>
                <w:sz w:val="17"/>
                <w:szCs w:val="17"/>
                <w:color w:val="auto"/>
              </w:rPr>
              <w:t>80</w:t>
            </w:r>
          </w:p>
        </w:tc>
      </w:tr>
      <w:tr>
        <w:trPr>
          <w:trHeight w:val="27"/>
        </w:trPr>
        <w:tc>
          <w:tcPr>
            <w:tcW w:w="9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8"/>
        </w:trPr>
        <w:tc>
          <w:tcPr>
            <w:tcW w:w="92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ROU assets obtained in exchange for new lease obligations</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65</w:t>
            </w:r>
          </w:p>
        </w:tc>
      </w:tr>
      <w:tr>
        <w:trPr>
          <w:trHeight w:val="27"/>
        </w:trPr>
        <w:tc>
          <w:tcPr>
            <w:tcW w:w="9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60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220" w:type="dxa"/>
            <w:vAlign w:val="bottom"/>
          </w:tcPr>
          <w:p>
            <w:pPr>
              <w:jc w:val="right"/>
              <w:ind w:right="235"/>
              <w:spacing w:after="0"/>
              <w:rPr>
                <w:sz w:val="20"/>
                <w:szCs w:val="20"/>
                <w:color w:val="auto"/>
              </w:rPr>
            </w:pPr>
            <w:r>
              <w:rPr>
                <w:rFonts w:ascii="Arial" w:cs="Arial" w:eastAsia="Arial" w:hAnsi="Arial"/>
                <w:sz w:val="17"/>
                <w:szCs w:val="17"/>
                <w:b w:val="1"/>
                <w:bCs w:val="1"/>
                <w:color w:val="auto"/>
              </w:rPr>
              <w:t>At December 31, 2019</w:t>
            </w:r>
          </w:p>
        </w:tc>
      </w:tr>
      <w:tr>
        <w:trPr>
          <w:trHeight w:val="26"/>
        </w:trPr>
        <w:tc>
          <w:tcPr>
            <w:tcW w:w="460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2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Lease terms and discount rates</w:t>
            </w:r>
          </w:p>
        </w:tc>
        <w:tc>
          <w:tcPr>
            <w:tcW w:w="460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28"/>
        </w:trPr>
        <w:tc>
          <w:tcPr>
            <w:tcW w:w="4600" w:type="dxa"/>
            <w:vAlign w:val="bottom"/>
          </w:tcPr>
          <w:p>
            <w:pPr>
              <w:ind w:left="160"/>
              <w:spacing w:after="0"/>
              <w:rPr>
                <w:sz w:val="20"/>
                <w:szCs w:val="20"/>
                <w:color w:val="auto"/>
              </w:rPr>
            </w:pPr>
            <w:r>
              <w:rPr>
                <w:rFonts w:ascii="Arial" w:cs="Arial" w:eastAsia="Arial" w:hAnsi="Arial"/>
                <w:sz w:val="17"/>
                <w:szCs w:val="17"/>
                <w:color w:val="auto"/>
              </w:rPr>
              <w:t>Remaining lease term</w:t>
            </w:r>
          </w:p>
        </w:tc>
        <w:tc>
          <w:tcPr>
            <w:tcW w:w="4600" w:type="dxa"/>
            <w:vAlign w:val="bottom"/>
          </w:tcPr>
          <w:p>
            <w:pPr>
              <w:spacing w:after="0"/>
              <w:rPr>
                <w:sz w:val="19"/>
                <w:szCs w:val="19"/>
                <w:color w:val="auto"/>
              </w:rPr>
            </w:pPr>
          </w:p>
        </w:tc>
        <w:tc>
          <w:tcPr>
            <w:tcW w:w="2220" w:type="dxa"/>
            <w:vAlign w:val="bottom"/>
          </w:tcPr>
          <w:p>
            <w:pPr>
              <w:jc w:val="right"/>
              <w:ind w:right="95"/>
              <w:spacing w:after="0"/>
              <w:rPr>
                <w:sz w:val="20"/>
                <w:szCs w:val="20"/>
                <w:color w:val="auto"/>
              </w:rPr>
            </w:pPr>
            <w:r>
              <w:rPr>
                <w:rFonts w:ascii="Arial" w:cs="Arial" w:eastAsia="Arial" w:hAnsi="Arial"/>
                <w:sz w:val="17"/>
                <w:szCs w:val="17"/>
                <w:color w:val="auto"/>
              </w:rPr>
              <w:t>5.00 years</w:t>
            </w:r>
          </w:p>
        </w:tc>
      </w:tr>
      <w:tr>
        <w:trPr>
          <w:trHeight w:val="27"/>
        </w:trPr>
        <w:tc>
          <w:tcPr>
            <w:tcW w:w="46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35"/>
        </w:trPr>
        <w:tc>
          <w:tcPr>
            <w:tcW w:w="4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Discount rate</w:t>
            </w:r>
          </w:p>
        </w:tc>
        <w:tc>
          <w:tcPr>
            <w:tcW w:w="6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4.02%</w:t>
            </w:r>
          </w:p>
        </w:tc>
      </w:tr>
      <w:tr>
        <w:trPr>
          <w:trHeight w:val="611"/>
        </w:trPr>
        <w:tc>
          <w:tcPr>
            <w:tcW w:w="4600" w:type="dxa"/>
            <w:vAlign w:val="bottom"/>
          </w:tcPr>
          <w:p>
            <w:pPr>
              <w:spacing w:after="0"/>
              <w:rPr>
                <w:sz w:val="24"/>
                <w:szCs w:val="24"/>
                <w:color w:val="auto"/>
              </w:rPr>
            </w:pPr>
          </w:p>
        </w:tc>
        <w:tc>
          <w:tcPr>
            <w:tcW w:w="6820" w:type="dxa"/>
            <w:vAlign w:val="bottom"/>
            <w:gridSpan w:val="2"/>
          </w:tcPr>
          <w:p>
            <w:pPr>
              <w:jc w:val="right"/>
              <w:ind w:right="5455"/>
              <w:spacing w:after="0"/>
              <w:rPr>
                <w:sz w:val="20"/>
                <w:szCs w:val="20"/>
                <w:color w:val="auto"/>
              </w:rPr>
            </w:pPr>
            <w:r>
              <w:rPr>
                <w:rFonts w:ascii="Arial" w:cs="Arial" w:eastAsia="Arial" w:hAnsi="Arial"/>
                <w:sz w:val="17"/>
                <w:szCs w:val="17"/>
                <w:color w:val="auto"/>
              </w:rPr>
              <w:t>F-30</w:t>
            </w:r>
          </w:p>
        </w:tc>
      </w:tr>
    </w:tbl>
    <w:p>
      <w:pPr>
        <w:sectPr>
          <w:pgSz w:w="11900" w:h="16838" w:orient="portrait"/>
          <w:cols w:equalWidth="0" w:num="1">
            <w:col w:w="11420"/>
          </w:cols>
          <w:pgMar w:left="240" w:top="127" w:right="23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280" w:firstLine="382"/>
        <w:spacing w:after="0" w:line="274" w:lineRule="auto"/>
        <w:rPr>
          <w:sz w:val="20"/>
          <w:szCs w:val="20"/>
          <w:color w:val="auto"/>
        </w:rPr>
      </w:pPr>
      <w:r>
        <w:rPr>
          <w:rFonts w:ascii="Arial" w:cs="Arial" w:eastAsia="Arial" w:hAnsi="Arial"/>
          <w:sz w:val="17"/>
          <w:szCs w:val="17"/>
          <w:color w:val="auto"/>
        </w:rPr>
        <w:t>Future undiscounted lease payments for our operating lease liabilities, and a reconciliation of these payments to our operating lease liabilities at December 31, 2019, are as follows (amounts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years ending December 31,</w:t>
            </w:r>
          </w:p>
        </w:tc>
        <w:tc>
          <w:tcPr>
            <w:tcW w:w="9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8"/>
        </w:trPr>
        <w:tc>
          <w:tcPr>
            <w:tcW w:w="9260" w:type="dxa"/>
            <w:vAlign w:val="bottom"/>
          </w:tcPr>
          <w:p>
            <w:pPr>
              <w:ind w:left="160"/>
              <w:spacing w:after="0"/>
              <w:rPr>
                <w:sz w:val="20"/>
                <w:szCs w:val="20"/>
                <w:color w:val="auto"/>
              </w:rPr>
            </w:pPr>
            <w:r>
              <w:rPr>
                <w:rFonts w:ascii="Arial" w:cs="Arial" w:eastAsia="Arial" w:hAnsi="Arial"/>
                <w:sz w:val="17"/>
                <w:szCs w:val="17"/>
                <w:color w:val="auto"/>
              </w:rPr>
              <w:t>2020</w:t>
            </w:r>
          </w:p>
        </w:tc>
        <w:tc>
          <w:tcPr>
            <w:tcW w:w="960" w:type="dxa"/>
            <w:vAlign w:val="bottom"/>
          </w:tcPr>
          <w:p>
            <w:pPr>
              <w:jc w:val="right"/>
              <w:ind w:right="775"/>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72</w:t>
            </w:r>
          </w:p>
        </w:tc>
      </w:tr>
      <w:tr>
        <w:trPr>
          <w:trHeight w:val="27"/>
        </w:trPr>
        <w:tc>
          <w:tcPr>
            <w:tcW w:w="9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9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2021</w:t>
            </w:r>
          </w:p>
        </w:tc>
        <w:tc>
          <w:tcPr>
            <w:tcW w:w="9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59</w:t>
            </w:r>
          </w:p>
        </w:tc>
      </w:tr>
      <w:tr>
        <w:trPr>
          <w:trHeight w:val="228"/>
        </w:trPr>
        <w:tc>
          <w:tcPr>
            <w:tcW w:w="9260" w:type="dxa"/>
            <w:vAlign w:val="bottom"/>
          </w:tcPr>
          <w:p>
            <w:pPr>
              <w:ind w:left="160"/>
              <w:spacing w:after="0"/>
              <w:rPr>
                <w:sz w:val="20"/>
                <w:szCs w:val="20"/>
                <w:color w:val="auto"/>
              </w:rPr>
            </w:pPr>
            <w:r>
              <w:rPr>
                <w:rFonts w:ascii="Arial" w:cs="Arial" w:eastAsia="Arial" w:hAnsi="Arial"/>
                <w:sz w:val="17"/>
                <w:szCs w:val="17"/>
                <w:color w:val="auto"/>
              </w:rPr>
              <w:t>2022</w:t>
            </w:r>
          </w:p>
        </w:tc>
        <w:tc>
          <w:tcPr>
            <w:tcW w:w="9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50</w:t>
            </w:r>
          </w:p>
        </w:tc>
      </w:tr>
      <w:tr>
        <w:trPr>
          <w:trHeight w:val="27"/>
        </w:trPr>
        <w:tc>
          <w:tcPr>
            <w:tcW w:w="9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9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2023</w:t>
            </w:r>
          </w:p>
        </w:tc>
        <w:tc>
          <w:tcPr>
            <w:tcW w:w="9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44</w:t>
            </w:r>
          </w:p>
        </w:tc>
      </w:tr>
      <w:tr>
        <w:trPr>
          <w:trHeight w:val="228"/>
        </w:trPr>
        <w:tc>
          <w:tcPr>
            <w:tcW w:w="9260" w:type="dxa"/>
            <w:vAlign w:val="bottom"/>
          </w:tcPr>
          <w:p>
            <w:pPr>
              <w:ind w:left="160"/>
              <w:spacing w:after="0"/>
              <w:rPr>
                <w:sz w:val="20"/>
                <w:szCs w:val="20"/>
                <w:color w:val="auto"/>
              </w:rPr>
            </w:pPr>
            <w:r>
              <w:rPr>
                <w:rFonts w:ascii="Arial" w:cs="Arial" w:eastAsia="Arial" w:hAnsi="Arial"/>
                <w:sz w:val="17"/>
                <w:szCs w:val="17"/>
                <w:color w:val="auto"/>
              </w:rPr>
              <w:t>2024</w:t>
            </w:r>
          </w:p>
        </w:tc>
        <w:tc>
          <w:tcPr>
            <w:tcW w:w="9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41</w:t>
            </w:r>
          </w:p>
        </w:tc>
      </w:tr>
      <w:tr>
        <w:trPr>
          <w:trHeight w:val="27"/>
        </w:trPr>
        <w:tc>
          <w:tcPr>
            <w:tcW w:w="9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9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Thereafter</w:t>
            </w:r>
          </w:p>
        </w:tc>
        <w:tc>
          <w:tcPr>
            <w:tcW w:w="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w:t>
            </w:r>
          </w:p>
        </w:tc>
      </w:tr>
      <w:tr>
        <w:trPr>
          <w:trHeight w:val="221"/>
        </w:trPr>
        <w:tc>
          <w:tcPr>
            <w:tcW w:w="9260" w:type="dxa"/>
            <w:vAlign w:val="bottom"/>
          </w:tcPr>
          <w:p>
            <w:pPr>
              <w:ind w:left="260"/>
              <w:spacing w:after="0"/>
              <w:rPr>
                <w:sz w:val="20"/>
                <w:szCs w:val="20"/>
                <w:color w:val="auto"/>
              </w:rPr>
            </w:pPr>
            <w:r>
              <w:rPr>
                <w:rFonts w:ascii="Arial" w:cs="Arial" w:eastAsia="Arial" w:hAnsi="Arial"/>
                <w:sz w:val="17"/>
                <w:szCs w:val="17"/>
                <w:color w:val="auto"/>
              </w:rPr>
              <w:t>Total future lease payments</w:t>
            </w:r>
          </w:p>
        </w:tc>
        <w:tc>
          <w:tcPr>
            <w:tcW w:w="960" w:type="dxa"/>
            <w:vAlign w:val="bottom"/>
            <w:tcBorders>
              <w:top w:val="single" w:sz="8" w:color="auto"/>
            </w:tcBorders>
          </w:tcPr>
          <w:p>
            <w:pPr>
              <w:jc w:val="right"/>
              <w:ind w:right="7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303</w:t>
            </w:r>
          </w:p>
        </w:tc>
      </w:tr>
      <w:tr>
        <w:trPr>
          <w:trHeight w:val="27"/>
        </w:trPr>
        <w:tc>
          <w:tcPr>
            <w:tcW w:w="9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8"/>
        </w:trPr>
        <w:tc>
          <w:tcPr>
            <w:tcW w:w="9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Less imputed interest</w:t>
            </w:r>
          </w:p>
        </w:tc>
        <w:tc>
          <w:tcPr>
            <w:tcW w:w="9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r>
      <w:tr>
        <w:trPr>
          <w:trHeight w:val="241"/>
        </w:trPr>
        <w:tc>
          <w:tcPr>
            <w:tcW w:w="9260" w:type="dxa"/>
            <w:vAlign w:val="bottom"/>
          </w:tcPr>
          <w:p>
            <w:pPr>
              <w:ind w:left="360"/>
              <w:spacing w:after="0"/>
              <w:rPr>
                <w:sz w:val="20"/>
                <w:szCs w:val="20"/>
                <w:color w:val="auto"/>
              </w:rPr>
            </w:pPr>
            <w:r>
              <w:rPr>
                <w:rFonts w:ascii="Arial" w:cs="Arial" w:eastAsia="Arial" w:hAnsi="Arial"/>
                <w:sz w:val="17"/>
                <w:szCs w:val="17"/>
                <w:color w:val="auto"/>
              </w:rPr>
              <w:t>Total lease liabilities</w:t>
            </w: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273</w:t>
            </w:r>
          </w:p>
        </w:tc>
      </w:tr>
      <w:tr>
        <w:trPr>
          <w:trHeight w:val="20"/>
        </w:trPr>
        <w:tc>
          <w:tcPr>
            <w:tcW w:w="9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380" w:firstLine="382"/>
        <w:spacing w:after="0" w:line="274" w:lineRule="auto"/>
        <w:rPr>
          <w:sz w:val="20"/>
          <w:szCs w:val="20"/>
          <w:color w:val="auto"/>
        </w:rPr>
      </w:pPr>
      <w:r>
        <w:rPr>
          <w:rFonts w:ascii="Arial" w:cs="Arial" w:eastAsia="Arial" w:hAnsi="Arial"/>
          <w:sz w:val="17"/>
          <w:szCs w:val="17"/>
          <w:color w:val="auto"/>
        </w:rPr>
        <w:t>As of December 31, 2019, we have entered into facility leases that have not yet commenced with future lease payments of approximately $58 million. These leases are expected to commence within the next 12 months and will have lease terms ranging from three years to five years.</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Operating lease ROU assets and liabilities recorded on our consolidated balance sheet as of December 31, 2019, were as follows (amounts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ind w:right="215"/>
              <w:spacing w:after="0"/>
              <w:rPr>
                <w:sz w:val="20"/>
                <w:szCs w:val="20"/>
                <w:color w:val="auto"/>
              </w:rPr>
            </w:pPr>
            <w:r>
              <w:rPr>
                <w:rFonts w:ascii="Arial" w:cs="Arial" w:eastAsia="Arial" w:hAnsi="Arial"/>
                <w:sz w:val="17"/>
                <w:szCs w:val="17"/>
                <w:b w:val="1"/>
                <w:bCs w:val="1"/>
                <w:color w:val="auto"/>
                <w:w w:val="94"/>
              </w:rPr>
              <w:t>At December 31, 2019</w:t>
            </w:r>
          </w:p>
        </w:tc>
        <w:tc>
          <w:tcPr>
            <w:tcW w:w="100" w:type="dxa"/>
            <w:vAlign w:val="bottom"/>
          </w:tcPr>
          <w:p>
            <w:pPr>
              <w:spacing w:after="0"/>
              <w:rPr>
                <w:sz w:val="19"/>
                <w:szCs w:val="19"/>
                <w:color w:val="auto"/>
              </w:rPr>
            </w:pPr>
          </w:p>
        </w:tc>
        <w:tc>
          <w:tcPr>
            <w:tcW w:w="4560" w:type="dxa"/>
            <w:vAlign w:val="bottom"/>
          </w:tcPr>
          <w:p>
            <w:pPr>
              <w:ind w:left="1260"/>
              <w:spacing w:after="0"/>
              <w:rPr>
                <w:sz w:val="20"/>
                <w:szCs w:val="20"/>
                <w:color w:val="auto"/>
              </w:rPr>
            </w:pPr>
            <w:r>
              <w:rPr>
                <w:rFonts w:ascii="Arial" w:cs="Arial" w:eastAsia="Arial" w:hAnsi="Arial"/>
                <w:sz w:val="17"/>
                <w:szCs w:val="17"/>
                <w:b w:val="1"/>
                <w:bCs w:val="1"/>
                <w:color w:val="auto"/>
              </w:rPr>
              <w:t>Balance Sheet Classification</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2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shd w:val="clear" w:color="auto" w:fill="CCEEFF"/>
          </w:tcPr>
          <w:p>
            <w:pPr>
              <w:spacing w:after="0"/>
              <w:rPr>
                <w:sz w:val="19"/>
                <w:szCs w:val="19"/>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assets</w:t>
            </w:r>
          </w:p>
        </w:tc>
      </w:tr>
      <w:tr>
        <w:trPr>
          <w:trHeight w:val="306"/>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Current lease liabilities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Accrued expenses and other current liabilities</w:t>
            </w:r>
          </w:p>
        </w:tc>
      </w:tr>
      <w:tr>
        <w:trPr>
          <w:trHeight w:val="228"/>
        </w:trPr>
        <w:tc>
          <w:tcPr>
            <w:tcW w:w="4580" w:type="dxa"/>
            <w:vAlign w:val="bottom"/>
          </w:tcPr>
          <w:p>
            <w:pPr>
              <w:ind w:left="20"/>
              <w:spacing w:after="0"/>
              <w:rPr>
                <w:sz w:val="20"/>
                <w:szCs w:val="20"/>
                <w:color w:val="auto"/>
              </w:rPr>
            </w:pPr>
            <w:r>
              <w:rPr>
                <w:rFonts w:ascii="Arial" w:cs="Arial" w:eastAsia="Arial" w:hAnsi="Arial"/>
                <w:sz w:val="17"/>
                <w:szCs w:val="17"/>
                <w:color w:val="auto"/>
              </w:rPr>
              <w:t>Non-current lease liabilities</w:t>
            </w:r>
          </w:p>
        </w:tc>
        <w:tc>
          <w:tcPr>
            <w:tcW w:w="200" w:type="dxa"/>
            <w:vAlign w:val="bottom"/>
          </w:tcPr>
          <w:p>
            <w:pPr>
              <w:spacing w:after="0"/>
              <w:rPr>
                <w:sz w:val="19"/>
                <w:szCs w:val="19"/>
                <w:color w:val="auto"/>
              </w:rPr>
            </w:pPr>
          </w:p>
        </w:tc>
        <w:tc>
          <w:tcPr>
            <w:tcW w:w="1980" w:type="dxa"/>
            <w:vAlign w:val="bottom"/>
          </w:tcPr>
          <w:p>
            <w:pPr>
              <w:jc w:val="right"/>
              <w:ind w:right="15"/>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Arial" w:cs="Arial" w:eastAsia="Arial" w:hAnsi="Arial"/>
                <w:sz w:val="17"/>
                <w:szCs w:val="17"/>
                <w:color w:val="auto"/>
              </w:rPr>
              <w:t>Other liabilities</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r>
      <w:tr>
        <w:trPr>
          <w:trHeight w:val="241"/>
        </w:trPr>
        <w:tc>
          <w:tcPr>
            <w:tcW w:w="4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lease liabilities</w:t>
            </w: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39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Future minimum lease payments as of December 31, 2018, prior to our adoption of the new lease accounting standard,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For the years ending December 31,</w:t>
            </w:r>
          </w:p>
        </w:tc>
        <w:tc>
          <w:tcPr>
            <w:tcW w:w="52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29"/>
        </w:trPr>
        <w:tc>
          <w:tcPr>
            <w:tcW w:w="4060" w:type="dxa"/>
            <w:vAlign w:val="bottom"/>
          </w:tcPr>
          <w:p>
            <w:pPr>
              <w:ind w:left="160"/>
              <w:spacing w:after="0"/>
              <w:rPr>
                <w:sz w:val="20"/>
                <w:szCs w:val="20"/>
                <w:color w:val="auto"/>
              </w:rPr>
            </w:pPr>
            <w:r>
              <w:rPr>
                <w:rFonts w:ascii="Arial" w:cs="Arial" w:eastAsia="Arial" w:hAnsi="Arial"/>
                <w:sz w:val="17"/>
                <w:szCs w:val="17"/>
                <w:color w:val="auto"/>
              </w:rPr>
              <w:t>2019</w:t>
            </w:r>
          </w:p>
        </w:tc>
        <w:tc>
          <w:tcPr>
            <w:tcW w:w="6160" w:type="dxa"/>
            <w:vAlign w:val="bottom"/>
            <w:gridSpan w:val="2"/>
          </w:tcPr>
          <w:p>
            <w:pPr>
              <w:jc w:val="right"/>
              <w:ind w:right="775"/>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80</w:t>
            </w:r>
          </w:p>
        </w:tc>
      </w:tr>
      <w:tr>
        <w:trPr>
          <w:trHeight w:val="26"/>
        </w:trPr>
        <w:tc>
          <w:tcPr>
            <w:tcW w:w="40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2020</w:t>
            </w:r>
          </w:p>
        </w:tc>
        <w:tc>
          <w:tcPr>
            <w:tcW w:w="5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70</w:t>
            </w:r>
          </w:p>
        </w:tc>
      </w:tr>
      <w:tr>
        <w:trPr>
          <w:trHeight w:val="228"/>
        </w:trPr>
        <w:tc>
          <w:tcPr>
            <w:tcW w:w="4060" w:type="dxa"/>
            <w:vAlign w:val="bottom"/>
          </w:tcPr>
          <w:p>
            <w:pPr>
              <w:ind w:left="160"/>
              <w:spacing w:after="0"/>
              <w:rPr>
                <w:sz w:val="20"/>
                <w:szCs w:val="20"/>
                <w:color w:val="auto"/>
              </w:rPr>
            </w:pPr>
            <w:r>
              <w:rPr>
                <w:rFonts w:ascii="Arial" w:cs="Arial" w:eastAsia="Arial" w:hAnsi="Arial"/>
                <w:sz w:val="17"/>
                <w:szCs w:val="17"/>
                <w:color w:val="auto"/>
              </w:rPr>
              <w:t>2021</w:t>
            </w: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53</w:t>
            </w:r>
          </w:p>
        </w:tc>
      </w:tr>
      <w:tr>
        <w:trPr>
          <w:trHeight w:val="27"/>
        </w:trPr>
        <w:tc>
          <w:tcPr>
            <w:tcW w:w="40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2022</w:t>
            </w:r>
          </w:p>
        </w:tc>
        <w:tc>
          <w:tcPr>
            <w:tcW w:w="5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r>
      <w:tr>
        <w:trPr>
          <w:trHeight w:val="228"/>
        </w:trPr>
        <w:tc>
          <w:tcPr>
            <w:tcW w:w="4060" w:type="dxa"/>
            <w:vAlign w:val="bottom"/>
          </w:tcPr>
          <w:p>
            <w:pPr>
              <w:ind w:left="160"/>
              <w:spacing w:after="0"/>
              <w:rPr>
                <w:sz w:val="20"/>
                <w:szCs w:val="20"/>
                <w:color w:val="auto"/>
              </w:rPr>
            </w:pPr>
            <w:r>
              <w:rPr>
                <w:rFonts w:ascii="Arial" w:cs="Arial" w:eastAsia="Arial" w:hAnsi="Arial"/>
                <w:sz w:val="17"/>
                <w:szCs w:val="17"/>
                <w:color w:val="auto"/>
              </w:rPr>
              <w:t>2023</w:t>
            </w: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0" w:type="dxa"/>
            <w:vAlign w:val="bottom"/>
          </w:tcPr>
          <w:p>
            <w:pPr>
              <w:jc w:val="right"/>
              <w:ind w:right="15"/>
              <w:spacing w:after="0"/>
              <w:rPr>
                <w:sz w:val="20"/>
                <w:szCs w:val="20"/>
                <w:color w:val="auto"/>
              </w:rPr>
            </w:pPr>
            <w:r>
              <w:rPr>
                <w:rFonts w:ascii="Arial" w:cs="Arial" w:eastAsia="Arial" w:hAnsi="Arial"/>
                <w:sz w:val="17"/>
                <w:szCs w:val="17"/>
                <w:color w:val="auto"/>
              </w:rPr>
              <w:t>38</w:t>
            </w:r>
          </w:p>
        </w:tc>
      </w:tr>
      <w:tr>
        <w:trPr>
          <w:trHeight w:val="27"/>
        </w:trPr>
        <w:tc>
          <w:tcPr>
            <w:tcW w:w="406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4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Thereafter</w:t>
            </w:r>
          </w:p>
        </w:tc>
        <w:tc>
          <w:tcPr>
            <w:tcW w:w="5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w:t>
            </w:r>
          </w:p>
        </w:tc>
      </w:tr>
      <w:tr>
        <w:trPr>
          <w:trHeight w:val="241"/>
        </w:trPr>
        <w:tc>
          <w:tcPr>
            <w:tcW w:w="4060" w:type="dxa"/>
            <w:vAlign w:val="bottom"/>
          </w:tcPr>
          <w:p>
            <w:pPr>
              <w:ind w:left="360"/>
              <w:spacing w:after="0"/>
              <w:rPr>
                <w:sz w:val="20"/>
                <w:szCs w:val="20"/>
                <w:color w:val="auto"/>
              </w:rPr>
            </w:pPr>
            <w:r>
              <w:rPr>
                <w:rFonts w:ascii="Arial" w:cs="Arial" w:eastAsia="Arial" w:hAnsi="Arial"/>
                <w:sz w:val="17"/>
                <w:szCs w:val="17"/>
                <w:color w:val="auto"/>
              </w:rPr>
              <w:t>Total</w:t>
            </w:r>
          </w:p>
        </w:tc>
        <w:tc>
          <w:tcPr>
            <w:tcW w:w="52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346</w:t>
            </w:r>
          </w:p>
        </w:tc>
      </w:tr>
      <w:tr>
        <w:trPr>
          <w:trHeight w:val="20"/>
        </w:trPr>
        <w:tc>
          <w:tcPr>
            <w:tcW w:w="40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00"/>
        </w:trPr>
        <w:tc>
          <w:tcPr>
            <w:tcW w:w="4060" w:type="dxa"/>
            <w:vAlign w:val="bottom"/>
          </w:tcPr>
          <w:p>
            <w:pPr>
              <w:spacing w:after="0"/>
              <w:rPr>
                <w:sz w:val="24"/>
                <w:szCs w:val="24"/>
                <w:color w:val="auto"/>
              </w:rPr>
            </w:pPr>
          </w:p>
        </w:tc>
        <w:tc>
          <w:tcPr>
            <w:tcW w:w="6160" w:type="dxa"/>
            <w:vAlign w:val="bottom"/>
            <w:gridSpan w:val="2"/>
          </w:tcPr>
          <w:p>
            <w:pPr>
              <w:jc w:val="right"/>
              <w:ind w:right="4255"/>
              <w:spacing w:after="0"/>
              <w:rPr>
                <w:sz w:val="20"/>
                <w:szCs w:val="20"/>
                <w:color w:val="auto"/>
              </w:rPr>
            </w:pPr>
            <w:r>
              <w:rPr>
                <w:rFonts w:ascii="Arial" w:cs="Arial" w:eastAsia="Arial" w:hAnsi="Arial"/>
                <w:sz w:val="17"/>
                <w:szCs w:val="17"/>
                <w:color w:val="auto"/>
              </w:rPr>
              <w:t>F-31</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Debt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13" w:lineRule="exact"/>
        <w:rPr>
          <w:sz w:val="20"/>
          <w:szCs w:val="20"/>
          <w:color w:val="auto"/>
        </w:rPr>
      </w:pPr>
    </w:p>
    <w:p>
      <w:pPr>
        <w:ind w:right="300" w:firstLine="370"/>
        <w:spacing w:after="0" w:line="343" w:lineRule="auto"/>
        <w:rPr>
          <w:sz w:val="20"/>
          <w:szCs w:val="20"/>
          <w:color w:val="auto"/>
        </w:rPr>
      </w:pPr>
      <w:r>
        <w:rPr>
          <w:rFonts w:ascii="Arial" w:cs="Arial" w:eastAsia="Arial" w:hAnsi="Arial"/>
          <w:sz w:val="15"/>
          <w:szCs w:val="15"/>
          <w:color w:val="auto"/>
        </w:rPr>
        <w:t>At December 31, 2019 and December 31, 2018, we had $1.5 billion available under a revolving credit facility (the “Revolver”) pursuant to a credit agreement entered into on October 11, 2013 (as amended thereafter and from time to time, the “Credit Agreement”). To date, we have not drawn on the Revolver.</w:t>
      </w:r>
    </w:p>
    <w:p>
      <w:pPr>
        <w:spacing w:after="0" w:line="119" w:lineRule="exact"/>
        <w:rPr>
          <w:sz w:val="20"/>
          <w:szCs w:val="20"/>
          <w:color w:val="auto"/>
        </w:rPr>
      </w:pPr>
    </w:p>
    <w:p>
      <w:pPr>
        <w:ind w:right="100" w:firstLine="370"/>
        <w:spacing w:after="0" w:line="274" w:lineRule="auto"/>
        <w:rPr>
          <w:sz w:val="20"/>
          <w:szCs w:val="20"/>
          <w:color w:val="auto"/>
        </w:rPr>
      </w:pPr>
      <w:r>
        <w:rPr>
          <w:rFonts w:ascii="Arial" w:cs="Arial" w:eastAsia="Arial" w:hAnsi="Arial"/>
          <w:sz w:val="16"/>
          <w:szCs w:val="16"/>
          <w:color w:val="auto"/>
        </w:rPr>
        <w:t>The Revolver is scheduled to mature on August 24, 2023. Borrowings under the Revolver will bear interest, at the Company’s option, at either (1) a base rate equal to the highest of (i) the federal funds rate, plus 0.5%, (ii) the prime commercial lending rate of Bank of America, N.A. and (iii) the London Interbank Offered Rate (“LIBOR”) for an interest period of one month beginning on such day plus 1.00%, or (2) LIBOR, in each case, plus an applicable interest margin. LIBOR will be subject to a floor of 0% and base rate will be subject to an effective floor of 1.00%. The applicable interest margin for borrowings under the Revolver will range from 0.875% to 1.375% for LIBOR borrowings and from 0% to 0.375% for base rate borrowings and will be determined by reference to a pricing grid based on the Company’s credit ratings. Up to $50 million of the Revolver may be used for letters of credit.</w:t>
      </w:r>
    </w:p>
    <w:p>
      <w:pPr>
        <w:spacing w:after="0" w:line="16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Under the Credit Agreement, we are subject to a financial covenant requiring the Company’s Consolidated Total Net</w:t>
      </w:r>
    </w:p>
    <w:p>
      <w:pPr>
        <w:spacing w:after="0" w:line="20"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Debt Ratio (as defined in the Credit Agreement) not to exceed 3.75:1.00 (or, at the Company’s option and for a limited period of time upon the consummation of a Qualifying Acquisition (as defined in the Credit Agreement), 4.25:1.00). The Credit Agreement contains covenants customary for transactions of this type for issuers with similar credit ratings. These include those restricting liens, debt of non-guarantor subsidiaries and certain fundamental changes, in each case with exceptions, including exceptions for secured debt and debt of non-guarantor subsidiaries of the Company, in each case up to an amount not exceeding 7.5% of Total Assets (as defined in the Credit Agreement). We were in compliance with the terms of the Credit Agreement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Unsecured Senior Notes</w:t>
      </w:r>
    </w:p>
    <w:p>
      <w:pPr>
        <w:spacing w:after="0" w:line="21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At December 31, 2019 and December 31, 2018, we had the following unsecured senior notes outstanding:</w:t>
      </w:r>
    </w:p>
    <w:p>
      <w:pPr>
        <w:spacing w:after="0" w:line="213" w:lineRule="exact"/>
        <w:rPr>
          <w:sz w:val="20"/>
          <w:szCs w:val="20"/>
          <w:color w:val="auto"/>
        </w:rPr>
      </w:pPr>
    </w:p>
    <w:p>
      <w:pPr>
        <w:ind w:left="920" w:hanging="306"/>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$650 million of 2.3% unsecured senior notes due September 2021 (the “2021 Notes”);</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$400 million of 2.6% unsecured senior notes due June 2022 (the “2022 Notes”);</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$850 million of 3.4% unsecured senior notes due September 2026 (the “2026 Notes”);</w:t>
      </w:r>
    </w:p>
    <w:p>
      <w:pPr>
        <w:spacing w:after="0" w:line="212" w:lineRule="exact"/>
        <w:rPr>
          <w:rFonts w:ascii="Arial" w:cs="Arial" w:eastAsia="Arial" w:hAnsi="Arial"/>
          <w:sz w:val="17"/>
          <w:szCs w:val="17"/>
          <w:color w:val="auto"/>
        </w:rPr>
      </w:pPr>
    </w:p>
    <w:p>
      <w:pPr>
        <w:ind w:left="920" w:hanging="306"/>
        <w:spacing w:after="0"/>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$400 million of 3.4% unsecured senior notes due June 2027 (the “2027 Notes”); and</w:t>
      </w:r>
    </w:p>
    <w:p>
      <w:pPr>
        <w:spacing w:after="0" w:line="212" w:lineRule="exact"/>
        <w:rPr>
          <w:rFonts w:ascii="Arial" w:cs="Arial" w:eastAsia="Arial" w:hAnsi="Arial"/>
          <w:sz w:val="17"/>
          <w:szCs w:val="17"/>
          <w:color w:val="auto"/>
        </w:rPr>
      </w:pPr>
    </w:p>
    <w:p>
      <w:pPr>
        <w:ind w:left="920" w:hanging="306"/>
        <w:spacing w:after="0" w:line="274" w:lineRule="auto"/>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$400 million of 4.5% unsecured senior notes due June 2047 (the “2047 Notes”, and together with the 2021 Notes, the 2022 Notes, the 2026 Notes, and the 2027 Notes, the “Notes”).</w:t>
      </w:r>
    </w:p>
    <w:p>
      <w:pPr>
        <w:spacing w:after="0" w:line="166" w:lineRule="exact"/>
        <w:rPr>
          <w:sz w:val="20"/>
          <w:szCs w:val="20"/>
          <w:color w:val="auto"/>
        </w:rPr>
      </w:pPr>
    </w:p>
    <w:p>
      <w:pPr>
        <w:ind w:right="40" w:firstLine="382"/>
        <w:spacing w:after="0" w:line="256" w:lineRule="auto"/>
        <w:rPr>
          <w:sz w:val="20"/>
          <w:szCs w:val="20"/>
          <w:color w:val="auto"/>
        </w:rPr>
      </w:pPr>
      <w:r>
        <w:rPr>
          <w:rFonts w:ascii="Arial" w:cs="Arial" w:eastAsia="Arial" w:hAnsi="Arial"/>
          <w:sz w:val="17"/>
          <w:szCs w:val="17"/>
          <w:color w:val="auto"/>
        </w:rPr>
        <w:t xml:space="preserve">The Notes are general senior obligations of the Company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 right of payment to all of the Company’s existing and future senior indebtedness, including the Revolver described above. The Notes are not secured and are effectively junior to any of the Company’s existing and future indebtedness that is secured to the extent of the value of the collateral securing such indebtedness. The Notes contain customary covenants that place restrictions in certain circumstances on, among other things, the incurrence of secured debt, entry into sale or leaseback transactions, and certain merger or consolidation transactions. We were in compliance with the terms of the Notes as of December 31, 2019.</w:t>
      </w:r>
    </w:p>
    <w:p>
      <w:pPr>
        <w:spacing w:after="0" w:line="181" w:lineRule="exact"/>
        <w:rPr>
          <w:sz w:val="20"/>
          <w:szCs w:val="20"/>
          <w:color w:val="auto"/>
        </w:rPr>
      </w:pPr>
    </w:p>
    <w:p>
      <w:pPr>
        <w:ind w:right="300" w:firstLine="382"/>
        <w:spacing w:after="0" w:line="258" w:lineRule="auto"/>
        <w:rPr>
          <w:sz w:val="20"/>
          <w:szCs w:val="20"/>
          <w:color w:val="auto"/>
        </w:rPr>
      </w:pPr>
      <w:r>
        <w:rPr>
          <w:rFonts w:ascii="Arial" w:cs="Arial" w:eastAsia="Arial" w:hAnsi="Arial"/>
          <w:sz w:val="17"/>
          <w:szCs w:val="17"/>
          <w:color w:val="auto"/>
        </w:rPr>
        <w:t>Interest is payable semi-annually in arrears on March 15 and September 15 of each year for the 2021 Notes and the 2026 Notes, and payable semi-annually in arrears on June 15 and December 15 of each year for the 2022 Notes, the 2027 Notes, and the 2047 Notes. Accrued interest payable is recorded within “Accrued expenses and other liabilities” in our consolidated balance sheets. As of both December 31, 2019 and December 31, 2018, we had accrued interest payable of $15 million related to the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420"/>
          </w:cols>
          <w:pgMar w:left="240" w:top="127" w:right="23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20" w:firstLine="382"/>
        <w:spacing w:after="0" w:line="258" w:lineRule="auto"/>
        <w:rPr>
          <w:sz w:val="20"/>
          <w:szCs w:val="20"/>
          <w:color w:val="auto"/>
        </w:rPr>
      </w:pPr>
      <w:r>
        <w:rPr>
          <w:rFonts w:ascii="Arial" w:cs="Arial" w:eastAsia="Arial" w:hAnsi="Arial"/>
          <w:sz w:val="17"/>
          <w:szCs w:val="17"/>
          <w:color w:val="auto"/>
        </w:rPr>
        <w:t>We may redeem some or all of the 2021 Notes, the 2022 Notes, the 2026 Notes, the 2027 Notes, and the 2047 Notes prior to August 15, 2021, May 15, 2022, June 15, 2026, March 15, 2027, and December 15, 2046, respectively, and in each case at a price equal to 100% of the aggregate principal amount thereof plus a “make-whole” premium and accrued and unpaid interest. Any redemption of all or a portion of the applicable class of note after the applicable date would be at 100% of aggregate principal amount plus accrued and unpaid interest.</w:t>
      </w:r>
    </w:p>
    <w:p>
      <w:pPr>
        <w:spacing w:after="0" w:line="179" w:lineRule="exact"/>
        <w:rPr>
          <w:sz w:val="20"/>
          <w:szCs w:val="20"/>
          <w:color w:val="auto"/>
        </w:rPr>
      </w:pPr>
    </w:p>
    <w:p>
      <w:pPr>
        <w:ind w:right="200" w:firstLine="382"/>
        <w:spacing w:after="0" w:line="262" w:lineRule="auto"/>
        <w:rPr>
          <w:sz w:val="20"/>
          <w:szCs w:val="20"/>
          <w:color w:val="auto"/>
        </w:rPr>
      </w:pPr>
      <w:r>
        <w:rPr>
          <w:rFonts w:ascii="Arial" w:cs="Arial" w:eastAsia="Arial" w:hAnsi="Arial"/>
          <w:sz w:val="17"/>
          <w:szCs w:val="17"/>
          <w:color w:val="auto"/>
        </w:rPr>
        <w:t>Upon the occurrence of certain change of control events, we will be required to offer to repurchase the Notes at a purchase price equal to 101% of the principal amount thereof, plus accrued and unpaid interest. These repurchase requirements are considered clearly and closely related to the Notes and are not accounted for separately upon issuance.</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 and financing costs</w:t>
      </w:r>
    </w:p>
    <w:p>
      <w:pPr>
        <w:spacing w:after="0" w:line="213" w:lineRule="exact"/>
        <w:rPr>
          <w:sz w:val="20"/>
          <w:szCs w:val="20"/>
          <w:color w:val="auto"/>
        </w:rPr>
      </w:pPr>
    </w:p>
    <w:p>
      <w:pPr>
        <w:ind w:right="80" w:firstLine="382"/>
        <w:spacing w:after="0" w:line="343" w:lineRule="auto"/>
        <w:rPr>
          <w:sz w:val="20"/>
          <w:szCs w:val="20"/>
          <w:color w:val="auto"/>
        </w:rPr>
      </w:pPr>
      <w:r>
        <w:rPr>
          <w:rFonts w:ascii="Arial" w:cs="Arial" w:eastAsia="Arial" w:hAnsi="Arial"/>
          <w:sz w:val="15"/>
          <w:szCs w:val="15"/>
          <w:color w:val="auto"/>
        </w:rPr>
        <w:t>Fees and discounts associated with the issuance of our debt instruments are recorded as debt discount, which reduces their respective carrying values, and are amortized over their respective terms. Amortization expense is recorded within “Interest and other expense (income), net” in our consolidated statement of operations.</w:t>
      </w:r>
    </w:p>
    <w:p>
      <w:pPr>
        <w:spacing w:after="0" w:line="119" w:lineRule="exact"/>
        <w:rPr>
          <w:sz w:val="20"/>
          <w:szCs w:val="20"/>
          <w:color w:val="auto"/>
        </w:rPr>
      </w:pPr>
    </w:p>
    <w:p>
      <w:pPr>
        <w:ind w:right="20" w:firstLine="382"/>
        <w:spacing w:after="0" w:line="274" w:lineRule="auto"/>
        <w:rPr>
          <w:sz w:val="20"/>
          <w:szCs w:val="20"/>
          <w:color w:val="auto"/>
        </w:rPr>
      </w:pPr>
      <w:r>
        <w:rPr>
          <w:rFonts w:ascii="Arial" w:cs="Arial" w:eastAsia="Arial" w:hAnsi="Arial"/>
          <w:sz w:val="17"/>
          <w:szCs w:val="17"/>
          <w:color w:val="auto"/>
        </w:rPr>
        <w:t>For the years ended December 31, 2019, 2018, and 2017: interest expense was $86 million, $134 million, and $150 million, respectively; amortization of the debt discount and deferred financing costs was $4 million, $6 million, and $12 million, respectively.</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summary of our outstanding debt is as follows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6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At December 31, 2019</w:t>
            </w:r>
          </w:p>
        </w:tc>
        <w:tc>
          <w:tcPr>
            <w:tcW w:w="3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44"/>
        </w:trPr>
        <w:tc>
          <w:tcPr>
            <w:tcW w:w="5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Unamortized</w:t>
            </w: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0"/>
        </w:trPr>
        <w:tc>
          <w:tcPr>
            <w:tcW w:w="5360" w:type="dxa"/>
            <w:vAlign w:val="bottom"/>
          </w:tcPr>
          <w:p>
            <w:pPr>
              <w:spacing w:after="0"/>
              <w:rPr>
                <w:sz w:val="12"/>
                <w:szCs w:val="12"/>
                <w:color w:val="auto"/>
              </w:rPr>
            </w:pPr>
          </w:p>
        </w:tc>
        <w:tc>
          <w:tcPr>
            <w:tcW w:w="1460" w:type="dxa"/>
            <w:vAlign w:val="bottom"/>
          </w:tcPr>
          <w:p>
            <w:pPr>
              <w:jc w:val="center"/>
              <w:ind w:left="444"/>
              <w:spacing w:after="0" w:line="141" w:lineRule="exact"/>
              <w:rPr>
                <w:sz w:val="20"/>
                <w:szCs w:val="20"/>
                <w:color w:val="auto"/>
              </w:rPr>
            </w:pPr>
            <w:r>
              <w:rPr>
                <w:rFonts w:ascii="Arial" w:cs="Arial" w:eastAsia="Arial" w:hAnsi="Arial"/>
                <w:sz w:val="14"/>
                <w:szCs w:val="14"/>
                <w:b w:val="1"/>
                <w:bCs w:val="1"/>
                <w:color w:val="auto"/>
                <w:w w:val="88"/>
              </w:rPr>
              <w:t>Gross Carrying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Discount and Deferred</w:t>
            </w:r>
          </w:p>
        </w:tc>
        <w:tc>
          <w:tcPr>
            <w:tcW w:w="340" w:type="dxa"/>
            <w:vAlign w:val="bottom"/>
          </w:tcPr>
          <w:p>
            <w:pPr>
              <w:spacing w:after="0"/>
              <w:rPr>
                <w:sz w:val="12"/>
                <w:szCs w:val="12"/>
                <w:color w:val="auto"/>
              </w:rPr>
            </w:pPr>
          </w:p>
        </w:tc>
        <w:tc>
          <w:tcPr>
            <w:tcW w:w="1580" w:type="dxa"/>
            <w:vAlign w:val="bottom"/>
          </w:tcPr>
          <w:p>
            <w:pPr>
              <w:jc w:val="center"/>
              <w:ind w:right="259"/>
              <w:spacing w:after="0" w:line="141" w:lineRule="exact"/>
              <w:rPr>
                <w:sz w:val="20"/>
                <w:szCs w:val="20"/>
                <w:color w:val="auto"/>
              </w:rPr>
            </w:pPr>
            <w:r>
              <w:rPr>
                <w:rFonts w:ascii="Arial" w:cs="Arial" w:eastAsia="Arial" w:hAnsi="Arial"/>
                <w:sz w:val="14"/>
                <w:szCs w:val="14"/>
                <w:b w:val="1"/>
                <w:bCs w:val="1"/>
                <w:color w:val="auto"/>
                <w:w w:val="90"/>
              </w:rPr>
              <w:t>Net Carrying</w:t>
            </w:r>
          </w:p>
        </w:tc>
      </w:tr>
      <w:tr>
        <w:trPr>
          <w:trHeight w:val="181"/>
        </w:trPr>
        <w:tc>
          <w:tcPr>
            <w:tcW w:w="5360" w:type="dxa"/>
            <w:vAlign w:val="bottom"/>
          </w:tcPr>
          <w:p>
            <w:pPr>
              <w:spacing w:after="0"/>
              <w:rPr>
                <w:sz w:val="15"/>
                <w:szCs w:val="15"/>
                <w:color w:val="auto"/>
              </w:rPr>
            </w:pPr>
          </w:p>
        </w:tc>
        <w:tc>
          <w:tcPr>
            <w:tcW w:w="1460" w:type="dxa"/>
            <w:vAlign w:val="bottom"/>
          </w:tcPr>
          <w:p>
            <w:pPr>
              <w:jc w:val="center"/>
              <w:ind w:left="444"/>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Financing Costs</w:t>
            </w:r>
          </w:p>
        </w:tc>
        <w:tc>
          <w:tcPr>
            <w:tcW w:w="340" w:type="dxa"/>
            <w:vAlign w:val="bottom"/>
          </w:tcPr>
          <w:p>
            <w:pPr>
              <w:spacing w:after="0"/>
              <w:rPr>
                <w:sz w:val="15"/>
                <w:szCs w:val="15"/>
                <w:color w:val="auto"/>
              </w:rPr>
            </w:pPr>
          </w:p>
        </w:tc>
        <w:tc>
          <w:tcPr>
            <w:tcW w:w="1580" w:type="dxa"/>
            <w:vAlign w:val="bottom"/>
          </w:tcPr>
          <w:p>
            <w:pPr>
              <w:jc w:val="center"/>
              <w:ind w:right="259"/>
              <w:spacing w:after="0"/>
              <w:rPr>
                <w:sz w:val="20"/>
                <w:szCs w:val="20"/>
                <w:color w:val="auto"/>
              </w:rPr>
            </w:pPr>
            <w:r>
              <w:rPr>
                <w:rFonts w:ascii="Arial" w:cs="Arial" w:eastAsia="Arial" w:hAnsi="Arial"/>
                <w:sz w:val="14"/>
                <w:szCs w:val="14"/>
                <w:b w:val="1"/>
                <w:bCs w:val="1"/>
                <w:color w:val="auto"/>
                <w:w w:val="90"/>
              </w:rPr>
              <w:t>Amount</w:t>
            </w:r>
          </w:p>
        </w:tc>
      </w:tr>
      <w:tr>
        <w:trPr>
          <w:trHeight w:val="233"/>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Notes</w:t>
            </w:r>
          </w:p>
        </w:tc>
        <w:tc>
          <w:tcPr>
            <w:tcW w:w="1460" w:type="dxa"/>
            <w:vAlign w:val="bottom"/>
            <w:tcBorders>
              <w:top w:val="single" w:sz="8" w:color="auto"/>
              <w:bottom w:val="single" w:sz="8" w:color="CCEEFF"/>
            </w:tcBorders>
            <w:shd w:val="clear" w:color="auto" w:fill="CCEEFF"/>
          </w:tcPr>
          <w:p>
            <w:pPr>
              <w:jc w:val="right"/>
              <w:ind w:right="1264"/>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648</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2022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398</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843</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395</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2047 Notes</w:t>
            </w:r>
          </w:p>
        </w:tc>
        <w:tc>
          <w:tcPr>
            <w:tcW w:w="14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391</w:t>
            </w:r>
          </w:p>
        </w:tc>
      </w:tr>
      <w:tr>
        <w:trPr>
          <w:trHeight w:val="241"/>
        </w:trPr>
        <w:tc>
          <w:tcPr>
            <w:tcW w:w="5360" w:type="dxa"/>
            <w:vAlign w:val="bottom"/>
          </w:tcPr>
          <w:p>
            <w:pPr>
              <w:ind w:left="20"/>
              <w:spacing w:after="0"/>
              <w:rPr>
                <w:sz w:val="20"/>
                <w:szCs w:val="20"/>
                <w:color w:val="auto"/>
              </w:rPr>
            </w:pPr>
            <w:r>
              <w:rPr>
                <w:rFonts w:ascii="Arial" w:cs="Arial" w:eastAsia="Arial" w:hAnsi="Arial"/>
                <w:sz w:val="17"/>
                <w:szCs w:val="17"/>
                <w:color w:val="auto"/>
              </w:rPr>
              <w:t>Total long-term debt</w:t>
            </w:r>
          </w:p>
        </w:tc>
        <w:tc>
          <w:tcPr>
            <w:tcW w:w="1460" w:type="dxa"/>
            <w:vAlign w:val="bottom"/>
            <w:tcBorders>
              <w:top w:val="single" w:sz="8" w:color="auto"/>
              <w:bottom w:val="single" w:sz="8" w:color="auto"/>
            </w:tcBorders>
          </w:tcPr>
          <w:p>
            <w:pPr>
              <w:jc w:val="right"/>
              <w:ind w:right="1264"/>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2,700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2,675</w:t>
            </w:r>
          </w:p>
        </w:tc>
      </w:tr>
      <w:tr>
        <w:trPr>
          <w:trHeight w:val="20"/>
        </w:trPr>
        <w:tc>
          <w:tcPr>
            <w:tcW w:w="5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66"/>
        </w:trPr>
        <w:tc>
          <w:tcPr>
            <w:tcW w:w="53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8"/>
              </w:rPr>
              <w:t>At December 31, 2018</w:t>
            </w: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44"/>
        </w:trPr>
        <w:tc>
          <w:tcPr>
            <w:tcW w:w="53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91"/>
              </w:rPr>
              <w:t>Unamortized</w:t>
            </w:r>
          </w:p>
        </w:tc>
        <w:tc>
          <w:tcPr>
            <w:tcW w:w="340" w:type="dxa"/>
            <w:vAlign w:val="bottom"/>
          </w:tcPr>
          <w:p>
            <w:pPr>
              <w:spacing w:after="0"/>
              <w:rPr>
                <w:sz w:val="12"/>
                <w:szCs w:val="12"/>
                <w:color w:val="auto"/>
              </w:rPr>
            </w:pPr>
          </w:p>
        </w:tc>
        <w:tc>
          <w:tcPr>
            <w:tcW w:w="1580" w:type="dxa"/>
            <w:vAlign w:val="bottom"/>
          </w:tcPr>
          <w:p>
            <w:pPr>
              <w:spacing w:after="0"/>
              <w:rPr>
                <w:sz w:val="12"/>
                <w:szCs w:val="12"/>
                <w:color w:val="auto"/>
              </w:rPr>
            </w:pPr>
          </w:p>
        </w:tc>
      </w:tr>
      <w:tr>
        <w:trPr>
          <w:trHeight w:val="140"/>
        </w:trPr>
        <w:tc>
          <w:tcPr>
            <w:tcW w:w="5360" w:type="dxa"/>
            <w:vAlign w:val="bottom"/>
          </w:tcPr>
          <w:p>
            <w:pPr>
              <w:spacing w:after="0"/>
              <w:rPr>
                <w:sz w:val="12"/>
                <w:szCs w:val="12"/>
                <w:color w:val="auto"/>
              </w:rPr>
            </w:pPr>
          </w:p>
        </w:tc>
        <w:tc>
          <w:tcPr>
            <w:tcW w:w="1460" w:type="dxa"/>
            <w:vAlign w:val="bottom"/>
          </w:tcPr>
          <w:p>
            <w:pPr>
              <w:jc w:val="center"/>
              <w:ind w:left="444"/>
              <w:spacing w:after="0" w:line="141" w:lineRule="exact"/>
              <w:rPr>
                <w:sz w:val="20"/>
                <w:szCs w:val="20"/>
                <w:color w:val="auto"/>
              </w:rPr>
            </w:pPr>
            <w:r>
              <w:rPr>
                <w:rFonts w:ascii="Arial" w:cs="Arial" w:eastAsia="Arial" w:hAnsi="Arial"/>
                <w:sz w:val="14"/>
                <w:szCs w:val="14"/>
                <w:b w:val="1"/>
                <w:bCs w:val="1"/>
                <w:color w:val="auto"/>
                <w:w w:val="88"/>
              </w:rPr>
              <w:t>Gross Carrying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6"/>
              </w:rPr>
              <w:t>Discount and Deferred</w:t>
            </w:r>
          </w:p>
        </w:tc>
        <w:tc>
          <w:tcPr>
            <w:tcW w:w="340" w:type="dxa"/>
            <w:vAlign w:val="bottom"/>
          </w:tcPr>
          <w:p>
            <w:pPr>
              <w:spacing w:after="0"/>
              <w:rPr>
                <w:sz w:val="12"/>
                <w:szCs w:val="12"/>
                <w:color w:val="auto"/>
              </w:rPr>
            </w:pPr>
          </w:p>
        </w:tc>
        <w:tc>
          <w:tcPr>
            <w:tcW w:w="1580" w:type="dxa"/>
            <w:vAlign w:val="bottom"/>
          </w:tcPr>
          <w:p>
            <w:pPr>
              <w:jc w:val="center"/>
              <w:ind w:right="259"/>
              <w:spacing w:after="0" w:line="141" w:lineRule="exact"/>
              <w:rPr>
                <w:sz w:val="20"/>
                <w:szCs w:val="20"/>
                <w:color w:val="auto"/>
              </w:rPr>
            </w:pPr>
            <w:r>
              <w:rPr>
                <w:rFonts w:ascii="Arial" w:cs="Arial" w:eastAsia="Arial" w:hAnsi="Arial"/>
                <w:sz w:val="14"/>
                <w:szCs w:val="14"/>
                <w:b w:val="1"/>
                <w:bCs w:val="1"/>
                <w:color w:val="auto"/>
                <w:w w:val="90"/>
              </w:rPr>
              <w:t>Net Carrying</w:t>
            </w:r>
          </w:p>
        </w:tc>
      </w:tr>
      <w:tr>
        <w:trPr>
          <w:trHeight w:val="181"/>
        </w:trPr>
        <w:tc>
          <w:tcPr>
            <w:tcW w:w="5360" w:type="dxa"/>
            <w:vAlign w:val="bottom"/>
          </w:tcPr>
          <w:p>
            <w:pPr>
              <w:spacing w:after="0"/>
              <w:rPr>
                <w:sz w:val="15"/>
                <w:szCs w:val="15"/>
                <w:color w:val="auto"/>
              </w:rPr>
            </w:pPr>
          </w:p>
        </w:tc>
        <w:tc>
          <w:tcPr>
            <w:tcW w:w="1460" w:type="dxa"/>
            <w:vAlign w:val="bottom"/>
          </w:tcPr>
          <w:p>
            <w:pPr>
              <w:jc w:val="center"/>
              <w:ind w:left="444"/>
              <w:spacing w:after="0"/>
              <w:rPr>
                <w:sz w:val="20"/>
                <w:szCs w:val="20"/>
                <w:color w:val="auto"/>
              </w:rPr>
            </w:pPr>
            <w:r>
              <w:rPr>
                <w:rFonts w:ascii="Arial" w:cs="Arial" w:eastAsia="Arial" w:hAnsi="Arial"/>
                <w:sz w:val="14"/>
                <w:szCs w:val="14"/>
                <w:b w:val="1"/>
                <w:bCs w:val="1"/>
                <w:color w:val="auto"/>
                <w:w w:val="86"/>
              </w:rPr>
              <w:t>Amount</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Financing Costs</w:t>
            </w:r>
          </w:p>
        </w:tc>
        <w:tc>
          <w:tcPr>
            <w:tcW w:w="340" w:type="dxa"/>
            <w:vAlign w:val="bottom"/>
          </w:tcPr>
          <w:p>
            <w:pPr>
              <w:spacing w:after="0"/>
              <w:rPr>
                <w:sz w:val="15"/>
                <w:szCs w:val="15"/>
                <w:color w:val="auto"/>
              </w:rPr>
            </w:pPr>
          </w:p>
        </w:tc>
        <w:tc>
          <w:tcPr>
            <w:tcW w:w="1580" w:type="dxa"/>
            <w:vAlign w:val="bottom"/>
          </w:tcPr>
          <w:p>
            <w:pPr>
              <w:jc w:val="center"/>
              <w:ind w:right="259"/>
              <w:spacing w:after="0"/>
              <w:rPr>
                <w:sz w:val="20"/>
                <w:szCs w:val="20"/>
                <w:color w:val="auto"/>
              </w:rPr>
            </w:pPr>
            <w:r>
              <w:rPr>
                <w:rFonts w:ascii="Arial" w:cs="Arial" w:eastAsia="Arial" w:hAnsi="Arial"/>
                <w:sz w:val="14"/>
                <w:szCs w:val="14"/>
                <w:b w:val="1"/>
                <w:bCs w:val="1"/>
                <w:color w:val="auto"/>
                <w:w w:val="90"/>
              </w:rPr>
              <w:t>Amount</w:t>
            </w:r>
          </w:p>
        </w:tc>
      </w:tr>
      <w:tr>
        <w:trPr>
          <w:trHeight w:val="233"/>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2021 Notes</w:t>
            </w: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647</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2022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397</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4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842</w:t>
            </w:r>
          </w:p>
        </w:tc>
      </w:tr>
      <w:tr>
        <w:trPr>
          <w:trHeight w:val="229"/>
        </w:trPr>
        <w:tc>
          <w:tcPr>
            <w:tcW w:w="5360" w:type="dxa"/>
            <w:vAlign w:val="bottom"/>
          </w:tcPr>
          <w:p>
            <w:pPr>
              <w:ind w:left="20"/>
              <w:spacing w:after="0"/>
              <w:rPr>
                <w:sz w:val="20"/>
                <w:szCs w:val="20"/>
                <w:color w:val="auto"/>
              </w:rPr>
            </w:pPr>
            <w:r>
              <w:rPr>
                <w:rFonts w:ascii="Arial" w:cs="Arial" w:eastAsia="Arial" w:hAnsi="Arial"/>
                <w:sz w:val="17"/>
                <w:szCs w:val="17"/>
                <w:color w:val="auto"/>
              </w:rPr>
              <w:t>2027 Notes</w:t>
            </w:r>
          </w:p>
        </w:tc>
        <w:tc>
          <w:tcPr>
            <w:tcW w:w="146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jc w:val="right"/>
              <w:ind w:right="19"/>
              <w:spacing w:after="0"/>
              <w:rPr>
                <w:sz w:val="20"/>
                <w:szCs w:val="20"/>
                <w:color w:val="auto"/>
              </w:rPr>
            </w:pPr>
            <w:r>
              <w:rPr>
                <w:rFonts w:ascii="Arial" w:cs="Arial" w:eastAsia="Arial" w:hAnsi="Arial"/>
                <w:sz w:val="17"/>
                <w:szCs w:val="17"/>
                <w:color w:val="auto"/>
              </w:rPr>
              <w:t>395</w:t>
            </w:r>
          </w:p>
        </w:tc>
      </w:tr>
      <w:tr>
        <w:trPr>
          <w:trHeight w:val="26"/>
        </w:trPr>
        <w:tc>
          <w:tcPr>
            <w:tcW w:w="5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2047 Notes</w:t>
            </w:r>
          </w:p>
        </w:tc>
        <w:tc>
          <w:tcPr>
            <w:tcW w:w="14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390</w:t>
            </w:r>
          </w:p>
        </w:tc>
      </w:tr>
      <w:tr>
        <w:trPr>
          <w:trHeight w:val="241"/>
        </w:trPr>
        <w:tc>
          <w:tcPr>
            <w:tcW w:w="5360" w:type="dxa"/>
            <w:vAlign w:val="bottom"/>
          </w:tcPr>
          <w:p>
            <w:pPr>
              <w:ind w:left="20"/>
              <w:spacing w:after="0"/>
              <w:rPr>
                <w:sz w:val="20"/>
                <w:szCs w:val="20"/>
                <w:color w:val="auto"/>
              </w:rPr>
            </w:pPr>
            <w:r>
              <w:rPr>
                <w:rFonts w:ascii="Arial" w:cs="Arial" w:eastAsia="Arial" w:hAnsi="Arial"/>
                <w:sz w:val="17"/>
                <w:szCs w:val="17"/>
                <w:color w:val="auto"/>
              </w:rPr>
              <w:t>Total long-term debt</w:t>
            </w:r>
          </w:p>
        </w:tc>
        <w:tc>
          <w:tcPr>
            <w:tcW w:w="1460" w:type="dxa"/>
            <w:vAlign w:val="bottom"/>
            <w:tcBorders>
              <w:top w:val="single" w:sz="8" w:color="auto"/>
              <w:bottom w:val="single" w:sz="8" w:color="auto"/>
            </w:tcBorders>
          </w:tcPr>
          <w:p>
            <w:pPr>
              <w:jc w:val="right"/>
              <w:ind w:right="1264"/>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2,700</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5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2,671</w:t>
            </w:r>
          </w:p>
        </w:tc>
      </w:tr>
      <w:tr>
        <w:trPr>
          <w:trHeight w:val="20"/>
        </w:trPr>
        <w:tc>
          <w:tcPr>
            <w:tcW w:w="53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00"/>
        </w:trPr>
        <w:tc>
          <w:tcPr>
            <w:tcW w:w="5360" w:type="dxa"/>
            <w:vAlign w:val="bottom"/>
          </w:tcPr>
          <w:p>
            <w:pPr>
              <w:spacing w:after="0"/>
              <w:rPr>
                <w:sz w:val="24"/>
                <w:szCs w:val="24"/>
                <w:color w:val="auto"/>
              </w:rPr>
            </w:pPr>
          </w:p>
        </w:tc>
        <w:tc>
          <w:tcPr>
            <w:tcW w:w="1460" w:type="dxa"/>
            <w:vAlign w:val="bottom"/>
          </w:tcPr>
          <w:p>
            <w:pPr>
              <w:jc w:val="right"/>
              <w:ind w:right="864"/>
              <w:spacing w:after="0"/>
              <w:rPr>
                <w:sz w:val="20"/>
                <w:szCs w:val="20"/>
                <w:color w:val="auto"/>
              </w:rPr>
            </w:pPr>
            <w:r>
              <w:rPr>
                <w:rFonts w:ascii="Arial" w:cs="Arial" w:eastAsia="Arial" w:hAnsi="Arial"/>
                <w:sz w:val="17"/>
                <w:szCs w:val="17"/>
                <w:color w:val="auto"/>
              </w:rPr>
              <w:t>F-33</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220" w:firstLine="408"/>
        <w:spacing w:after="0" w:line="274" w:lineRule="auto"/>
        <w:rPr>
          <w:sz w:val="20"/>
          <w:szCs w:val="20"/>
          <w:color w:val="auto"/>
        </w:rPr>
      </w:pPr>
      <w:r>
        <w:rPr>
          <w:rFonts w:ascii="Arial" w:cs="Arial" w:eastAsia="Arial" w:hAnsi="Arial"/>
          <w:sz w:val="17"/>
          <w:szCs w:val="17"/>
          <w:color w:val="auto"/>
        </w:rPr>
        <w:t>As of December 31, 2019, the scheduled maturities and contractual principal repayments of our debt for each of the five succeeding years and thereafter are as follows (amounts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 the years ending December 31,</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28"/>
        </w:trPr>
        <w:tc>
          <w:tcPr>
            <w:tcW w:w="9920" w:type="dxa"/>
            <w:vAlign w:val="bottom"/>
          </w:tcPr>
          <w:p>
            <w:pPr>
              <w:ind w:left="160"/>
              <w:spacing w:after="0"/>
              <w:rPr>
                <w:sz w:val="20"/>
                <w:szCs w:val="20"/>
                <w:color w:val="auto"/>
              </w:rPr>
            </w:pPr>
            <w:r>
              <w:rPr>
                <w:rFonts w:ascii="Arial" w:cs="Arial" w:eastAsia="Arial" w:hAnsi="Arial"/>
                <w:sz w:val="17"/>
                <w:szCs w:val="17"/>
                <w:color w:val="auto"/>
              </w:rPr>
              <w:t>2020</w:t>
            </w: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5"/>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2021</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650</w:t>
            </w:r>
          </w:p>
        </w:tc>
      </w:tr>
      <w:tr>
        <w:trPr>
          <w:trHeight w:val="228"/>
        </w:trPr>
        <w:tc>
          <w:tcPr>
            <w:tcW w:w="9920" w:type="dxa"/>
            <w:vAlign w:val="bottom"/>
          </w:tcPr>
          <w:p>
            <w:pPr>
              <w:ind w:left="160"/>
              <w:spacing w:after="0"/>
              <w:rPr>
                <w:sz w:val="20"/>
                <w:szCs w:val="20"/>
                <w:color w:val="auto"/>
              </w:rPr>
            </w:pPr>
            <w:r>
              <w:rPr>
                <w:rFonts w:ascii="Arial" w:cs="Arial" w:eastAsia="Arial" w:hAnsi="Arial"/>
                <w:sz w:val="17"/>
                <w:szCs w:val="17"/>
                <w:color w:val="auto"/>
              </w:rPr>
              <w:t>2022</w:t>
            </w:r>
          </w:p>
        </w:tc>
        <w:tc>
          <w:tcPr>
            <w:tcW w:w="56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400</w:t>
            </w:r>
          </w:p>
        </w:tc>
      </w:tr>
      <w:tr>
        <w:trPr>
          <w:trHeight w:val="27"/>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5"/>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2023</w:t>
            </w:r>
          </w:p>
        </w:tc>
        <w:tc>
          <w:tcPr>
            <w:tcW w:w="5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8"/>
        </w:trPr>
        <w:tc>
          <w:tcPr>
            <w:tcW w:w="9920" w:type="dxa"/>
            <w:vAlign w:val="bottom"/>
          </w:tcPr>
          <w:p>
            <w:pPr>
              <w:ind w:left="160"/>
              <w:spacing w:after="0"/>
              <w:rPr>
                <w:sz w:val="20"/>
                <w:szCs w:val="20"/>
                <w:color w:val="auto"/>
              </w:rPr>
            </w:pPr>
            <w:r>
              <w:rPr>
                <w:rFonts w:ascii="Arial" w:cs="Arial" w:eastAsia="Arial" w:hAnsi="Arial"/>
                <w:sz w:val="17"/>
                <w:szCs w:val="17"/>
                <w:color w:val="auto"/>
              </w:rPr>
              <w:t>2024</w:t>
            </w:r>
          </w:p>
        </w:tc>
        <w:tc>
          <w:tcPr>
            <w:tcW w:w="560" w:type="dxa"/>
            <w:vAlign w:val="bottom"/>
          </w:tcPr>
          <w:p>
            <w:pPr>
              <w:spacing w:after="0"/>
              <w:rPr>
                <w:sz w:val="19"/>
                <w:szCs w:val="19"/>
                <w:color w:val="auto"/>
              </w:rPr>
            </w:pP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
        </w:trPr>
        <w:tc>
          <w:tcPr>
            <w:tcW w:w="9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5"/>
        </w:trPr>
        <w:tc>
          <w:tcPr>
            <w:tcW w:w="9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Thereafter</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1,650</w:t>
            </w:r>
          </w:p>
        </w:tc>
      </w:tr>
      <w:tr>
        <w:trPr>
          <w:trHeight w:val="241"/>
        </w:trPr>
        <w:tc>
          <w:tcPr>
            <w:tcW w:w="9920" w:type="dxa"/>
            <w:vAlign w:val="bottom"/>
          </w:tcPr>
          <w:p>
            <w:pPr>
              <w:ind w:left="360"/>
              <w:spacing w:after="0"/>
              <w:rPr>
                <w:sz w:val="20"/>
                <w:szCs w:val="20"/>
                <w:color w:val="auto"/>
              </w:rPr>
            </w:pPr>
            <w:r>
              <w:rPr>
                <w:rFonts w:ascii="Arial" w:cs="Arial" w:eastAsia="Arial" w:hAnsi="Arial"/>
                <w:sz w:val="17"/>
                <w:szCs w:val="17"/>
                <w:color w:val="auto"/>
              </w:rPr>
              <w:t>Total</w:t>
            </w: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2,700</w:t>
            </w:r>
          </w:p>
        </w:tc>
      </w:tr>
      <w:tr>
        <w:trPr>
          <w:trHeight w:val="20"/>
        </w:trPr>
        <w:tc>
          <w:tcPr>
            <w:tcW w:w="9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260" w:firstLine="382"/>
        <w:spacing w:after="0" w:line="313" w:lineRule="auto"/>
        <w:rPr>
          <w:sz w:val="20"/>
          <w:szCs w:val="20"/>
          <w:color w:val="auto"/>
        </w:rPr>
      </w:pPr>
      <w:r>
        <w:rPr>
          <w:rFonts w:ascii="Arial" w:cs="Arial" w:eastAsia="Arial" w:hAnsi="Arial"/>
          <w:sz w:val="15"/>
          <w:szCs w:val="15"/>
          <w:color w:val="auto"/>
        </w:rPr>
        <w:t>With the exception of the 2026 and the 2047 Notes, using Level 2 inputs (i.e., observable market prices in less-than-active markets) at December 31, 2019, the carrying values of the Notes approximated their fair values, as the interest rates were similar to the current rates at which we could borrow funds over the selected interest periods. At December 31, 2019, based on Level 2 inputs, the fair value of the 2026 and the 2047 Notes were $893 million and $456 million, respectively.</w:t>
      </w:r>
    </w:p>
    <w:p>
      <w:pPr>
        <w:spacing w:after="0" w:line="141" w:lineRule="exact"/>
        <w:rPr>
          <w:sz w:val="20"/>
          <w:szCs w:val="20"/>
          <w:color w:val="auto"/>
        </w:rPr>
      </w:pPr>
    </w:p>
    <w:p>
      <w:pPr>
        <w:jc w:val="both"/>
        <w:ind w:right="240" w:firstLine="382"/>
        <w:spacing w:after="0" w:line="262" w:lineRule="auto"/>
        <w:rPr>
          <w:sz w:val="20"/>
          <w:szCs w:val="20"/>
          <w:color w:val="auto"/>
        </w:rPr>
      </w:pPr>
      <w:r>
        <w:rPr>
          <w:rFonts w:ascii="Arial" w:cs="Arial" w:eastAsia="Arial" w:hAnsi="Arial"/>
          <w:sz w:val="17"/>
          <w:szCs w:val="17"/>
          <w:color w:val="auto"/>
        </w:rPr>
        <w:t>Using Level 2 inputs at December 31, 2018, the carrying values of the 2021 Notes and the 2022 Notes approximated their fair values, as the interest rates were similar to the current rates at which we could borrow funds over the selected interest periods. At December 31, 2019, based on Level 2 inputs, the fair values of the 2026 Notes, the 2027 Notes, and the 2047 Notes were $800 million, $376 million, and $360 million,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Accumulated Other Comprehensive Income (Loss)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components of accumulated other comprehensive income (loss) were as follows (amounts in millions):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Year Ended December 31, 2019</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4"/>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7"/>
              </w:rPr>
              <w:t>Foreign currency</w:t>
            </w:r>
          </w:p>
        </w:tc>
        <w:tc>
          <w:tcPr>
            <w:tcW w:w="120" w:type="dxa"/>
            <w:vAlign w:val="bottom"/>
          </w:tcPr>
          <w:p>
            <w:pPr>
              <w:spacing w:after="0"/>
              <w:rPr>
                <w:sz w:val="12"/>
                <w:szCs w:val="12"/>
                <w:color w:val="auto"/>
              </w:rPr>
            </w:pPr>
          </w:p>
        </w:tc>
        <w:tc>
          <w:tcPr>
            <w:tcW w:w="15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5"/>
              </w:rPr>
              <w:t>Unrealized gain (loss)</w:t>
            </w:r>
          </w:p>
        </w:tc>
        <w:tc>
          <w:tcPr>
            <w:tcW w:w="156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87"/>
              </w:rPr>
              <w:t>Unrealized gain (loss)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9"/>
              </w:rPr>
              <w:t>translation</w:t>
            </w:r>
          </w:p>
        </w:tc>
        <w:tc>
          <w:tcPr>
            <w:tcW w:w="120" w:type="dxa"/>
            <w:vAlign w:val="bottom"/>
          </w:tcPr>
          <w:p>
            <w:pPr>
              <w:spacing w:after="0"/>
              <w:rPr>
                <w:sz w:val="12"/>
                <w:szCs w:val="12"/>
                <w:color w:val="auto"/>
              </w:rPr>
            </w:pPr>
          </w:p>
        </w:tc>
        <w:tc>
          <w:tcPr>
            <w:tcW w:w="15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on available-for-</w:t>
            </w:r>
          </w:p>
        </w:tc>
        <w:tc>
          <w:tcPr>
            <w:tcW w:w="1100" w:type="dxa"/>
            <w:vAlign w:val="bottom"/>
          </w:tcPr>
          <w:p>
            <w:pPr>
              <w:jc w:val="center"/>
              <w:ind w:left="285"/>
              <w:spacing w:after="0" w:line="141" w:lineRule="exact"/>
              <w:rPr>
                <w:sz w:val="20"/>
                <w:szCs w:val="20"/>
                <w:color w:val="auto"/>
              </w:rPr>
            </w:pPr>
            <w:r>
              <w:rPr>
                <w:rFonts w:ascii="Arial" w:cs="Arial" w:eastAsia="Arial" w:hAnsi="Arial"/>
                <w:sz w:val="14"/>
                <w:szCs w:val="14"/>
                <w:b w:val="1"/>
                <w:bCs w:val="1"/>
                <w:color w:val="auto"/>
                <w:w w:val="91"/>
              </w:rPr>
              <w:t>on forward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1"/>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12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sale securities</w:t>
            </w:r>
          </w:p>
        </w:tc>
        <w:tc>
          <w:tcPr>
            <w:tcW w:w="1100" w:type="dxa"/>
            <w:vAlign w:val="bottom"/>
          </w:tcPr>
          <w:p>
            <w:pPr>
              <w:jc w:val="center"/>
              <w:ind w:left="285"/>
              <w:spacing w:after="0"/>
              <w:rPr>
                <w:sz w:val="20"/>
                <w:szCs w:val="20"/>
                <w:color w:val="auto"/>
              </w:rPr>
            </w:pPr>
            <w:r>
              <w:rPr>
                <w:rFonts w:ascii="Arial" w:cs="Arial" w:eastAsia="Arial" w:hAnsi="Arial"/>
                <w:sz w:val="14"/>
                <w:szCs w:val="14"/>
                <w:b w:val="1"/>
                <w:bCs w:val="1"/>
                <w:color w:val="auto"/>
                <w:w w:val="85"/>
              </w:rPr>
              <w:t>contracts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8"/>
              <w:spacing w:after="0"/>
              <w:rPr>
                <w:sz w:val="20"/>
                <w:szCs w:val="20"/>
                <w:color w:val="auto"/>
              </w:rPr>
            </w:pPr>
            <w:r>
              <w:rPr>
                <w:rFonts w:ascii="Arial" w:cs="Arial" w:eastAsia="Arial" w:hAnsi="Arial"/>
                <w:sz w:val="14"/>
                <w:szCs w:val="14"/>
                <w:b w:val="1"/>
                <w:bCs w:val="1"/>
                <w:color w:val="auto"/>
              </w:rPr>
              <w:t>Total</w:t>
            </w:r>
          </w:p>
        </w:tc>
      </w:tr>
      <w:tr>
        <w:trPr>
          <w:trHeight w:val="233"/>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CCEEFF"/>
            </w:tcBorders>
            <w:shd w:val="clear" w:color="auto" w:fill="CCEEFF"/>
          </w:tcPr>
          <w:p>
            <w:pPr>
              <w:jc w:val="right"/>
              <w:ind w:right="44"/>
              <w:spacing w:after="0"/>
              <w:rPr>
                <w:sz w:val="20"/>
                <w:szCs w:val="20"/>
                <w:color w:val="auto"/>
              </w:rPr>
            </w:pPr>
            <w:r>
              <w:rPr>
                <w:rFonts w:ascii="Arial" w:cs="Arial" w:eastAsia="Arial" w:hAnsi="Arial"/>
                <w:sz w:val="17"/>
                <w:szCs w:val="17"/>
                <w:color w:val="auto"/>
              </w:rPr>
              <w:t>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ind w:right="92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28"/>
        </w:trPr>
        <w:tc>
          <w:tcPr>
            <w:tcW w:w="5160" w:type="dxa"/>
            <w:vAlign w:val="bottom"/>
          </w:tcPr>
          <w:p>
            <w:pPr>
              <w:ind w:left="160"/>
              <w:spacing w:after="0"/>
              <w:rPr>
                <w:sz w:val="20"/>
                <w:szCs w:val="20"/>
                <w:color w:val="auto"/>
              </w:rPr>
            </w:pPr>
            <w:r>
              <w:rPr>
                <w:rFonts w:ascii="Arial" w:cs="Arial" w:eastAsia="Arial" w:hAnsi="Arial"/>
                <w:sz w:val="17"/>
                <w:szCs w:val="17"/>
                <w:color w:val="auto"/>
              </w:rPr>
              <w:t>Other comprehensive income (loss) before reclassifications</w:t>
            </w:r>
          </w:p>
        </w:tc>
        <w:tc>
          <w:tcPr>
            <w:tcW w:w="1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360" w:type="dxa"/>
            <w:vAlign w:val="bottom"/>
          </w:tcPr>
          <w:p>
            <w:pPr>
              <w:jc w:val="right"/>
              <w:ind w:right="1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29</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5"/>
              </w:rPr>
              <w:t>Amounts reclassified from accumulated other comprehensive income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2"/>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(loss) into earnings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41"/>
        </w:trPr>
        <w:tc>
          <w:tcPr>
            <w:tcW w:w="5160" w:type="dxa"/>
            <w:vAlign w:val="bottom"/>
          </w:tcPr>
          <w:p>
            <w:pPr>
              <w:ind w:left="20"/>
              <w:spacing w:after="0"/>
              <w:rPr>
                <w:sz w:val="20"/>
                <w:szCs w:val="20"/>
                <w:color w:val="auto"/>
              </w:rPr>
            </w:pPr>
            <w:r>
              <w:rPr>
                <w:rFonts w:ascii="Arial" w:cs="Arial" w:eastAsia="Arial" w:hAnsi="Arial"/>
                <w:sz w:val="17"/>
                <w:szCs w:val="17"/>
                <w:color w:val="auto"/>
              </w:rPr>
              <w:t>Balance at December 31, 2019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(624)</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925"/>
              <w:spacing w:after="0"/>
              <w:rPr>
                <w:sz w:val="20"/>
                <w:szCs w:val="20"/>
                <w:color w:val="auto"/>
              </w:rPr>
            </w:pPr>
            <w:r>
              <w:rPr>
                <w:rFonts w:ascii="Arial" w:cs="Arial" w:eastAsia="Arial" w:hAnsi="Arial"/>
                <w:sz w:val="17"/>
                <w:szCs w:val="17"/>
                <w:color w:val="auto"/>
                <w:w w:val="84"/>
              </w:rPr>
              <w:t>$</w:t>
            </w: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(619)</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96"/>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220"/>
              <w:spacing w:after="0"/>
              <w:rPr>
                <w:sz w:val="20"/>
                <w:szCs w:val="20"/>
                <w:color w:val="auto"/>
              </w:rPr>
            </w:pPr>
            <w:r>
              <w:rPr>
                <w:rFonts w:ascii="Arial" w:cs="Arial" w:eastAsia="Arial" w:hAnsi="Arial"/>
                <w:sz w:val="17"/>
                <w:szCs w:val="17"/>
                <w:color w:val="auto"/>
              </w:rPr>
              <w:t>F-34</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For the Year Ended December 31, 2018</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4"/>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4" w:lineRule="exact"/>
              <w:rPr>
                <w:sz w:val="20"/>
                <w:szCs w:val="20"/>
                <w:color w:val="auto"/>
              </w:rPr>
            </w:pPr>
            <w:r>
              <w:rPr>
                <w:rFonts w:ascii="Arial" w:cs="Arial" w:eastAsia="Arial" w:hAnsi="Arial"/>
                <w:sz w:val="14"/>
                <w:szCs w:val="14"/>
                <w:b w:val="1"/>
                <w:bCs w:val="1"/>
                <w:color w:val="auto"/>
                <w:w w:val="87"/>
              </w:rPr>
              <w:t>Foreign currency</w:t>
            </w:r>
          </w:p>
        </w:tc>
        <w:tc>
          <w:tcPr>
            <w:tcW w:w="120" w:type="dxa"/>
            <w:vAlign w:val="bottom"/>
          </w:tcPr>
          <w:p>
            <w:pPr>
              <w:spacing w:after="0"/>
              <w:rPr>
                <w:sz w:val="12"/>
                <w:szCs w:val="12"/>
                <w:color w:val="auto"/>
              </w:rPr>
            </w:pPr>
          </w:p>
        </w:tc>
        <w:tc>
          <w:tcPr>
            <w:tcW w:w="1500" w:type="dxa"/>
            <w:vAlign w:val="bottom"/>
            <w:gridSpan w:val="2"/>
          </w:tcPr>
          <w:p>
            <w:pPr>
              <w:jc w:val="center"/>
              <w:ind w:right="260"/>
              <w:spacing w:after="0" w:line="144" w:lineRule="exact"/>
              <w:rPr>
                <w:sz w:val="20"/>
                <w:szCs w:val="20"/>
                <w:color w:val="auto"/>
              </w:rPr>
            </w:pPr>
            <w:r>
              <w:rPr>
                <w:rFonts w:ascii="Arial" w:cs="Arial" w:eastAsia="Arial" w:hAnsi="Arial"/>
                <w:sz w:val="14"/>
                <w:szCs w:val="14"/>
                <w:b w:val="1"/>
                <w:bCs w:val="1"/>
                <w:color w:val="auto"/>
                <w:w w:val="85"/>
              </w:rPr>
              <w:t>Unrealized gain (loss)</w:t>
            </w:r>
          </w:p>
        </w:tc>
        <w:tc>
          <w:tcPr>
            <w:tcW w:w="1560" w:type="dxa"/>
            <w:vAlign w:val="bottom"/>
            <w:gridSpan w:val="3"/>
          </w:tcPr>
          <w:p>
            <w:pPr>
              <w:jc w:val="center"/>
              <w:ind w:right="100"/>
              <w:spacing w:after="0" w:line="144" w:lineRule="exact"/>
              <w:rPr>
                <w:sz w:val="20"/>
                <w:szCs w:val="20"/>
                <w:color w:val="auto"/>
              </w:rPr>
            </w:pPr>
            <w:r>
              <w:rPr>
                <w:rFonts w:ascii="Arial" w:cs="Arial" w:eastAsia="Arial" w:hAnsi="Arial"/>
                <w:sz w:val="14"/>
                <w:szCs w:val="14"/>
                <w:b w:val="1"/>
                <w:bCs w:val="1"/>
                <w:color w:val="auto"/>
                <w:w w:val="87"/>
              </w:rPr>
              <w:t>Unrealized gain (loss)</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0"/>
        </w:trPr>
        <w:tc>
          <w:tcPr>
            <w:tcW w:w="5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89"/>
              </w:rPr>
              <w:t>translation</w:t>
            </w:r>
          </w:p>
        </w:tc>
        <w:tc>
          <w:tcPr>
            <w:tcW w:w="120" w:type="dxa"/>
            <w:vAlign w:val="bottom"/>
          </w:tcPr>
          <w:p>
            <w:pPr>
              <w:spacing w:after="0"/>
              <w:rPr>
                <w:sz w:val="12"/>
                <w:szCs w:val="12"/>
                <w:color w:val="auto"/>
              </w:rPr>
            </w:pPr>
          </w:p>
        </w:tc>
        <w:tc>
          <w:tcPr>
            <w:tcW w:w="150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8"/>
              </w:rPr>
              <w:t>on available-for-</w:t>
            </w:r>
          </w:p>
        </w:tc>
        <w:tc>
          <w:tcPr>
            <w:tcW w:w="1100" w:type="dxa"/>
            <w:vAlign w:val="bottom"/>
          </w:tcPr>
          <w:p>
            <w:pPr>
              <w:jc w:val="center"/>
              <w:ind w:left="285"/>
              <w:spacing w:after="0" w:line="141" w:lineRule="exact"/>
              <w:rPr>
                <w:sz w:val="20"/>
                <w:szCs w:val="20"/>
                <w:color w:val="auto"/>
              </w:rPr>
            </w:pPr>
            <w:r>
              <w:rPr>
                <w:rFonts w:ascii="Arial" w:cs="Arial" w:eastAsia="Arial" w:hAnsi="Arial"/>
                <w:sz w:val="14"/>
                <w:szCs w:val="14"/>
                <w:b w:val="1"/>
                <w:bCs w:val="1"/>
                <w:color w:val="auto"/>
                <w:w w:val="91"/>
              </w:rPr>
              <w:t>on forward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1"/>
        </w:trPr>
        <w:tc>
          <w:tcPr>
            <w:tcW w:w="5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4"/>
              </w:rPr>
              <w:t>adjustments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82"/>
              </w:rPr>
              <w:t>sale securities</w:t>
            </w: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ind w:left="285"/>
              <w:spacing w:after="0"/>
              <w:rPr>
                <w:sz w:val="20"/>
                <w:szCs w:val="20"/>
                <w:color w:val="auto"/>
              </w:rPr>
            </w:pPr>
            <w:r>
              <w:rPr>
                <w:rFonts w:ascii="Arial" w:cs="Arial" w:eastAsia="Arial" w:hAnsi="Arial"/>
                <w:sz w:val="14"/>
                <w:szCs w:val="14"/>
                <w:b w:val="1"/>
                <w:bCs w:val="1"/>
                <w:color w:val="auto"/>
                <w:w w:val="85"/>
              </w:rPr>
              <w:t>contracts</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Total</w:t>
            </w:r>
          </w:p>
        </w:tc>
      </w:tr>
      <w:tr>
        <w:trPr>
          <w:trHeight w:val="23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925"/>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9"/>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(638)</w:t>
            </w:r>
          </w:p>
        </w:tc>
      </w:tr>
      <w:tr>
        <w:trPr>
          <w:trHeight w:val="228"/>
        </w:trPr>
        <w:tc>
          <w:tcPr>
            <w:tcW w:w="5160" w:type="dxa"/>
            <w:vAlign w:val="bottom"/>
          </w:tcPr>
          <w:p>
            <w:pPr>
              <w:ind w:left="160"/>
              <w:spacing w:after="0"/>
              <w:rPr>
                <w:sz w:val="20"/>
                <w:szCs w:val="20"/>
                <w:color w:val="auto"/>
              </w:rPr>
            </w:pPr>
            <w:r>
              <w:rPr>
                <w:rFonts w:ascii="Arial" w:cs="Arial" w:eastAsia="Arial" w:hAnsi="Arial"/>
                <w:sz w:val="17"/>
                <w:szCs w:val="17"/>
                <w:color w:val="auto"/>
                <w:w w:val="94"/>
              </w:rPr>
              <w:t>Cumulative impact from adoption of new revenue accounting standard</w:t>
            </w:r>
          </w:p>
        </w:tc>
        <w:tc>
          <w:tcPr>
            <w:tcW w:w="1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10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ind w:right="18"/>
              <w:spacing w:after="0"/>
              <w:rPr>
                <w:sz w:val="20"/>
                <w:szCs w:val="20"/>
                <w:color w:val="auto"/>
              </w:rPr>
            </w:pPr>
            <w:r>
              <w:rPr>
                <w:rFonts w:ascii="Arial" w:cs="Arial" w:eastAsia="Arial" w:hAnsi="Arial"/>
                <w:sz w:val="17"/>
                <w:szCs w:val="17"/>
                <w:color w:val="auto"/>
              </w:rPr>
              <w:t>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5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comprehensive income (loss) before reclassifications</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46</w:t>
            </w:r>
          </w:p>
        </w:tc>
      </w:tr>
      <w:tr>
        <w:trPr>
          <w:trHeight w:val="217"/>
        </w:trPr>
        <w:tc>
          <w:tcPr>
            <w:tcW w:w="5160" w:type="dxa"/>
            <w:vAlign w:val="bottom"/>
          </w:tcPr>
          <w:p>
            <w:pPr>
              <w:ind w:left="160"/>
              <w:spacing w:after="0"/>
              <w:rPr>
                <w:sz w:val="20"/>
                <w:szCs w:val="20"/>
                <w:color w:val="auto"/>
              </w:rPr>
            </w:pPr>
            <w:r>
              <w:rPr>
                <w:rFonts w:ascii="Arial" w:cs="Arial" w:eastAsia="Arial" w:hAnsi="Arial"/>
                <w:sz w:val="17"/>
                <w:szCs w:val="17"/>
                <w:color w:val="auto"/>
                <w:w w:val="95"/>
              </w:rPr>
              <w:t>Amounts reclassified from accumulated other comprehensive income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160" w:type="dxa"/>
            <w:vAlign w:val="bottom"/>
          </w:tcPr>
          <w:p>
            <w:pPr>
              <w:ind w:left="240"/>
              <w:spacing w:after="0"/>
              <w:rPr>
                <w:sz w:val="20"/>
                <w:szCs w:val="20"/>
                <w:color w:val="auto"/>
              </w:rPr>
            </w:pPr>
            <w:r>
              <w:rPr>
                <w:rFonts w:ascii="Arial" w:cs="Arial" w:eastAsia="Arial" w:hAnsi="Arial"/>
                <w:sz w:val="17"/>
                <w:szCs w:val="17"/>
                <w:color w:val="auto"/>
              </w:rPr>
              <w:t>(loss) into earnings</w:t>
            </w:r>
          </w:p>
        </w:tc>
        <w:tc>
          <w:tcPr>
            <w:tcW w:w="18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6"/>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25"/>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Operating Segments and Geographic Regions</w:t>
      </w:r>
    </w:p>
    <w:p>
      <w:pPr>
        <w:spacing w:after="0" w:line="217" w:lineRule="exact"/>
        <w:rPr>
          <w:sz w:val="20"/>
          <w:szCs w:val="20"/>
          <w:color w:val="auto"/>
        </w:rPr>
      </w:pPr>
    </w:p>
    <w:p>
      <w:pPr>
        <w:ind w:right="20" w:firstLine="408"/>
        <w:spacing w:after="0" w:line="295" w:lineRule="auto"/>
        <w:rPr>
          <w:sz w:val="20"/>
          <w:szCs w:val="20"/>
          <w:color w:val="auto"/>
        </w:rPr>
      </w:pPr>
      <w:r>
        <w:rPr>
          <w:rFonts w:ascii="Arial" w:cs="Arial" w:eastAsia="Arial" w:hAnsi="Arial"/>
          <w:sz w:val="15"/>
          <w:szCs w:val="15"/>
          <w:color w:val="auto"/>
        </w:rPr>
        <w:t>Currently, we have three reportable segments—Activision, Blizzard, and King.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fees and other expenses (including legal fees, expenses, and accruals) related to acquisitions, associated integration activities, and financings; certain restructuring and related costs; and certain other non-cash charges. The CODM does not review any information regarding total assets on an operating segment basis, and accordingly, no disclosure is made with respect thereto.</w:t>
      </w:r>
    </w:p>
    <w:p>
      <w:pPr>
        <w:spacing w:after="0" w:line="156" w:lineRule="exact"/>
        <w:rPr>
          <w:sz w:val="20"/>
          <w:szCs w:val="20"/>
          <w:color w:val="auto"/>
        </w:rPr>
      </w:pPr>
    </w:p>
    <w:p>
      <w:pPr>
        <w:ind w:right="280" w:firstLine="382"/>
        <w:spacing w:after="0" w:line="274" w:lineRule="auto"/>
        <w:rPr>
          <w:sz w:val="20"/>
          <w:szCs w:val="20"/>
          <w:color w:val="auto"/>
        </w:rPr>
      </w:pPr>
      <w:r>
        <w:rPr>
          <w:rFonts w:ascii="Arial" w:cs="Arial" w:eastAsia="Arial" w:hAnsi="Arial"/>
          <w:sz w:val="17"/>
          <w:szCs w:val="17"/>
          <w:color w:val="auto"/>
        </w:rPr>
        <w:t>Our operating segments are also consistent with our internal organizational structure, the way we assess operating performance and allocate resources, and the availability of separate financial information. We do not aggregate operating segments.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1420"/>
          </w:cols>
          <w:pgMar w:left="240" w:top="540" w:right="23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Information on the reportable segment net revenues and segment operating income are presented below (amounts in millions):</w:t>
      </w:r>
    </w:p>
    <w:p>
      <w:pPr>
        <w:spacing w:after="0" w:line="36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7"/>
                <w:szCs w:val="17"/>
                <w:b w:val="1"/>
                <w:bCs w:val="1"/>
                <w:color w:val="auto"/>
              </w:rPr>
              <w:t>Year Ended December 31, 2019</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7"/>
                <w:szCs w:val="17"/>
                <w:b w:val="1"/>
                <w:bCs w:val="1"/>
                <w:color w:val="auto"/>
              </w:rPr>
              <w:t>Blizzard</w:t>
            </w:r>
          </w:p>
        </w:tc>
        <w:tc>
          <w:tcPr>
            <w:tcW w:w="34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Total</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2,219</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1,676</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2,031</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5,926</w:t>
            </w:r>
          </w:p>
        </w:tc>
      </w:tr>
      <w:tr>
        <w:trPr>
          <w:trHeight w:val="26"/>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43</w:t>
            </w:r>
          </w:p>
        </w:tc>
      </w:tr>
      <w:tr>
        <w:trPr>
          <w:trHeight w:val="281"/>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Segment net revenues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2,219</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1,719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2,031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5,969</w:t>
            </w:r>
          </w:p>
        </w:tc>
      </w:tr>
      <w:tr>
        <w:trPr>
          <w:trHeight w:val="138"/>
        </w:trPr>
        <w:tc>
          <w:tcPr>
            <w:tcW w:w="5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850</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740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2,054</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6"/>
        </w:trPr>
        <w:tc>
          <w:tcPr>
            <w:tcW w:w="5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bl>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7"/>
                <w:szCs w:val="17"/>
                <w:b w:val="1"/>
                <w:bCs w:val="1"/>
                <w:color w:val="auto"/>
              </w:rPr>
              <w:t>Year Ended December 31, 2018</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7"/>
                <w:szCs w:val="17"/>
                <w:b w:val="1"/>
                <w:bCs w:val="1"/>
                <w:color w:val="auto"/>
              </w:rPr>
              <w:t>Blizzard</w:t>
            </w:r>
          </w:p>
        </w:tc>
        <w:tc>
          <w:tcPr>
            <w:tcW w:w="34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Total</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2,458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2,238</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2,086</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6,782</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53</w:t>
            </w:r>
          </w:p>
        </w:tc>
      </w:tr>
      <w:tr>
        <w:trPr>
          <w:trHeight w:val="281"/>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Segment net revenues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2,458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2,291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2,086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6,835</w:t>
            </w:r>
          </w:p>
        </w:tc>
      </w:tr>
      <w:tr>
        <w:trPr>
          <w:trHeight w:val="138"/>
        </w:trPr>
        <w:tc>
          <w:tcPr>
            <w:tcW w:w="5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750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2,446</w:t>
            </w:r>
          </w:p>
        </w:tc>
      </w:tr>
    </w:tbl>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ind w:left="140"/>
              <w:spacing w:after="0"/>
              <w:rPr>
                <w:sz w:val="20"/>
                <w:szCs w:val="20"/>
                <w:color w:val="auto"/>
              </w:rPr>
            </w:pPr>
            <w:r>
              <w:rPr>
                <w:rFonts w:ascii="Arial" w:cs="Arial" w:eastAsia="Arial" w:hAnsi="Arial"/>
                <w:sz w:val="17"/>
                <w:szCs w:val="17"/>
                <w:b w:val="1"/>
                <w:bCs w:val="1"/>
                <w:color w:val="auto"/>
              </w:rPr>
              <w:t>Year Ended December 31, 2017</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6"/>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1"/>
        </w:trPr>
        <w:tc>
          <w:tcPr>
            <w:tcW w:w="5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40"/>
              <w:spacing w:after="0"/>
              <w:rPr>
                <w:sz w:val="20"/>
                <w:szCs w:val="20"/>
                <w:color w:val="auto"/>
              </w:rPr>
            </w:pPr>
            <w:r>
              <w:rPr>
                <w:rFonts w:ascii="Arial" w:cs="Arial" w:eastAsia="Arial" w:hAnsi="Arial"/>
                <w:sz w:val="17"/>
                <w:szCs w:val="17"/>
                <w:b w:val="1"/>
                <w:bCs w:val="1"/>
                <w:color w:val="auto"/>
              </w:rPr>
              <w:t>Activision</w:t>
            </w:r>
          </w:p>
        </w:tc>
        <w:tc>
          <w:tcPr>
            <w:tcW w:w="24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7"/>
                <w:szCs w:val="17"/>
                <w:b w:val="1"/>
                <w:bCs w:val="1"/>
                <w:color w:val="auto"/>
              </w:rPr>
              <w:t>Blizzard</w:t>
            </w:r>
          </w:p>
        </w:tc>
        <w:tc>
          <w:tcPr>
            <w:tcW w:w="34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Arial" w:cs="Arial" w:eastAsia="Arial" w:hAnsi="Arial"/>
                <w:sz w:val="17"/>
                <w:szCs w:val="17"/>
                <w:b w:val="1"/>
                <w:bCs w:val="1"/>
                <w:color w:val="auto"/>
              </w:rPr>
              <w:t>King</w:t>
            </w:r>
          </w:p>
        </w:tc>
        <w:tc>
          <w:tcPr>
            <w:tcW w:w="340" w:type="dxa"/>
            <w:vAlign w:val="bottom"/>
          </w:tcPr>
          <w:p>
            <w:pPr>
              <w:spacing w:after="0"/>
              <w:rPr>
                <w:sz w:val="19"/>
                <w:szCs w:val="19"/>
                <w:color w:val="auto"/>
              </w:rPr>
            </w:pPr>
          </w:p>
        </w:tc>
        <w:tc>
          <w:tcPr>
            <w:tcW w:w="1140" w:type="dxa"/>
            <w:vAlign w:val="bottom"/>
          </w:tcPr>
          <w:p>
            <w:pPr>
              <w:jc w:val="right"/>
              <w:ind w:right="475"/>
              <w:spacing w:after="0"/>
              <w:rPr>
                <w:sz w:val="20"/>
                <w:szCs w:val="20"/>
                <w:color w:val="auto"/>
              </w:rPr>
            </w:pPr>
            <w:r>
              <w:rPr>
                <w:rFonts w:ascii="Arial" w:cs="Arial" w:eastAsia="Arial" w:hAnsi="Arial"/>
                <w:sz w:val="17"/>
                <w:szCs w:val="17"/>
                <w:b w:val="1"/>
                <w:bCs w:val="1"/>
                <w:color w:val="auto"/>
              </w:rPr>
              <w:t>Total</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Segment Revenues</w:t>
            </w: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29"/>
        </w:trPr>
        <w:tc>
          <w:tcPr>
            <w:tcW w:w="5140" w:type="dxa"/>
            <w:vAlign w:val="bottom"/>
          </w:tcPr>
          <w:p>
            <w:pPr>
              <w:ind w:left="20"/>
              <w:spacing w:after="0"/>
              <w:rPr>
                <w:sz w:val="20"/>
                <w:szCs w:val="20"/>
                <w:color w:val="auto"/>
              </w:rPr>
            </w:pPr>
            <w:r>
              <w:rPr>
                <w:rFonts w:ascii="Arial" w:cs="Arial" w:eastAsia="Arial" w:hAnsi="Arial"/>
                <w:sz w:val="17"/>
                <w:szCs w:val="17"/>
                <w:color w:val="auto"/>
              </w:rPr>
              <w:t>Net revenues from external customers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2,628</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2,120</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1,998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6,746</w:t>
            </w:r>
          </w:p>
        </w:tc>
      </w:tr>
      <w:tr>
        <w:trPr>
          <w:trHeight w:val="26"/>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5"/>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Intersegment net revenues (1)</w:t>
            </w: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r>
      <w:tr>
        <w:trPr>
          <w:trHeight w:val="281"/>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Segment net revenues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2,628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2,139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1,998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6,765</w:t>
            </w:r>
          </w:p>
        </w:tc>
      </w:tr>
      <w:tr>
        <w:trPr>
          <w:trHeight w:val="138"/>
        </w:trPr>
        <w:tc>
          <w:tcPr>
            <w:tcW w:w="5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228"/>
        </w:trPr>
        <w:tc>
          <w:tcPr>
            <w:tcW w:w="5140" w:type="dxa"/>
            <w:vAlign w:val="bottom"/>
          </w:tcPr>
          <w:p>
            <w:pPr>
              <w:ind w:left="20"/>
              <w:spacing w:after="0"/>
              <w:rPr>
                <w:sz w:val="20"/>
                <w:szCs w:val="20"/>
                <w:color w:val="auto"/>
              </w:rPr>
            </w:pPr>
            <w:r>
              <w:rPr>
                <w:rFonts w:ascii="Arial" w:cs="Arial" w:eastAsia="Arial" w:hAnsi="Arial"/>
                <w:sz w:val="17"/>
                <w:szCs w:val="17"/>
                <w:b w:val="1"/>
                <w:bCs w:val="1"/>
                <w:color w:val="auto"/>
              </w:rPr>
              <w:t>Segment operating income</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1,005</w:t>
            </w:r>
          </w:p>
        </w:tc>
        <w:tc>
          <w:tcPr>
            <w:tcW w:w="120" w:type="dxa"/>
            <w:vAlign w:val="bottom"/>
          </w:tcPr>
          <w:p>
            <w:pPr>
              <w:spacing w:after="0"/>
              <w:rPr>
                <w:sz w:val="19"/>
                <w:szCs w:val="19"/>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712</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700</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5"/>
              <w:spacing w:after="0"/>
              <w:rPr>
                <w:sz w:val="20"/>
                <w:szCs w:val="20"/>
                <w:color w:val="auto"/>
              </w:rPr>
            </w:pPr>
            <w:r>
              <w:rPr>
                <w:rFonts w:ascii="Arial" w:cs="Arial" w:eastAsia="Arial" w:hAnsi="Arial"/>
                <w:sz w:val="17"/>
                <w:szCs w:val="17"/>
                <w:color w:val="auto"/>
              </w:rPr>
              <w:t>2,417</w:t>
            </w:r>
          </w:p>
        </w:tc>
      </w:tr>
    </w:tbl>
    <w:p>
      <w:pPr>
        <w:spacing w:after="0" w:line="200" w:lineRule="exact"/>
        <w:rPr>
          <w:sz w:val="20"/>
          <w:szCs w:val="20"/>
          <w:color w:val="auto"/>
        </w:rPr>
      </w:pPr>
    </w:p>
    <w:p>
      <w:pPr>
        <w:spacing w:after="0" w:line="222" w:lineRule="exact"/>
        <w:rPr>
          <w:sz w:val="20"/>
          <w:szCs w:val="20"/>
          <w:color w:val="auto"/>
        </w:rPr>
      </w:pPr>
    </w:p>
    <w:p>
      <w:pPr>
        <w:ind w:left="5560" w:right="5420" w:hanging="5558"/>
        <w:spacing w:after="0" w:line="911" w:lineRule="auto"/>
        <w:tabs>
          <w:tab w:leader="none" w:pos="315" w:val="left"/>
        </w:tabs>
        <w:numPr>
          <w:ilvl w:val="0"/>
          <w:numId w:val="60"/>
        </w:numPr>
        <w:rPr>
          <w:rFonts w:ascii="Arial" w:cs="Arial" w:eastAsia="Arial" w:hAnsi="Arial"/>
          <w:sz w:val="15"/>
          <w:szCs w:val="15"/>
          <w:color w:val="auto"/>
        </w:rPr>
      </w:pPr>
      <w:r>
        <w:rPr>
          <w:rFonts w:ascii="Arial" w:cs="Arial" w:eastAsia="Arial" w:hAnsi="Arial"/>
          <w:sz w:val="15"/>
          <w:szCs w:val="15"/>
          <w:color w:val="auto"/>
        </w:rPr>
        <w:t>Intersegment revenues reflect licensing and service fees charged between segments. F-36</w:t>
      </w:r>
    </w:p>
    <w:p>
      <w:pPr>
        <w:sectPr>
          <w:pgSz w:w="11900" w:h="16838" w:orient="portrait"/>
          <w:cols w:equalWidth="0" w:num="1">
            <w:col w:w="11420"/>
          </w:cols>
          <w:pgMar w:left="240" w:top="127" w:right="23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500" w:firstLine="382"/>
        <w:spacing w:after="0" w:line="274" w:lineRule="auto"/>
        <w:rPr>
          <w:sz w:val="20"/>
          <w:szCs w:val="20"/>
          <w:color w:val="auto"/>
        </w:rPr>
      </w:pPr>
      <w:r>
        <w:rPr>
          <w:rFonts w:ascii="Arial" w:cs="Arial" w:eastAsia="Arial" w:hAnsi="Arial"/>
          <w:sz w:val="17"/>
          <w:szCs w:val="17"/>
          <w:color w:val="auto"/>
        </w:rPr>
        <w:t>Reconciliations of total segment net revenues and total segment operating income to consolidated net revenues and consolidated income before income tax expense are presented in the table below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0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980" w:type="dxa"/>
            <w:vAlign w:val="bottom"/>
            <w:gridSpan w:val="5"/>
          </w:tcPr>
          <w:p>
            <w:pPr>
              <w:ind w:left="20"/>
              <w:spacing w:after="0"/>
              <w:rPr>
                <w:sz w:val="20"/>
                <w:szCs w:val="20"/>
                <w:color w:val="auto"/>
              </w:rPr>
            </w:pPr>
            <w:r>
              <w:rPr>
                <w:rFonts w:ascii="Arial" w:cs="Arial" w:eastAsia="Arial" w:hAnsi="Arial"/>
                <w:sz w:val="17"/>
                <w:szCs w:val="17"/>
                <w:b w:val="1"/>
                <w:bCs w:val="1"/>
                <w:color w:val="auto"/>
                <w:w w:val="88"/>
              </w:rPr>
              <w:t>Years Ended December 31,</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7"/>
        </w:trPr>
        <w:tc>
          <w:tcPr>
            <w:tcW w:w="60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6060" w:type="dxa"/>
            <w:vAlign w:val="bottom"/>
          </w:tcPr>
          <w:p>
            <w:pPr>
              <w:spacing w:after="0"/>
              <w:rPr>
                <w:sz w:val="19"/>
                <w:szCs w:val="19"/>
                <w:color w:val="auto"/>
              </w:rPr>
            </w:pPr>
          </w:p>
        </w:tc>
        <w:tc>
          <w:tcPr>
            <w:tcW w:w="1140" w:type="dxa"/>
            <w:vAlign w:val="bottom"/>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59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595"/>
              <w:spacing w:after="0"/>
              <w:rPr>
                <w:sz w:val="20"/>
                <w:szCs w:val="20"/>
                <w:color w:val="auto"/>
              </w:rPr>
            </w:pPr>
            <w:r>
              <w:rPr>
                <w:rFonts w:ascii="Arial" w:cs="Arial" w:eastAsia="Arial" w:hAnsi="Arial"/>
                <w:sz w:val="17"/>
                <w:szCs w:val="17"/>
                <w:b w:val="1"/>
                <w:bCs w:val="1"/>
                <w:color w:val="auto"/>
              </w:rPr>
              <w:t>2017</w:t>
            </w:r>
          </w:p>
        </w:tc>
      </w:tr>
      <w:tr>
        <w:trPr>
          <w:trHeight w:val="27"/>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Reconciliation to consolidated net revenues:</w:t>
            </w: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Segment net revenues</w:t>
            </w:r>
          </w:p>
        </w:tc>
        <w:tc>
          <w:tcPr>
            <w:tcW w:w="1140" w:type="dxa"/>
            <w:vAlign w:val="bottom"/>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5,969</w:t>
            </w:r>
          </w:p>
        </w:tc>
        <w:tc>
          <w:tcPr>
            <w:tcW w:w="540" w:type="dxa"/>
            <w:vAlign w:val="bottom"/>
            <w:gridSpan w:val="3"/>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6,835</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6,765</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Revenues from non-reportable segments (1)</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410</w:t>
            </w: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Net effect from recognition (deferral) of deferred net revenues (2)</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Elimination of intersegment revenues (3)</w:t>
            </w: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81"/>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Consolidated net revenues</w:t>
            </w:r>
          </w:p>
        </w:tc>
        <w:tc>
          <w:tcPr>
            <w:tcW w:w="1140" w:type="dxa"/>
            <w:vAlign w:val="bottom"/>
            <w:tcBorders>
              <w:top w:val="single" w:sz="8" w:color="auto"/>
              <w:bottom w:val="single" w:sz="8" w:color="auto"/>
            </w:tcBorders>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6,489</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7,017</w:t>
            </w:r>
          </w:p>
        </w:tc>
      </w:tr>
      <w:tr>
        <w:trPr>
          <w:trHeight w:val="253"/>
        </w:trPr>
        <w:tc>
          <w:tcPr>
            <w:tcW w:w="60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7"/>
                <w:szCs w:val="17"/>
                <w:b w:val="1"/>
                <w:bCs w:val="1"/>
                <w:color w:val="auto"/>
              </w:rPr>
              <w:t>Reconciliation to consolidated income before income tax expense:</w:t>
            </w: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6"/>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Segment operating income</w:t>
            </w:r>
          </w:p>
        </w:tc>
        <w:tc>
          <w:tcPr>
            <w:tcW w:w="114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2,054</w:t>
            </w:r>
          </w:p>
        </w:tc>
        <w:tc>
          <w:tcPr>
            <w:tcW w:w="540" w:type="dxa"/>
            <w:vAlign w:val="bottom"/>
            <w:tcBorders>
              <w:bottom w:val="single" w:sz="8" w:color="CCEEFF"/>
            </w:tcBorders>
            <w:gridSpan w:val="3"/>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2,446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2,417</w:t>
            </w:r>
          </w:p>
        </w:tc>
      </w:tr>
      <w:tr>
        <w:trPr>
          <w:trHeight w:val="229"/>
        </w:trPr>
        <w:tc>
          <w:tcPr>
            <w:tcW w:w="6060" w:type="dxa"/>
            <w:vAlign w:val="bottom"/>
          </w:tcPr>
          <w:p>
            <w:pPr>
              <w:ind w:left="20"/>
              <w:spacing w:after="0"/>
              <w:rPr>
                <w:sz w:val="20"/>
                <w:szCs w:val="20"/>
                <w:color w:val="auto"/>
              </w:rPr>
            </w:pPr>
            <w:r>
              <w:rPr>
                <w:rFonts w:ascii="Arial" w:cs="Arial" w:eastAsia="Arial" w:hAnsi="Arial"/>
                <w:sz w:val="17"/>
                <w:szCs w:val="17"/>
                <w:color w:val="auto"/>
              </w:rPr>
              <w:t>Operating income (loss) from non-reportable segments (1)</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6"/>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7"/>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Net effect from recognition (deferral) of deferred net revenues and related cost of</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2"/>
        </w:trPr>
        <w:tc>
          <w:tcPr>
            <w:tcW w:w="6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revenues (2)</w:t>
            </w: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(166)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Amortization of intangible assets</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(757)</w:t>
            </w: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Fees and other expenses related to the acquisition of King (4)</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Restructuring costs (5)</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28"/>
        </w:trPr>
        <w:tc>
          <w:tcPr>
            <w:tcW w:w="6060" w:type="dxa"/>
            <w:vAlign w:val="bottom"/>
          </w:tcPr>
          <w:p>
            <w:pPr>
              <w:ind w:left="20"/>
              <w:spacing w:after="0"/>
              <w:rPr>
                <w:sz w:val="20"/>
                <w:szCs w:val="20"/>
                <w:color w:val="auto"/>
              </w:rPr>
            </w:pPr>
            <w:r>
              <w:rPr>
                <w:rFonts w:ascii="Arial" w:cs="Arial" w:eastAsia="Arial" w:hAnsi="Arial"/>
                <w:sz w:val="17"/>
                <w:szCs w:val="17"/>
                <w:color w:val="auto"/>
              </w:rPr>
              <w:t>Other non-cash charges (6)</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7"/>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Discrete tax-related items (7)</w:t>
            </w:r>
          </w:p>
        </w:tc>
        <w:tc>
          <w:tcPr>
            <w:tcW w:w="114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21"/>
        </w:trPr>
        <w:tc>
          <w:tcPr>
            <w:tcW w:w="6060" w:type="dxa"/>
            <w:vAlign w:val="bottom"/>
          </w:tcPr>
          <w:p>
            <w:pPr>
              <w:ind w:left="20"/>
              <w:spacing w:after="0"/>
              <w:rPr>
                <w:sz w:val="20"/>
                <w:szCs w:val="20"/>
                <w:color w:val="auto"/>
              </w:rPr>
            </w:pPr>
            <w:r>
              <w:rPr>
                <w:rFonts w:ascii="Arial" w:cs="Arial" w:eastAsia="Arial" w:hAnsi="Arial"/>
                <w:sz w:val="17"/>
                <w:szCs w:val="17"/>
                <w:color w:val="auto"/>
              </w:rPr>
              <w:t>Consolidated operating income</w:t>
            </w:r>
          </w:p>
        </w:tc>
        <w:tc>
          <w:tcPr>
            <w:tcW w:w="1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1,607</w:t>
            </w: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1,988</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1,309</w:t>
            </w:r>
          </w:p>
        </w:tc>
      </w:tr>
      <w:tr>
        <w:trPr>
          <w:trHeight w:val="26"/>
        </w:trPr>
        <w:tc>
          <w:tcPr>
            <w:tcW w:w="6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5"/>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1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146</w:t>
            </w:r>
          </w:p>
        </w:tc>
      </w:tr>
      <w:tr>
        <w:trPr>
          <w:trHeight w:val="229"/>
        </w:trPr>
        <w:tc>
          <w:tcPr>
            <w:tcW w:w="6060" w:type="dxa"/>
            <w:vAlign w:val="bottom"/>
          </w:tcPr>
          <w:p>
            <w:pPr>
              <w:ind w:left="20"/>
              <w:spacing w:after="0"/>
              <w:rPr>
                <w:sz w:val="20"/>
                <w:szCs w:val="20"/>
                <w:color w:val="auto"/>
              </w:rPr>
            </w:pPr>
            <w:r>
              <w:rPr>
                <w:rFonts w:ascii="Arial" w:cs="Arial" w:eastAsia="Arial" w:hAnsi="Arial"/>
                <w:sz w:val="17"/>
                <w:szCs w:val="17"/>
                <w:color w:val="auto"/>
              </w:rPr>
              <w:t>Loss on extinguishment of debt</w:t>
            </w:r>
          </w:p>
        </w:tc>
        <w:tc>
          <w:tcPr>
            <w:tcW w:w="1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6"/>
        </w:trPr>
        <w:tc>
          <w:tcPr>
            <w:tcW w:w="60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1"/>
        </w:trPr>
        <w:tc>
          <w:tcPr>
            <w:tcW w:w="6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Consolidated income before income tax expense</w:t>
            </w:r>
          </w:p>
        </w:tc>
        <w:tc>
          <w:tcPr>
            <w:tcW w:w="1140" w:type="dxa"/>
            <w:vAlign w:val="bottom"/>
            <w:shd w:val="clear" w:color="auto" w:fill="CCEEFF"/>
          </w:tcPr>
          <w:p>
            <w:pPr>
              <w:jc w:val="right"/>
              <w:ind w:right="955"/>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1,633</w:t>
            </w:r>
          </w:p>
        </w:tc>
        <w:tc>
          <w:tcPr>
            <w:tcW w:w="540" w:type="dxa"/>
            <w:vAlign w:val="bottom"/>
            <w:gridSpan w:val="3"/>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1,877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1,151</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00" w:right="580" w:hanging="298"/>
        <w:spacing w:after="0" w:line="274"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Includes other income and expenses from operating segments managed outside the reportable segments, including our Distribution business. Also includes unallocated corporate income and expenses.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Reflects the net effect from recognition (deferral) of deferred net revenues, along with related cost of revenues, on certain of our online-enabled products.</w:t>
      </w:r>
    </w:p>
    <w:p>
      <w:pPr>
        <w:spacing w:after="0" w:line="224" w:lineRule="exact"/>
        <w:rPr>
          <w:rFonts w:ascii="Arial" w:cs="Arial" w:eastAsia="Arial" w:hAnsi="Arial"/>
          <w:sz w:val="16"/>
          <w:szCs w:val="16"/>
          <w:color w:val="auto"/>
        </w:rPr>
      </w:pPr>
    </w:p>
    <w:p>
      <w:pPr>
        <w:ind w:left="300" w:hanging="298"/>
        <w:spacing w:after="0"/>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12" w:lineRule="exact"/>
        <w:rPr>
          <w:rFonts w:ascii="Arial" w:cs="Arial" w:eastAsia="Arial" w:hAnsi="Arial"/>
          <w:sz w:val="17"/>
          <w:szCs w:val="17"/>
          <w:color w:val="auto"/>
        </w:rPr>
      </w:pPr>
    </w:p>
    <w:p>
      <w:pPr>
        <w:ind w:left="300" w:right="380" w:hanging="298"/>
        <w:spacing w:after="0" w:line="274"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fees and other expenses, such as legal, banking, and professional services fees, related to the acquisition of King and associated integration activities, including related debt financings.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restructuring initiatives, which include severance and other restructuring-related costs.</w:t>
      </w:r>
    </w:p>
    <w:p>
      <w:pPr>
        <w:spacing w:after="0" w:line="212" w:lineRule="exact"/>
        <w:rPr>
          <w:rFonts w:ascii="Arial" w:cs="Arial" w:eastAsia="Arial" w:hAnsi="Arial"/>
          <w:sz w:val="17"/>
          <w:szCs w:val="17"/>
          <w:color w:val="auto"/>
        </w:rPr>
      </w:pPr>
    </w:p>
    <w:p>
      <w:pPr>
        <w:ind w:left="300" w:right="280" w:hanging="298"/>
        <w:spacing w:after="0" w:line="274" w:lineRule="auto"/>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a non-cash accounting charge to reclassify certain cumulative translation gains (losses) into earnings due to the substantial liquidation of certain of our foreign entities.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Reflects the impact of other unusual or unique tax-related items and activities.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ectPr>
          <w:pgSz w:w="11900" w:h="16838" w:orient="portrait"/>
          <w:cols w:equalWidth="0" w:num="1">
            <w:col w:w="11420"/>
          </w:cols>
          <w:pgMar w:left="240" w:top="127" w:right="2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20" w:firstLine="425"/>
        <w:spacing w:after="0" w:line="262" w:lineRule="auto"/>
        <w:rPr>
          <w:sz w:val="20"/>
          <w:szCs w:val="20"/>
          <w:color w:val="auto"/>
        </w:rPr>
      </w:pPr>
      <w:r>
        <w:rPr>
          <w:rFonts w:ascii="Arial" w:cs="Arial" w:eastAsia="Arial" w:hAnsi="Arial"/>
          <w:sz w:val="17"/>
          <w:szCs w:val="17"/>
          <w:color w:val="auto"/>
        </w:rPr>
        <w:t>Due to requirements from our adoption of a new revenue accounting standard in 2018, net revenues by distribution channel for the years ended December 31, 2019 and 2018, include a reconciliation to our segment revenues as disclosed for each of our reportable segments above. Net revenues by distribution channel were as follows (amounts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6"/>
          </w:tcPr>
          <w:p>
            <w:pPr>
              <w:jc w:val="center"/>
              <w:ind w:right="60"/>
              <w:spacing w:after="0"/>
              <w:rPr>
                <w:sz w:val="20"/>
                <w:szCs w:val="20"/>
                <w:color w:val="auto"/>
              </w:rPr>
            </w:pPr>
            <w:r>
              <w:rPr>
                <w:rFonts w:ascii="Arial" w:cs="Arial" w:eastAsia="Arial" w:hAnsi="Arial"/>
                <w:sz w:val="17"/>
                <w:szCs w:val="17"/>
                <w:b w:val="1"/>
                <w:bCs w:val="1"/>
                <w:color w:val="auto"/>
                <w:w w:val="89"/>
              </w:rPr>
              <w:t>Year Ended December 31, 2019</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Elimination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1"/>
              </w:rPr>
              <w:t>Non-reportable</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3"/>
              </w:rPr>
              <w:t>segments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1,580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2,029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4,932</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2,187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1,852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91"/>
        </w:trPr>
        <w:tc>
          <w:tcPr>
            <w:tcW w:w="3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91"/>
        </w:trPr>
        <w:tc>
          <w:tcPr>
            <w:tcW w:w="3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2,031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4,928</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728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814</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2,219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2,031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7"/>
                <w:szCs w:val="17"/>
                <w:color w:val="auto"/>
              </w:rPr>
              <w:t>F-38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7"/>
          </w:tcPr>
          <w:p>
            <w:pPr>
              <w:jc w:val="center"/>
              <w:ind w:right="60"/>
              <w:spacing w:after="0"/>
              <w:rPr>
                <w:sz w:val="20"/>
                <w:szCs w:val="20"/>
                <w:color w:val="auto"/>
              </w:rPr>
            </w:pPr>
            <w:r>
              <w:rPr>
                <w:rFonts w:ascii="Arial" w:cs="Arial" w:eastAsia="Arial" w:hAnsi="Arial"/>
                <w:sz w:val="17"/>
                <w:szCs w:val="17"/>
                <w:b w:val="1"/>
                <w:bCs w:val="1"/>
                <w:color w:val="auto"/>
                <w:w w:val="89"/>
              </w:rPr>
              <w:t>Year Ended December 31, 2018</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Elimination of</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4"/>
          </w:tcPr>
          <w:p>
            <w:pPr>
              <w:jc w:val="center"/>
              <w:ind w:right="80"/>
              <w:spacing w:after="0"/>
              <w:rPr>
                <w:sz w:val="20"/>
                <w:szCs w:val="20"/>
                <w:color w:val="auto"/>
              </w:rPr>
            </w:pPr>
            <w:r>
              <w:rPr>
                <w:rFonts w:ascii="Arial" w:cs="Arial" w:eastAsia="Arial" w:hAnsi="Arial"/>
                <w:sz w:val="17"/>
                <w:szCs w:val="17"/>
                <w:b w:val="1"/>
                <w:bCs w:val="1"/>
                <w:color w:val="auto"/>
                <w:w w:val="91"/>
              </w:rPr>
              <w:t>Non-reportable</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intersegment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7"/>
                <w:szCs w:val="17"/>
                <w:b w:val="1"/>
                <w:bCs w:val="1"/>
                <w:color w:val="auto"/>
              </w:rPr>
              <w:t>Activision</w:t>
            </w: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220" w:type="dxa"/>
            <w:vAlign w:val="bottom"/>
          </w:tcPr>
          <w:p>
            <w:pPr>
              <w:spacing w:after="0"/>
              <w:rPr>
                <w:sz w:val="19"/>
                <w:szCs w:val="19"/>
                <w:color w:val="auto"/>
              </w:rPr>
            </w:pPr>
          </w:p>
        </w:tc>
        <w:tc>
          <w:tcPr>
            <w:tcW w:w="940" w:type="dxa"/>
            <w:vAlign w:val="bottom"/>
            <w:gridSpan w:val="2"/>
          </w:tcPr>
          <w:p>
            <w:pPr>
              <w:ind w:left="120"/>
              <w:spacing w:after="0"/>
              <w:rPr>
                <w:sz w:val="20"/>
                <w:szCs w:val="20"/>
                <w:color w:val="auto"/>
              </w:rPr>
            </w:pPr>
            <w:r>
              <w:rPr>
                <w:rFonts w:ascii="Arial" w:cs="Arial" w:eastAsia="Arial" w:hAnsi="Arial"/>
                <w:sz w:val="17"/>
                <w:szCs w:val="17"/>
                <w:b w:val="1"/>
                <w:bCs w:val="1"/>
                <w:color w:val="auto"/>
              </w:rPr>
              <w:t>King</w:t>
            </w:r>
          </w:p>
        </w:tc>
        <w:tc>
          <w:tcPr>
            <w:tcW w:w="200" w:type="dxa"/>
            <w:vAlign w:val="bottom"/>
          </w:tcPr>
          <w:p>
            <w:pPr>
              <w:spacing w:after="0"/>
              <w:rPr>
                <w:sz w:val="19"/>
                <w:szCs w:val="19"/>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83"/>
              </w:rPr>
              <w:t>segments</w:t>
            </w:r>
          </w:p>
        </w:tc>
        <w:tc>
          <w:tcPr>
            <w:tcW w:w="14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revenues (3)</w:t>
            </w:r>
          </w:p>
        </w:tc>
        <w:tc>
          <w:tcPr>
            <w:tcW w:w="220" w:type="dxa"/>
            <w:vAlign w:val="bottom"/>
          </w:tcPr>
          <w:p>
            <w:pPr>
              <w:spacing w:after="0"/>
              <w:rPr>
                <w:sz w:val="19"/>
                <w:szCs w:val="19"/>
                <w:color w:val="auto"/>
              </w:rPr>
            </w:pPr>
          </w:p>
        </w:tc>
        <w:tc>
          <w:tcPr>
            <w:tcW w:w="780" w:type="dxa"/>
            <w:vAlign w:val="bottom"/>
          </w:tcPr>
          <w:p>
            <w:pPr>
              <w:jc w:val="right"/>
              <w:ind w:right="23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5,786</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1,107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consolidated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2,738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2,090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459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91"/>
        </w:trPr>
        <w:tc>
          <w:tcPr>
            <w:tcW w:w="3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81"/>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91"/>
        </w:trPr>
        <w:tc>
          <w:tcPr>
            <w:tcW w:w="3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1,644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2,041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5,718</w:t>
            </w:r>
          </w:p>
        </w:tc>
        <w:tc>
          <w:tcPr>
            <w:tcW w:w="0" w:type="dxa"/>
            <w:vAlign w:val="bottom"/>
          </w:tcPr>
          <w:p>
            <w:pPr>
              <w:spacing w:after="0"/>
              <w:rPr>
                <w:sz w:val="1"/>
                <w:szCs w:val="1"/>
                <w:color w:val="auto"/>
              </w:rPr>
            </w:pPr>
          </w:p>
        </w:tc>
      </w:tr>
      <w:tr>
        <w:trPr>
          <w:trHeight w:val="229"/>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15"/>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916</w:t>
            </w:r>
          </w:p>
        </w:tc>
        <w:tc>
          <w:tcPr>
            <w:tcW w:w="0" w:type="dxa"/>
            <w:vAlign w:val="bottom"/>
          </w:tcPr>
          <w:p>
            <w:pPr>
              <w:spacing w:after="0"/>
              <w:rPr>
                <w:sz w:val="1"/>
                <w:szCs w:val="1"/>
                <w:color w:val="auto"/>
              </w:rPr>
            </w:pPr>
          </w:p>
        </w:tc>
      </w:tr>
      <w:tr>
        <w:trPr>
          <w:trHeight w:val="26"/>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2,458</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2,291</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2,086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7,262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gridSpan w:val="7"/>
          </w:tcPr>
          <w:p>
            <w:pPr>
              <w:jc w:val="right"/>
              <w:ind w:right="375"/>
              <w:spacing w:after="0"/>
              <w:rPr>
                <w:sz w:val="20"/>
                <w:szCs w:val="20"/>
                <w:color w:val="auto"/>
              </w:rPr>
            </w:pPr>
            <w:r>
              <w:rPr>
                <w:rFonts w:ascii="Arial" w:cs="Arial" w:eastAsia="Arial" w:hAnsi="Arial"/>
                <w:sz w:val="17"/>
                <w:szCs w:val="17"/>
                <w:b w:val="1"/>
                <w:bCs w:val="1"/>
                <w:color w:val="auto"/>
              </w:rPr>
              <w:t>Year Ended December 31, 2017</w:t>
            </w:r>
          </w:p>
        </w:tc>
        <w:tc>
          <w:tcPr>
            <w:tcW w:w="0" w:type="dxa"/>
            <w:vAlign w:val="bottom"/>
          </w:tcPr>
          <w:p>
            <w:pPr>
              <w:spacing w:after="0"/>
              <w:rPr>
                <w:sz w:val="1"/>
                <w:szCs w:val="1"/>
                <w:color w:val="auto"/>
              </w:rPr>
            </w:pPr>
          </w:p>
        </w:tc>
      </w:tr>
      <w:tr>
        <w:trPr>
          <w:trHeight w:val="26"/>
        </w:trPr>
        <w:tc>
          <w:tcPr>
            <w:tcW w:w="39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distribution channel:</w:t>
            </w: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Digital online channels (1)</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5,479</w:t>
            </w:r>
          </w:p>
        </w:tc>
        <w:tc>
          <w:tcPr>
            <w:tcW w:w="0" w:type="dxa"/>
            <w:vAlign w:val="bottom"/>
          </w:tcPr>
          <w:p>
            <w:pPr>
              <w:spacing w:after="0"/>
              <w:rPr>
                <w:sz w:val="1"/>
                <w:szCs w:val="1"/>
                <w:color w:val="auto"/>
              </w:rPr>
            </w:pPr>
          </w:p>
        </w:tc>
      </w:tr>
      <w:tr>
        <w:trPr>
          <w:trHeight w:val="228"/>
        </w:trPr>
        <w:tc>
          <w:tcPr>
            <w:tcW w:w="3900" w:type="dxa"/>
            <w:vAlign w:val="bottom"/>
          </w:tcPr>
          <w:p>
            <w:pPr>
              <w:ind w:left="20"/>
              <w:spacing w:after="0"/>
              <w:rPr>
                <w:sz w:val="20"/>
                <w:szCs w:val="20"/>
                <w:color w:val="auto"/>
              </w:rPr>
            </w:pPr>
            <w:r>
              <w:rPr>
                <w:rFonts w:ascii="Arial" w:cs="Arial" w:eastAsia="Arial" w:hAnsi="Arial"/>
                <w:sz w:val="17"/>
                <w:szCs w:val="17"/>
                <w:color w:val="auto"/>
              </w:rPr>
              <w:t>Retail channels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color w:val="auto"/>
              </w:rPr>
              <w:t>1,033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41"/>
        </w:trPr>
        <w:tc>
          <w:tcPr>
            <w:tcW w:w="390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120" w:hanging="298"/>
        <w:spacing w:after="0" w:line="274" w:lineRule="auto"/>
        <w:tabs>
          <w:tab w:leader="none" w:pos="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Net revenues from “Digital online channels” include revenues from digitally-distributed subscriptions, downloadable content, microtransactions, and products, as well as licensing royalties.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and the Overwatch League.</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1420"/>
          </w:cols>
          <w:pgMar w:left="240" w:top="127"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20" w:firstLine="382"/>
        <w:spacing w:after="0" w:line="274" w:lineRule="auto"/>
        <w:rPr>
          <w:sz w:val="20"/>
          <w:szCs w:val="20"/>
          <w:color w:val="auto"/>
        </w:rPr>
      </w:pPr>
      <w:r>
        <w:rPr>
          <w:rFonts w:ascii="Arial" w:cs="Arial" w:eastAsia="Arial" w:hAnsi="Arial"/>
          <w:sz w:val="17"/>
          <w:szCs w:val="17"/>
          <w:color w:val="auto"/>
        </w:rPr>
        <w:t>Geographic information presented below is based on the location of the paying customer. Net revenues by geographic region, including a reconciliation to each of our reportable segment’s net revenues, were as follows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w w:val="90"/>
              </w:rPr>
              <w:t>Year Ended December 31, 2019</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Non-reportable</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intersegment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Activision</w:t>
            </w: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King</w:t>
            </w:r>
          </w:p>
        </w:tc>
        <w:tc>
          <w:tcPr>
            <w:tcW w:w="20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3"/>
              </w:rPr>
              <w:t>segments</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(2)</w:t>
            </w:r>
          </w:p>
        </w:tc>
        <w:tc>
          <w:tcPr>
            <w:tcW w:w="240" w:type="dxa"/>
            <w:vAlign w:val="bottom"/>
          </w:tcPr>
          <w:p>
            <w:pPr>
              <w:spacing w:after="0"/>
              <w:rPr>
                <w:sz w:val="19"/>
                <w:szCs w:val="19"/>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1,286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3,341</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543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consolidated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2,187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1,852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2,029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91"/>
        </w:trPr>
        <w:tc>
          <w:tcPr>
            <w:tcW w:w="3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91"/>
        </w:trPr>
        <w:tc>
          <w:tcPr>
            <w:tcW w:w="3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1,256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3,297</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486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2,192</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899</w:t>
            </w:r>
          </w:p>
        </w:tc>
        <w:tc>
          <w:tcPr>
            <w:tcW w:w="0" w:type="dxa"/>
            <w:vAlign w:val="bottom"/>
          </w:tcPr>
          <w:p>
            <w:pPr>
              <w:spacing w:after="0"/>
              <w:rPr>
                <w:sz w:val="1"/>
                <w:szCs w:val="1"/>
                <w:color w:val="auto"/>
              </w:rPr>
            </w:pPr>
          </w:p>
        </w:tc>
      </w:tr>
      <w:tr>
        <w:trPr>
          <w:trHeight w:val="241"/>
        </w:trPr>
        <w:tc>
          <w:tcPr>
            <w:tcW w:w="344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2,219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1,719</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2,031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ind w:left="540"/>
              <w:spacing w:after="0"/>
              <w:rPr>
                <w:sz w:val="20"/>
                <w:szCs w:val="20"/>
                <w:color w:val="auto"/>
              </w:rPr>
            </w:pPr>
            <w:r>
              <w:rPr>
                <w:rFonts w:ascii="Arial" w:cs="Arial" w:eastAsia="Arial" w:hAnsi="Arial"/>
                <w:sz w:val="17"/>
                <w:szCs w:val="17"/>
                <w:color w:val="auto"/>
              </w:rPr>
              <w:t>F-40</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0"/>
              </w:rPr>
              <w:t>Year Ended December 31, 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b w:val="1"/>
                <w:bCs w:val="1"/>
                <w:color w:val="auto"/>
                <w:w w:val="95"/>
              </w:rPr>
              <w:t>Non-reportable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intersegment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Activision</w:t>
            </w:r>
          </w:p>
        </w:tc>
        <w:tc>
          <w:tcPr>
            <w:tcW w:w="20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16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Arial" w:cs="Arial" w:eastAsia="Arial" w:hAnsi="Arial"/>
                <w:sz w:val="17"/>
                <w:szCs w:val="17"/>
                <w:b w:val="1"/>
                <w:bCs w:val="1"/>
                <w:color w:val="auto"/>
              </w:rPr>
              <w:t>King</w:t>
            </w:r>
          </w:p>
        </w:tc>
        <w:tc>
          <w:tcPr>
            <w:tcW w:w="200" w:type="dxa"/>
            <w:vAlign w:val="bottom"/>
          </w:tcPr>
          <w:p>
            <w:pPr>
              <w:spacing w:after="0"/>
              <w:rPr>
                <w:sz w:val="19"/>
                <w:szCs w:val="19"/>
                <w:color w:val="auto"/>
              </w:rPr>
            </w:pPr>
          </w:p>
        </w:tc>
        <w:tc>
          <w:tcPr>
            <w:tcW w:w="106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w w:val="93"/>
              </w:rPr>
              <w:t>segments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(2)</w:t>
            </w:r>
          </w:p>
        </w:tc>
        <w:tc>
          <w:tcPr>
            <w:tcW w:w="240" w:type="dxa"/>
            <w:vAlign w:val="bottom"/>
          </w:tcPr>
          <w:p>
            <w:pPr>
              <w:spacing w:after="0"/>
              <w:rPr>
                <w:sz w:val="19"/>
                <w:szCs w:val="19"/>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1,004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3,880</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897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692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2,618</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1,002</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consolidated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2,738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2,266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2,090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459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91"/>
        </w:trPr>
        <w:tc>
          <w:tcPr>
            <w:tcW w:w="3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Change in deferred revenues: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81"/>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91"/>
        </w:trPr>
        <w:tc>
          <w:tcPr>
            <w:tcW w:w="3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1,266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3,729</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770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708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7"/>
                <w:szCs w:val="17"/>
                <w:color w:val="auto"/>
              </w:rPr>
              <w:t>598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5"/>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2,527</w:t>
            </w: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1,006</w:t>
            </w:r>
          </w:p>
        </w:tc>
        <w:tc>
          <w:tcPr>
            <w:tcW w:w="0" w:type="dxa"/>
            <w:vAlign w:val="bottom"/>
          </w:tcPr>
          <w:p>
            <w:pPr>
              <w:spacing w:after="0"/>
              <w:rPr>
                <w:sz w:val="1"/>
                <w:szCs w:val="1"/>
                <w:color w:val="auto"/>
              </w:rPr>
            </w:pPr>
          </w:p>
        </w:tc>
      </w:tr>
      <w:tr>
        <w:trPr>
          <w:trHeight w:val="241"/>
        </w:trPr>
        <w:tc>
          <w:tcPr>
            <w:tcW w:w="3440" w:type="dxa"/>
            <w:vAlign w:val="bottom"/>
          </w:tcPr>
          <w:p>
            <w:pPr>
              <w:ind w:left="20"/>
              <w:spacing w:after="0"/>
              <w:rPr>
                <w:sz w:val="20"/>
                <w:szCs w:val="20"/>
                <w:color w:val="auto"/>
              </w:rPr>
            </w:pPr>
            <w:r>
              <w:rPr>
                <w:rFonts w:ascii="Arial" w:cs="Arial" w:eastAsia="Arial" w:hAnsi="Arial"/>
                <w:sz w:val="17"/>
                <w:szCs w:val="17"/>
                <w:color w:val="auto"/>
              </w:rPr>
              <w:t>Total segment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2,458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2,291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2,086</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480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7,262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80" w:type="dxa"/>
            <w:vAlign w:val="bottom"/>
            <w:gridSpan w:val="6"/>
          </w:tcPr>
          <w:p>
            <w:pPr>
              <w:jc w:val="right"/>
              <w:ind w:right="375"/>
              <w:spacing w:after="0"/>
              <w:rPr>
                <w:sz w:val="20"/>
                <w:szCs w:val="20"/>
                <w:color w:val="auto"/>
              </w:rPr>
            </w:pPr>
            <w:r>
              <w:rPr>
                <w:rFonts w:ascii="Arial" w:cs="Arial" w:eastAsia="Arial" w:hAnsi="Arial"/>
                <w:sz w:val="17"/>
                <w:szCs w:val="17"/>
                <w:b w:val="1"/>
                <w:bCs w:val="1"/>
                <w:color w:val="auto"/>
                <w:w w:val="91"/>
              </w:rPr>
              <w:t>Year Ended December 31, 2017</w:t>
            </w:r>
          </w:p>
        </w:tc>
        <w:tc>
          <w:tcPr>
            <w:tcW w:w="0" w:type="dxa"/>
            <w:vAlign w:val="bottom"/>
          </w:tcPr>
          <w:p>
            <w:pPr>
              <w:spacing w:after="0"/>
              <w:rPr>
                <w:sz w:val="1"/>
                <w:szCs w:val="1"/>
                <w:color w:val="auto"/>
              </w:rPr>
            </w:pPr>
          </w:p>
        </w:tc>
      </w:tr>
      <w:tr>
        <w:trPr>
          <w:trHeight w:val="27"/>
        </w:trPr>
        <w:tc>
          <w:tcPr>
            <w:tcW w:w="34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geographic region:</w:t>
            </w: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4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Americas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3,607</w:t>
            </w:r>
          </w:p>
        </w:tc>
        <w:tc>
          <w:tcPr>
            <w:tcW w:w="0" w:type="dxa"/>
            <w:vAlign w:val="bottom"/>
          </w:tcPr>
          <w:p>
            <w:pPr>
              <w:spacing w:after="0"/>
              <w:rPr>
                <w:sz w:val="1"/>
                <w:szCs w:val="1"/>
                <w:color w:val="auto"/>
              </w:rPr>
            </w:pPr>
          </w:p>
        </w:tc>
      </w:tr>
      <w:tr>
        <w:trPr>
          <w:trHeight w:val="228"/>
        </w:trPr>
        <w:tc>
          <w:tcPr>
            <w:tcW w:w="3440" w:type="dxa"/>
            <w:vAlign w:val="bottom"/>
          </w:tcPr>
          <w:p>
            <w:pPr>
              <w:ind w:left="20"/>
              <w:spacing w:after="0"/>
              <w:rPr>
                <w:sz w:val="20"/>
                <w:szCs w:val="20"/>
                <w:color w:val="auto"/>
              </w:rPr>
            </w:pPr>
            <w:r>
              <w:rPr>
                <w:rFonts w:ascii="Arial" w:cs="Arial" w:eastAsia="Arial" w:hAnsi="Arial"/>
                <w:sz w:val="17"/>
                <w:szCs w:val="17"/>
                <w:color w:val="auto"/>
              </w:rPr>
              <w:t>EMEA (1)</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2,464</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Asia Pacific</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946</w:t>
            </w:r>
          </w:p>
        </w:tc>
        <w:tc>
          <w:tcPr>
            <w:tcW w:w="0" w:type="dxa"/>
            <w:vAlign w:val="bottom"/>
          </w:tcPr>
          <w:p>
            <w:pPr>
              <w:spacing w:after="0"/>
              <w:rPr>
                <w:sz w:val="1"/>
                <w:szCs w:val="1"/>
                <w:color w:val="auto"/>
              </w:rPr>
            </w:pPr>
          </w:p>
        </w:tc>
      </w:tr>
      <w:tr>
        <w:trPr>
          <w:trHeight w:val="241"/>
        </w:trPr>
        <w:tc>
          <w:tcPr>
            <w:tcW w:w="3440" w:type="dxa"/>
            <w:vAlign w:val="bottom"/>
          </w:tcPr>
          <w:p>
            <w:pPr>
              <w:ind w:left="20"/>
              <w:spacing w:after="0"/>
              <w:rPr>
                <w:sz w:val="20"/>
                <w:szCs w:val="20"/>
                <w:color w:val="auto"/>
              </w:rPr>
            </w:pPr>
            <w:r>
              <w:rPr>
                <w:rFonts w:ascii="Arial" w:cs="Arial" w:eastAsia="Arial" w:hAnsi="Arial"/>
                <w:sz w:val="17"/>
                <w:szCs w:val="17"/>
                <w:color w:val="auto"/>
              </w:rPr>
              <w:t>Total consolidated net revenues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0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300" w:hanging="298"/>
        <w:spacing w:after="0"/>
        <w:tabs>
          <w:tab w:leader="none" w:pos="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“EMEA” consists of the Europe, Middle East, and Africa geographic regions.</w:t>
      </w:r>
    </w:p>
    <w:p>
      <w:pPr>
        <w:spacing w:after="0" w:line="136" w:lineRule="exact"/>
        <w:rPr>
          <w:rFonts w:ascii="Arial" w:cs="Arial" w:eastAsia="Arial" w:hAnsi="Arial"/>
          <w:sz w:val="17"/>
          <w:szCs w:val="17"/>
          <w:color w:val="auto"/>
        </w:rPr>
      </w:pPr>
    </w:p>
    <w:p>
      <w:pPr>
        <w:ind w:left="300" w:hanging="298"/>
        <w:spacing w:after="0"/>
        <w:tabs>
          <w:tab w:leader="none" w:pos="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64" w:lineRule="exact"/>
        <w:rPr>
          <w:sz w:val="20"/>
          <w:szCs w:val="20"/>
          <w:color w:val="auto"/>
        </w:rPr>
      </w:pPr>
    </w:p>
    <w:p>
      <w:pPr>
        <w:ind w:right="100" w:firstLine="408"/>
        <w:spacing w:after="0" w:line="313" w:lineRule="auto"/>
        <w:rPr>
          <w:sz w:val="20"/>
          <w:szCs w:val="20"/>
          <w:color w:val="auto"/>
        </w:rPr>
      </w:pPr>
      <w:r>
        <w:rPr>
          <w:rFonts w:ascii="Arial" w:cs="Arial" w:eastAsia="Arial" w:hAnsi="Arial"/>
          <w:sz w:val="15"/>
          <w:szCs w:val="15"/>
          <w:color w:val="auto"/>
        </w:rPr>
        <w:t>The Company’s net revenues in the U.S. were 46%, 46%, and 45% of consolidated net revenues for the years ended December 31, 2019, 2018, and 2017, respectively. The Company’s net revenues in the United Kingdom (“U.K.”) for each of the years ended December 31, 2019, 2018, and 2017 were 12% of consolidated net revenues. No other country’s net revenues exceeded 10% of consolidated net revenues for the years ended December 31, 2019, 2018, or 2017.</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1420"/>
          </w:cols>
          <w:pgMar w:left="240" w:top="127" w:right="2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Net revenues by platform, including a reconciliation to each of our reportable segment’s net revenues, were as follows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5"/>
          </w:tcPr>
          <w:p>
            <w:pPr>
              <w:ind w:left="20"/>
              <w:spacing w:after="0"/>
              <w:rPr>
                <w:sz w:val="20"/>
                <w:szCs w:val="20"/>
                <w:color w:val="auto"/>
              </w:rPr>
            </w:pPr>
            <w:r>
              <w:rPr>
                <w:rFonts w:ascii="Arial" w:cs="Arial" w:eastAsia="Arial" w:hAnsi="Arial"/>
                <w:sz w:val="17"/>
                <w:szCs w:val="17"/>
                <w:b w:val="1"/>
                <w:bCs w:val="1"/>
                <w:color w:val="auto"/>
                <w:w w:val="93"/>
              </w:rPr>
              <w:t>Year Ended December 31, 2019</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Non-</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reportable</w:t>
            </w: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intersegment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Activision</w:t>
            </w: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segments</w:t>
            </w: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40" w:type="dxa"/>
            <w:vAlign w:val="bottom"/>
          </w:tcPr>
          <w:p>
            <w:pPr>
              <w:spacing w:after="0"/>
              <w:rPr>
                <w:sz w:val="19"/>
                <w:szCs w:val="19"/>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1,920</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PC</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1,718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2,203</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648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2,187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1,852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6,489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81"/>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91"/>
        </w:trPr>
        <w:tc>
          <w:tcPr>
            <w:tcW w:w="3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1,866</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PC</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1,236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1,665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2,211</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646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2,219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1,719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6,388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440"/>
              <w:spacing w:after="0"/>
              <w:rPr>
                <w:sz w:val="20"/>
                <w:szCs w:val="20"/>
                <w:color w:val="auto"/>
              </w:rPr>
            </w:pPr>
            <w:r>
              <w:rPr>
                <w:rFonts w:ascii="Arial" w:cs="Arial" w:eastAsia="Arial" w:hAnsi="Arial"/>
                <w:sz w:val="17"/>
                <w:szCs w:val="17"/>
                <w:color w:val="auto"/>
              </w:rPr>
              <w:t>F-42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6"/>
          </w:tcPr>
          <w:p>
            <w:pPr>
              <w:ind w:left="20"/>
              <w:spacing w:after="0"/>
              <w:rPr>
                <w:sz w:val="20"/>
                <w:szCs w:val="20"/>
                <w:color w:val="auto"/>
              </w:rPr>
            </w:pPr>
            <w:r>
              <w:rPr>
                <w:rFonts w:ascii="Arial" w:cs="Arial" w:eastAsia="Arial" w:hAnsi="Arial"/>
                <w:sz w:val="17"/>
                <w:szCs w:val="17"/>
                <w:b w:val="1"/>
                <w:bCs w:val="1"/>
                <w:color w:val="auto"/>
                <w:w w:val="90"/>
              </w:rPr>
              <w:t>Year Ended December 31, 2018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2"/>
              </w:rPr>
              <w:t>Non-</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4"/>
              </w:rPr>
              <w:t>Elimination of</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1"/>
              </w:rPr>
              <w:t>reportable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intersegment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Activision</w:t>
            </w:r>
          </w:p>
        </w:tc>
        <w:tc>
          <w:tcPr>
            <w:tcW w:w="180" w:type="dxa"/>
            <w:vAlign w:val="bottom"/>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7"/>
                <w:szCs w:val="17"/>
                <w:b w:val="1"/>
                <w:bCs w:val="1"/>
                <w:color w:val="auto"/>
              </w:rPr>
              <w:t>Blizzard</w:t>
            </w:r>
          </w:p>
        </w:tc>
        <w:tc>
          <w:tcPr>
            <w:tcW w:w="120" w:type="dxa"/>
            <w:vAlign w:val="bottom"/>
          </w:tcPr>
          <w:p>
            <w:pPr>
              <w:spacing w:after="0"/>
              <w:rPr>
                <w:sz w:val="19"/>
                <w:szCs w:val="19"/>
                <w:color w:val="auto"/>
              </w:rPr>
            </w:pPr>
          </w:p>
        </w:tc>
        <w:tc>
          <w:tcPr>
            <w:tcW w:w="1140" w:type="dxa"/>
            <w:vAlign w:val="bottom"/>
            <w:gridSpan w:val="2"/>
          </w:tcPr>
          <w:p>
            <w:pPr>
              <w:ind w:left="280"/>
              <w:spacing w:after="0"/>
              <w:rPr>
                <w:sz w:val="20"/>
                <w:szCs w:val="20"/>
                <w:color w:val="auto"/>
              </w:rPr>
            </w:pPr>
            <w:r>
              <w:rPr>
                <w:rFonts w:ascii="Arial" w:cs="Arial" w:eastAsia="Arial" w:hAnsi="Arial"/>
                <w:sz w:val="17"/>
                <w:szCs w:val="17"/>
                <w:b w:val="1"/>
                <w:bCs w:val="1"/>
                <w:color w:val="auto"/>
              </w:rPr>
              <w:t>King</w:t>
            </w:r>
          </w:p>
        </w:tc>
        <w:tc>
          <w:tcPr>
            <w:tcW w:w="160" w:type="dxa"/>
            <w:vAlign w:val="bottom"/>
          </w:tcPr>
          <w:p>
            <w:pPr>
              <w:spacing w:after="0"/>
              <w:rPr>
                <w:sz w:val="19"/>
                <w:szCs w:val="19"/>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5"/>
              </w:rPr>
              <w:t>segments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revenues (3)</w:t>
            </w:r>
          </w:p>
        </w:tc>
        <w:tc>
          <w:tcPr>
            <w:tcW w:w="240" w:type="dxa"/>
            <w:vAlign w:val="bottom"/>
          </w:tcPr>
          <w:p>
            <w:pPr>
              <w:spacing w:after="0"/>
              <w:rPr>
                <w:sz w:val="19"/>
                <w:szCs w:val="19"/>
                <w:color w:val="auto"/>
              </w:rPr>
            </w:pPr>
          </w:p>
        </w:tc>
        <w:tc>
          <w:tcPr>
            <w:tcW w:w="880" w:type="dxa"/>
            <w:vAlign w:val="bottom"/>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2,538</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PC</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1,711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2,180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7"/>
                <w:szCs w:val="17"/>
                <w:color w:val="auto"/>
              </w:rPr>
              <w:t>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2,738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2,266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2,090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459</w:t>
            </w:r>
          </w:p>
        </w:tc>
        <w:tc>
          <w:tcPr>
            <w:tcW w:w="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7,500</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deferred revenues: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81"/>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change in deferred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gridSpan w:val="2"/>
          </w:tcPr>
          <w:p>
            <w:pPr>
              <w:jc w:val="right"/>
              <w:ind w:right="15"/>
              <w:spacing w:after="0"/>
              <w:rPr>
                <w:sz w:val="20"/>
                <w:szCs w:val="20"/>
                <w:color w:val="auto"/>
              </w:rPr>
            </w:pPr>
            <w:r>
              <w:rPr>
                <w:rFonts w:ascii="Arial" w:cs="Arial" w:eastAsia="Arial" w:hAnsi="Arial"/>
                <w:sz w:val="17"/>
                <w:szCs w:val="17"/>
                <w:color w:val="auto"/>
              </w:rPr>
              <w:t>21</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91"/>
        </w:trPr>
        <w:tc>
          <w:tcPr>
            <w:tcW w:w="3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7"/>
                <w:szCs w:val="17"/>
                <w:b w:val="1"/>
                <w:bCs w:val="1"/>
                <w:color w:val="auto"/>
              </w:rPr>
              <w:t>Segment net revenues: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2,094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2,273</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7"/>
                <w:szCs w:val="17"/>
                <w:color w:val="auto"/>
              </w:rPr>
              <w:t>PC</w:t>
            </w:r>
          </w:p>
        </w:tc>
        <w:tc>
          <w:tcPr>
            <w:tcW w:w="20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345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1,744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2,189</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2,172</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5"/>
              <w:spacing w:after="0"/>
              <w:rPr>
                <w:sz w:val="20"/>
                <w:szCs w:val="20"/>
                <w:color w:val="auto"/>
              </w:rPr>
            </w:pPr>
            <w:r>
              <w:rPr>
                <w:rFonts w:ascii="Arial" w:cs="Arial" w:eastAsia="Arial" w:hAnsi="Arial"/>
                <w:sz w:val="17"/>
                <w:szCs w:val="17"/>
                <w:color w:val="auto"/>
              </w:rPr>
              <w:t>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628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segment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2,458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2,291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480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7,262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6"/>
          </w:tcPr>
          <w:p>
            <w:pPr>
              <w:jc w:val="right"/>
              <w:ind w:right="375"/>
              <w:spacing w:after="0"/>
              <w:rPr>
                <w:sz w:val="20"/>
                <w:szCs w:val="20"/>
                <w:color w:val="auto"/>
              </w:rPr>
            </w:pPr>
            <w:r>
              <w:rPr>
                <w:rFonts w:ascii="Arial" w:cs="Arial" w:eastAsia="Arial" w:hAnsi="Arial"/>
                <w:sz w:val="17"/>
                <w:szCs w:val="17"/>
                <w:b w:val="1"/>
                <w:bCs w:val="1"/>
                <w:color w:val="auto"/>
                <w:w w:val="90"/>
              </w:rPr>
              <w:t>Year Ended December 31, 2017</w:t>
            </w:r>
          </w:p>
        </w:tc>
        <w:tc>
          <w:tcPr>
            <w:tcW w:w="0" w:type="dxa"/>
            <w:vAlign w:val="bottom"/>
          </w:tcPr>
          <w:p>
            <w:pPr>
              <w:spacing w:after="0"/>
              <w:rPr>
                <w:sz w:val="1"/>
                <w:szCs w:val="1"/>
                <w:color w:val="auto"/>
              </w:rPr>
            </w:pPr>
          </w:p>
        </w:tc>
      </w:tr>
      <w:tr>
        <w:trPr>
          <w:trHeight w:val="27"/>
        </w:trPr>
        <w:tc>
          <w:tcPr>
            <w:tcW w:w="35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Net revenues by platform:</w:t>
            </w: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5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Console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7"/>
                <w:szCs w:val="17"/>
                <w:color w:val="auto"/>
              </w:rPr>
              <w:t>PC</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Mobile and ancillary (1)</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2,081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7"/>
                <w:szCs w:val="17"/>
                <w:color w:val="auto"/>
              </w:rPr>
              <w:t>Other (2)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505</w:t>
            </w:r>
          </w:p>
        </w:tc>
        <w:tc>
          <w:tcPr>
            <w:tcW w:w="0" w:type="dxa"/>
            <w:vAlign w:val="bottom"/>
          </w:tcPr>
          <w:p>
            <w:pPr>
              <w:spacing w:after="0"/>
              <w:rPr>
                <w:sz w:val="1"/>
                <w:szCs w:val="1"/>
                <w:color w:val="auto"/>
              </w:rPr>
            </w:pPr>
          </w:p>
        </w:tc>
      </w:tr>
      <w:tr>
        <w:trPr>
          <w:trHeight w:val="26"/>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consolidated net revenues</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7,017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300" w:right="60" w:hanging="298"/>
        <w:spacing w:after="0" w:line="274" w:lineRule="auto"/>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Net revenues from “Mobile and ancillary” include revenues from mobile devices, as well as non-platform specific game-related revenues, such as standalone sales of physical merchandise and accessories.</w:t>
      </w:r>
    </w:p>
    <w:p>
      <w:pPr>
        <w:spacing w:after="0" w:line="165" w:lineRule="exact"/>
        <w:rPr>
          <w:rFonts w:ascii="Arial" w:cs="Arial" w:eastAsia="Arial" w:hAnsi="Arial"/>
          <w:sz w:val="17"/>
          <w:szCs w:val="17"/>
          <w:color w:val="auto"/>
        </w:rPr>
      </w:pPr>
    </w:p>
    <w:p>
      <w:pPr>
        <w:ind w:left="300" w:hanging="298"/>
        <w:spacing w:after="0"/>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Net revenues from “Other” primarily includes revenues from our Distribution business and the Overwatch League.</w:t>
      </w:r>
    </w:p>
    <w:p>
      <w:pPr>
        <w:spacing w:after="0" w:line="212" w:lineRule="exact"/>
        <w:rPr>
          <w:rFonts w:ascii="Arial" w:cs="Arial" w:eastAsia="Arial" w:hAnsi="Arial"/>
          <w:sz w:val="17"/>
          <w:szCs w:val="17"/>
          <w:color w:val="auto"/>
        </w:rPr>
      </w:pPr>
    </w:p>
    <w:p>
      <w:pPr>
        <w:ind w:left="300" w:hanging="298"/>
        <w:spacing w:after="0"/>
        <w:tabs>
          <w:tab w:leader="none" w:pos="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Intersegment revenues reflect licensing and service fees charged between segments.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F-43</w:t>
      </w:r>
    </w:p>
    <w:p>
      <w:pPr>
        <w:sectPr>
          <w:pgSz w:w="11900" w:h="16838" w:orient="portrait"/>
          <w:cols w:equalWidth="0" w:num="1">
            <w:col w:w="11420"/>
          </w:cols>
          <w:pgMar w:left="240" w:top="127"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by geographic region were as follows (amounts in millions):</w:t>
      </w:r>
    </w:p>
    <w:p>
      <w:pPr>
        <w:spacing w:after="0" w:line="362" w:lineRule="exact"/>
        <w:rPr>
          <w:sz w:val="20"/>
          <w:szCs w:val="20"/>
          <w:color w:val="auto"/>
        </w:rPr>
      </w:pPr>
    </w:p>
    <w:p>
      <w:pPr>
        <w:ind w:left="8500"/>
        <w:spacing w:after="0"/>
        <w:rPr>
          <w:sz w:val="20"/>
          <w:szCs w:val="20"/>
          <w:color w:val="auto"/>
        </w:rPr>
      </w:pPr>
      <w:r>
        <w:rPr>
          <w:rFonts w:ascii="Arial" w:cs="Arial" w:eastAsia="Arial" w:hAnsi="Arial"/>
          <w:sz w:val="17"/>
          <w:szCs w:val="17"/>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711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2019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2018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Long-lived assets* by geographic region:</w:t>
            </w:r>
          </w:p>
        </w:tc>
        <w:tc>
          <w:tcPr>
            <w:tcW w:w="10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Americas</w:t>
            </w:r>
          </w:p>
        </w:tc>
        <w:tc>
          <w:tcPr>
            <w:tcW w:w="1040" w:type="dxa"/>
            <w:vAlign w:val="bottom"/>
          </w:tcPr>
          <w:p>
            <w:pPr>
              <w:jc w:val="right"/>
              <w:ind w:right="835"/>
              <w:spacing w:after="0"/>
              <w:rPr>
                <w:sz w:val="20"/>
                <w:szCs w:val="20"/>
                <w:color w:val="auto"/>
              </w:rPr>
            </w:pPr>
            <w:r>
              <w:rPr>
                <w:rFonts w:ascii="Arial" w:cs="Arial" w:eastAsia="Arial" w:hAnsi="Arial"/>
                <w:sz w:val="17"/>
                <w:szCs w:val="17"/>
                <w:color w:val="auto"/>
              </w:rPr>
              <w:t>$</w:t>
            </w: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322</w:t>
            </w:r>
          </w:p>
        </w:tc>
        <w:tc>
          <w:tcPr>
            <w:tcW w:w="100" w:type="dxa"/>
            <w:vAlign w:val="bottom"/>
          </w:tcPr>
          <w:p>
            <w:pPr>
              <w:spacing w:after="0"/>
              <w:rPr>
                <w:sz w:val="19"/>
                <w:szCs w:val="19"/>
                <w:color w:val="auto"/>
              </w:rPr>
            </w:pPr>
          </w:p>
        </w:tc>
        <w:tc>
          <w:tcPr>
            <w:tcW w:w="1040" w:type="dxa"/>
            <w:vAlign w:val="bottom"/>
          </w:tcPr>
          <w:p>
            <w:pPr>
              <w:jc w:val="right"/>
              <w:ind w:right="835"/>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203</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197</w:t>
            </w: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5"/>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EMEA</w:t>
            </w:r>
          </w:p>
        </w:tc>
        <w:tc>
          <w:tcPr>
            <w:tcW w:w="10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w:t>
            </w: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Asia Pacific</w:t>
            </w:r>
          </w:p>
        </w:tc>
        <w:tc>
          <w:tcPr>
            <w:tcW w:w="1040" w:type="dxa"/>
            <w:vAlign w:val="bottom"/>
          </w:tcPr>
          <w:p>
            <w:pPr>
              <w:spacing w:after="0"/>
              <w:rPr>
                <w:sz w:val="19"/>
                <w:szCs w:val="19"/>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jc w:val="right"/>
              <w:ind w:right="15"/>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22</w:t>
            </w:r>
          </w:p>
        </w:tc>
      </w:tr>
      <w:tr>
        <w:trPr>
          <w:trHeight w:val="27"/>
        </w:trPr>
        <w:tc>
          <w:tcPr>
            <w:tcW w:w="6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long-lived assets by geographic region</w:t>
            </w: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485</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35"/>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294</w:t>
            </w:r>
          </w:p>
        </w:tc>
      </w:tr>
      <w:tr>
        <w:trPr>
          <w:trHeight w:val="20"/>
        </w:trPr>
        <w:tc>
          <w:tcPr>
            <w:tcW w:w="6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00" w:right="80" w:hanging="298"/>
        <w:spacing w:after="0" w:line="343" w:lineRule="auto"/>
        <w:tabs>
          <w:tab w:leader="none" w:pos="300"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only long-lived assets that we classify by region are our long-term tangible fixed assets, which consist of property, plant, and equipment assets, and beginning with 2019, as a result of our adoption of a new lease accounting standard, our lease ROU assets; all other long-term assets are not allocated by location.</w:t>
      </w:r>
    </w:p>
    <w:p>
      <w:pPr>
        <w:spacing w:after="0" w:line="119" w:lineRule="exact"/>
        <w:rPr>
          <w:sz w:val="20"/>
          <w:szCs w:val="20"/>
          <w:color w:val="auto"/>
        </w:rPr>
      </w:pPr>
    </w:p>
    <w:p>
      <w:pPr>
        <w:ind w:left="420"/>
        <w:spacing w:after="0"/>
        <w:rPr>
          <w:rFonts w:ascii="Arial" w:cs="Arial" w:eastAsia="Arial" w:hAnsi="Arial"/>
          <w:sz w:val="17"/>
          <w:szCs w:val="17"/>
          <w:color w:val="auto"/>
        </w:rPr>
      </w:pPr>
      <w:r>
        <w:rPr>
          <w:rFonts w:ascii="Arial" w:cs="Arial" w:eastAsia="Arial" w:hAnsi="Arial"/>
          <w:sz w:val="17"/>
          <w:szCs w:val="17"/>
          <w:color w:val="auto"/>
        </w:rPr>
        <w:t xml:space="preserve">For information regarding significant customers, see “Concentration of Credit Risk” in </w:t>
      </w:r>
      <w:hyperlink w:anchor="page75">
        <w:r>
          <w:rPr>
            <w:rFonts w:ascii="Arial" w:cs="Arial" w:eastAsia="Arial" w:hAnsi="Arial"/>
            <w:sz w:val="17"/>
            <w:szCs w:val="17"/>
            <w:u w:val="single" w:color="auto"/>
            <w:color w:val="0000EE"/>
          </w:rPr>
          <w:t>Note 2</w:t>
        </w:r>
      </w:hyperlink>
      <w:r>
        <w:rPr>
          <w:rFonts w:ascii="Arial" w:cs="Arial" w:eastAsia="Arial" w:hAnsi="Arial"/>
          <w:sz w:val="17"/>
          <w:szCs w:val="17"/>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Share-Based Payments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Activision Blizzard Equity Incentive Plans</w:t>
      </w:r>
    </w:p>
    <w:p>
      <w:pPr>
        <w:spacing w:after="0" w:line="213" w:lineRule="exact"/>
        <w:rPr>
          <w:sz w:val="20"/>
          <w:szCs w:val="20"/>
          <w:color w:val="auto"/>
        </w:rPr>
      </w:pPr>
    </w:p>
    <w:p>
      <w:pPr>
        <w:ind w:firstLine="408"/>
        <w:spacing w:after="0" w:line="256" w:lineRule="auto"/>
        <w:rPr>
          <w:sz w:val="20"/>
          <w:szCs w:val="20"/>
          <w:color w:val="auto"/>
        </w:rPr>
      </w:pPr>
      <w:r>
        <w:rPr>
          <w:rFonts w:ascii="Arial" w:cs="Arial" w:eastAsia="Arial" w:hAnsi="Arial"/>
          <w:sz w:val="17"/>
          <w:szCs w:val="17"/>
          <w:color w:val="auto"/>
        </w:rPr>
        <w:t>On June 5, 2014, the Activision Blizzard, Inc. 2014 Incentive Plan (the “2014 Plan”) became effective. Under the 2014 Plan, the Compensation Committee of our Board of Directors is authorized to provide share-based compensation in the form of stock options, share appreciation rights, restricted stock, restricted stock units, performance shares, and other performance- or value-based awards structured by the Compensation Committee within parameters set forth in the 2014 Plan. As of the effective date of the 2014 Plan, we had ceased making awards under our prior equity incentive plans (collectively, the “Prior Plans”), although such plans remain in effect to the extent that they continue to govern outstanding awards.</w:t>
      </w:r>
    </w:p>
    <w:p>
      <w:pPr>
        <w:spacing w:after="0" w:line="181" w:lineRule="exact"/>
        <w:rPr>
          <w:sz w:val="20"/>
          <w:szCs w:val="20"/>
          <w:color w:val="auto"/>
        </w:rPr>
      </w:pPr>
    </w:p>
    <w:p>
      <w:pPr>
        <w:ind w:right="20" w:firstLine="408"/>
        <w:spacing w:after="0" w:line="255" w:lineRule="auto"/>
        <w:rPr>
          <w:sz w:val="20"/>
          <w:szCs w:val="20"/>
          <w:color w:val="auto"/>
        </w:rPr>
      </w:pPr>
      <w:r>
        <w:rPr>
          <w:rFonts w:ascii="Arial" w:cs="Arial" w:eastAsia="Arial" w:hAnsi="Arial"/>
          <w:sz w:val="17"/>
          <w:szCs w:val="17"/>
          <w:color w:val="auto"/>
        </w:rPr>
        <w:t>While the Compensation Committee has broad discretion to create equity incentives, our current share-based compensation program generally utilizes a combination of options and restricted stock units. The majority of our options have time-based vesting schedules, generally vesting annually over a period of three years to five years, and expire 10 years from the grant date. In addition, under the terms of the 2014 Plan, the exercise price for the options must be equal to or greater than the closing price per share of our common stock on the date the award is granted, as reported on Nasdaq. Restricted stock units have time-based vesting schedules, generally vesting in their entirety on an anniversary of the date of grant, or vest annually over a period of three years to five years, and may also be contingent on the achievement of specified performance measures.</w:t>
      </w:r>
    </w:p>
    <w:p>
      <w:pPr>
        <w:spacing w:after="0" w:line="182" w:lineRule="exact"/>
        <w:rPr>
          <w:sz w:val="20"/>
          <w:szCs w:val="20"/>
          <w:color w:val="auto"/>
        </w:rPr>
      </w:pPr>
    </w:p>
    <w:p>
      <w:pPr>
        <w:ind w:right="360" w:firstLine="408"/>
        <w:spacing w:after="0" w:line="289" w:lineRule="auto"/>
        <w:rPr>
          <w:sz w:val="20"/>
          <w:szCs w:val="20"/>
          <w:color w:val="auto"/>
        </w:rPr>
      </w:pPr>
      <w:r>
        <w:rPr>
          <w:rFonts w:ascii="Arial" w:cs="Arial" w:eastAsia="Arial" w:hAnsi="Arial"/>
          <w:sz w:val="15"/>
          <w:szCs w:val="15"/>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(1) the number of shares relating to awards outstanding under any Prior Plan that: (i) expire, or are forfeited, terminated or canceled, without the issuance of shares; (ii) are settled in cash in lieu of shares; or</w:t>
      </w:r>
    </w:p>
    <w:p>
      <w:pPr>
        <w:ind w:firstLine="2"/>
        <w:spacing w:after="0" w:line="252" w:lineRule="auto"/>
        <w:tabs>
          <w:tab w:leader="none" w:pos="297" w:val="left"/>
        </w:tabs>
        <w:numPr>
          <w:ilvl w:val="0"/>
          <w:numId w:val="66"/>
        </w:numPr>
        <w:rPr>
          <w:rFonts w:ascii="Arial" w:cs="Arial" w:eastAsia="Arial" w:hAnsi="Arial"/>
          <w:sz w:val="17"/>
          <w:szCs w:val="17"/>
          <w:color w:val="auto"/>
        </w:rPr>
      </w:pPr>
      <w:r>
        <w:rPr>
          <w:rFonts w:ascii="Arial" w:cs="Arial" w:eastAsia="Arial" w:hAnsi="Arial"/>
          <w:sz w:val="17"/>
          <w:szCs w:val="17"/>
          <w:color w:val="auto"/>
        </w:rPr>
        <w:t>are exchanged, prior to the issuance of shares of our common stock, for awards not involving our common stock; (2)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(3) if a share appreciation right is exercised and settled in shares, a number of shares equal to the difference between the total number of shares with respect to which the award is exercised and the number of shares actually issued or transferred. As of December 31, 2019, we had approximately 24 million shares of our common stock reserved for future issuance under the 2014 Plan. Shares issued in connection with awards made under the 2014 Plan are generally issued as new stock issuances.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Valuation Assumptions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Stock Options</w:t>
      </w:r>
    </w:p>
    <w:p>
      <w:pPr>
        <w:spacing w:after="0" w:line="213" w:lineRule="exact"/>
        <w:rPr>
          <w:sz w:val="20"/>
          <w:szCs w:val="20"/>
          <w:color w:val="auto"/>
        </w:rPr>
      </w:pPr>
    </w:p>
    <w:p>
      <w:pPr>
        <w:ind w:right="120" w:firstLine="408"/>
        <w:spacing w:after="0" w:line="262" w:lineRule="auto"/>
        <w:rPr>
          <w:sz w:val="20"/>
          <w:szCs w:val="20"/>
          <w:color w:val="auto"/>
        </w:rPr>
      </w:pPr>
      <w:r>
        <w:rPr>
          <w:rFonts w:ascii="Arial" w:cs="Arial" w:eastAsia="Arial" w:hAnsi="Arial"/>
          <w:sz w:val="17"/>
          <w:szCs w:val="17"/>
          <w:color w:val="auto"/>
        </w:rPr>
        <w:t>The fair value of stock options granted are principally estimated using a binomial-lattice model. The inputs in our binomial-lattice model include expected stock price volatility, risk-free interest rate, dividend yield, contractual term, and vesting schedule, as well as measures of employees’ cancellations, exercise, and post-vesting termination behavior. Statistical methods are used to estimate employee termination rates.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presents the weighted-average assumptions, weighted average grant date fair value, and the range of expected stock price volatilities: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7"/>
              </w:rPr>
              <w:t>Employee and Director Options</w:t>
            </w: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r>
      <w:tr>
        <w:trPr>
          <w:trHeight w:val="184"/>
        </w:trPr>
        <w:tc>
          <w:tcPr>
            <w:tcW w:w="526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center"/>
              <w:ind w:right="295"/>
              <w:spacing w:after="0"/>
              <w:rPr>
                <w:sz w:val="20"/>
                <w:szCs w:val="20"/>
                <w:color w:val="auto"/>
              </w:rPr>
            </w:pPr>
            <w:r>
              <w:rPr>
                <w:rFonts w:ascii="Arial" w:cs="Arial" w:eastAsia="Arial" w:hAnsi="Arial"/>
                <w:sz w:val="14"/>
                <w:szCs w:val="14"/>
                <w:b w:val="1"/>
                <w:bCs w:val="1"/>
                <w:color w:val="auto"/>
                <w:w w:val="87"/>
              </w:rPr>
              <w:t>For the Years Ended December 31,</w:t>
            </w:r>
          </w:p>
        </w:tc>
        <w:tc>
          <w:tcPr>
            <w:tcW w:w="1580" w:type="dxa"/>
            <w:vAlign w:val="bottom"/>
            <w:tcBorders>
              <w:bottom w:val="single" w:sz="8" w:color="auto"/>
            </w:tcBorders>
          </w:tcPr>
          <w:p>
            <w:pPr>
              <w:spacing w:after="0"/>
              <w:rPr>
                <w:sz w:val="16"/>
                <w:szCs w:val="16"/>
                <w:color w:val="auto"/>
              </w:rPr>
            </w:pPr>
          </w:p>
        </w:tc>
      </w:tr>
      <w:tr>
        <w:trPr>
          <w:trHeight w:val="248"/>
        </w:trPr>
        <w:tc>
          <w:tcPr>
            <w:tcW w:w="526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7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2017</w:t>
            </w:r>
          </w:p>
        </w:tc>
      </w:tr>
      <w:tr>
        <w:trPr>
          <w:trHeight w:val="233"/>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Expected life (in years)</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7.85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7.01</w:t>
            </w:r>
          </w:p>
        </w:tc>
      </w:tr>
      <w:tr>
        <w:trPr>
          <w:trHeight w:val="229"/>
        </w:trPr>
        <w:tc>
          <w:tcPr>
            <w:tcW w:w="526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32.37%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35.00%</w:t>
            </w:r>
          </w:p>
        </w:tc>
      </w:tr>
      <w:tr>
        <w:trPr>
          <w:trHeight w:val="26"/>
        </w:trPr>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 free interest rate</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w:t>
            </w:r>
          </w:p>
        </w:tc>
      </w:tr>
      <w:tr>
        <w:trPr>
          <w:trHeight w:val="228"/>
        </w:trPr>
        <w:tc>
          <w:tcPr>
            <w:tcW w:w="526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0.61%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0.50%</w:t>
            </w:r>
          </w:p>
        </w:tc>
      </w:tr>
      <w:tr>
        <w:trPr>
          <w:trHeight w:val="27"/>
        </w:trPr>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grant date fair value</w:t>
            </w:r>
          </w:p>
        </w:tc>
        <w:tc>
          <w:tcPr>
            <w:tcW w:w="1200" w:type="dxa"/>
            <w:vAlign w:val="bottom"/>
            <w:tcBorders>
              <w:bottom w:val="single" w:sz="8" w:color="CCEEFF"/>
            </w:tcBorders>
            <w:shd w:val="clear" w:color="auto" w:fill="CCEEFF"/>
          </w:tcPr>
          <w:p>
            <w:pPr>
              <w:jc w:val="right"/>
              <w:ind w:right="100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17.12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7"/>
                <w:szCs w:val="17"/>
                <w:color w:val="auto"/>
              </w:rPr>
              <w:t>21.03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7"/>
                <w:szCs w:val="17"/>
                <w:color w:val="auto"/>
              </w:rPr>
              <w:t>21.11</w:t>
            </w:r>
          </w:p>
        </w:tc>
      </w:tr>
      <w:tr>
        <w:trPr>
          <w:trHeight w:val="229"/>
        </w:trPr>
        <w:tc>
          <w:tcPr>
            <w:tcW w:w="5260" w:type="dxa"/>
            <w:vAlign w:val="bottom"/>
          </w:tcPr>
          <w:p>
            <w:pPr>
              <w:ind w:left="20"/>
              <w:spacing w:after="0"/>
              <w:rPr>
                <w:sz w:val="20"/>
                <w:szCs w:val="20"/>
                <w:color w:val="auto"/>
              </w:rPr>
            </w:pPr>
            <w:r>
              <w:rPr>
                <w:rFonts w:ascii="Arial" w:cs="Arial" w:eastAsia="Arial" w:hAnsi="Arial"/>
                <w:sz w:val="17"/>
                <w:szCs w:val="17"/>
                <w:color w:val="auto"/>
              </w:rPr>
              <w:t>Stock price volatility range:</w:t>
            </w:r>
          </w:p>
        </w:tc>
        <w:tc>
          <w:tcPr>
            <w:tcW w:w="1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
        </w:trPr>
        <w:tc>
          <w:tcPr>
            <w:tcW w:w="5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5"/>
        </w:trPr>
        <w:tc>
          <w:tcPr>
            <w:tcW w:w="5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7"/>
                <w:szCs w:val="17"/>
                <w:color w:val="auto"/>
              </w:rPr>
              <w:t>Low</w:t>
            </w:r>
          </w:p>
        </w:tc>
        <w:tc>
          <w:tcPr>
            <w:tcW w:w="1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28.19%</w:t>
            </w:r>
          </w:p>
        </w:tc>
      </w:tr>
      <w:tr>
        <w:trPr>
          <w:trHeight w:val="228"/>
        </w:trPr>
        <w:tc>
          <w:tcPr>
            <w:tcW w:w="5260" w:type="dxa"/>
            <w:vAlign w:val="bottom"/>
          </w:tcPr>
          <w:p>
            <w:pPr>
              <w:ind w:left="260"/>
              <w:spacing w:after="0"/>
              <w:rPr>
                <w:sz w:val="20"/>
                <w:szCs w:val="20"/>
                <w:color w:val="auto"/>
              </w:rPr>
            </w:pPr>
            <w:r>
              <w:rPr>
                <w:rFonts w:ascii="Arial" w:cs="Arial" w:eastAsia="Arial" w:hAnsi="Arial"/>
                <w:sz w:val="17"/>
                <w:szCs w:val="17"/>
                <w:color w:val="auto"/>
              </w:rPr>
              <w:t>High</w:t>
            </w:r>
          </w:p>
        </w:tc>
        <w:tc>
          <w:tcPr>
            <w:tcW w:w="1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38.17%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36.73%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35.00%</w:t>
            </w:r>
          </w:p>
        </w:tc>
      </w:tr>
    </w:tbl>
    <w:p>
      <w:pPr>
        <w:spacing w:after="0" w:line="200" w:lineRule="exact"/>
        <w:rPr>
          <w:sz w:val="20"/>
          <w:szCs w:val="20"/>
          <w:color w:val="auto"/>
        </w:rPr>
      </w:pPr>
    </w:p>
    <w:p>
      <w:pPr>
        <w:sectPr>
          <w:pgSz w:w="11900" w:h="16838" w:orient="portrait"/>
          <w:cols w:equalWidth="0" w:num="1">
            <w:col w:w="11420"/>
          </w:cols>
          <w:pgMar w:left="240" w:top="127" w:right="239" w:bottom="0" w:gutter="0" w:footer="0" w:header="0"/>
        </w:sectPr>
      </w:pPr>
    </w:p>
    <w:p>
      <w:pPr>
        <w:spacing w:after="0" w:line="222" w:lineRule="exact"/>
        <w:rPr>
          <w:sz w:val="20"/>
          <w:szCs w:val="20"/>
          <w:color w:val="auto"/>
        </w:rPr>
      </w:pPr>
    </w:p>
    <w:p>
      <w:pPr>
        <w:ind w:left="420"/>
        <w:spacing w:after="0"/>
        <w:rPr>
          <w:sz w:val="20"/>
          <w:szCs w:val="20"/>
          <w:color w:val="auto"/>
        </w:rPr>
      </w:pPr>
      <w:r>
        <w:rPr>
          <w:rFonts w:ascii="Arial" w:cs="Arial" w:eastAsia="Arial" w:hAnsi="Arial"/>
          <w:sz w:val="15"/>
          <w:szCs w:val="15"/>
          <w:u w:val="single" w:color="auto"/>
          <w:color w:val="auto"/>
        </w:rPr>
        <w:t>Expected life</w:t>
      </w:r>
    </w:p>
    <w:p>
      <w:pPr>
        <w:sectPr>
          <w:pgSz w:w="11900" w:h="16838" w:orient="portrait"/>
          <w:cols w:equalWidth="0" w:num="1">
            <w:col w:w="11420"/>
          </w:cols>
          <w:pgMar w:left="240" w:top="127" w:right="239" w:bottom="0" w:gutter="0" w:footer="0" w:header="0"/>
          <w:type w:val="continuous"/>
        </w:sectPr>
      </w:pPr>
    </w:p>
    <w:bookmarkStart w:id="109" w:name="page110"/>
    <w:bookmarkEnd w:id="109"/>
    <w:p>
      <w:pPr>
        <w:ind w:right="220" w:firstLine="408"/>
        <w:spacing w:after="0" w:line="262" w:lineRule="auto"/>
        <w:rPr>
          <w:sz w:val="20"/>
          <w:szCs w:val="20"/>
          <w:color w:val="auto"/>
        </w:rPr>
      </w:pPr>
      <w:r>
        <w:rPr>
          <w:rFonts w:ascii="Arial" w:cs="Arial" w:eastAsia="Arial" w:hAnsi="Arial"/>
          <w:sz w:val="17"/>
          <w:szCs w:val="17"/>
          <w:color w:val="auto"/>
        </w:rPr>
        <w:t>The expected life of employee stock options is a derived output of the binomial-lattice model and represents the weighted-average period the stock options are expected to remain outstanding. A binomial-lattice model assumes that employees will exercise their options when the stock price equals or exceeds an exercise multiple. The exercise multiple is based on historical employee exercise behaviors.</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Volatility</w:t>
      </w:r>
    </w:p>
    <w:p>
      <w:pPr>
        <w:spacing w:after="0" w:line="213" w:lineRule="exact"/>
        <w:rPr>
          <w:sz w:val="20"/>
          <w:szCs w:val="20"/>
          <w:color w:val="auto"/>
        </w:rPr>
      </w:pPr>
    </w:p>
    <w:p>
      <w:pPr>
        <w:ind w:firstLine="408"/>
        <w:spacing w:after="0" w:line="262" w:lineRule="auto"/>
        <w:rPr>
          <w:sz w:val="20"/>
          <w:szCs w:val="20"/>
          <w:color w:val="auto"/>
        </w:rPr>
      </w:pPr>
      <w:r>
        <w:rPr>
          <w:rFonts w:ascii="Arial" w:cs="Arial" w:eastAsia="Arial" w:hAnsi="Arial"/>
          <w:sz w:val="17"/>
          <w:szCs w:val="17"/>
          <w:color w:val="auto"/>
        </w:rPr>
        <w:t>To estimate volatility for the binomial-lattice model, we consider the implied volatility of exchange-traded options on our stock to estimate short-term volatility, the historical volatility of our common shares during the option’s contractual term to estimate long-term volatility, and a statistical model to estimate the transition from short-term volatility to long-term volatility.</w:t>
      </w:r>
    </w:p>
    <w:p>
      <w:pPr>
        <w:spacing w:after="0" w:line="176"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Risk-free interest rate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As is the case for volatility, the risk-free interest rate is assumed to change during the option’s contractual term. The risk-free interest rate, which is based on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Treasury yield curves, reflects the expected movement in the interest rate from one time period to the next (“forward rate”).</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17"/>
          <w:szCs w:val="17"/>
          <w:u w:val="single" w:color="auto"/>
          <w:color w:val="auto"/>
        </w:rPr>
        <w:t>Dividend yield</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expected dividend yield assumption is based on our historical and expected future amount of dividend payouts.</w:t>
      </w:r>
    </w:p>
    <w:p>
      <w:pPr>
        <w:spacing w:after="0" w:line="213" w:lineRule="exact"/>
        <w:rPr>
          <w:sz w:val="20"/>
          <w:szCs w:val="20"/>
          <w:color w:val="auto"/>
        </w:rPr>
      </w:pPr>
    </w:p>
    <w:p>
      <w:pPr>
        <w:ind w:right="480" w:firstLine="408"/>
        <w:spacing w:after="0" w:line="262" w:lineRule="auto"/>
        <w:rPr>
          <w:sz w:val="20"/>
          <w:szCs w:val="20"/>
          <w:color w:val="auto"/>
        </w:rPr>
      </w:pPr>
      <w:r>
        <w:rPr>
          <w:rFonts w:ascii="Arial" w:cs="Arial" w:eastAsia="Arial" w:hAnsi="Arial"/>
          <w:sz w:val="17"/>
          <w:szCs w:val="17"/>
          <w:color w:val="auto"/>
        </w:rPr>
        <w:t>Share-based compensation expense recognized is based on awards ultimately expected to vest and therefore has been reduced for estimated forfeitures. Forfeitures are estimated at the time of grant based on historical experience and revised, if necessary, in subsequent periods if actual forfeitures differ from those estimates.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400"/>
          </w:cols>
          <w:pgMar w:left="240" w:top="331" w:right="25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Restricted Stock Units (“RSUs”)</w:t>
      </w:r>
    </w:p>
    <w:p>
      <w:pPr>
        <w:spacing w:after="0" w:line="213" w:lineRule="exact"/>
        <w:rPr>
          <w:sz w:val="20"/>
          <w:szCs w:val="20"/>
          <w:color w:val="auto"/>
        </w:rPr>
      </w:pPr>
    </w:p>
    <w:p>
      <w:pPr>
        <w:ind w:right="40" w:firstLine="382"/>
        <w:spacing w:after="0" w:line="274" w:lineRule="auto"/>
        <w:rPr>
          <w:sz w:val="20"/>
          <w:szCs w:val="20"/>
          <w:color w:val="auto"/>
        </w:rPr>
      </w:pPr>
      <w:r>
        <w:rPr>
          <w:rFonts w:ascii="Arial" w:cs="Arial" w:eastAsia="Arial" w:hAnsi="Arial"/>
          <w:sz w:val="17"/>
          <w:szCs w:val="17"/>
          <w:color w:val="auto"/>
        </w:rPr>
        <w:t>The fair value of the Company’s RSU awards granted is principally based upon the closing price of the Company’s stock price on the date of grant reduced by the present value of dividends expected to be paid on our common stock prior to vesting.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Accuracy of Fair Value Estimates</w:t>
      </w:r>
    </w:p>
    <w:p>
      <w:pPr>
        <w:spacing w:after="0" w:line="213" w:lineRule="exact"/>
        <w:rPr>
          <w:sz w:val="20"/>
          <w:szCs w:val="20"/>
          <w:color w:val="auto"/>
        </w:rPr>
      </w:pPr>
    </w:p>
    <w:p>
      <w:pPr>
        <w:ind w:right="20" w:firstLine="408"/>
        <w:spacing w:after="0" w:line="255" w:lineRule="auto"/>
        <w:rPr>
          <w:sz w:val="20"/>
          <w:szCs w:val="20"/>
          <w:color w:val="auto"/>
        </w:rPr>
      </w:pPr>
      <w:r>
        <w:rPr>
          <w:rFonts w:ascii="Arial" w:cs="Arial" w:eastAsia="Arial" w:hAnsi="Arial"/>
          <w:sz w:val="17"/>
          <w:szCs w:val="17"/>
          <w:color w:val="auto"/>
        </w:rPr>
        <w:t>We developed the assumptions used in the models above, including measures of employees’ exercise and post-vesting termination behavior. Our ability to accurately estimate the fair value of share-based payment awards at the grant date depends upon the accuracy of the model and our ability to accurately forecast model inputs for as long as 10 years into the future. These inputs include, but are not limited to, expected stock price volatility, risk-free rate, dividend yield, and employee termination rates. Although the fair value of employee stock options is determined using an option-pricing model, the estimates that are produced by this model may not be indicative of the fair value observed between a willing buyer and a willing seller as there are not current active markets for the trading of employee stock options and other share-based instruments.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Activity</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Stock option activity is as follows: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Weighted-average</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0"/>
        </w:trPr>
        <w:tc>
          <w:tcPr>
            <w:tcW w:w="5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86"/>
              </w:rPr>
              <w:t>remaining</w:t>
            </w:r>
          </w:p>
        </w:tc>
        <w:tc>
          <w:tcPr>
            <w:tcW w:w="140" w:type="dxa"/>
            <w:vAlign w:val="bottom"/>
          </w:tcPr>
          <w:p>
            <w:pPr>
              <w:spacing w:after="0"/>
              <w:rPr>
                <w:sz w:val="12"/>
                <w:szCs w:val="12"/>
                <w:color w:val="auto"/>
              </w:rPr>
            </w:pPr>
          </w:p>
        </w:tc>
        <w:tc>
          <w:tcPr>
            <w:tcW w:w="1200" w:type="dxa"/>
            <w:vAlign w:val="bottom"/>
          </w:tcPr>
          <w:p>
            <w:pPr>
              <w:jc w:val="center"/>
              <w:ind w:right="64"/>
              <w:spacing w:after="0" w:line="141" w:lineRule="exact"/>
              <w:rPr>
                <w:sz w:val="20"/>
                <w:szCs w:val="20"/>
                <w:color w:val="auto"/>
              </w:rPr>
            </w:pPr>
            <w:r>
              <w:rPr>
                <w:rFonts w:ascii="Arial" w:cs="Arial" w:eastAsia="Arial" w:hAnsi="Arial"/>
                <w:sz w:val="14"/>
                <w:szCs w:val="14"/>
                <w:b w:val="1"/>
                <w:bCs w:val="1"/>
                <w:color w:val="auto"/>
                <w:w w:val="83"/>
              </w:rPr>
              <w:t>Aggregate</w:t>
            </w:r>
          </w:p>
        </w:tc>
      </w:tr>
      <w:tr>
        <w:trPr>
          <w:trHeight w:val="140"/>
        </w:trPr>
        <w:tc>
          <w:tcPr>
            <w:tcW w:w="5620" w:type="dxa"/>
            <w:vAlign w:val="bottom"/>
          </w:tcPr>
          <w:p>
            <w:pPr>
              <w:spacing w:after="0"/>
              <w:rPr>
                <w:sz w:val="12"/>
                <w:szCs w:val="12"/>
                <w:color w:val="auto"/>
              </w:rPr>
            </w:pPr>
          </w:p>
        </w:tc>
        <w:tc>
          <w:tcPr>
            <w:tcW w:w="136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0"/>
              </w:rPr>
              <w:t>Number of Shares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Weighted-average</w:t>
            </w:r>
          </w:p>
        </w:tc>
        <w:tc>
          <w:tcPr>
            <w:tcW w:w="148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0"/>
              </w:rPr>
              <w:t>contractual term (in</w:t>
            </w:r>
          </w:p>
        </w:tc>
        <w:tc>
          <w:tcPr>
            <w:tcW w:w="140" w:type="dxa"/>
            <w:vAlign w:val="bottom"/>
          </w:tcPr>
          <w:p>
            <w:pPr>
              <w:spacing w:after="0"/>
              <w:rPr>
                <w:sz w:val="12"/>
                <w:szCs w:val="12"/>
                <w:color w:val="auto"/>
              </w:rPr>
            </w:pPr>
          </w:p>
        </w:tc>
        <w:tc>
          <w:tcPr>
            <w:tcW w:w="1200" w:type="dxa"/>
            <w:vAlign w:val="bottom"/>
          </w:tcPr>
          <w:p>
            <w:pPr>
              <w:jc w:val="center"/>
              <w:ind w:right="64"/>
              <w:spacing w:after="0" w:line="141" w:lineRule="exact"/>
              <w:rPr>
                <w:sz w:val="20"/>
                <w:szCs w:val="20"/>
                <w:color w:val="auto"/>
              </w:rPr>
            </w:pPr>
            <w:r>
              <w:rPr>
                <w:rFonts w:ascii="Arial" w:cs="Arial" w:eastAsia="Arial" w:hAnsi="Arial"/>
                <w:sz w:val="14"/>
                <w:szCs w:val="14"/>
                <w:b w:val="1"/>
                <w:bCs w:val="1"/>
                <w:color w:val="auto"/>
                <w:w w:val="88"/>
              </w:rPr>
              <w:t>intrinsic value (in</w:t>
            </w:r>
          </w:p>
        </w:tc>
      </w:tr>
      <w:tr>
        <w:trPr>
          <w:trHeight w:val="181"/>
        </w:trPr>
        <w:tc>
          <w:tcPr>
            <w:tcW w:w="562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thousands)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years)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6"/>
              </w:rPr>
              <w:t>millions)</w:t>
            </w:r>
          </w:p>
        </w:tc>
      </w:tr>
      <w:tr>
        <w:trPr>
          <w:trHeight w:val="23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stock options at December 31, 2018</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17,137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39.73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7"/>
                <w:szCs w:val="17"/>
                <w:color w:val="auto"/>
              </w:rPr>
              <w:t>Granted</w:t>
            </w: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3,992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49.14</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
        </w:trPr>
        <w:tc>
          <w:tcPr>
            <w:tcW w:w="5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27.31</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28"/>
        </w:trPr>
        <w:tc>
          <w:tcPr>
            <w:tcW w:w="562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360" w:type="dxa"/>
            <w:vAlign w:val="bottom"/>
          </w:tcPr>
          <w:p>
            <w:pPr>
              <w:jc w:val="right"/>
              <w:spacing w:after="0"/>
              <w:rPr>
                <w:sz w:val="20"/>
                <w:szCs w:val="20"/>
                <w:color w:val="auto"/>
              </w:rPr>
            </w:pPr>
            <w:r>
              <w:rPr>
                <w:rFonts w:ascii="Arial" w:cs="Arial" w:eastAsia="Arial" w:hAnsi="Arial"/>
                <w:sz w:val="17"/>
                <w:szCs w:val="17"/>
                <w:color w:val="auto"/>
              </w:rPr>
              <w:t>(2,852)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46.19</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
        </w:trPr>
        <w:tc>
          <w:tcPr>
            <w:tcW w:w="5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46.63</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81"/>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Outstanding stock options at December 31, 2019</w:t>
            </w:r>
          </w:p>
        </w:tc>
        <w:tc>
          <w:tcPr>
            <w:tcW w:w="13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7"/>
                <w:szCs w:val="17"/>
                <w:color w:val="auto"/>
              </w:rPr>
              <w:t>14,029</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tcPr>
          <w:p>
            <w:pPr>
              <w:jc w:val="right"/>
              <w:ind w:right="38"/>
              <w:spacing w:after="0"/>
              <w:rPr>
                <w:sz w:val="20"/>
                <w:szCs w:val="20"/>
                <w:color w:val="auto"/>
              </w:rPr>
            </w:pPr>
            <w:r>
              <w:rPr>
                <w:rFonts w:ascii="Arial" w:cs="Arial" w:eastAsia="Arial" w:hAnsi="Arial"/>
                <w:sz w:val="17"/>
                <w:szCs w:val="17"/>
                <w:color w:val="auto"/>
              </w:rPr>
              <w:t>44.31</w:t>
            </w:r>
          </w:p>
        </w:tc>
        <w:tc>
          <w:tcPr>
            <w:tcW w:w="10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7.47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tcPr>
          <w:p>
            <w:pPr>
              <w:jc w:val="right"/>
              <w:ind w:right="24"/>
              <w:spacing w:after="0"/>
              <w:rPr>
                <w:sz w:val="20"/>
                <w:szCs w:val="20"/>
                <w:color w:val="auto"/>
              </w:rPr>
            </w:pPr>
            <w:r>
              <w:rPr>
                <w:rFonts w:ascii="Arial" w:cs="Arial" w:eastAsia="Arial" w:hAnsi="Arial"/>
                <w:sz w:val="17"/>
                <w:szCs w:val="17"/>
                <w:color w:val="auto"/>
              </w:rPr>
              <w:t>221</w:t>
            </w:r>
          </w:p>
        </w:tc>
      </w:tr>
      <w:tr>
        <w:trPr>
          <w:trHeight w:val="22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 and expected to vest at December 31, 2019</w:t>
            </w: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13,360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7"/>
                <w:szCs w:val="17"/>
                <w:color w:val="auto"/>
              </w:rPr>
              <w:t>43.90</w:t>
            </w:r>
          </w:p>
        </w:tc>
        <w:tc>
          <w:tcPr>
            <w:tcW w:w="1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7"/>
                <w:szCs w:val="17"/>
                <w:color w:val="auto"/>
              </w:rPr>
              <w:t>216</w:t>
            </w:r>
          </w:p>
        </w:tc>
      </w:tr>
      <w:tr>
        <w:trPr>
          <w:trHeight w:val="228"/>
        </w:trPr>
        <w:tc>
          <w:tcPr>
            <w:tcW w:w="5620" w:type="dxa"/>
            <w:vAlign w:val="bottom"/>
          </w:tcPr>
          <w:p>
            <w:pPr>
              <w:ind w:left="20"/>
              <w:spacing w:after="0"/>
              <w:rPr>
                <w:sz w:val="20"/>
                <w:szCs w:val="20"/>
                <w:color w:val="auto"/>
              </w:rPr>
            </w:pPr>
            <w:r>
              <w:rPr>
                <w:rFonts w:ascii="Arial" w:cs="Arial" w:eastAsia="Arial" w:hAnsi="Arial"/>
                <w:sz w:val="17"/>
                <w:szCs w:val="17"/>
                <w:color w:val="auto"/>
              </w:rPr>
              <w:t>Exercisable at December 31, 2019</w:t>
            </w: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5,988</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8"/>
              <w:spacing w:after="0"/>
              <w:rPr>
                <w:sz w:val="20"/>
                <w:szCs w:val="20"/>
                <w:color w:val="auto"/>
              </w:rPr>
            </w:pPr>
            <w:r>
              <w:rPr>
                <w:rFonts w:ascii="Arial" w:cs="Arial" w:eastAsia="Arial" w:hAnsi="Arial"/>
                <w:sz w:val="17"/>
                <w:szCs w:val="17"/>
                <w:color w:val="auto"/>
              </w:rPr>
              <w:t>34.32</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ind w:right="24"/>
              <w:spacing w:after="0"/>
              <w:rPr>
                <w:sz w:val="20"/>
                <w:szCs w:val="20"/>
                <w:color w:val="auto"/>
              </w:rPr>
            </w:pPr>
            <w:r>
              <w:rPr>
                <w:rFonts w:ascii="Arial" w:cs="Arial" w:eastAsia="Arial" w:hAnsi="Arial"/>
                <w:sz w:val="17"/>
                <w:szCs w:val="17"/>
                <w:color w:val="auto"/>
              </w:rPr>
              <w:t>152</w:t>
            </w:r>
          </w:p>
        </w:tc>
      </w:tr>
    </w:tbl>
    <w:p>
      <w:pPr>
        <w:spacing w:after="0" w:line="200" w:lineRule="exact"/>
        <w:rPr>
          <w:sz w:val="20"/>
          <w:szCs w:val="20"/>
          <w:color w:val="auto"/>
        </w:rPr>
      </w:pPr>
    </w:p>
    <w:p>
      <w:pPr>
        <w:spacing w:after="0" w:line="222" w:lineRule="exact"/>
        <w:rPr>
          <w:sz w:val="20"/>
          <w:szCs w:val="20"/>
          <w:color w:val="auto"/>
        </w:rPr>
      </w:pPr>
    </w:p>
    <w:p>
      <w:pPr>
        <w:ind w:right="20" w:firstLine="408"/>
        <w:spacing w:after="0" w:line="298" w:lineRule="auto"/>
        <w:rPr>
          <w:sz w:val="20"/>
          <w:szCs w:val="20"/>
          <w:color w:val="auto"/>
        </w:rPr>
      </w:pPr>
      <w:r>
        <w:rPr>
          <w:rFonts w:ascii="Arial" w:cs="Arial" w:eastAsia="Arial" w:hAnsi="Arial"/>
          <w:sz w:val="15"/>
          <w:szCs w:val="15"/>
          <w:color w:val="auto"/>
        </w:rPr>
        <w:t>The aggregate intrinsic values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$80 million, $196 million, and $372 million for the years ended December 31, 2019, 2018, and 2017, respectively. The total grant date fair value of options vested was $94 million, $45 million, and $47 million for the years ended December 31, 2019, 2018, and 2017, respectively.</w:t>
      </w:r>
    </w:p>
    <w:p>
      <w:pPr>
        <w:spacing w:after="0" w:line="153" w:lineRule="exact"/>
        <w:rPr>
          <w:sz w:val="20"/>
          <w:szCs w:val="20"/>
          <w:color w:val="auto"/>
        </w:rPr>
      </w:pPr>
    </w:p>
    <w:p>
      <w:pPr>
        <w:ind w:right="20" w:firstLine="408"/>
        <w:spacing w:after="0" w:line="274" w:lineRule="auto"/>
        <w:rPr>
          <w:sz w:val="20"/>
          <w:szCs w:val="20"/>
          <w:color w:val="auto"/>
        </w:rPr>
      </w:pPr>
      <w:r>
        <w:rPr>
          <w:rFonts w:ascii="Arial" w:cs="Arial" w:eastAsia="Arial" w:hAnsi="Arial"/>
          <w:sz w:val="17"/>
          <w:szCs w:val="17"/>
          <w:color w:val="auto"/>
        </w:rPr>
        <w:t>At December 31, 2019, $78 million of total unrecognized compensation cost related to stock options is expected to be recognized over a weighted-average period of 1.33 years.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RSU Activity</w:t>
      </w:r>
    </w:p>
    <w:p>
      <w:pPr>
        <w:spacing w:after="0" w:line="213" w:lineRule="exact"/>
        <w:rPr>
          <w:sz w:val="20"/>
          <w:szCs w:val="20"/>
          <w:color w:val="auto"/>
        </w:rPr>
      </w:pPr>
    </w:p>
    <w:p>
      <w:pPr>
        <w:ind w:firstLine="408"/>
        <w:spacing w:after="0" w:line="256" w:lineRule="auto"/>
        <w:rPr>
          <w:sz w:val="20"/>
          <w:szCs w:val="20"/>
          <w:color w:val="auto"/>
        </w:rPr>
      </w:pPr>
      <w:r>
        <w:rPr>
          <w:rFonts w:ascii="Arial" w:cs="Arial" w:eastAsia="Arial" w:hAnsi="Arial"/>
          <w:sz w:val="17"/>
          <w:szCs w:val="17"/>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include a range of shares that may be released at vesting which are above or below the targeted number of RSUs based on actual performance relative to the grant date performance measure. If the vesting conditions are not met, unvested RSUs will be forfeited. Upon vesting of the RSUs, we may withhold shares otherwise deliverable to satisfy tax withholding requirements.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1420"/>
          </w:cols>
          <w:pgMar w:left="240" w:top="127" w:right="23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220" w:firstLine="408"/>
        <w:spacing w:after="0" w:line="274" w:lineRule="auto"/>
        <w:rPr>
          <w:sz w:val="20"/>
          <w:szCs w:val="20"/>
          <w:color w:val="auto"/>
        </w:rPr>
      </w:pPr>
      <w:r>
        <w:rPr>
          <w:rFonts w:ascii="Arial" w:cs="Arial" w:eastAsia="Arial" w:hAnsi="Arial"/>
          <w:sz w:val="17"/>
          <w:szCs w:val="17"/>
          <w:color w:val="auto"/>
        </w:rPr>
        <w:t>The following table summarizes our RSU activity with performance-based RSUs presented at the maximum potential shares that could be earned and issued at vesting (amounts in thousands except per share amounts):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Weighted-</w:t>
            </w:r>
          </w:p>
        </w:tc>
      </w:tr>
      <w:tr>
        <w:trPr>
          <w:trHeight w:val="140"/>
        </w:trPr>
        <w:tc>
          <w:tcPr>
            <w:tcW w:w="83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21"/>
              <w:spacing w:after="0" w:line="141" w:lineRule="exact"/>
              <w:rPr>
                <w:sz w:val="20"/>
                <w:szCs w:val="20"/>
                <w:color w:val="auto"/>
              </w:rPr>
            </w:pPr>
            <w:r>
              <w:rPr>
                <w:rFonts w:ascii="Arial" w:cs="Arial" w:eastAsia="Arial" w:hAnsi="Arial"/>
                <w:sz w:val="14"/>
                <w:szCs w:val="14"/>
                <w:b w:val="1"/>
                <w:bCs w:val="1"/>
                <w:color w:val="auto"/>
                <w:w w:val="89"/>
              </w:rPr>
              <w:t>Average Grant</w:t>
            </w:r>
          </w:p>
        </w:tc>
      </w:tr>
      <w:tr>
        <w:trPr>
          <w:trHeight w:val="181"/>
        </w:trPr>
        <w:tc>
          <w:tcPr>
            <w:tcW w:w="836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0"/>
              </w:rPr>
              <w:t>Date Fair Value</w:t>
            </w:r>
          </w:p>
        </w:tc>
      </w:tr>
      <w:tr>
        <w:trPr>
          <w:trHeight w:val="23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2018</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10,623</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40.39</w:t>
            </w:r>
          </w:p>
        </w:tc>
      </w:tr>
      <w:tr>
        <w:trPr>
          <w:trHeight w:val="228"/>
        </w:trPr>
        <w:tc>
          <w:tcPr>
            <w:tcW w:w="8360" w:type="dxa"/>
            <w:vAlign w:val="bottom"/>
          </w:tcPr>
          <w:p>
            <w:pPr>
              <w:ind w:left="2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ind w:right="18"/>
              <w:spacing w:after="0"/>
              <w:rPr>
                <w:sz w:val="20"/>
                <w:szCs w:val="20"/>
                <w:color w:val="auto"/>
              </w:rPr>
            </w:pPr>
            <w:r>
              <w:rPr>
                <w:rFonts w:ascii="Arial" w:cs="Arial" w:eastAsia="Arial" w:hAnsi="Arial"/>
                <w:sz w:val="17"/>
                <w:szCs w:val="17"/>
                <w:color w:val="auto"/>
              </w:rPr>
              <w:t>4,426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45.55</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47.86</w:t>
            </w:r>
          </w:p>
        </w:tc>
      </w:tr>
      <w:tr>
        <w:trPr>
          <w:trHeight w:val="228"/>
        </w:trPr>
        <w:tc>
          <w:tcPr>
            <w:tcW w:w="83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(2,963)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54.61</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RSUs at December 31, 2019</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9,328</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32.60</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96" w:lineRule="exact"/>
        <w:rPr>
          <w:sz w:val="20"/>
          <w:szCs w:val="20"/>
          <w:color w:val="auto"/>
        </w:rPr>
      </w:pPr>
    </w:p>
    <w:p>
      <w:pPr>
        <w:ind w:right="60" w:firstLine="382"/>
        <w:spacing w:after="0" w:line="256" w:lineRule="auto"/>
        <w:rPr>
          <w:sz w:val="20"/>
          <w:szCs w:val="20"/>
          <w:color w:val="auto"/>
        </w:rPr>
      </w:pPr>
      <w:r>
        <w:rPr>
          <w:rFonts w:ascii="Arial" w:cs="Arial" w:eastAsia="Arial" w:hAnsi="Arial"/>
          <w:sz w:val="17"/>
          <w:szCs w:val="17"/>
          <w:color w:val="auto"/>
        </w:rPr>
        <w:t>Certain of our performance-based RSUs did not have an accounting grant date as of December 31, 2019, as there is not a mutual understanding between the Company and the employee of the performance terms. Generally, these performance terms relate to operating income performance for future years where the performance goals have not yet been set. As of December 31, 2019, there were 3.2 million performance-based RSUs outstanding for which the accounting grant date has not been set, of which 1.9 million were 2019 grants. Accordingly, no grant date fair value was established and the weighted average grant date fair value calculated above for 2019 grants excludes these RSUs.</w:t>
      </w:r>
    </w:p>
    <w:p>
      <w:pPr>
        <w:spacing w:after="0" w:line="181" w:lineRule="exact"/>
        <w:rPr>
          <w:sz w:val="20"/>
          <w:szCs w:val="20"/>
          <w:color w:val="auto"/>
        </w:rPr>
      </w:pPr>
    </w:p>
    <w:p>
      <w:pPr>
        <w:ind w:right="160" w:firstLine="408"/>
        <w:spacing w:after="0" w:line="258" w:lineRule="auto"/>
        <w:rPr>
          <w:sz w:val="20"/>
          <w:szCs w:val="20"/>
          <w:color w:val="auto"/>
        </w:rPr>
      </w:pPr>
      <w:r>
        <w:rPr>
          <w:rFonts w:ascii="Arial" w:cs="Arial" w:eastAsia="Arial" w:hAnsi="Arial"/>
          <w:sz w:val="17"/>
          <w:szCs w:val="17"/>
          <w:color w:val="auto"/>
        </w:rPr>
        <w:t>At December 31, 2019, approximately $96 million of total unrecognized compensation cost was related to RSUs and is expected to be recognized over a weighted-average period of 1.64 years. Of the total unrecognized compensation cost, $50 million was related to performance-based RSUs, which is expected to be recognized over a weighted-average period of 1.63 years. The total grant date fair value of vested RSUs was $147 million, $120 million and $64 million for the years ended December 31, 2019, 2018, and 2017, respectively.</w:t>
      </w:r>
    </w:p>
    <w:p>
      <w:pPr>
        <w:spacing w:after="0" w:line="179" w:lineRule="exact"/>
        <w:rPr>
          <w:sz w:val="20"/>
          <w:szCs w:val="20"/>
          <w:color w:val="auto"/>
        </w:rPr>
      </w:pPr>
    </w:p>
    <w:p>
      <w:pPr>
        <w:ind w:right="240" w:firstLine="408"/>
        <w:spacing w:after="0" w:line="274" w:lineRule="auto"/>
        <w:rPr>
          <w:sz w:val="20"/>
          <w:szCs w:val="20"/>
          <w:color w:val="auto"/>
        </w:rPr>
      </w:pPr>
      <w:r>
        <w:rPr>
          <w:rFonts w:ascii="Arial" w:cs="Arial" w:eastAsia="Arial" w:hAnsi="Arial"/>
          <w:sz w:val="17"/>
          <w:szCs w:val="17"/>
          <w:color w:val="auto"/>
        </w:rPr>
        <w:t>The income tax benefit from stock option exercises and RSU vestings was $47 million, $94 million, and $160 million for the years ended December 31, 2019,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 Expense</w:t>
      </w:r>
    </w:p>
    <w:p>
      <w:pPr>
        <w:spacing w:after="0" w:line="21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the total share-based compensation expense included in our consolidated statements of operations (amounts in millions):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80" w:type="dxa"/>
            <w:vAlign w:val="bottom"/>
            <w:gridSpan w:val="6"/>
          </w:tcPr>
          <w:p>
            <w:pPr>
              <w:jc w:val="right"/>
              <w:spacing w:after="0"/>
              <w:rPr>
                <w:sz w:val="20"/>
                <w:szCs w:val="20"/>
                <w:color w:val="auto"/>
              </w:rPr>
            </w:pPr>
            <w:r>
              <w:rPr>
                <w:rFonts w:ascii="Arial" w:cs="Arial" w:eastAsia="Arial" w:hAnsi="Arial"/>
                <w:sz w:val="17"/>
                <w:szCs w:val="17"/>
                <w:b w:val="1"/>
                <w:bCs w:val="1"/>
                <w:color w:val="auto"/>
                <w:w w:val="91"/>
              </w:rPr>
              <w:t>For the Years Ended December 31,</w:t>
            </w:r>
          </w:p>
        </w:tc>
        <w:tc>
          <w:tcPr>
            <w:tcW w:w="98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7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6"/>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8"/>
              </w:rPr>
              <w:t>Cost of revenues—product sales: Software royalties, amortization, and intellectual property</w:t>
            </w:r>
          </w:p>
        </w:tc>
        <w:tc>
          <w:tcPr>
            <w:tcW w:w="10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licenses</w:t>
            </w: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w:t>
            </w:r>
          </w:p>
        </w:tc>
      </w:tr>
      <w:tr>
        <w:trPr>
          <w:trHeight w:val="217"/>
        </w:trPr>
        <w:tc>
          <w:tcPr>
            <w:tcW w:w="6740" w:type="dxa"/>
            <w:vAlign w:val="bottom"/>
          </w:tcPr>
          <w:p>
            <w:pPr>
              <w:ind w:left="20"/>
              <w:spacing w:after="0"/>
              <w:rPr>
                <w:sz w:val="20"/>
                <w:szCs w:val="20"/>
                <w:color w:val="auto"/>
              </w:rPr>
            </w:pPr>
            <w:r>
              <w:rPr>
                <w:rFonts w:ascii="Arial" w:cs="Arial" w:eastAsia="Arial" w:hAnsi="Arial"/>
                <w:sz w:val="17"/>
                <w:szCs w:val="17"/>
                <w:color w:val="auto"/>
                <w:w w:val="91"/>
              </w:rPr>
              <w:t>Cost of revenues—subscription, licensing, and other revenues: Game Operations and Distribution</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6740" w:type="dxa"/>
            <w:vAlign w:val="bottom"/>
          </w:tcPr>
          <w:p>
            <w:pPr>
              <w:ind w:left="20"/>
              <w:spacing w:after="0"/>
              <w:rPr>
                <w:sz w:val="20"/>
                <w:szCs w:val="20"/>
                <w:color w:val="auto"/>
              </w:rPr>
            </w:pPr>
            <w:r>
              <w:rPr>
                <w:rFonts w:ascii="Arial" w:cs="Arial" w:eastAsia="Arial" w:hAnsi="Arial"/>
                <w:sz w:val="17"/>
                <w:szCs w:val="17"/>
                <w:color w:val="auto"/>
              </w:rPr>
              <w:t>Costs</w:t>
            </w:r>
          </w:p>
        </w:tc>
        <w:tc>
          <w:tcPr>
            <w:tcW w:w="1020" w:type="dxa"/>
            <w:vAlign w:val="bottom"/>
          </w:tcPr>
          <w:p>
            <w:pPr>
              <w:spacing w:after="0"/>
              <w:rPr>
                <w:sz w:val="18"/>
                <w:szCs w:val="18"/>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w:t>
            </w:r>
          </w:p>
        </w:tc>
      </w:tr>
      <w:tr>
        <w:trPr>
          <w:trHeight w:val="26"/>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3"/>
              </w:rPr>
              <w:t>Cost of revenues—subscription, licensing, and other revenues: Software royalties, amortization,</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2"/>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and intellectual property licenses</w:t>
            </w:r>
          </w:p>
        </w:tc>
        <w:tc>
          <w:tcPr>
            <w:tcW w:w="10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r>
      <w:tr>
        <w:trPr>
          <w:trHeight w:val="228"/>
        </w:trPr>
        <w:tc>
          <w:tcPr>
            <w:tcW w:w="674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102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57</w:t>
            </w:r>
          </w:p>
        </w:tc>
      </w:tr>
      <w:tr>
        <w:trPr>
          <w:trHeight w:val="27"/>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5"/>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Sales and marketing</w:t>
            </w:r>
          </w:p>
        </w:tc>
        <w:tc>
          <w:tcPr>
            <w:tcW w:w="1020" w:type="dxa"/>
            <w:vAlign w:val="bottom"/>
            <w:tcBorders>
              <w:bottom w:val="single" w:sz="8" w:color="BFE4FF"/>
            </w:tcBorders>
            <w:shd w:val="clear" w:color="auto" w:fill="BFE4FF"/>
          </w:tcPr>
          <w:p>
            <w:pPr>
              <w:spacing w:after="0"/>
              <w:rPr>
                <w:sz w:val="20"/>
                <w:szCs w:val="20"/>
                <w:color w:val="auto"/>
              </w:rPr>
            </w:pPr>
          </w:p>
        </w:tc>
        <w:tc>
          <w:tcPr>
            <w:tcW w:w="5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11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7"/>
                <w:szCs w:val="17"/>
                <w:color w:val="auto"/>
              </w:rPr>
              <w:t>15</w:t>
            </w:r>
          </w:p>
        </w:tc>
      </w:tr>
      <w:tr>
        <w:trPr>
          <w:trHeight w:val="228"/>
        </w:trPr>
        <w:tc>
          <w:tcPr>
            <w:tcW w:w="674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1020" w:type="dxa"/>
            <w:vAlign w:val="bottom"/>
          </w:tcPr>
          <w:p>
            <w:pPr>
              <w:spacing w:after="0"/>
              <w:rPr>
                <w:sz w:val="19"/>
                <w:szCs w:val="19"/>
                <w:color w:val="auto"/>
              </w:rPr>
            </w:pP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92</w:t>
            </w:r>
          </w:p>
        </w:tc>
      </w:tr>
      <w:tr>
        <w:trPr>
          <w:trHeight w:val="27"/>
        </w:trPr>
        <w:tc>
          <w:tcPr>
            <w:tcW w:w="674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Share-based compensation expense before income taxes</w:t>
            </w:r>
          </w:p>
        </w:tc>
        <w:tc>
          <w:tcPr>
            <w:tcW w:w="1020" w:type="dxa"/>
            <w:vAlign w:val="bottom"/>
            <w:tcBorders>
              <w:bottom w:val="single" w:sz="8" w:color="BFE4FF"/>
            </w:tcBorders>
            <w:shd w:val="clear" w:color="auto" w:fill="BFE4FF"/>
          </w:tcPr>
          <w:p>
            <w:pPr>
              <w:spacing w:after="0"/>
              <w:rPr>
                <w:sz w:val="19"/>
                <w:szCs w:val="19"/>
                <w:color w:val="auto"/>
              </w:rPr>
            </w:pPr>
          </w:p>
        </w:tc>
        <w:tc>
          <w:tcPr>
            <w:tcW w:w="5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7"/>
                <w:szCs w:val="17"/>
                <w:color w:val="auto"/>
              </w:rPr>
              <w:t>166</w:t>
            </w:r>
          </w:p>
        </w:tc>
        <w:tc>
          <w:tcPr>
            <w:tcW w:w="100" w:type="dxa"/>
            <w:vAlign w:val="bottom"/>
            <w:tcBorders>
              <w:bottom w:val="single" w:sz="8" w:color="BFE4FF"/>
            </w:tcBorders>
            <w:shd w:val="clear" w:color="auto" w:fill="BFE4FF"/>
          </w:tcPr>
          <w:p>
            <w:pPr>
              <w:spacing w:after="0"/>
              <w:rPr>
                <w:sz w:val="19"/>
                <w:szCs w:val="19"/>
                <w:color w:val="auto"/>
              </w:rPr>
            </w:pPr>
          </w:p>
        </w:tc>
        <w:tc>
          <w:tcPr>
            <w:tcW w:w="340" w:type="dxa"/>
            <w:vAlign w:val="bottom"/>
            <w:tcBorders>
              <w:bottom w:val="single" w:sz="8" w:color="BFE4FF"/>
            </w:tcBorders>
            <w:shd w:val="clear" w:color="auto" w:fill="BFE4FF"/>
          </w:tcPr>
          <w:p>
            <w:pPr>
              <w:spacing w:after="0"/>
              <w:rPr>
                <w:sz w:val="19"/>
                <w:szCs w:val="19"/>
                <w:color w:val="auto"/>
              </w:rPr>
            </w:pPr>
          </w:p>
        </w:tc>
        <w:tc>
          <w:tcPr>
            <w:tcW w:w="116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7"/>
                <w:szCs w:val="17"/>
                <w:color w:val="auto"/>
              </w:rPr>
              <w:t>209</w:t>
            </w:r>
          </w:p>
        </w:tc>
        <w:tc>
          <w:tcPr>
            <w:tcW w:w="100" w:type="dxa"/>
            <w:vAlign w:val="bottom"/>
            <w:tcBorders>
              <w:bottom w:val="single" w:sz="8" w:color="BFE4FF"/>
            </w:tcBorders>
            <w:shd w:val="clear" w:color="auto" w:fill="BFE4FF"/>
          </w:tcPr>
          <w:p>
            <w:pPr>
              <w:spacing w:after="0"/>
              <w:rPr>
                <w:sz w:val="19"/>
                <w:szCs w:val="19"/>
                <w:color w:val="auto"/>
              </w:rPr>
            </w:pPr>
          </w:p>
        </w:tc>
        <w:tc>
          <w:tcPr>
            <w:tcW w:w="480" w:type="dxa"/>
            <w:vAlign w:val="bottom"/>
            <w:tcBorders>
              <w:bottom w:val="single" w:sz="8" w:color="BFE4FF"/>
            </w:tcBorders>
            <w:shd w:val="clear" w:color="auto" w:fill="BFE4FF"/>
          </w:tcPr>
          <w:p>
            <w:pPr>
              <w:spacing w:after="0"/>
              <w:rPr>
                <w:sz w:val="19"/>
                <w:szCs w:val="19"/>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7"/>
                <w:szCs w:val="17"/>
                <w:color w:val="auto"/>
              </w:rPr>
              <w:t>178</w:t>
            </w:r>
          </w:p>
        </w:tc>
      </w:tr>
      <w:tr>
        <w:trPr>
          <w:trHeight w:val="229"/>
        </w:trPr>
        <w:tc>
          <w:tcPr>
            <w:tcW w:w="6740" w:type="dxa"/>
            <w:vAlign w:val="bottom"/>
          </w:tcPr>
          <w:p>
            <w:pPr>
              <w:ind w:left="20"/>
              <w:spacing w:after="0"/>
              <w:rPr>
                <w:sz w:val="20"/>
                <w:szCs w:val="20"/>
                <w:color w:val="auto"/>
              </w:rPr>
            </w:pPr>
            <w:r>
              <w:rPr>
                <w:rFonts w:ascii="Arial" w:cs="Arial" w:eastAsia="Arial" w:hAnsi="Arial"/>
                <w:sz w:val="17"/>
                <w:szCs w:val="17"/>
                <w:color w:val="auto"/>
              </w:rPr>
              <w:t>Income tax benefit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6"/>
        </w:trPr>
        <w:tc>
          <w:tcPr>
            <w:tcW w:w="6740" w:type="dxa"/>
            <w:vAlign w:val="bottom"/>
            <w:tcBorders>
              <w:bottom w:val="single" w:sz="8" w:color="BFE4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1"/>
        </w:trPr>
        <w:tc>
          <w:tcPr>
            <w:tcW w:w="67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7"/>
                <w:szCs w:val="17"/>
                <w:color w:val="auto"/>
              </w:rPr>
              <w:t>Total share-based compensation expense, net of income tax benefit</w:t>
            </w:r>
          </w:p>
        </w:tc>
        <w:tc>
          <w:tcPr>
            <w:tcW w:w="1020" w:type="dxa"/>
            <w:vAlign w:val="bottom"/>
            <w:tcBorders>
              <w:bottom w:val="single" w:sz="8" w:color="auto"/>
            </w:tcBorders>
            <w:shd w:val="clear" w:color="auto" w:fill="BFE4FF"/>
          </w:tcPr>
          <w:p>
            <w:pPr>
              <w:jc w:val="right"/>
              <w:ind w:right="81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BFE4FF"/>
          </w:tcPr>
          <w:p>
            <w:pPr>
              <w:jc w:val="right"/>
              <w:ind w:right="35"/>
              <w:spacing w:after="0"/>
              <w:rPr>
                <w:sz w:val="20"/>
                <w:szCs w:val="20"/>
                <w:color w:val="auto"/>
              </w:rPr>
            </w:pPr>
            <w:r>
              <w:rPr>
                <w:rFonts w:ascii="Arial" w:cs="Arial" w:eastAsia="Arial" w:hAnsi="Arial"/>
                <w:sz w:val="17"/>
                <w:szCs w:val="17"/>
                <w:color w:val="auto"/>
              </w:rPr>
              <w:t>137</w:t>
            </w:r>
          </w:p>
        </w:tc>
        <w:tc>
          <w:tcPr>
            <w:tcW w:w="10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BFE4FF"/>
            </w:tcBorders>
            <w:shd w:val="clear" w:color="auto" w:fill="BFE4FF"/>
          </w:tcPr>
          <w:p>
            <w:pPr>
              <w:spacing w:after="0"/>
              <w:rPr>
                <w:sz w:val="20"/>
                <w:szCs w:val="20"/>
                <w:color w:val="auto"/>
              </w:rPr>
            </w:pPr>
          </w:p>
        </w:tc>
        <w:tc>
          <w:tcPr>
            <w:tcW w:w="480" w:type="dxa"/>
            <w:vAlign w:val="bottom"/>
            <w:tcBorders>
              <w:bottom w:val="single" w:sz="8" w:color="auto"/>
            </w:tcBorders>
            <w:shd w:val="clear" w:color="auto" w:fill="BFE4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BFE4FF"/>
          </w:tcPr>
          <w:p>
            <w:pPr>
              <w:jc w:val="right"/>
              <w:ind w:right="15"/>
              <w:spacing w:after="0"/>
              <w:rPr>
                <w:sz w:val="20"/>
                <w:szCs w:val="20"/>
                <w:color w:val="auto"/>
              </w:rPr>
            </w:pPr>
            <w:r>
              <w:rPr>
                <w:rFonts w:ascii="Arial" w:cs="Arial" w:eastAsia="Arial" w:hAnsi="Arial"/>
                <w:sz w:val="17"/>
                <w:szCs w:val="17"/>
                <w:color w:val="auto"/>
              </w:rPr>
              <w:t>144</w:t>
            </w:r>
          </w:p>
        </w:tc>
      </w:tr>
      <w:tr>
        <w:trPr>
          <w:trHeight w:val="20"/>
        </w:trPr>
        <w:tc>
          <w:tcPr>
            <w:tcW w:w="6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Restructuring</w:t>
      </w:r>
    </w:p>
    <w:p>
      <w:pPr>
        <w:spacing w:after="0" w:line="217" w:lineRule="exact"/>
        <w:rPr>
          <w:sz w:val="20"/>
          <w:szCs w:val="20"/>
          <w:color w:val="auto"/>
        </w:rPr>
      </w:pPr>
    </w:p>
    <w:p>
      <w:pPr>
        <w:ind w:right="60" w:firstLine="382"/>
        <w:spacing w:after="0" w:line="274" w:lineRule="auto"/>
        <w:rPr>
          <w:sz w:val="20"/>
          <w:szCs w:val="20"/>
          <w:color w:val="auto"/>
        </w:rPr>
      </w:pPr>
      <w:r>
        <w:rPr>
          <w:rFonts w:ascii="Arial" w:cs="Arial" w:eastAsia="Arial" w:hAnsi="Arial"/>
          <w:sz w:val="17"/>
          <w:szCs w:val="17"/>
          <w:color w:val="auto"/>
        </w:rPr>
        <w:t>During 2019, we implemented a restructuring plan aimed at refocusing our resources on our largest opportunities and removing unnecessary levels of complexity from certain parts of our business. We have been, and will continue:</w:t>
      </w:r>
    </w:p>
    <w:p>
      <w:pPr>
        <w:spacing w:after="0" w:line="166" w:lineRule="exact"/>
        <w:rPr>
          <w:sz w:val="20"/>
          <w:szCs w:val="20"/>
          <w:color w:val="auto"/>
        </w:rPr>
      </w:pPr>
    </w:p>
    <w:p>
      <w:pPr>
        <w:ind w:left="920" w:right="80" w:hanging="306"/>
        <w:spacing w:after="0" w:line="274"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increasing our investment in development for our largest, internally-owned franchises—across upfront releases, in-game content, mobile, and geographic expansion;</w:t>
      </w:r>
    </w:p>
    <w:p>
      <w:pPr>
        <w:spacing w:after="0" w:line="165" w:lineRule="exact"/>
        <w:rPr>
          <w:rFonts w:ascii="Arial" w:cs="Arial" w:eastAsia="Arial" w:hAnsi="Arial"/>
          <w:sz w:val="17"/>
          <w:szCs w:val="17"/>
          <w:color w:val="auto"/>
        </w:rPr>
      </w:pPr>
    </w:p>
    <w:p>
      <w:pPr>
        <w:ind w:left="920" w:hanging="306"/>
        <w:spacing w:after="0"/>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reducing certain non-development and administrative-related costs across our business; and</w:t>
      </w:r>
    </w:p>
    <w:p>
      <w:pPr>
        <w:spacing w:after="0" w:line="212" w:lineRule="exact"/>
        <w:rPr>
          <w:rFonts w:ascii="Arial" w:cs="Arial" w:eastAsia="Arial" w:hAnsi="Arial"/>
          <w:sz w:val="17"/>
          <w:szCs w:val="17"/>
          <w:color w:val="auto"/>
        </w:rPr>
      </w:pPr>
    </w:p>
    <w:p>
      <w:pPr>
        <w:ind w:left="920" w:right="20" w:hanging="306"/>
        <w:spacing w:after="0" w:line="274" w:lineRule="auto"/>
        <w:tabs>
          <w:tab w:leader="none" w:pos="9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integrating our global and regional sales and “go-to-market,” partnerships, and sponsorships capabilities across the business, which we believe will enable us to provide better opportunities for talent, and greater expertise and scale on behalf of our business units.</w:t>
      </w:r>
    </w:p>
    <w:p>
      <w:pPr>
        <w:spacing w:after="0" w:line="166" w:lineRule="exact"/>
        <w:rPr>
          <w:sz w:val="20"/>
          <w:szCs w:val="20"/>
          <w:color w:val="auto"/>
        </w:rPr>
      </w:pPr>
    </w:p>
    <w:p>
      <w:pPr>
        <w:ind w:right="480" w:firstLine="382"/>
        <w:spacing w:after="0" w:line="262" w:lineRule="auto"/>
        <w:rPr>
          <w:sz w:val="20"/>
          <w:szCs w:val="20"/>
          <w:color w:val="auto"/>
        </w:rPr>
      </w:pPr>
      <w:r>
        <w:rPr>
          <w:rFonts w:ascii="Arial" w:cs="Arial" w:eastAsia="Arial" w:hAnsi="Arial"/>
          <w:sz w:val="17"/>
          <w:szCs w:val="17"/>
          <w:color w:val="auto"/>
        </w:rPr>
        <w:t>The restructuring actions remain in progress and will continue into 2020 as we execute against our plan. During implementation, we expanded the scope of certain actions within our plan aimed at integrating our global and regional sales and “go-to-market” functions, along with certain of our administrative-related functions.</w:t>
      </w:r>
    </w:p>
    <w:p>
      <w:pPr>
        <w:spacing w:after="0" w:line="176" w:lineRule="exact"/>
        <w:rPr>
          <w:sz w:val="20"/>
          <w:szCs w:val="20"/>
          <w:color w:val="auto"/>
        </w:rPr>
      </w:pPr>
    </w:p>
    <w:p>
      <w:pPr>
        <w:ind w:right="300" w:firstLine="382"/>
        <w:spacing w:after="0" w:line="274" w:lineRule="auto"/>
        <w:rPr>
          <w:sz w:val="20"/>
          <w:szCs w:val="20"/>
          <w:color w:val="auto"/>
        </w:rPr>
      </w:pPr>
      <w:r>
        <w:rPr>
          <w:rFonts w:ascii="Arial" w:cs="Arial" w:eastAsia="Arial" w:hAnsi="Arial"/>
          <w:sz w:val="17"/>
          <w:szCs w:val="17"/>
          <w:color w:val="auto"/>
        </w:rPr>
        <w:t>The following table summarizes accrued restructuring and related costs included in “Accrued expenses and other liabilities” in our consolidated balance sheet (amounts in millions):</w:t>
      </w:r>
    </w:p>
    <w:p>
      <w:pPr>
        <w:sectPr>
          <w:pgSz w:w="11900" w:h="16838" w:orient="portrait"/>
          <w:cols w:equalWidth="0" w:num="1">
            <w:col w:w="11420"/>
          </w:cols>
          <w:pgMar w:left="240" w:top="127" w:right="239" w:bottom="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1960" w:type="dxa"/>
            <w:vAlign w:val="bottom"/>
            <w:gridSpan w:val="3"/>
          </w:tcPr>
          <w:p>
            <w:pPr>
              <w:ind w:left="40"/>
              <w:spacing w:after="0"/>
              <w:rPr>
                <w:sz w:val="20"/>
                <w:szCs w:val="20"/>
                <w:color w:val="auto"/>
              </w:rPr>
            </w:pPr>
            <w:r>
              <w:rPr>
                <w:rFonts w:ascii="Arial" w:cs="Arial" w:eastAsia="Arial" w:hAnsi="Arial"/>
                <w:sz w:val="17"/>
                <w:szCs w:val="17"/>
                <w:b w:val="1"/>
                <w:bCs w:val="1"/>
                <w:color w:val="auto"/>
                <w:w w:val="93"/>
              </w:rPr>
              <w:t>Severance and employee</w:t>
            </w:r>
          </w:p>
        </w:tc>
        <w:tc>
          <w:tcPr>
            <w:tcW w:w="14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Facilities and related</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ind w:left="200"/>
              <w:spacing w:after="0"/>
              <w:rPr>
                <w:sz w:val="20"/>
                <w:szCs w:val="20"/>
                <w:color w:val="auto"/>
              </w:rPr>
            </w:pPr>
            <w:r>
              <w:rPr>
                <w:rFonts w:ascii="Arial" w:cs="Arial" w:eastAsia="Arial" w:hAnsi="Arial"/>
                <w:sz w:val="17"/>
                <w:szCs w:val="17"/>
                <w:b w:val="1"/>
                <w:bCs w:val="1"/>
                <w:color w:val="auto"/>
              </w:rPr>
              <w:t>related costs</w:t>
            </w:r>
          </w:p>
        </w:tc>
        <w:tc>
          <w:tcPr>
            <w:tcW w:w="140" w:type="dxa"/>
            <w:vAlign w:val="bottom"/>
          </w:tcPr>
          <w:p>
            <w:pPr>
              <w:spacing w:after="0"/>
              <w:rPr>
                <w:sz w:val="19"/>
                <w:szCs w:val="19"/>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0"/>
              </w:rPr>
              <w:t>costs</w:t>
            </w:r>
          </w:p>
        </w:tc>
        <w:tc>
          <w:tcPr>
            <w:tcW w:w="300" w:type="dxa"/>
            <w:vAlign w:val="bottom"/>
          </w:tcPr>
          <w:p>
            <w:pPr>
              <w:spacing w:after="0"/>
              <w:rPr>
                <w:sz w:val="19"/>
                <w:szCs w:val="19"/>
                <w:color w:val="auto"/>
              </w:rPr>
            </w:pPr>
          </w:p>
        </w:tc>
        <w:tc>
          <w:tcPr>
            <w:tcW w:w="1620" w:type="dxa"/>
            <w:vAlign w:val="bottom"/>
            <w:gridSpan w:val="2"/>
          </w:tcPr>
          <w:p>
            <w:pPr>
              <w:ind w:left="200"/>
              <w:spacing w:after="0"/>
              <w:rPr>
                <w:sz w:val="20"/>
                <w:szCs w:val="20"/>
                <w:color w:val="auto"/>
              </w:rPr>
            </w:pPr>
            <w:r>
              <w:rPr>
                <w:rFonts w:ascii="Arial" w:cs="Arial" w:eastAsia="Arial" w:hAnsi="Arial"/>
                <w:sz w:val="17"/>
                <w:szCs w:val="17"/>
                <w:b w:val="1"/>
                <w:bCs w:val="1"/>
                <w:color w:val="auto"/>
              </w:rPr>
              <w:t>Other costs</w:t>
            </w:r>
          </w:p>
        </w:tc>
        <w:tc>
          <w:tcPr>
            <w:tcW w:w="420" w:type="dxa"/>
            <w:vAlign w:val="bottom"/>
          </w:tcPr>
          <w:p>
            <w:pPr>
              <w:spacing w:after="0"/>
              <w:rPr>
                <w:sz w:val="19"/>
                <w:szCs w:val="19"/>
                <w:color w:val="auto"/>
              </w:rPr>
            </w:pPr>
          </w:p>
        </w:tc>
        <w:tc>
          <w:tcPr>
            <w:tcW w:w="1380" w:type="dxa"/>
            <w:vAlign w:val="bottom"/>
          </w:tcPr>
          <w:p>
            <w:pPr>
              <w:jc w:val="right"/>
              <w:ind w:right="635"/>
              <w:spacing w:after="0"/>
              <w:rPr>
                <w:sz w:val="20"/>
                <w:szCs w:val="20"/>
                <w:color w:val="auto"/>
              </w:rPr>
            </w:pPr>
            <w:r>
              <w:rPr>
                <w:rFonts w:ascii="Arial" w:cs="Arial" w:eastAsia="Arial" w:hAnsi="Arial"/>
                <w:sz w:val="17"/>
                <w:szCs w:val="17"/>
                <w:b w:val="1"/>
                <w:bCs w:val="1"/>
                <w:color w:val="auto"/>
              </w:rPr>
              <w:t>Total</w:t>
            </w:r>
          </w:p>
        </w:tc>
      </w:tr>
      <w:tr>
        <w:trPr>
          <w:trHeight w:val="27"/>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2018</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9"/>
        </w:trPr>
        <w:tc>
          <w:tcPr>
            <w:tcW w:w="3780" w:type="dxa"/>
            <w:vAlign w:val="bottom"/>
          </w:tcPr>
          <w:p>
            <w:pPr>
              <w:ind w:left="160"/>
              <w:spacing w:after="0"/>
              <w:rPr>
                <w:sz w:val="20"/>
                <w:szCs w:val="20"/>
                <w:color w:val="auto"/>
              </w:rPr>
            </w:pPr>
            <w:r>
              <w:rPr>
                <w:rFonts w:ascii="Arial" w:cs="Arial" w:eastAsia="Arial" w:hAnsi="Arial"/>
                <w:sz w:val="17"/>
                <w:szCs w:val="17"/>
                <w:color w:val="auto"/>
              </w:rPr>
              <w:t>Costs charged to expense</w:t>
            </w:r>
          </w:p>
        </w:tc>
        <w:tc>
          <w:tcPr>
            <w:tcW w:w="280" w:type="dxa"/>
            <w:vAlign w:val="bottom"/>
          </w:tcPr>
          <w:p>
            <w:pPr>
              <w:spacing w:after="0"/>
              <w:rPr>
                <w:sz w:val="19"/>
                <w:szCs w:val="19"/>
                <w:color w:val="auto"/>
              </w:rPr>
            </w:pPr>
          </w:p>
        </w:tc>
        <w:tc>
          <w:tcPr>
            <w:tcW w:w="1560" w:type="dxa"/>
            <w:vAlign w:val="bottom"/>
          </w:tcPr>
          <w:p>
            <w:pPr>
              <w:jc w:val="right"/>
              <w:ind w:right="15"/>
              <w:spacing w:after="0"/>
              <w:rPr>
                <w:sz w:val="20"/>
                <w:szCs w:val="20"/>
                <w:color w:val="auto"/>
              </w:rPr>
            </w:pPr>
            <w:r>
              <w:rPr>
                <w:rFonts w:ascii="Arial" w:cs="Arial" w:eastAsia="Arial" w:hAnsi="Arial"/>
                <w:sz w:val="17"/>
                <w:szCs w:val="17"/>
                <w:color w:val="auto"/>
              </w:rPr>
              <w:t>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ind w:right="15"/>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15"/>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132</w:t>
            </w:r>
          </w:p>
        </w:tc>
      </w:tr>
      <w:tr>
        <w:trPr>
          <w:trHeight w:val="26"/>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5"/>
        </w:trPr>
        <w:tc>
          <w:tcPr>
            <w:tcW w:w="3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Cash payments</w:t>
            </w:r>
          </w:p>
        </w:tc>
        <w:tc>
          <w:tcPr>
            <w:tcW w:w="2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29"/>
        </w:trPr>
        <w:tc>
          <w:tcPr>
            <w:tcW w:w="3780" w:type="dxa"/>
            <w:vAlign w:val="bottom"/>
          </w:tcPr>
          <w:p>
            <w:pPr>
              <w:ind w:left="160"/>
              <w:spacing w:after="0"/>
              <w:rPr>
                <w:sz w:val="20"/>
                <w:szCs w:val="20"/>
                <w:color w:val="auto"/>
              </w:rPr>
            </w:pPr>
            <w:r>
              <w:rPr>
                <w:rFonts w:ascii="Arial" w:cs="Arial" w:eastAsia="Arial" w:hAnsi="Arial"/>
                <w:sz w:val="17"/>
                <w:szCs w:val="17"/>
                <w:color w:val="auto"/>
              </w:rPr>
              <w:t>Non-cash charge adjustment (1)</w:t>
            </w:r>
          </w:p>
        </w:tc>
        <w:tc>
          <w:tcPr>
            <w:tcW w:w="280" w:type="dxa"/>
            <w:vAlign w:val="bottom"/>
          </w:tcPr>
          <w:p>
            <w:pPr>
              <w:spacing w:after="0"/>
              <w:rPr>
                <w:sz w:val="19"/>
                <w:szCs w:val="19"/>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6"/>
        </w:trPr>
        <w:tc>
          <w:tcPr>
            <w:tcW w:w="3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8"/>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December 31, 2019</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35</w:t>
            </w:r>
          </w:p>
        </w:tc>
      </w:tr>
      <w:tr>
        <w:trPr>
          <w:trHeight w:val="20"/>
        </w:trPr>
        <w:tc>
          <w:tcPr>
            <w:tcW w:w="3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192" w:lineRule="exact"/>
        <w:rPr>
          <w:sz w:val="20"/>
          <w:szCs w:val="20"/>
          <w:color w:val="auto"/>
        </w:rPr>
      </w:pPr>
    </w:p>
    <w:p>
      <w:pPr>
        <w:ind w:left="300" w:right="220" w:hanging="298"/>
        <w:spacing w:after="0" w:line="274" w:lineRule="auto"/>
        <w:tabs>
          <w:tab w:leader="none" w:pos="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Adjustments relate to non-cash charges included in “Costs charged to expense” for the write-down of assets from canceled projects and the write-down of assets for our lease facilities, inclusive of lease right-of-use assets and associated fixed assets, that were vacated.</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Total restructuring and related costs by segment are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jc w:val="right"/>
              <w:ind w:right="55"/>
              <w:spacing w:after="0"/>
              <w:rPr>
                <w:sz w:val="20"/>
                <w:szCs w:val="20"/>
                <w:color w:val="auto"/>
              </w:rPr>
            </w:pPr>
            <w:r>
              <w:rPr>
                <w:rFonts w:ascii="Arial" w:cs="Arial" w:eastAsia="Arial" w:hAnsi="Arial"/>
                <w:sz w:val="17"/>
                <w:szCs w:val="17"/>
                <w:b w:val="1"/>
                <w:bCs w:val="1"/>
                <w:color w:val="auto"/>
                <w:w w:val="90"/>
              </w:rPr>
              <w:t>Year Ended December 31,</w:t>
            </w:r>
          </w:p>
        </w:tc>
      </w:tr>
      <w:tr>
        <w:trPr>
          <w:trHeight w:val="219"/>
        </w:trPr>
        <w:tc>
          <w:tcPr>
            <w:tcW w:w="9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jc w:val="right"/>
              <w:ind w:right="815"/>
              <w:spacing w:after="0"/>
              <w:rPr>
                <w:sz w:val="20"/>
                <w:szCs w:val="20"/>
                <w:color w:val="auto"/>
              </w:rPr>
            </w:pPr>
            <w:r>
              <w:rPr>
                <w:rFonts w:ascii="Arial" w:cs="Arial" w:eastAsia="Arial" w:hAnsi="Arial"/>
                <w:sz w:val="17"/>
                <w:szCs w:val="17"/>
                <w:b w:val="1"/>
                <w:bCs w:val="1"/>
                <w:color w:val="auto"/>
              </w:rPr>
              <w:t>2019</w:t>
            </w:r>
          </w:p>
        </w:tc>
      </w:tr>
      <w:tr>
        <w:trPr>
          <w:trHeight w:val="26"/>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r>
      <w:tr>
        <w:trPr>
          <w:trHeight w:val="228"/>
        </w:trPr>
        <w:tc>
          <w:tcPr>
            <w:tcW w:w="9260" w:type="dxa"/>
            <w:vAlign w:val="bottom"/>
          </w:tcPr>
          <w:p>
            <w:pPr>
              <w:ind w:left="20"/>
              <w:spacing w:after="0"/>
              <w:rPr>
                <w:sz w:val="20"/>
                <w:szCs w:val="20"/>
                <w:color w:val="auto"/>
              </w:rPr>
            </w:pPr>
            <w:r>
              <w:rPr>
                <w:rFonts w:ascii="Arial" w:cs="Arial" w:eastAsia="Arial" w:hAnsi="Arial"/>
                <w:sz w:val="17"/>
                <w:szCs w:val="17"/>
                <w:color w:val="auto"/>
              </w:rPr>
              <w:t>Blizzard</w:t>
            </w:r>
          </w:p>
        </w:tc>
        <w:tc>
          <w:tcPr>
            <w:tcW w:w="120" w:type="dxa"/>
            <w:vAlign w:val="bottom"/>
          </w:tcPr>
          <w:p>
            <w:pPr>
              <w:spacing w:after="0"/>
              <w:rPr>
                <w:sz w:val="19"/>
                <w:szCs w:val="19"/>
                <w:color w:val="auto"/>
              </w:rPr>
            </w:pPr>
          </w:p>
        </w:tc>
        <w:tc>
          <w:tcPr>
            <w:tcW w:w="2040" w:type="dxa"/>
            <w:vAlign w:val="bottom"/>
          </w:tcPr>
          <w:p>
            <w:pPr>
              <w:jc w:val="right"/>
              <w:ind w:right="15"/>
              <w:spacing w:after="0"/>
              <w:rPr>
                <w:sz w:val="20"/>
                <w:szCs w:val="20"/>
                <w:color w:val="auto"/>
              </w:rPr>
            </w:pPr>
            <w:r>
              <w:rPr>
                <w:rFonts w:ascii="Arial" w:cs="Arial" w:eastAsia="Arial" w:hAnsi="Arial"/>
                <w:sz w:val="17"/>
                <w:szCs w:val="17"/>
                <w:color w:val="auto"/>
              </w:rPr>
              <w:t>68</w:t>
            </w:r>
          </w:p>
        </w:tc>
      </w:tr>
      <w:tr>
        <w:trPr>
          <w:trHeight w:val="27"/>
        </w:trPr>
        <w:tc>
          <w:tcPr>
            <w:tcW w:w="9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5"/>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r>
      <w:tr>
        <w:trPr>
          <w:trHeight w:val="228"/>
        </w:trPr>
        <w:tc>
          <w:tcPr>
            <w:tcW w:w="9260" w:type="dxa"/>
            <w:vAlign w:val="bottom"/>
          </w:tcPr>
          <w:p>
            <w:pPr>
              <w:ind w:left="20"/>
              <w:spacing w:after="0"/>
              <w:rPr>
                <w:sz w:val="20"/>
                <w:szCs w:val="20"/>
                <w:color w:val="auto"/>
              </w:rPr>
            </w:pPr>
            <w:r>
              <w:rPr>
                <w:rFonts w:ascii="Arial" w:cs="Arial" w:eastAsia="Arial" w:hAnsi="Arial"/>
                <w:sz w:val="17"/>
                <w:szCs w:val="17"/>
                <w:color w:val="auto"/>
              </w:rPr>
              <w:t>Other segments (1)</w:t>
            </w:r>
          </w:p>
        </w:tc>
        <w:tc>
          <w:tcPr>
            <w:tcW w:w="120" w:type="dxa"/>
            <w:vAlign w:val="bottom"/>
          </w:tcPr>
          <w:p>
            <w:pPr>
              <w:spacing w:after="0"/>
              <w:rPr>
                <w:sz w:val="19"/>
                <w:szCs w:val="19"/>
                <w:color w:val="auto"/>
              </w:rPr>
            </w:pPr>
          </w:p>
        </w:tc>
        <w:tc>
          <w:tcPr>
            <w:tcW w:w="2040" w:type="dxa"/>
            <w:vAlign w:val="bottom"/>
          </w:tcPr>
          <w:p>
            <w:pPr>
              <w:jc w:val="right"/>
              <w:ind w:right="15"/>
              <w:spacing w:after="0"/>
              <w:rPr>
                <w:sz w:val="20"/>
                <w:szCs w:val="20"/>
                <w:color w:val="auto"/>
              </w:rPr>
            </w:pPr>
            <w:r>
              <w:rPr>
                <w:rFonts w:ascii="Arial" w:cs="Arial" w:eastAsia="Arial" w:hAnsi="Arial"/>
                <w:sz w:val="17"/>
                <w:szCs w:val="17"/>
                <w:color w:val="auto"/>
              </w:rPr>
              <w:t>25</w:t>
            </w:r>
          </w:p>
        </w:tc>
      </w:tr>
      <w:tr>
        <w:trPr>
          <w:trHeight w:val="27"/>
        </w:trPr>
        <w:tc>
          <w:tcPr>
            <w:tcW w:w="9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1"/>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2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132</w:t>
            </w:r>
          </w:p>
        </w:tc>
      </w:tr>
      <w:tr>
        <w:trPr>
          <w:trHeight w:val="20"/>
        </w:trPr>
        <w:tc>
          <w:tcPr>
            <w:tcW w:w="9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(1) Includes charges for operating segments managed outside the reportable segments and our corporate and administrative functions.</w:t>
      </w:r>
    </w:p>
    <w:p>
      <w:pPr>
        <w:spacing w:after="0" w:line="213" w:lineRule="exact"/>
        <w:rPr>
          <w:sz w:val="20"/>
          <w:szCs w:val="20"/>
          <w:color w:val="auto"/>
        </w:rPr>
      </w:pPr>
    </w:p>
    <w:p>
      <w:pPr>
        <w:ind w:right="20" w:firstLine="382"/>
        <w:spacing w:after="0" w:line="262" w:lineRule="auto"/>
        <w:rPr>
          <w:sz w:val="20"/>
          <w:szCs w:val="20"/>
          <w:color w:val="auto"/>
        </w:rPr>
      </w:pPr>
      <w:r>
        <w:rPr>
          <w:rFonts w:ascii="Arial" w:cs="Arial" w:eastAsia="Arial" w:hAnsi="Arial"/>
          <w:sz w:val="17"/>
          <w:szCs w:val="17"/>
          <w:color w:val="auto"/>
        </w:rPr>
        <w:t>During the year ended December 31, 2019, we also recorded $5 million to write-down inventory as a result of changes to certain of our consumer product activities as part of our restructuring actions, whereby those activities will now operate under a licensing business model rather than being direct sales. This write-down is recorded within “Cost of revenues—product sales: Product costs” in our consolidated statement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420"/>
          </w:cols>
          <w:pgMar w:left="240" w:top="174" w:right="23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20" w:firstLine="382"/>
        <w:spacing w:after="0" w:line="298" w:lineRule="auto"/>
        <w:rPr>
          <w:sz w:val="20"/>
          <w:szCs w:val="20"/>
          <w:color w:val="auto"/>
        </w:rPr>
      </w:pPr>
      <w:r>
        <w:rPr>
          <w:rFonts w:ascii="Arial" w:cs="Arial" w:eastAsia="Arial" w:hAnsi="Arial"/>
          <w:sz w:val="15"/>
          <w:szCs w:val="15"/>
          <w:color w:val="auto"/>
        </w:rPr>
        <w:t>We expect to incur aggregate pre-tax restructuring charges of approximately $190 million associated with the restructuring plan, which includes the inventory write-down discussed above. Approximately $50 million of these charges are expected to be incurred in 2020 as we complete the execution of the restructuring plan, as discussed above. These charges will primarily relate to severance (approximately 60% of the aggregate charge), including, in many cases, amounts above those that are legally required, facilities costs (approximately 20% of the aggregate charge), and other asset write-downs and costs (approximately 20% of the aggregate charge). A majority of the total pre-tax charge associated with the restructuring will be paid in cash using amounts on hand and the outlays are expected to continue into 2020.</w:t>
      </w:r>
    </w:p>
    <w:p>
      <w:pPr>
        <w:spacing w:after="0" w:line="153" w:lineRule="exact"/>
        <w:rPr>
          <w:sz w:val="20"/>
          <w:szCs w:val="20"/>
          <w:color w:val="auto"/>
        </w:rPr>
      </w:pPr>
    </w:p>
    <w:p>
      <w:pPr>
        <w:ind w:right="20" w:firstLine="382"/>
        <w:spacing w:after="0" w:line="274" w:lineRule="auto"/>
        <w:rPr>
          <w:sz w:val="20"/>
          <w:szCs w:val="20"/>
          <w:color w:val="auto"/>
        </w:rPr>
      </w:pPr>
      <w:r>
        <w:rPr>
          <w:rFonts w:ascii="Arial" w:cs="Arial" w:eastAsia="Arial" w:hAnsi="Arial"/>
          <w:sz w:val="17"/>
          <w:szCs w:val="17"/>
          <w:color w:val="auto"/>
        </w:rPr>
        <w:t>The total expected pre-tax restructuring charges related to the restructuring plan by segment, inclusive of amounts already incurred, are presented below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ind w:right="75"/>
              <w:spacing w:after="0"/>
              <w:rPr>
                <w:sz w:val="20"/>
                <w:szCs w:val="20"/>
                <w:color w:val="auto"/>
              </w:rPr>
            </w:pPr>
            <w:r>
              <w:rPr>
                <w:rFonts w:ascii="Arial" w:cs="Arial" w:eastAsia="Arial" w:hAnsi="Arial"/>
                <w:sz w:val="17"/>
                <w:szCs w:val="17"/>
                <w:b w:val="1"/>
                <w:bCs w:val="1"/>
                <w:color w:val="auto"/>
                <w:w w:val="89"/>
              </w:rPr>
              <w:t>Total Expected Charges</w:t>
            </w:r>
          </w:p>
        </w:tc>
        <w:tc>
          <w:tcPr>
            <w:tcW w:w="0" w:type="dxa"/>
            <w:vAlign w:val="bottom"/>
          </w:tcPr>
          <w:p>
            <w:pPr>
              <w:spacing w:after="0"/>
              <w:rPr>
                <w:sz w:val="1"/>
                <w:szCs w:val="1"/>
                <w:color w:val="auto"/>
              </w:rPr>
            </w:pPr>
          </w:p>
        </w:tc>
      </w:tr>
      <w:tr>
        <w:trPr>
          <w:trHeight w:val="26"/>
        </w:trPr>
        <w:tc>
          <w:tcPr>
            <w:tcW w:w="9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Activision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228"/>
        </w:trPr>
        <w:tc>
          <w:tcPr>
            <w:tcW w:w="9380" w:type="dxa"/>
            <w:vAlign w:val="bottom"/>
          </w:tcPr>
          <w:p>
            <w:pPr>
              <w:ind w:left="20"/>
              <w:spacing w:after="0"/>
              <w:rPr>
                <w:sz w:val="20"/>
                <w:szCs w:val="20"/>
                <w:color w:val="auto"/>
              </w:rPr>
            </w:pPr>
            <w:r>
              <w:rPr>
                <w:rFonts w:ascii="Arial" w:cs="Arial" w:eastAsia="Arial" w:hAnsi="Arial"/>
                <w:sz w:val="17"/>
                <w:szCs w:val="17"/>
                <w:color w:val="auto"/>
              </w:rPr>
              <w:t>Blizzard</w:t>
            </w:r>
          </w:p>
        </w:tc>
        <w:tc>
          <w:tcPr>
            <w:tcW w:w="12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5"/>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King</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28"/>
        </w:trPr>
        <w:tc>
          <w:tcPr>
            <w:tcW w:w="9380" w:type="dxa"/>
            <w:vAlign w:val="bottom"/>
          </w:tcPr>
          <w:p>
            <w:pPr>
              <w:ind w:left="20"/>
              <w:spacing w:after="0"/>
              <w:rPr>
                <w:sz w:val="20"/>
                <w:szCs w:val="20"/>
                <w:color w:val="auto"/>
              </w:rPr>
            </w:pPr>
            <w:r>
              <w:rPr>
                <w:rFonts w:ascii="Arial" w:cs="Arial" w:eastAsia="Arial" w:hAnsi="Arial"/>
                <w:sz w:val="17"/>
                <w:szCs w:val="17"/>
                <w:color w:val="auto"/>
              </w:rPr>
              <w:t>Other segments (1)</w:t>
            </w:r>
          </w:p>
        </w:tc>
        <w:tc>
          <w:tcPr>
            <w:tcW w:w="120" w:type="dxa"/>
            <w:vAlign w:val="bottom"/>
          </w:tcPr>
          <w:p>
            <w:pPr>
              <w:spacing w:after="0"/>
              <w:rPr>
                <w:sz w:val="19"/>
                <w:szCs w:val="19"/>
                <w:color w:val="auto"/>
              </w:rPr>
            </w:pPr>
          </w:p>
        </w:tc>
        <w:tc>
          <w:tcPr>
            <w:tcW w:w="1920" w:type="dxa"/>
            <w:vAlign w:val="bottom"/>
          </w:tcPr>
          <w:p>
            <w:pPr>
              <w:jc w:val="right"/>
              <w:ind w:right="15"/>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7"/>
        </w:trPr>
        <w:tc>
          <w:tcPr>
            <w:tcW w:w="93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190</w:t>
            </w:r>
          </w:p>
        </w:tc>
        <w:tc>
          <w:tcPr>
            <w:tcW w:w="0" w:type="dxa"/>
            <w:vAlign w:val="bottom"/>
          </w:tcPr>
          <w:p>
            <w:pPr>
              <w:spacing w:after="0"/>
              <w:rPr>
                <w:sz w:val="1"/>
                <w:szCs w:val="1"/>
                <w:color w:val="auto"/>
              </w:rPr>
            </w:pPr>
          </w:p>
        </w:tc>
      </w:tr>
      <w:tr>
        <w:trPr>
          <w:trHeight w:val="20"/>
        </w:trPr>
        <w:tc>
          <w:tcPr>
            <w:tcW w:w="9380" w:type="dxa"/>
            <w:vAlign w:val="bottom"/>
            <w:vMerge w:val="restart"/>
          </w:tcPr>
          <w:p>
            <w:pPr>
              <w:spacing w:after="0"/>
              <w:rPr>
                <w:sz w:val="20"/>
                <w:szCs w:val="20"/>
                <w:color w:val="auto"/>
              </w:rPr>
            </w:pPr>
            <w:r>
              <w:rPr>
                <w:rFonts w:ascii="Arial" w:cs="Arial" w:eastAsia="Arial" w:hAnsi="Arial"/>
                <w:sz w:val="17"/>
                <w:szCs w:val="17"/>
                <w:color w:val="auto"/>
                <w:w w:val="92"/>
              </w:rPr>
              <w:t>(1) Includes charges for operating segments managed outside the reportable segments and our corporate and administrative functions.</w:t>
            </w: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9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380" w:type="dxa"/>
            <w:vAlign w:val="bottom"/>
          </w:tcPr>
          <w:p>
            <w:pPr>
              <w:spacing w:after="0"/>
              <w:rPr>
                <w:sz w:val="20"/>
                <w:szCs w:val="20"/>
                <w:color w:val="auto"/>
              </w:rPr>
            </w:pPr>
            <w:r>
              <w:rPr>
                <w:rFonts w:ascii="Arial" w:cs="Arial" w:eastAsia="Arial" w:hAnsi="Arial"/>
                <w:sz w:val="17"/>
                <w:szCs w:val="17"/>
                <w:b w:val="1"/>
                <w:bCs w:val="1"/>
                <w:color w:val="auto"/>
              </w:rPr>
              <w:t>18. Interest and Other Expense (Income), Net</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9380" w:type="dxa"/>
            <w:vAlign w:val="bottom"/>
          </w:tcPr>
          <w:p>
            <w:pPr>
              <w:ind w:left="380"/>
              <w:spacing w:after="0"/>
              <w:rPr>
                <w:sz w:val="20"/>
                <w:szCs w:val="20"/>
                <w:color w:val="auto"/>
              </w:rPr>
            </w:pPr>
            <w:r>
              <w:rPr>
                <w:rFonts w:ascii="Arial" w:cs="Arial" w:eastAsia="Arial" w:hAnsi="Arial"/>
                <w:sz w:val="17"/>
                <w:szCs w:val="17"/>
                <w:color w:val="auto"/>
              </w:rPr>
              <w:t>Interest and other expense (income), net is comprised of the following (amounts in millions):</w:t>
            </w: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20" w:type="dxa"/>
            <w:vAlign w:val="bottom"/>
            <w:gridSpan w:val="6"/>
          </w:tcPr>
          <w:p>
            <w:pPr>
              <w:jc w:val="right"/>
              <w:ind w:right="215"/>
              <w:spacing w:after="0"/>
              <w:rPr>
                <w:sz w:val="20"/>
                <w:szCs w:val="20"/>
                <w:color w:val="auto"/>
              </w:rPr>
            </w:pPr>
            <w:r>
              <w:rPr>
                <w:rFonts w:ascii="Arial" w:cs="Arial" w:eastAsia="Arial" w:hAnsi="Arial"/>
                <w:sz w:val="17"/>
                <w:szCs w:val="17"/>
                <w:b w:val="1"/>
                <w:bCs w:val="1"/>
                <w:color w:val="auto"/>
              </w:rPr>
              <w:t>For the Years Ended December 31,</w:t>
            </w:r>
          </w:p>
        </w:tc>
        <w:tc>
          <w:tcPr>
            <w:tcW w:w="1440" w:type="dxa"/>
            <w:vAlign w:val="bottom"/>
          </w:tcPr>
          <w:p>
            <w:pPr>
              <w:spacing w:after="0"/>
              <w:rPr>
                <w:sz w:val="19"/>
                <w:szCs w:val="19"/>
                <w:color w:val="auto"/>
              </w:rPr>
            </w:pPr>
          </w:p>
        </w:tc>
      </w:tr>
      <w:tr>
        <w:trPr>
          <w:trHeight w:val="230"/>
        </w:trPr>
        <w:tc>
          <w:tcPr>
            <w:tcW w:w="53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r>
      <w:tr>
        <w:trPr>
          <w:trHeight w:val="221"/>
        </w:trPr>
        <w:tc>
          <w:tcPr>
            <w:tcW w:w="538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71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ind w:right="695"/>
              <w:spacing w:after="0"/>
              <w:rPr>
                <w:sz w:val="20"/>
                <w:szCs w:val="20"/>
                <w:color w:val="auto"/>
              </w:rPr>
            </w:pPr>
            <w:r>
              <w:rPr>
                <w:rFonts w:ascii="Arial" w:cs="Arial" w:eastAsia="Arial" w:hAnsi="Arial"/>
                <w:sz w:val="17"/>
                <w:szCs w:val="17"/>
                <w:b w:val="1"/>
                <w:bCs w:val="1"/>
                <w:color w:val="auto"/>
              </w:rPr>
              <w:t>2017</w:t>
            </w: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1380" w:type="dxa"/>
            <w:vAlign w:val="bottom"/>
            <w:tcBorders>
              <w:bottom w:val="single" w:sz="8" w:color="CCEEFF"/>
            </w:tcBorders>
            <w:shd w:val="clear" w:color="auto" w:fill="CCEEFF"/>
          </w:tcPr>
          <w:p>
            <w:pPr>
              <w:jc w:val="right"/>
              <w:ind w:right="117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7"/>
        </w:trPr>
        <w:tc>
          <w:tcPr>
            <w:tcW w:w="5380" w:type="dxa"/>
            <w:vAlign w:val="bottom"/>
          </w:tcPr>
          <w:p>
            <w:pPr>
              <w:ind w:left="20"/>
              <w:spacing w:after="0"/>
              <w:rPr>
                <w:sz w:val="20"/>
                <w:szCs w:val="20"/>
                <w:color w:val="auto"/>
              </w:rPr>
            </w:pPr>
            <w:r>
              <w:rPr>
                <w:rFonts w:ascii="Arial" w:cs="Arial" w:eastAsia="Arial" w:hAnsi="Arial"/>
                <w:sz w:val="17"/>
                <w:szCs w:val="17"/>
                <w:color w:val="auto"/>
                <w:w w:val="95"/>
              </w:rPr>
              <w:t>Interest expense from debt and amortization of debt discount and deferred</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5380" w:type="dxa"/>
            <w:vAlign w:val="bottom"/>
          </w:tcPr>
          <w:p>
            <w:pPr>
              <w:ind w:left="20"/>
              <w:spacing w:after="0"/>
              <w:rPr>
                <w:sz w:val="20"/>
                <w:szCs w:val="20"/>
                <w:color w:val="auto"/>
              </w:rPr>
            </w:pPr>
            <w:r>
              <w:rPr>
                <w:rFonts w:ascii="Arial" w:cs="Arial" w:eastAsia="Arial" w:hAnsi="Arial"/>
                <w:sz w:val="17"/>
                <w:szCs w:val="17"/>
                <w:color w:val="auto"/>
              </w:rPr>
              <w:t>financing costs</w:t>
            </w:r>
          </w:p>
        </w:tc>
        <w:tc>
          <w:tcPr>
            <w:tcW w:w="1380" w:type="dxa"/>
            <w:vAlign w:val="bottom"/>
          </w:tcPr>
          <w:p>
            <w:pPr>
              <w:spacing w:after="0"/>
              <w:rPr>
                <w:sz w:val="18"/>
                <w:szCs w:val="18"/>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15"/>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162</w:t>
            </w:r>
          </w:p>
        </w:tc>
      </w:tr>
      <w:tr>
        <w:trPr>
          <w:trHeight w:val="27"/>
        </w:trPr>
        <w:tc>
          <w:tcPr>
            <w:tcW w:w="53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5"/>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Unrealized gain on equity investment</w:t>
            </w:r>
          </w:p>
        </w:tc>
        <w:tc>
          <w:tcPr>
            <w:tcW w:w="13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28"/>
        </w:trPr>
        <w:tc>
          <w:tcPr>
            <w:tcW w:w="5380" w:type="dxa"/>
            <w:vAlign w:val="bottom"/>
          </w:tcPr>
          <w:p>
            <w:pPr>
              <w:ind w:left="20"/>
              <w:spacing w:after="0"/>
              <w:rPr>
                <w:sz w:val="20"/>
                <w:szCs w:val="20"/>
                <w:color w:val="auto"/>
              </w:rPr>
            </w:pPr>
            <w:r>
              <w:rPr>
                <w:rFonts w:ascii="Arial" w:cs="Arial" w:eastAsia="Arial" w:hAnsi="Arial"/>
                <w:sz w:val="17"/>
                <w:szCs w:val="17"/>
                <w:color w:val="auto"/>
              </w:rPr>
              <w:t>Other expense (income), net</w:t>
            </w:r>
          </w:p>
        </w:tc>
        <w:tc>
          <w:tcPr>
            <w:tcW w:w="138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8</w:t>
            </w:r>
          </w:p>
        </w:tc>
      </w:tr>
      <w:tr>
        <w:trPr>
          <w:trHeight w:val="27"/>
        </w:trPr>
        <w:tc>
          <w:tcPr>
            <w:tcW w:w="53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expense (income), net</w:t>
            </w:r>
          </w:p>
        </w:tc>
        <w:tc>
          <w:tcPr>
            <w:tcW w:w="1380" w:type="dxa"/>
            <w:vAlign w:val="bottom"/>
            <w:tcBorders>
              <w:bottom w:val="single" w:sz="8" w:color="auto"/>
            </w:tcBorders>
            <w:shd w:val="clear" w:color="auto" w:fill="CCEEFF"/>
          </w:tcPr>
          <w:p>
            <w:pPr>
              <w:jc w:val="right"/>
              <w:ind w:right="117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146</w:t>
            </w:r>
          </w:p>
        </w:tc>
      </w:tr>
      <w:tr>
        <w:trPr>
          <w:trHeight w:val="20"/>
        </w:trPr>
        <w:tc>
          <w:tcPr>
            <w:tcW w:w="5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800"/>
        </w:trPr>
        <w:tc>
          <w:tcPr>
            <w:tcW w:w="5380" w:type="dxa"/>
            <w:vAlign w:val="bottom"/>
          </w:tcPr>
          <w:p>
            <w:pPr>
              <w:spacing w:after="0"/>
              <w:rPr>
                <w:sz w:val="24"/>
                <w:szCs w:val="24"/>
                <w:color w:val="auto"/>
              </w:rPr>
            </w:pPr>
          </w:p>
        </w:tc>
        <w:tc>
          <w:tcPr>
            <w:tcW w:w="1380" w:type="dxa"/>
            <w:vAlign w:val="bottom"/>
          </w:tcPr>
          <w:p>
            <w:pPr>
              <w:jc w:val="right"/>
              <w:ind w:right="795"/>
              <w:spacing w:after="0"/>
              <w:rPr>
                <w:sz w:val="20"/>
                <w:szCs w:val="20"/>
                <w:color w:val="auto"/>
              </w:rPr>
            </w:pPr>
            <w:r>
              <w:rPr>
                <w:rFonts w:ascii="Arial" w:cs="Arial" w:eastAsia="Arial" w:hAnsi="Arial"/>
                <w:sz w:val="17"/>
                <w:szCs w:val="17"/>
                <w:color w:val="auto"/>
              </w:rPr>
              <w:t>F-47</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Income Taxes</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Domestic and foreign income (loss) before income taxes and details of the income tax expense (benefit) are as follows (amounts 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760" w:type="dxa"/>
            <w:vAlign w:val="bottom"/>
            <w:gridSpan w:val="6"/>
          </w:tcPr>
          <w:p>
            <w:pPr>
              <w:jc w:val="right"/>
              <w:spacing w:after="0"/>
              <w:rPr>
                <w:sz w:val="20"/>
                <w:szCs w:val="20"/>
                <w:color w:val="auto"/>
              </w:rPr>
            </w:pPr>
            <w:r>
              <w:rPr>
                <w:rFonts w:ascii="Arial" w:cs="Arial" w:eastAsia="Arial" w:hAnsi="Arial"/>
                <w:sz w:val="17"/>
                <w:szCs w:val="17"/>
                <w:b w:val="1"/>
                <w:bCs w:val="1"/>
                <w:color w:val="auto"/>
                <w:w w:val="94"/>
              </w:rPr>
              <w:t>For the Years Ended December 31,</w:t>
            </w:r>
          </w:p>
        </w:tc>
        <w:tc>
          <w:tcPr>
            <w:tcW w:w="98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before income tax expense:</w:t>
            </w:r>
          </w:p>
        </w:tc>
        <w:tc>
          <w:tcPr>
            <w:tcW w:w="9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Domestic</w:t>
            </w:r>
          </w:p>
        </w:tc>
        <w:tc>
          <w:tcPr>
            <w:tcW w:w="940" w:type="dxa"/>
            <w:vAlign w:val="bottom"/>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328</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432</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185</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Foreign</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1,305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966</w:t>
            </w:r>
          </w:p>
        </w:tc>
      </w:tr>
      <w:tr>
        <w:trPr>
          <w:trHeight w:val="221"/>
        </w:trPr>
        <w:tc>
          <w:tcPr>
            <w:tcW w:w="6740" w:type="dxa"/>
            <w:vAlign w:val="bottom"/>
          </w:tcPr>
          <w:p>
            <w:pPr>
              <w:spacing w:after="0"/>
              <w:rPr>
                <w:sz w:val="19"/>
                <w:szCs w:val="19"/>
                <w:color w:val="auto"/>
              </w:rPr>
            </w:pPr>
          </w:p>
        </w:tc>
        <w:tc>
          <w:tcPr>
            <w:tcW w:w="940" w:type="dxa"/>
            <w:vAlign w:val="bottom"/>
            <w:tcBorders>
              <w:top w:val="single" w:sz="8" w:color="auto"/>
            </w:tcBorders>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1,633</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1,877</w:t>
            </w:r>
          </w:p>
        </w:tc>
        <w:tc>
          <w:tcPr>
            <w:tcW w:w="100" w:type="dxa"/>
            <w:vAlign w:val="bottom"/>
          </w:tcPr>
          <w:p>
            <w:pPr>
              <w:spacing w:after="0"/>
              <w:rPr>
                <w:sz w:val="19"/>
                <w:szCs w:val="19"/>
                <w:color w:val="auto"/>
              </w:rPr>
            </w:pPr>
          </w:p>
        </w:tc>
        <w:tc>
          <w:tcPr>
            <w:tcW w:w="480" w:type="dxa"/>
            <w:vAlign w:val="bottom"/>
            <w:tcBorders>
              <w:top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1,151</w:t>
            </w:r>
          </w:p>
        </w:tc>
      </w:tr>
      <w:tr>
        <w:trPr>
          <w:trHeight w:val="66"/>
        </w:trPr>
        <w:tc>
          <w:tcPr>
            <w:tcW w:w="67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1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9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Current:</w:t>
            </w: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Federal</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696</w:t>
            </w:r>
          </w:p>
        </w:tc>
      </w:tr>
      <w:tr>
        <w:trPr>
          <w:trHeight w:val="228"/>
        </w:trPr>
        <w:tc>
          <w:tcPr>
            <w:tcW w:w="6740" w:type="dxa"/>
            <w:vAlign w:val="bottom"/>
          </w:tcPr>
          <w:p>
            <w:pPr>
              <w:ind w:left="360"/>
              <w:spacing w:after="0"/>
              <w:rPr>
                <w:sz w:val="20"/>
                <w:szCs w:val="20"/>
                <w:color w:val="auto"/>
              </w:rPr>
            </w:pPr>
            <w:r>
              <w:rPr>
                <w:rFonts w:ascii="Arial" w:cs="Arial" w:eastAsia="Arial" w:hAnsi="Arial"/>
                <w:sz w:val="17"/>
                <w:szCs w:val="17"/>
                <w:color w:val="auto"/>
              </w:rPr>
              <w:t>State</w:t>
            </w:r>
          </w:p>
        </w:tc>
        <w:tc>
          <w:tcPr>
            <w:tcW w:w="94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26</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Foreign</w:t>
            </w:r>
          </w:p>
        </w:tc>
        <w:tc>
          <w:tcPr>
            <w:tcW w:w="9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335</w:t>
            </w:r>
          </w:p>
        </w:tc>
      </w:tr>
      <w:tr>
        <w:trPr>
          <w:trHeight w:val="221"/>
        </w:trPr>
        <w:tc>
          <w:tcPr>
            <w:tcW w:w="6740" w:type="dxa"/>
            <w:vAlign w:val="bottom"/>
          </w:tcPr>
          <w:p>
            <w:pPr>
              <w:ind w:left="360"/>
              <w:spacing w:after="0"/>
              <w:rPr>
                <w:sz w:val="20"/>
                <w:szCs w:val="20"/>
                <w:color w:val="auto"/>
              </w:rPr>
            </w:pPr>
            <w:r>
              <w:rPr>
                <w:rFonts w:ascii="Arial" w:cs="Arial" w:eastAsia="Arial" w:hAnsi="Arial"/>
                <w:sz w:val="17"/>
                <w:szCs w:val="17"/>
                <w:color w:val="auto"/>
              </w:rPr>
              <w:t>Total current</w:t>
            </w:r>
          </w:p>
        </w:tc>
        <w:tc>
          <w:tcPr>
            <w:tcW w:w="9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483</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57</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1,057</w:t>
            </w:r>
          </w:p>
        </w:tc>
      </w:tr>
      <w:tr>
        <w:trPr>
          <w:trHeight w:val="27"/>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Deferred:</w:t>
            </w:r>
          </w:p>
        </w:tc>
        <w:tc>
          <w:tcPr>
            <w:tcW w:w="9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tcPr>
          <w:p>
            <w:pPr>
              <w:ind w:left="360"/>
              <w:spacing w:after="0"/>
              <w:rPr>
                <w:sz w:val="20"/>
                <w:szCs w:val="20"/>
                <w:color w:val="auto"/>
              </w:rPr>
            </w:pPr>
            <w:r>
              <w:rPr>
                <w:rFonts w:ascii="Arial" w:cs="Arial" w:eastAsia="Arial" w:hAnsi="Arial"/>
                <w:sz w:val="17"/>
                <w:szCs w:val="17"/>
                <w:color w:val="auto"/>
              </w:rPr>
              <w:t>Federal</w:t>
            </w:r>
          </w:p>
        </w:tc>
        <w:tc>
          <w:tcPr>
            <w:tcW w:w="94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7"/>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5"/>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State</w:t>
            </w: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29"/>
        </w:trPr>
        <w:tc>
          <w:tcPr>
            <w:tcW w:w="6740" w:type="dxa"/>
            <w:vAlign w:val="bottom"/>
          </w:tcPr>
          <w:p>
            <w:pPr>
              <w:ind w:left="360"/>
              <w:spacing w:after="0"/>
              <w:rPr>
                <w:sz w:val="20"/>
                <w:szCs w:val="20"/>
                <w:color w:val="auto"/>
              </w:rPr>
            </w:pPr>
            <w:r>
              <w:rPr>
                <w:rFonts w:ascii="Arial" w:cs="Arial" w:eastAsia="Arial" w:hAnsi="Arial"/>
                <w:sz w:val="17"/>
                <w:szCs w:val="17"/>
                <w:color w:val="auto"/>
              </w:rPr>
              <w:t>Foreign</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6"/>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8"/>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deferred</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(179)</w:t>
            </w:r>
          </w:p>
        </w:tc>
      </w:tr>
      <w:tr>
        <w:trPr>
          <w:trHeight w:val="299"/>
        </w:trPr>
        <w:tc>
          <w:tcPr>
            <w:tcW w:w="674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r>
      <w:tr>
        <w:trPr>
          <w:trHeight w:val="24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878</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100" w:firstLine="408"/>
        <w:spacing w:after="0" w:line="274" w:lineRule="auto"/>
        <w:rPr>
          <w:sz w:val="20"/>
          <w:szCs w:val="20"/>
          <w:color w:val="auto"/>
        </w:rPr>
      </w:pPr>
      <w:r>
        <w:rPr>
          <w:rFonts w:ascii="Arial" w:cs="Arial" w:eastAsia="Arial" w:hAnsi="Arial"/>
          <w:sz w:val="17"/>
          <w:szCs w:val="17"/>
          <w:color w:val="auto"/>
        </w:rPr>
        <w:t>The items accounting for the difference between income taxes computed at the U.S. federal statutory income tax rate and the income tax expense (benefit) at the effective tax rate for each of the years are as follows (amounts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89"/>
              </w:rPr>
              <w:t>For the Years Ended December 31,</w:t>
            </w:r>
          </w:p>
        </w:tc>
        <w:tc>
          <w:tcPr>
            <w:tcW w:w="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248"/>
        </w:trPr>
        <w:tc>
          <w:tcPr>
            <w:tcW w:w="52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4"/>
                <w:szCs w:val="14"/>
                <w:b w:val="1"/>
                <w:bCs w:val="1"/>
                <w:color w:val="auto"/>
                <w:w w:val="89"/>
              </w:rPr>
              <w:t>2017</w:t>
            </w:r>
          </w:p>
        </w:tc>
      </w:tr>
      <w:tr>
        <w:trPr>
          <w:trHeight w:val="23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Federal income tax provision at statutory rate</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35 %</w:t>
            </w:r>
          </w:p>
        </w:tc>
      </w:tr>
      <w:tr>
        <w:trPr>
          <w:trHeight w:val="228"/>
        </w:trPr>
        <w:tc>
          <w:tcPr>
            <w:tcW w:w="5240" w:type="dxa"/>
            <w:vAlign w:val="bottom"/>
          </w:tcPr>
          <w:p>
            <w:pPr>
              <w:ind w:left="20"/>
              <w:spacing w:after="0"/>
              <w:rPr>
                <w:sz w:val="20"/>
                <w:szCs w:val="20"/>
                <w:color w:val="auto"/>
              </w:rPr>
            </w:pPr>
            <w:r>
              <w:rPr>
                <w:rFonts w:ascii="Arial" w:cs="Arial" w:eastAsia="Arial" w:hAnsi="Arial"/>
                <w:sz w:val="17"/>
                <w:szCs w:val="17"/>
                <w:color w:val="auto"/>
              </w:rPr>
              <w:t>State taxes, net of federal benefit</w:t>
            </w:r>
          </w:p>
        </w:tc>
        <w:tc>
          <w:tcPr>
            <w:tcW w:w="30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36</w:t>
            </w:r>
          </w:p>
        </w:tc>
        <w:tc>
          <w:tcPr>
            <w:tcW w:w="1120" w:type="dxa"/>
            <w:vAlign w:val="bottom"/>
            <w:gridSpan w:val="3"/>
          </w:tcPr>
          <w:p>
            <w:pPr>
              <w:jc w:val="right"/>
              <w:ind w:right="135"/>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12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14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r>
      <w:tr>
        <w:trPr>
          <w:trHeight w:val="228"/>
        </w:trPr>
        <w:tc>
          <w:tcPr>
            <w:tcW w:w="5240" w:type="dxa"/>
            <w:vAlign w:val="bottom"/>
          </w:tcPr>
          <w:p>
            <w:pPr>
              <w:ind w:left="20"/>
              <w:spacing w:after="0"/>
              <w:rPr>
                <w:sz w:val="20"/>
                <w:szCs w:val="20"/>
                <w:color w:val="auto"/>
              </w:rPr>
            </w:pPr>
            <w:r>
              <w:rPr>
                <w:rFonts w:ascii="Arial" w:cs="Arial" w:eastAsia="Arial" w:hAnsi="Arial"/>
                <w:sz w:val="17"/>
                <w:szCs w:val="17"/>
                <w:color w:val="auto"/>
              </w:rPr>
              <w:t>Foreign rate differential</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(198)</w:t>
            </w:r>
          </w:p>
        </w:tc>
        <w:tc>
          <w:tcPr>
            <w:tcW w:w="1120" w:type="dxa"/>
            <w:vAlign w:val="bottom"/>
            <w:gridSpan w:val="3"/>
          </w:tcPr>
          <w:p>
            <w:pPr>
              <w:jc w:val="right"/>
              <w:ind w:right="7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(271)</w:t>
            </w:r>
          </w:p>
        </w:tc>
        <w:tc>
          <w:tcPr>
            <w:tcW w:w="1140" w:type="dxa"/>
            <w:vAlign w:val="bottom"/>
            <w:gridSpan w:val="3"/>
          </w:tcPr>
          <w:p>
            <w:pPr>
              <w:jc w:val="right"/>
              <w:ind w:right="75"/>
              <w:spacing w:after="0"/>
              <w:rPr>
                <w:sz w:val="20"/>
                <w:szCs w:val="20"/>
                <w:color w:val="auto"/>
              </w:rPr>
            </w:pPr>
            <w:r>
              <w:rPr>
                <w:rFonts w:ascii="Arial" w:cs="Arial" w:eastAsia="Arial" w:hAnsi="Arial"/>
                <w:sz w:val="17"/>
                <w:szCs w:val="17"/>
                <w:color w:val="auto"/>
              </w:rPr>
              <w:t>(24)</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Change in tax reserves</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285</w:t>
            </w:r>
          </w:p>
        </w:tc>
        <w:tc>
          <w:tcPr>
            <w:tcW w:w="112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11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25</w:t>
            </w:r>
          </w:p>
        </w:tc>
      </w:tr>
      <w:tr>
        <w:trPr>
          <w:trHeight w:val="228"/>
        </w:trPr>
        <w:tc>
          <w:tcPr>
            <w:tcW w:w="5240" w:type="dxa"/>
            <w:vAlign w:val="bottom"/>
          </w:tcPr>
          <w:p>
            <w:pPr>
              <w:ind w:left="20"/>
              <w:spacing w:after="0"/>
              <w:rPr>
                <w:sz w:val="20"/>
                <w:szCs w:val="20"/>
                <w:color w:val="auto"/>
              </w:rPr>
            </w:pPr>
            <w:r>
              <w:rPr>
                <w:rFonts w:ascii="Arial" w:cs="Arial" w:eastAsia="Arial" w:hAnsi="Arial"/>
                <w:sz w:val="17"/>
                <w:szCs w:val="17"/>
                <w:color w:val="auto"/>
              </w:rPr>
              <w:t>Acquired net operating loss utilization</w:t>
            </w:r>
          </w:p>
        </w:tc>
        <w:tc>
          <w:tcPr>
            <w:tcW w:w="300" w:type="dxa"/>
            <w:vAlign w:val="bottom"/>
          </w:tcPr>
          <w:p>
            <w:pPr>
              <w:spacing w:after="0"/>
              <w:rPr>
                <w:sz w:val="19"/>
                <w:szCs w:val="19"/>
                <w:color w:val="auto"/>
              </w:rPr>
            </w:pPr>
          </w:p>
        </w:tc>
        <w:tc>
          <w:tcPr>
            <w:tcW w:w="104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w:t>
            </w:r>
          </w:p>
        </w:tc>
        <w:tc>
          <w:tcPr>
            <w:tcW w:w="1140" w:type="dxa"/>
            <w:vAlign w:val="bottom"/>
            <w:gridSpan w:val="3"/>
          </w:tcPr>
          <w:p>
            <w:pPr>
              <w:jc w:val="right"/>
              <w:ind w:right="75"/>
              <w:spacing w:after="0"/>
              <w:rPr>
                <w:sz w:val="20"/>
                <w:szCs w:val="20"/>
                <w:color w:val="auto"/>
              </w:rPr>
            </w:pPr>
            <w:r>
              <w:rPr>
                <w:rFonts w:ascii="Arial" w:cs="Arial" w:eastAsia="Arial" w:hAnsi="Arial"/>
                <w:sz w:val="17"/>
                <w:szCs w:val="17"/>
                <w:color w:val="auto"/>
              </w:rPr>
              <w:t>(3)</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Audit settlements</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12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28"/>
        </w:trPr>
        <w:tc>
          <w:tcPr>
            <w:tcW w:w="5240" w:type="dxa"/>
            <w:vAlign w:val="bottom"/>
          </w:tcPr>
          <w:p>
            <w:pPr>
              <w:ind w:left="20"/>
              <w:spacing w:after="0"/>
              <w:rPr>
                <w:sz w:val="20"/>
                <w:szCs w:val="20"/>
                <w:color w:val="auto"/>
              </w:rPr>
            </w:pPr>
            <w:r>
              <w:rPr>
                <w:rFonts w:ascii="Arial" w:cs="Arial" w:eastAsia="Arial" w:hAnsi="Arial"/>
                <w:sz w:val="17"/>
                <w:szCs w:val="17"/>
                <w:color w:val="auto"/>
              </w:rPr>
              <w:t>Excess tax benefits related to share-based payments</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(58)</w:t>
            </w:r>
          </w:p>
        </w:tc>
        <w:tc>
          <w:tcPr>
            <w:tcW w:w="1120" w:type="dxa"/>
            <w:vAlign w:val="bottom"/>
            <w:gridSpan w:val="3"/>
          </w:tcPr>
          <w:p>
            <w:pPr>
              <w:jc w:val="right"/>
              <w:ind w:right="7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(113)</w:t>
            </w:r>
          </w:p>
        </w:tc>
        <w:tc>
          <w:tcPr>
            <w:tcW w:w="1140" w:type="dxa"/>
            <w:vAlign w:val="bottom"/>
            <w:gridSpan w:val="3"/>
          </w:tcPr>
          <w:p>
            <w:pPr>
              <w:jc w:val="right"/>
              <w:ind w:right="75"/>
              <w:spacing w:after="0"/>
              <w:rPr>
                <w:sz w:val="20"/>
                <w:szCs w:val="20"/>
                <w:color w:val="auto"/>
              </w:rPr>
            </w:pPr>
            <w:r>
              <w:rPr>
                <w:rFonts w:ascii="Arial" w:cs="Arial" w:eastAsia="Arial" w:hAnsi="Arial"/>
                <w:sz w:val="17"/>
                <w:szCs w:val="17"/>
                <w:color w:val="auto"/>
              </w:rPr>
              <w:t>(10)</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Tax Reform Act</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w:t>
            </w:r>
          </w:p>
        </w:tc>
        <w:tc>
          <w:tcPr>
            <w:tcW w:w="1120" w:type="dxa"/>
            <w:vAlign w:val="bottom"/>
            <w:tcBorders>
              <w:bottom w:val="single" w:sz="8" w:color="CCEEFF"/>
            </w:tcBorders>
            <w:gridSpan w:val="3"/>
            <w:shd w:val="clear" w:color="auto" w:fill="CCEEFF"/>
          </w:tcPr>
          <w:p>
            <w:pPr>
              <w:jc w:val="right"/>
              <w:ind w:right="75"/>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636</w:t>
            </w:r>
          </w:p>
        </w:tc>
        <w:tc>
          <w:tcPr>
            <w:tcW w:w="11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Arial" w:cs="Arial" w:eastAsia="Arial" w:hAnsi="Arial"/>
                <w:sz w:val="17"/>
                <w:szCs w:val="17"/>
                <w:color w:val="auto"/>
              </w:rPr>
              <w:t>55</w:t>
            </w:r>
          </w:p>
        </w:tc>
      </w:tr>
      <w:tr>
        <w:trPr>
          <w:trHeight w:val="228"/>
        </w:trPr>
        <w:tc>
          <w:tcPr>
            <w:tcW w:w="5240" w:type="dxa"/>
            <w:vAlign w:val="bottom"/>
          </w:tcPr>
          <w:p>
            <w:pPr>
              <w:ind w:left="20"/>
              <w:spacing w:after="0"/>
              <w:rPr>
                <w:sz w:val="20"/>
                <w:szCs w:val="20"/>
                <w:color w:val="auto"/>
              </w:rPr>
            </w:pPr>
            <w:r>
              <w:rPr>
                <w:rFonts w:ascii="Arial" w:cs="Arial" w:eastAsia="Arial" w:hAnsi="Arial"/>
                <w:sz w:val="17"/>
                <w:szCs w:val="17"/>
                <w:color w:val="auto"/>
              </w:rPr>
              <w:t>Change in valuation allowance</w:t>
            </w:r>
          </w:p>
        </w:tc>
        <w:tc>
          <w:tcPr>
            <w:tcW w:w="300" w:type="dxa"/>
            <w:vAlign w:val="bottom"/>
          </w:tcPr>
          <w:p>
            <w:pPr>
              <w:spacing w:after="0"/>
              <w:rPr>
                <w:sz w:val="19"/>
                <w:szCs w:val="19"/>
                <w:color w:val="auto"/>
              </w:rPr>
            </w:pPr>
          </w:p>
        </w:tc>
        <w:tc>
          <w:tcPr>
            <w:tcW w:w="600" w:type="dxa"/>
            <w:vAlign w:val="bottom"/>
          </w:tcPr>
          <w:p>
            <w:pPr>
              <w:jc w:val="right"/>
              <w:ind w:right="16"/>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w:t>
            </w:r>
          </w:p>
        </w:tc>
        <w:tc>
          <w:tcPr>
            <w:tcW w:w="1120" w:type="dxa"/>
            <w:vAlign w:val="bottom"/>
            <w:gridSpan w:val="3"/>
          </w:tcPr>
          <w:p>
            <w:pPr>
              <w:jc w:val="right"/>
              <w:ind w:right="135"/>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6"/>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5"/>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Intra-entity IP Transfer</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r>
      <w:tr>
        <w:trPr>
          <w:trHeight w:val="229"/>
        </w:trPr>
        <w:tc>
          <w:tcPr>
            <w:tcW w:w="5240" w:type="dxa"/>
            <w:vAlign w:val="bottom"/>
          </w:tcPr>
          <w:p>
            <w:pPr>
              <w:ind w:left="20"/>
              <w:spacing w:after="0"/>
              <w:rPr>
                <w:sz w:val="20"/>
                <w:szCs w:val="20"/>
                <w:color w:val="auto"/>
              </w:rPr>
            </w:pPr>
            <w:r>
              <w:rPr>
                <w:rFonts w:ascii="Arial" w:cs="Arial" w:eastAsia="Arial" w:hAnsi="Arial"/>
                <w:sz w:val="17"/>
                <w:szCs w:val="17"/>
                <w:color w:val="auto"/>
              </w:rPr>
              <w:t>Other</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120" w:type="dxa"/>
            <w:vAlign w:val="bottom"/>
            <w:gridSpan w:val="3"/>
          </w:tcPr>
          <w:p>
            <w:pPr>
              <w:jc w:val="right"/>
              <w:ind w:right="13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w:t>
            </w:r>
          </w:p>
        </w:tc>
      </w:tr>
      <w:tr>
        <w:trPr>
          <w:trHeight w:val="26"/>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1"/>
        </w:trPr>
        <w:tc>
          <w:tcPr>
            <w:tcW w:w="5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76 %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1420"/>
          </w:cols>
          <w:pgMar w:left="240" w:top="127" w:right="239" w:bottom="1440" w:gutter="0" w:footer="0" w:header="0"/>
          <w:type w:val="continuous"/>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Company’s tax rate is affected by the tax rates in the jurisdictions in which the Company operates, some of which have a statutory tax rate less than the U.S.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rate of 21%, and the relative amount of income earned in each jurisdiction.</w:t>
      </w:r>
    </w:p>
    <w:p>
      <w:pPr>
        <w:spacing w:after="0" w:line="201"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In October 2019, we completed an intra-entity transfer of certain intellectual property rights to one of our subsidiaries in the U.K., aligning the ownership of these rights with our evolving business. The transfer did not result in a taxable gain; however, our U.K. subsidiary received a step-up in tax basis based on the fair value of the transferred intellectual property rights. Such fair value was determined based on our expectations of future cash flows, long-term growth rates, and discount rates. We recorded a one-time benefit of $230 million in the quarter ended December 31, 2019 for the recognition of a $1.1 billion deferred tax asset in the U.K. related to the amortizable tax basis in the transferred intellectual property, net of uncertain tax positions and valuation allowance, partially offset by a related $920 million deferred tax liability for U.S. taxes on foreign earnings. The U.K. amortizable tax basis will be recovered over a period of three years to 25 years and the related deferred tax asset was measured using the enacted U.K. corporate tax rates for the years in which the amortization will be realized. We recorded a valuation allowance of $110 million for the portion of the deferred tax asset for which it is more-likely-than-not that a benefit will not be realized based on objective evidence available as of December 31, 2019. We will update the measurement and realizability analysis going forward and record the impact from any change in determination in the period of the change.</w:t>
      </w:r>
    </w:p>
    <w:p>
      <w:pPr>
        <w:spacing w:after="0" w:line="183" w:lineRule="exact"/>
        <w:rPr>
          <w:sz w:val="20"/>
          <w:szCs w:val="20"/>
          <w:color w:val="auto"/>
        </w:rPr>
      </w:pPr>
    </w:p>
    <w:p>
      <w:pPr>
        <w:ind w:right="120" w:firstLine="382"/>
        <w:spacing w:after="0" w:line="298" w:lineRule="auto"/>
        <w:rPr>
          <w:sz w:val="20"/>
          <w:szCs w:val="20"/>
          <w:color w:val="auto"/>
        </w:rPr>
      </w:pPr>
      <w:r>
        <w:rPr>
          <w:rFonts w:ascii="Arial" w:cs="Arial" w:eastAsia="Arial" w:hAnsi="Arial"/>
          <w:sz w:val="15"/>
          <w:szCs w:val="15"/>
          <w:color w:val="auto"/>
        </w:rPr>
        <w:t>On June 27, 2018, we entered into a closing agreement with the Internal Revenue Service (“IRS”) to resolve certain intercompany transfer pricing arrangements for tax periods starting in 2009 (the “Closing Agreement”). The primary adjustments related to the Closing Agreement were recognized in the second quarter of 2018 and consisted of a tax expense of $70 million and a reduction in unrecognized tax benefits of $437 million. In addition, we recognized $185 million of tax benefits related to other tax adjustments resulting from the changes in U.S. tax attributes and taxable income caused by the primary adjustments. The Closing Agreement resulted in federal and state cash tax payments totaling approximately $345 million, of which federal tax payments of $334 million were made in October 2018.</w:t>
      </w:r>
    </w:p>
    <w:p>
      <w:pPr>
        <w:spacing w:after="0" w:line="153" w:lineRule="exact"/>
        <w:rPr>
          <w:sz w:val="20"/>
          <w:szCs w:val="20"/>
          <w:color w:val="auto"/>
        </w:rPr>
      </w:pPr>
    </w:p>
    <w:p>
      <w:pPr>
        <w:ind w:firstLine="382"/>
        <w:spacing w:after="0" w:line="258" w:lineRule="auto"/>
        <w:rPr>
          <w:sz w:val="20"/>
          <w:szCs w:val="20"/>
          <w:color w:val="auto"/>
        </w:rPr>
      </w:pPr>
      <w:r>
        <w:rPr>
          <w:rFonts w:ascii="Arial" w:cs="Arial" w:eastAsia="Arial" w:hAnsi="Arial"/>
          <w:sz w:val="17"/>
          <w:szCs w:val="17"/>
          <w:color w:val="auto"/>
        </w:rPr>
        <w:t>On December 22, 2017, the U.S. Tax Reform Act was enacted. The U.S. Tax Reform Act, among other things, reduced the U.S. corporate income tax rate from 35% to 21%, beginning in 2018, and implemented the Transition Tax. In the fourth quarter of 2018, we completed our analysis of the effect of the U.S. Tax Reform Act and recorded a net tax benefit of $340 million. This is primarily related to adoption of GILTI deferred tax accounting and remeasurement of deferred tax assets and liabilities partially offset by tax expense related to Transition Tax.</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1400"/>
          </w:cols>
          <w:pgMar w:left="240" w:top="127" w:right="25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40" w:firstLine="408"/>
        <w:spacing w:after="0" w:line="274" w:lineRule="auto"/>
        <w:rPr>
          <w:sz w:val="20"/>
          <w:szCs w:val="20"/>
          <w:color w:val="auto"/>
        </w:rPr>
      </w:pPr>
      <w:r>
        <w:rPr>
          <w:rFonts w:ascii="Arial" w:cs="Arial" w:eastAsia="Arial" w:hAnsi="Arial"/>
          <w:sz w:val="17"/>
          <w:szCs w:val="17"/>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3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As of December 31,</w:t>
            </w:r>
          </w:p>
        </w:tc>
        <w:tc>
          <w:tcPr>
            <w:tcW w:w="900" w:type="dxa"/>
            <w:vAlign w:val="bottom"/>
            <w:tcBorders>
              <w:bottom w:val="single" w:sz="8" w:color="auto"/>
            </w:tcBorders>
          </w:tcPr>
          <w:p>
            <w:pPr>
              <w:spacing w:after="0"/>
              <w:rPr>
                <w:sz w:val="15"/>
                <w:szCs w:val="15"/>
                <w:color w:val="auto"/>
              </w:rPr>
            </w:pPr>
          </w:p>
        </w:tc>
      </w:tr>
      <w:tr>
        <w:trPr>
          <w:trHeight w:val="248"/>
        </w:trPr>
        <w:tc>
          <w:tcPr>
            <w:tcW w:w="836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2018</w:t>
            </w:r>
          </w:p>
        </w:tc>
      </w:tr>
      <w:tr>
        <w:trPr>
          <w:trHeight w:val="23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Allowance for sales returns and price protection</w:t>
            </w:r>
          </w:p>
        </w:tc>
        <w:tc>
          <w:tcPr>
            <w:tcW w:w="940" w:type="dxa"/>
            <w:vAlign w:val="bottom"/>
          </w:tcPr>
          <w:p>
            <w:pPr>
              <w:jc w:val="right"/>
              <w:ind w:right="761"/>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560" w:type="dxa"/>
            <w:vAlign w:val="bottom"/>
          </w:tcPr>
          <w:p>
            <w:pPr>
              <w:jc w:val="right"/>
              <w:ind w:right="355"/>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25</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Accrued expenses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26</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Deferred revenue</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136</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Tax attributes carryforwards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81</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Share-based compensation</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69</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Intangibles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1,289</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43</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U.S. deferred taxes on foreign earnings</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318</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Capitalized software development expenses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Other</w:t>
            </w:r>
          </w:p>
        </w:tc>
        <w:tc>
          <w:tcPr>
            <w:tcW w:w="940" w:type="dxa"/>
            <w:vAlign w:val="bottom"/>
          </w:tcPr>
          <w:p>
            <w:pPr>
              <w:spacing w:after="0"/>
              <w:rPr>
                <w:sz w:val="19"/>
                <w:szCs w:val="19"/>
                <w:color w:val="auto"/>
              </w:rPr>
            </w:pPr>
          </w:p>
        </w:tc>
        <w:tc>
          <w:tcPr>
            <w:tcW w:w="560" w:type="dxa"/>
            <w:vAlign w:val="bottom"/>
          </w:tcPr>
          <w:p>
            <w:pPr>
              <w:jc w:val="right"/>
              <w:ind w:right="36"/>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Arial" w:cs="Arial" w:eastAsia="Arial" w:hAnsi="Arial"/>
                <w:sz w:val="17"/>
                <w:szCs w:val="17"/>
                <w:color w:val="auto"/>
              </w:rPr>
              <w:t>28</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9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1,778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726</w:t>
            </w:r>
          </w:p>
        </w:tc>
      </w:tr>
      <w:tr>
        <w:trPr>
          <w:trHeight w:val="229"/>
        </w:trPr>
        <w:tc>
          <w:tcPr>
            <w:tcW w:w="8360" w:type="dxa"/>
            <w:vAlign w:val="bottom"/>
          </w:tcPr>
          <w:p>
            <w:pPr>
              <w:ind w:left="20"/>
              <w:spacing w:after="0"/>
              <w:rPr>
                <w:sz w:val="20"/>
                <w:szCs w:val="20"/>
                <w:color w:val="auto"/>
              </w:rPr>
            </w:pPr>
            <w:r>
              <w:rPr>
                <w:rFonts w:ascii="Arial" w:cs="Arial" w:eastAsia="Arial" w:hAnsi="Arial"/>
                <w:sz w:val="17"/>
                <w:szCs w:val="17"/>
                <w:color w:val="auto"/>
              </w:rPr>
              <w:t>Valuation allowance</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6"/>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w w:val="98"/>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665</w:t>
            </w:r>
          </w:p>
        </w:tc>
      </w:tr>
      <w:tr>
        <w:trPr>
          <w:trHeight w:val="221"/>
        </w:trPr>
        <w:tc>
          <w:tcPr>
            <w:tcW w:w="836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Intangibles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(140)</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Capitalized software development expenses</w:t>
            </w:r>
          </w:p>
        </w:tc>
        <w:tc>
          <w:tcPr>
            <w:tcW w:w="94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7"/>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5"/>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deferred taxes on foreign earnings</w:t>
            </w:r>
          </w:p>
        </w:tc>
        <w:tc>
          <w:tcPr>
            <w:tcW w:w="9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r>
      <w:tr>
        <w:trPr>
          <w:trHeight w:val="228"/>
        </w:trPr>
        <w:tc>
          <w:tcPr>
            <w:tcW w:w="8360" w:type="dxa"/>
            <w:vAlign w:val="bottom"/>
          </w:tcPr>
          <w:p>
            <w:pPr>
              <w:ind w:left="160"/>
              <w:spacing w:after="0"/>
              <w:rPr>
                <w:sz w:val="20"/>
                <w:szCs w:val="20"/>
                <w:color w:val="auto"/>
              </w:rPr>
            </w:pPr>
            <w:r>
              <w:rPr>
                <w:rFonts w:ascii="Arial" w:cs="Arial" w:eastAsia="Arial" w:hAnsi="Arial"/>
                <w:sz w:val="17"/>
                <w:szCs w:val="17"/>
                <w:color w:val="auto"/>
              </w:rPr>
              <w:t>Other</w:t>
            </w:r>
          </w:p>
        </w:tc>
        <w:tc>
          <w:tcPr>
            <w:tcW w:w="9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(223)</w:t>
            </w:r>
          </w:p>
        </w:tc>
      </w:tr>
      <w:tr>
        <w:trPr>
          <w:trHeight w:val="241"/>
        </w:trPr>
        <w:tc>
          <w:tcPr>
            <w:tcW w:w="8360" w:type="dxa"/>
            <w:vAlign w:val="bottom"/>
          </w:tcPr>
          <w:p>
            <w:pPr>
              <w:ind w:left="20"/>
              <w:spacing w:after="0"/>
              <w:rPr>
                <w:sz w:val="20"/>
                <w:szCs w:val="20"/>
                <w:color w:val="auto"/>
              </w:rPr>
            </w:pPr>
            <w:r>
              <w:rPr>
                <w:rFonts w:ascii="Arial" w:cs="Arial" w:eastAsia="Arial" w:hAnsi="Arial"/>
                <w:sz w:val="17"/>
                <w:szCs w:val="17"/>
                <w:color w:val="auto"/>
              </w:rPr>
              <w:t>Net deferred tax assets</w:t>
            </w:r>
          </w:p>
        </w:tc>
        <w:tc>
          <w:tcPr>
            <w:tcW w:w="94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7"/>
                <w:szCs w:val="17"/>
                <w:color w:val="auto"/>
                <w:w w:val="84"/>
              </w:rPr>
              <w:t>$</w:t>
            </w:r>
          </w:p>
        </w:tc>
        <w:tc>
          <w:tcPr>
            <w:tcW w:w="5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788</w:t>
            </w: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442</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right="160" w:firstLine="408"/>
        <w:spacing w:after="0" w:line="262" w:lineRule="auto"/>
        <w:rPr>
          <w:sz w:val="20"/>
          <w:szCs w:val="20"/>
          <w:color w:val="auto"/>
        </w:rPr>
      </w:pPr>
      <w:r>
        <w:rPr>
          <w:rFonts w:ascii="Arial" w:cs="Arial" w:eastAsia="Arial" w:hAnsi="Arial"/>
          <w:sz w:val="17"/>
          <w:szCs w:val="17"/>
          <w:color w:val="auto"/>
        </w:rPr>
        <w:t>As of December 31, 2019, we had gross tax credit carryforwards of $191 million for state purposes. The tax credit carryforwards are included in Deferred tax assets net of unrealized tax benefits that would apply upon the realization of uncertain tax positions. In addition, we had foreign NOL carryforwards of $32 million at December 31, 2019, attributed mainly to losses in France which can be carried forward indefinitely.</w:t>
      </w:r>
    </w:p>
    <w:p>
      <w:pPr>
        <w:spacing w:after="0" w:line="176" w:lineRule="exact"/>
        <w:rPr>
          <w:sz w:val="20"/>
          <w:szCs w:val="20"/>
          <w:color w:val="auto"/>
        </w:rPr>
      </w:pPr>
    </w:p>
    <w:p>
      <w:pPr>
        <w:ind w:firstLine="382"/>
        <w:spacing w:after="0" w:line="254" w:lineRule="auto"/>
        <w:rPr>
          <w:sz w:val="20"/>
          <w:szCs w:val="20"/>
          <w:color w:val="auto"/>
        </w:rPr>
      </w:pPr>
      <w:r>
        <w:rPr>
          <w:rFonts w:ascii="Arial" w:cs="Arial" w:eastAsia="Arial" w:hAnsi="Arial"/>
          <w:sz w:val="17"/>
          <w:szCs w:val="17"/>
          <w:color w:val="auto"/>
        </w:rPr>
        <w:t>We evaluate deferred tax assets each period for recoverability. We record a valuation allowance for assets that do not meet the threshold of “more likely than not” to be realized in the future. To make that determination, we evaluate the likelihood of realization based on the weight of all positive and negative evidence available. As a result of the Closing Agreement, we received in 2018, we determined at that time that our remaining California research and development credit carryforwards (“CA R&amp;D Credit”) no longer met the threshold of more likely than not to be realized in the future. As such, consistent with our position at December 31, 2018, we have established a full valuation allowance against our CA R&amp;D Credit. For the year ended December 31, 2019, the valuation allowance related to our CA R&amp;D Credit is $71 million. We will reassess this determination quarterly and record a tax benefit if and when future evidence allows for a partial or full release of this valuation allowance.</w:t>
      </w:r>
    </w:p>
    <w:p>
      <w:pPr>
        <w:spacing w:after="0" w:line="184" w:lineRule="exact"/>
        <w:rPr>
          <w:sz w:val="20"/>
          <w:szCs w:val="20"/>
          <w:color w:val="auto"/>
        </w:rPr>
      </w:pPr>
    </w:p>
    <w:p>
      <w:pPr>
        <w:ind w:right="80" w:firstLine="382"/>
        <w:spacing w:after="0" w:line="274" w:lineRule="auto"/>
        <w:rPr>
          <w:sz w:val="20"/>
          <w:szCs w:val="20"/>
          <w:color w:val="auto"/>
        </w:rPr>
      </w:pPr>
      <w:r>
        <w:rPr>
          <w:rFonts w:ascii="Arial" w:cs="Arial" w:eastAsia="Arial" w:hAnsi="Arial"/>
          <w:sz w:val="17"/>
          <w:szCs w:val="17"/>
          <w:color w:val="auto"/>
        </w:rPr>
        <w:t>As of December 31, 2017, we no longer consider the available cash balances related to undistributed earnings held outside of the U.S. by our foreign subsidiaries to be indefinitely reinvested.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1420"/>
          </w:cols>
          <w:pgMar w:left="240" w:top="127" w:right="23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ind w:right="100" w:firstLine="382"/>
        <w:spacing w:after="0" w:line="254" w:lineRule="auto"/>
        <w:rPr>
          <w:sz w:val="20"/>
          <w:szCs w:val="20"/>
          <w:color w:val="auto"/>
        </w:rPr>
      </w:pPr>
      <w:r>
        <w:rPr>
          <w:rFonts w:ascii="Arial" w:cs="Arial" w:eastAsia="Arial" w:hAnsi="Arial"/>
          <w:sz w:val="17"/>
          <w:szCs w:val="17"/>
          <w:color w:val="auto"/>
        </w:rPr>
        <w:t>Activision Blizzard’s tax years after 2008 remain open to examination by certain major taxing jurisdictions to which we are subject. The IRS is currently examining our federal tax returns for the 2012 through 2016 tax years. We also have several state and non-U.S. audits pending. In addition, as part of purchase price accounting for our 2016 acquisition of King, we assumed $74 million of uncertain tax positions primarily related to pre-acquisition transfer pricing matters. We anticipate resolving King’s transfer pricing for both pre- and post-acquisition tax years through a collaborative multilateral process with the tax authorities in the relevant jurisdictions, which include the U.K. and Sweden. While the outcome of this process remains uncertain, it could result in an agreement that changes the allocation of profits and losses between these and other relevant jurisdictions or a failure to reach an agreement that results in unilateral adjustments to the amount and timing of taxable income in the jurisdictions in which King operates.</w:t>
      </w:r>
    </w:p>
    <w:p>
      <w:pPr>
        <w:spacing w:after="0" w:line="184" w:lineRule="exact"/>
        <w:rPr>
          <w:sz w:val="20"/>
          <w:szCs w:val="20"/>
          <w:color w:val="auto"/>
        </w:rPr>
      </w:pPr>
    </w:p>
    <w:p>
      <w:pPr>
        <w:ind w:firstLine="382"/>
        <w:spacing w:after="0" w:line="253" w:lineRule="auto"/>
        <w:rPr>
          <w:sz w:val="20"/>
          <w:szCs w:val="20"/>
          <w:color w:val="auto"/>
        </w:rPr>
      </w:pPr>
      <w:r>
        <w:rPr>
          <w:rFonts w:ascii="Arial" w:cs="Arial" w:eastAsia="Arial" w:hAnsi="Arial"/>
          <w:sz w:val="17"/>
          <w:szCs w:val="17"/>
          <w:color w:val="auto"/>
        </w:rPr>
        <w:t>In December 2018, we received a decision from the Swedish Tax Agency (the “STA”) informing us of an audit assessment of a Swedish subsidiary of King for the 2016 tax year (the “Initial Decision”). The Initial Decision described the basis for issuing a transfer pricing assessment of approximately 3.5kr billion (approximately $375 million), primarily concerning an alleged intercompany asset transfer. On June 17, 2019, we received a reassessment from the STA (the “Reassessment”) which changed the Initial Decision based on a revision of the transfer pricing approach reflected in King’s 2016 Swedish tax return and removal of the alleged intercompany asset transfer that was the basis of the Initial Decision. The STA also, at the same time, reassessed the 2017 tax year on the same transfer pricing basis as 2016. The transfer pricing approach reflected in the Reassessment for both 2016 and 2017 remains subject to further review by taxing authorities in other jurisdictions. In July 2019, the Company made a payment to the STA for the Reassessment for the 2016 and 2017 tax years, which did not result in a significant impact to our consolidated financial statements.</w:t>
      </w:r>
    </w:p>
    <w:p>
      <w:pPr>
        <w:spacing w:after="0" w:line="188" w:lineRule="exact"/>
        <w:rPr>
          <w:sz w:val="20"/>
          <w:szCs w:val="20"/>
          <w:color w:val="auto"/>
        </w:rPr>
      </w:pPr>
    </w:p>
    <w:p>
      <w:pPr>
        <w:ind w:right="20" w:firstLine="382"/>
        <w:spacing w:after="0" w:line="256" w:lineRule="auto"/>
        <w:rPr>
          <w:sz w:val="20"/>
          <w:szCs w:val="20"/>
          <w:color w:val="auto"/>
        </w:rPr>
      </w:pPr>
      <w:r>
        <w:rPr>
          <w:rFonts w:ascii="Arial" w:cs="Arial" w:eastAsia="Arial" w:hAnsi="Arial"/>
          <w:sz w:val="17"/>
          <w:szCs w:val="17"/>
          <w:color w:val="auto"/>
        </w:rPr>
        <w:t>In December 2017, we received a Notice of Reassessment from the French Tax Authority (the “FTA”) related to transfer pricing for intercompany transactions involving one of our French subsidiaries for the 2011 through 2013 tax years. The total assessment, including penalties and interest, was approximately €571 million (approximately $638 million). In December 2019, the Company reached a settlement with the FTA for the 2011 through 2018 tax years, resulting in the recognition of $54 million of tax expense in the period ended December 31, 2019 and a tax payment of €161 million (approximately $179 million), including interest and penalties, in January 2020.</w:t>
      </w:r>
    </w:p>
    <w:p>
      <w:pPr>
        <w:spacing w:after="0" w:line="181" w:lineRule="exact"/>
        <w:rPr>
          <w:sz w:val="20"/>
          <w:szCs w:val="20"/>
          <w:color w:val="auto"/>
        </w:rPr>
      </w:pPr>
    </w:p>
    <w:p>
      <w:pPr>
        <w:ind w:right="140" w:firstLine="382"/>
        <w:spacing w:after="0" w:line="298" w:lineRule="auto"/>
        <w:rPr>
          <w:sz w:val="20"/>
          <w:szCs w:val="20"/>
          <w:color w:val="auto"/>
        </w:rPr>
      </w:pPr>
      <w:r>
        <w:rPr>
          <w:rFonts w:ascii="Arial" w:cs="Arial" w:eastAsia="Arial" w:hAnsi="Arial"/>
          <w:sz w:val="15"/>
          <w:szCs w:val="15"/>
          <w:color w:val="auto"/>
        </w:rPr>
        <w:t>In addition, certain of our subsidiaries are under examination or investigation, or may be subject to examination or investigation, by tax authorities in various jurisdictions. These proceedings may lead to adjustments or proposed adjustments to our taxes or provisions for uncertain tax positions. Such proceedings may have a material adverse effect on the Company’s consolidated financial position, liquidity, or results of operations in the earlier of the period or periods in which the matters are resolved and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53" w:lineRule="exact"/>
        <w:rPr>
          <w:sz w:val="20"/>
          <w:szCs w:val="20"/>
          <w:color w:val="auto"/>
        </w:rPr>
      </w:pPr>
    </w:p>
    <w:p>
      <w:pPr>
        <w:ind w:right="120" w:firstLine="408"/>
        <w:spacing w:after="0" w:line="274" w:lineRule="auto"/>
        <w:rPr>
          <w:sz w:val="20"/>
          <w:szCs w:val="20"/>
          <w:color w:val="auto"/>
        </w:rPr>
      </w:pPr>
      <w:r>
        <w:rPr>
          <w:rFonts w:ascii="Arial" w:cs="Arial" w:eastAsia="Arial" w:hAnsi="Arial"/>
          <w:sz w:val="17"/>
          <w:szCs w:val="17"/>
          <w:color w:val="auto"/>
        </w:rPr>
        <w:t>As of December 31, 2019, we had approximately $1,037 million of gross unrecognized tax benefits, $661 million of which would affect our effective tax rate, if recognized. A reconciliation of total gross unrecognized tax benefits is as follows (amounts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6"/>
          </w:tcPr>
          <w:p>
            <w:pPr>
              <w:jc w:val="right"/>
              <w:ind w:right="155"/>
              <w:spacing w:after="0"/>
              <w:rPr>
                <w:sz w:val="20"/>
                <w:szCs w:val="20"/>
                <w:color w:val="auto"/>
              </w:rPr>
            </w:pPr>
            <w:r>
              <w:rPr>
                <w:rFonts w:ascii="Arial" w:cs="Arial" w:eastAsia="Arial" w:hAnsi="Arial"/>
                <w:sz w:val="14"/>
                <w:szCs w:val="14"/>
                <w:b w:val="1"/>
                <w:bCs w:val="1"/>
                <w:color w:val="auto"/>
              </w:rPr>
              <w:t>For the Years Ended December 31,</w:t>
            </w:r>
          </w:p>
        </w:tc>
        <w:tc>
          <w:tcPr>
            <w:tcW w:w="1080" w:type="dxa"/>
            <w:vAlign w:val="bottom"/>
            <w:tcBorders>
              <w:bottom w:val="single" w:sz="8" w:color="auto"/>
            </w:tcBorders>
          </w:tcPr>
          <w:p>
            <w:pPr>
              <w:spacing w:after="0"/>
              <w:rPr>
                <w:sz w:val="15"/>
                <w:szCs w:val="15"/>
                <w:color w:val="auto"/>
              </w:rPr>
            </w:pPr>
          </w:p>
        </w:tc>
      </w:tr>
      <w:tr>
        <w:trPr>
          <w:trHeight w:val="248"/>
        </w:trPr>
        <w:tc>
          <w:tcPr>
            <w:tcW w:w="4860" w:type="dxa"/>
            <w:vAlign w:val="bottom"/>
            <w:tcBorders>
              <w:bottom w:val="single" w:sz="8" w:color="CCEEFF"/>
            </w:tcBorders>
          </w:tcPr>
          <w:p>
            <w:pPr>
              <w:spacing w:after="0"/>
              <w:rPr>
                <w:sz w:val="21"/>
                <w:szCs w:val="21"/>
                <w:color w:val="auto"/>
              </w:rPr>
            </w:pPr>
          </w:p>
        </w:tc>
        <w:tc>
          <w:tcPr>
            <w:tcW w:w="18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2017</w:t>
            </w:r>
          </w:p>
        </w:tc>
      </w:tr>
      <w:tr>
        <w:trPr>
          <w:trHeight w:val="233"/>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January 1</w:t>
            </w:r>
          </w:p>
        </w:tc>
        <w:tc>
          <w:tcPr>
            <w:tcW w:w="2840" w:type="dxa"/>
            <w:vAlign w:val="bottom"/>
            <w:tcBorders>
              <w:bottom w:val="single" w:sz="8" w:color="CCEEFF"/>
            </w:tcBorders>
            <w:gridSpan w:val="2"/>
            <w:shd w:val="clear" w:color="auto" w:fill="CCEEFF"/>
          </w:tcPr>
          <w:p>
            <w:pPr>
              <w:jc w:val="right"/>
              <w:ind w:right="772"/>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926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1,138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846</w:t>
            </w: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a prior year</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151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66</w:t>
            </w: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decrease for tax positions taken during a prior year</w:t>
            </w:r>
          </w:p>
        </w:tc>
        <w:tc>
          <w:tcPr>
            <w:tcW w:w="18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Gross increase for tax positions taken during the current year</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ind w:right="37"/>
              <w:spacing w:after="0"/>
              <w:rPr>
                <w:sz w:val="20"/>
                <w:szCs w:val="20"/>
                <w:color w:val="auto"/>
              </w:rPr>
            </w:pPr>
            <w:r>
              <w:rPr>
                <w:rFonts w:ascii="Arial" w:cs="Arial" w:eastAsia="Arial" w:hAnsi="Arial"/>
                <w:sz w:val="17"/>
                <w:szCs w:val="17"/>
                <w:color w:val="auto"/>
              </w:rPr>
              <w:t>291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229</w:t>
            </w:r>
          </w:p>
        </w:tc>
      </w:tr>
      <w:tr>
        <w:trPr>
          <w:trHeight w:val="27"/>
        </w:trPr>
        <w:tc>
          <w:tcPr>
            <w:tcW w:w="48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5"/>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Settlement with taxing authorities</w:t>
            </w:r>
          </w:p>
        </w:tc>
        <w:tc>
          <w:tcPr>
            <w:tcW w:w="18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8"/>
        </w:trPr>
        <w:tc>
          <w:tcPr>
            <w:tcW w:w="4860" w:type="dxa"/>
            <w:vAlign w:val="bottom"/>
          </w:tcPr>
          <w:p>
            <w:pPr>
              <w:ind w:left="20"/>
              <w:spacing w:after="0"/>
              <w:rPr>
                <w:sz w:val="20"/>
                <w:szCs w:val="20"/>
                <w:color w:val="auto"/>
              </w:rPr>
            </w:pPr>
            <w:r>
              <w:rPr>
                <w:rFonts w:ascii="Arial" w:cs="Arial" w:eastAsia="Arial" w:hAnsi="Arial"/>
                <w:sz w:val="17"/>
                <w:szCs w:val="17"/>
                <w:color w:val="auto"/>
              </w:rPr>
              <w:t>Lapse of statute of limitations</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6"/>
        </w:trPr>
        <w:tc>
          <w:tcPr>
            <w:tcW w:w="486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1"/>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Unrecognized tax benefits balance at December 31</w:t>
            </w:r>
          </w:p>
        </w:tc>
        <w:tc>
          <w:tcPr>
            <w:tcW w:w="2840" w:type="dxa"/>
            <w:vAlign w:val="bottom"/>
            <w:gridSpan w:val="2"/>
            <w:shd w:val="clear" w:color="auto" w:fill="CCEEFF"/>
          </w:tcPr>
          <w:p>
            <w:pPr>
              <w:jc w:val="right"/>
              <w:ind w:right="772"/>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8"/>
              </w:rPr>
              <w:t>1,037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926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1,138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800"/>
        </w:trPr>
        <w:tc>
          <w:tcPr>
            <w:tcW w:w="4860" w:type="dxa"/>
            <w:vAlign w:val="bottom"/>
          </w:tcPr>
          <w:p>
            <w:pPr>
              <w:spacing w:after="0"/>
              <w:rPr>
                <w:sz w:val="24"/>
                <w:szCs w:val="24"/>
                <w:color w:val="auto"/>
              </w:rPr>
            </w:pPr>
          </w:p>
        </w:tc>
        <w:tc>
          <w:tcPr>
            <w:tcW w:w="2840" w:type="dxa"/>
            <w:vAlign w:val="bottom"/>
            <w:gridSpan w:val="2"/>
          </w:tcPr>
          <w:p>
            <w:pPr>
              <w:jc w:val="right"/>
              <w:ind w:right="1752"/>
              <w:spacing w:after="0"/>
              <w:rPr>
                <w:sz w:val="20"/>
                <w:szCs w:val="20"/>
                <w:color w:val="auto"/>
              </w:rPr>
            </w:pPr>
            <w:r>
              <w:rPr>
                <w:rFonts w:ascii="Arial" w:cs="Arial" w:eastAsia="Arial" w:hAnsi="Arial"/>
                <w:sz w:val="17"/>
                <w:szCs w:val="17"/>
                <w:color w:val="auto"/>
              </w:rPr>
              <w:t>F-51</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jc w:val="both"/>
        <w:ind w:right="360" w:firstLine="408"/>
        <w:spacing w:after="0" w:line="262" w:lineRule="auto"/>
        <w:rPr>
          <w:sz w:val="20"/>
          <w:szCs w:val="20"/>
          <w:color w:val="auto"/>
        </w:rPr>
      </w:pPr>
      <w:r>
        <w:rPr>
          <w:rFonts w:ascii="Arial" w:cs="Arial" w:eastAsia="Arial" w:hAnsi="Arial"/>
          <w:sz w:val="17"/>
          <w:szCs w:val="17"/>
          <w:color w:val="auto"/>
        </w:rPr>
        <w:t>As of December 31, 2019, 2018, and 2017, we had approximately $72 million, $87 million, and $121 million, respectively, of accrued interest and penalties related to uncertain tax positions. For the years ended December 31, 2019, 2018, and 2017, we recorded $14 million, $11 million, and $28 million, respectively, of interest expense related to uncertain tax positions.</w:t>
      </w:r>
    </w:p>
    <w:p>
      <w:pPr>
        <w:spacing w:after="0" w:line="176" w:lineRule="exact"/>
        <w:rPr>
          <w:sz w:val="20"/>
          <w:szCs w:val="20"/>
          <w:color w:val="auto"/>
        </w:rPr>
      </w:pPr>
    </w:p>
    <w:p>
      <w:pPr>
        <w:ind w:right="40" w:firstLine="382"/>
        <w:spacing w:after="0" w:line="313" w:lineRule="auto"/>
        <w:rPr>
          <w:sz w:val="20"/>
          <w:szCs w:val="20"/>
          <w:color w:val="auto"/>
        </w:rPr>
      </w:pPr>
      <w:r>
        <w:rPr>
          <w:rFonts w:ascii="Arial" w:cs="Arial" w:eastAsia="Arial" w:hAnsi="Arial"/>
          <w:sz w:val="15"/>
          <w:szCs w:val="15"/>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Computation of Basic/Diluted Earnings Per Common Share</w:t>
      </w:r>
    </w:p>
    <w:p>
      <w:pPr>
        <w:spacing w:after="0" w:line="2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sets forth the computation of basic and diluted earnings per common share (amounts in millions,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720" w:type="dxa"/>
            <w:vAlign w:val="bottom"/>
            <w:gridSpan w:val="6"/>
          </w:tcPr>
          <w:p>
            <w:pPr>
              <w:jc w:val="right"/>
              <w:spacing w:after="0"/>
              <w:rPr>
                <w:sz w:val="20"/>
                <w:szCs w:val="20"/>
                <w:color w:val="auto"/>
              </w:rPr>
            </w:pPr>
            <w:r>
              <w:rPr>
                <w:rFonts w:ascii="Arial" w:cs="Arial" w:eastAsia="Arial" w:hAnsi="Arial"/>
                <w:sz w:val="17"/>
                <w:szCs w:val="17"/>
                <w:b w:val="1"/>
                <w:bCs w:val="1"/>
                <w:color w:val="auto"/>
                <w:w w:val="93"/>
              </w:rPr>
              <w:t>For the Years Ended December 31,</w:t>
            </w:r>
          </w:p>
        </w:tc>
        <w:tc>
          <w:tcPr>
            <w:tcW w:w="980" w:type="dxa"/>
            <w:vAlign w:val="bottom"/>
          </w:tcPr>
          <w:p>
            <w:pPr>
              <w:spacing w:after="0"/>
              <w:rPr>
                <w:sz w:val="19"/>
                <w:szCs w:val="19"/>
                <w:color w:val="auto"/>
              </w:rPr>
            </w:pPr>
          </w:p>
        </w:tc>
      </w:tr>
      <w:tr>
        <w:trPr>
          <w:trHeight w:val="26"/>
        </w:trPr>
        <w:tc>
          <w:tcPr>
            <w:tcW w:w="67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7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2019</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9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Consolidated net income</w:t>
            </w:r>
          </w:p>
        </w:tc>
        <w:tc>
          <w:tcPr>
            <w:tcW w:w="980" w:type="dxa"/>
            <w:vAlign w:val="bottom"/>
          </w:tcPr>
          <w:p>
            <w:pPr>
              <w:jc w:val="right"/>
              <w:ind w:right="77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w w:val="93"/>
              </w:rPr>
              <w:t>1,503</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1,848</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273</w:t>
            </w: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06"/>
        </w:trPr>
        <w:tc>
          <w:tcPr>
            <w:tcW w:w="67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28"/>
        </w:trPr>
        <w:tc>
          <w:tcPr>
            <w:tcW w:w="674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7"/>
        </w:trPr>
        <w:tc>
          <w:tcPr>
            <w:tcW w:w="674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Denominator for basic earnings per common share—weighted-average common shares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2"/>
        </w:trPr>
        <w:tc>
          <w:tcPr>
            <w:tcW w:w="67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outstanding</w:t>
            </w:r>
          </w:p>
        </w:tc>
        <w:tc>
          <w:tcPr>
            <w:tcW w:w="9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767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754</w:t>
            </w: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Effect of dilutive stock options and awards under the treasury stock method</w:t>
            </w:r>
          </w:p>
        </w:tc>
        <w:tc>
          <w:tcPr>
            <w:tcW w:w="98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12</w:t>
            </w:r>
          </w:p>
        </w:tc>
      </w:tr>
      <w:tr>
        <w:trPr>
          <w:trHeight w:val="27"/>
        </w:trPr>
        <w:tc>
          <w:tcPr>
            <w:tcW w:w="6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7"/>
        </w:trPr>
        <w:tc>
          <w:tcPr>
            <w:tcW w:w="67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9"/>
              </w:rPr>
              <w:t>Denominator for diluted earnings per common share—weighted-average common shares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2"/>
        </w:trPr>
        <w:tc>
          <w:tcPr>
            <w:tcW w:w="6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outstanding plus dilutive common shares under the treasury stock method</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766</w:t>
            </w:r>
          </w:p>
        </w:tc>
      </w:tr>
      <w:tr>
        <w:trPr>
          <w:trHeight w:val="281"/>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Basic earnings per common share</w:t>
            </w:r>
          </w:p>
        </w:tc>
        <w:tc>
          <w:tcPr>
            <w:tcW w:w="980" w:type="dxa"/>
            <w:vAlign w:val="bottom"/>
            <w:tcBorders>
              <w:top w:val="single" w:sz="8" w:color="auto"/>
              <w:bottom w:val="single" w:sz="8" w:color="auto"/>
            </w:tcBorders>
          </w:tcPr>
          <w:p>
            <w:pPr>
              <w:jc w:val="right"/>
              <w:ind w:right="775"/>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1.96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0.36</w:t>
            </w:r>
          </w:p>
        </w:tc>
      </w:tr>
      <w:tr>
        <w:trPr>
          <w:trHeight w:val="233"/>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earnings per common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0.36</w:t>
            </w:r>
          </w:p>
        </w:tc>
      </w:tr>
      <w:tr>
        <w:trPr>
          <w:trHeight w:val="20"/>
        </w:trPr>
        <w:tc>
          <w:tcPr>
            <w:tcW w:w="6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160" w:firstLine="382"/>
        <w:spacing w:after="0" w:line="258" w:lineRule="auto"/>
        <w:rPr>
          <w:sz w:val="20"/>
          <w:szCs w:val="20"/>
          <w:color w:val="auto"/>
        </w:rPr>
      </w:pPr>
      <w:r>
        <w:rPr>
          <w:rFonts w:ascii="Arial" w:cs="Arial" w:eastAsia="Arial" w:hAnsi="Arial"/>
          <w:sz w:val="17"/>
          <w:szCs w:val="17"/>
          <w:color w:val="auto"/>
        </w:rPr>
        <w:t>The vesting of certain of our employee-related restricted stock units and options is contingent upon the satisfaction of pre-defined performance measures. The shares underlying these equity awards are included in the weighted-average dilutive common shares only if the performance measures are met as of the end of the reporting period. Additionally, potential common shares are not included in the denominator of the diluted earnings per common share calculation when the inclusion of such shares would be anti-dilutive.</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Weighted-average shares excluded from the computation of diluted earnings per share were as follows (amounts in millions):</w:t>
      </w:r>
    </w:p>
    <w:p>
      <w:pPr>
        <w:spacing w:after="0" w:line="362" w:lineRule="exact"/>
        <w:rPr>
          <w:sz w:val="20"/>
          <w:szCs w:val="20"/>
          <w:color w:val="auto"/>
        </w:rPr>
      </w:pPr>
    </w:p>
    <w:p>
      <w:pPr>
        <w:ind w:left="7540"/>
        <w:spacing w:after="0"/>
        <w:rPr>
          <w:sz w:val="20"/>
          <w:szCs w:val="20"/>
          <w:color w:val="auto"/>
        </w:rPr>
      </w:pPr>
      <w:r>
        <w:rPr>
          <w:rFonts w:ascii="Arial" w:cs="Arial" w:eastAsia="Arial" w:hAnsi="Arial"/>
          <w:sz w:val="17"/>
          <w:szCs w:val="17"/>
          <w:b w:val="1"/>
          <w:bCs w:val="1"/>
          <w:color w:val="auto"/>
        </w:rPr>
        <w:t>For the 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711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6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2019</w:t>
            </w:r>
          </w:p>
        </w:tc>
        <w:tc>
          <w:tcPr>
            <w:tcW w:w="160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2018</w:t>
            </w:r>
          </w:p>
        </w:tc>
        <w:tc>
          <w:tcPr>
            <w:tcW w:w="660" w:type="dxa"/>
            <w:vAlign w:val="bottom"/>
          </w:tcPr>
          <w:p>
            <w:pPr>
              <w:spacing w:after="0"/>
              <w:rPr>
                <w:sz w:val="19"/>
                <w:szCs w:val="19"/>
                <w:color w:val="auto"/>
              </w:rPr>
            </w:pPr>
          </w:p>
        </w:tc>
        <w:tc>
          <w:tcPr>
            <w:tcW w:w="130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Restricted stock units and options with performance measures not yet met</w:t>
            </w:r>
          </w:p>
        </w:tc>
        <w:tc>
          <w:tcPr>
            <w:tcW w:w="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7"/>
                <w:szCs w:val="17"/>
                <w:color w:val="auto"/>
              </w:rPr>
              <w:t>4</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Anti-dilutive employee stock options</w:t>
            </w:r>
          </w:p>
        </w:tc>
        <w:tc>
          <w:tcPr>
            <w:tcW w:w="380" w:type="dxa"/>
            <w:vAlign w:val="bottom"/>
          </w:tcPr>
          <w:p>
            <w:pPr>
              <w:jc w:val="right"/>
              <w:ind w:right="35"/>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jc w:val="right"/>
              <w:ind w:right="295"/>
              <w:spacing w:after="0"/>
              <w:rPr>
                <w:sz w:val="20"/>
                <w:szCs w:val="20"/>
                <w:color w:val="auto"/>
              </w:rPr>
            </w:pPr>
            <w:r>
              <w:rPr>
                <w:rFonts w:ascii="Arial" w:cs="Arial" w:eastAsia="Arial" w:hAnsi="Arial"/>
                <w:sz w:val="17"/>
                <w:szCs w:val="17"/>
                <w:color w:val="auto"/>
              </w:rPr>
              <w:t>3</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w:t>
            </w:r>
          </w:p>
        </w:tc>
      </w:tr>
      <w:tr>
        <w:trPr>
          <w:trHeight w:val="841"/>
        </w:trPr>
        <w:tc>
          <w:tcPr>
            <w:tcW w:w="7860" w:type="dxa"/>
            <w:vAlign w:val="bottom"/>
            <w:gridSpan w:val="2"/>
          </w:tcPr>
          <w:p>
            <w:pPr>
              <w:ind w:left="5560"/>
              <w:spacing w:after="0"/>
              <w:rPr>
                <w:sz w:val="20"/>
                <w:szCs w:val="20"/>
                <w:color w:val="auto"/>
              </w:rPr>
            </w:pPr>
            <w:r>
              <w:rPr>
                <w:rFonts w:ascii="Arial" w:cs="Arial" w:eastAsia="Arial" w:hAnsi="Arial"/>
                <w:sz w:val="17"/>
                <w:szCs w:val="17"/>
                <w:color w:val="auto"/>
              </w:rPr>
              <w:t>F-52</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Capital Transactions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Programs</w:t>
      </w:r>
    </w:p>
    <w:p>
      <w:pPr>
        <w:spacing w:after="0" w:line="213" w:lineRule="exact"/>
        <w:rPr>
          <w:sz w:val="20"/>
          <w:szCs w:val="20"/>
          <w:color w:val="auto"/>
        </w:rPr>
      </w:pPr>
    </w:p>
    <w:p>
      <w:pPr>
        <w:ind w:right="100" w:firstLine="382"/>
        <w:spacing w:after="0" w:line="262" w:lineRule="auto"/>
        <w:rPr>
          <w:sz w:val="20"/>
          <w:szCs w:val="20"/>
          <w:color w:val="auto"/>
        </w:rPr>
      </w:pPr>
      <w:r>
        <w:rPr>
          <w:rFonts w:ascii="Arial" w:cs="Arial" w:eastAsia="Arial" w:hAnsi="Arial"/>
          <w:sz w:val="17"/>
          <w:szCs w:val="17"/>
          <w:color w:val="auto"/>
        </w:rPr>
        <w:t>On January 31, 2019, our Board of Directors authorized a stock repurchase program under which we are authorized to repurchase up to $1.5 billion of our common stock from February 14, 2019 until the earlier of February 13, 2021 and a determination by the Board of Directors to discontinue the repurchase program. As of December 31, 2019, we have not repurchased any shares under this program.</w:t>
      </w:r>
    </w:p>
    <w:p>
      <w:pPr>
        <w:spacing w:after="0" w:line="176" w:lineRule="exact"/>
        <w:rPr>
          <w:sz w:val="20"/>
          <w:szCs w:val="20"/>
          <w:color w:val="auto"/>
        </w:rPr>
      </w:pPr>
    </w:p>
    <w:p>
      <w:pPr>
        <w:ind w:right="540" w:firstLine="408"/>
        <w:spacing w:after="0" w:line="274" w:lineRule="auto"/>
        <w:rPr>
          <w:sz w:val="20"/>
          <w:szCs w:val="20"/>
          <w:color w:val="auto"/>
        </w:rPr>
      </w:pPr>
      <w:r>
        <w:rPr>
          <w:rFonts w:ascii="Arial" w:cs="Arial" w:eastAsia="Arial" w:hAnsi="Arial"/>
          <w:sz w:val="17"/>
          <w:szCs w:val="17"/>
          <w:color w:val="auto"/>
        </w:rPr>
        <w:t>On February 2, 2017, our Board of Directors authorized a stock repurchase program under which we were authorized to repurchase up to $1 billion of our common stock from February 13, 2017 through February 12, 2019. We did not repurchase any shares under this program.</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Dividends</w:t>
      </w:r>
    </w:p>
    <w:p>
      <w:pPr>
        <w:spacing w:after="0" w:line="213" w:lineRule="exact"/>
        <w:rPr>
          <w:sz w:val="20"/>
          <w:szCs w:val="20"/>
          <w:color w:val="auto"/>
        </w:rPr>
      </w:pPr>
    </w:p>
    <w:p>
      <w:pPr>
        <w:ind w:right="140" w:firstLine="408"/>
        <w:spacing w:after="0" w:line="274" w:lineRule="auto"/>
        <w:rPr>
          <w:sz w:val="20"/>
          <w:szCs w:val="20"/>
          <w:color w:val="auto"/>
        </w:rPr>
      </w:pPr>
      <w:r>
        <w:rPr>
          <w:rFonts w:ascii="Arial" w:cs="Arial" w:eastAsia="Arial" w:hAnsi="Arial"/>
          <w:sz w:val="17"/>
          <w:szCs w:val="17"/>
          <w:color w:val="auto"/>
        </w:rPr>
        <w:t>On February 6, 2020, our Board of Directors declared a cash dividend of $0.41 per common share. Such dividend is payable on May 6, 2020, to shareholders of record at the close of business on April 15, 2020.</w:t>
      </w:r>
    </w:p>
    <w:p>
      <w:pPr>
        <w:spacing w:after="0" w:line="166" w:lineRule="exact"/>
        <w:rPr>
          <w:sz w:val="20"/>
          <w:szCs w:val="20"/>
          <w:color w:val="auto"/>
        </w:rPr>
      </w:pPr>
    </w:p>
    <w:p>
      <w:pPr>
        <w:ind w:right="480" w:firstLine="408"/>
        <w:spacing w:after="0" w:line="274" w:lineRule="auto"/>
        <w:rPr>
          <w:sz w:val="20"/>
          <w:szCs w:val="20"/>
          <w:color w:val="auto"/>
        </w:rPr>
      </w:pPr>
      <w:r>
        <w:rPr>
          <w:rFonts w:ascii="Arial" w:cs="Arial" w:eastAsia="Arial" w:hAnsi="Arial"/>
          <w:sz w:val="17"/>
          <w:szCs w:val="17"/>
          <w:color w:val="auto"/>
        </w:rPr>
        <w:t>On February 12, 2019, our Board of Directors declared a cash dividend of $0.37 per common share. On May 9, 2019, we made an aggregate cash dividend payment of $283 million to shareholders of record at the close of business on March 28, 2019.</w:t>
      </w:r>
    </w:p>
    <w:p>
      <w:pPr>
        <w:spacing w:after="0" w:line="166" w:lineRule="exact"/>
        <w:rPr>
          <w:sz w:val="20"/>
          <w:szCs w:val="20"/>
          <w:color w:val="auto"/>
        </w:rPr>
      </w:pPr>
    </w:p>
    <w:p>
      <w:pPr>
        <w:ind w:right="560" w:firstLine="408"/>
        <w:spacing w:after="0" w:line="274" w:lineRule="auto"/>
        <w:rPr>
          <w:sz w:val="20"/>
          <w:szCs w:val="20"/>
          <w:color w:val="auto"/>
        </w:rPr>
      </w:pPr>
      <w:r>
        <w:rPr>
          <w:rFonts w:ascii="Arial" w:cs="Arial" w:eastAsia="Arial" w:hAnsi="Arial"/>
          <w:sz w:val="17"/>
          <w:szCs w:val="17"/>
          <w:color w:val="auto"/>
        </w:rPr>
        <w:t>On February 8, 2018, our Board of Directors declared a cash dividend of $0.34 per common share. On May 9, 2018, we made an aggregate cash dividend payment of $259 million to shareholders of record at the close of business on March 30, 2018.</w:t>
      </w:r>
    </w:p>
    <w:p>
      <w:pPr>
        <w:spacing w:after="0" w:line="166" w:lineRule="exact"/>
        <w:rPr>
          <w:sz w:val="20"/>
          <w:szCs w:val="20"/>
          <w:color w:val="auto"/>
        </w:rPr>
      </w:pPr>
    </w:p>
    <w:p>
      <w:pPr>
        <w:ind w:firstLine="408"/>
        <w:spacing w:after="0" w:line="262" w:lineRule="auto"/>
        <w:rPr>
          <w:sz w:val="20"/>
          <w:szCs w:val="20"/>
          <w:color w:val="auto"/>
        </w:rPr>
      </w:pPr>
      <w:r>
        <w:rPr>
          <w:rFonts w:ascii="Arial" w:cs="Arial" w:eastAsia="Arial" w:hAnsi="Arial"/>
          <w:sz w:val="17"/>
          <w:szCs w:val="17"/>
          <w:color w:val="auto"/>
        </w:rPr>
        <w:t>On February 9, 2017, our Board of Directors declared a cash dividend of $0.30 per common share. On May 10, 2017, we made an aggregate cash dividend payment of $226 million to shareholders of record at the close of business on March 30, 2017. On May 26, 2017, we made related dividend equivalent payments of less than $1 million to certain holders of restricted stock units.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Supplemental Cash Flow Information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40" w:type="dxa"/>
            <w:vAlign w:val="bottom"/>
          </w:tcPr>
          <w:p>
            <w:pPr>
              <w:ind w:left="420"/>
              <w:spacing w:after="0"/>
              <w:rPr>
                <w:sz w:val="20"/>
                <w:szCs w:val="20"/>
                <w:color w:val="auto"/>
              </w:rPr>
            </w:pPr>
            <w:r>
              <w:rPr>
                <w:rFonts w:ascii="Arial" w:cs="Arial" w:eastAsia="Arial" w:hAnsi="Arial"/>
                <w:sz w:val="17"/>
                <w:szCs w:val="17"/>
                <w:color w:val="auto"/>
              </w:rPr>
              <w:t>Supplemental cash flow information is as follows (amounts in millions):</w:t>
            </w: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561"/>
        </w:trPr>
        <w:tc>
          <w:tcPr>
            <w:tcW w:w="6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80" w:type="dxa"/>
            <w:vAlign w:val="bottom"/>
            <w:gridSpan w:val="6"/>
          </w:tcPr>
          <w:p>
            <w:pPr>
              <w:jc w:val="right"/>
              <w:spacing w:after="0"/>
              <w:rPr>
                <w:sz w:val="20"/>
                <w:szCs w:val="20"/>
                <w:color w:val="auto"/>
              </w:rPr>
            </w:pPr>
            <w:r>
              <w:rPr>
                <w:rFonts w:ascii="Arial" w:cs="Arial" w:eastAsia="Arial" w:hAnsi="Arial"/>
                <w:sz w:val="17"/>
                <w:szCs w:val="17"/>
                <w:b w:val="1"/>
                <w:bCs w:val="1"/>
                <w:color w:val="auto"/>
                <w:w w:val="91"/>
              </w:rPr>
              <w:t>For the Years Ended December 31,</w:t>
            </w:r>
          </w:p>
        </w:tc>
        <w:tc>
          <w:tcPr>
            <w:tcW w:w="980" w:type="dxa"/>
            <w:vAlign w:val="bottom"/>
          </w:tcPr>
          <w:p>
            <w:pPr>
              <w:spacing w:after="0"/>
              <w:rPr>
                <w:sz w:val="24"/>
                <w:szCs w:val="24"/>
                <w:color w:val="auto"/>
              </w:rPr>
            </w:pPr>
          </w:p>
        </w:tc>
      </w:tr>
      <w:tr>
        <w:trPr>
          <w:trHeight w:val="26"/>
        </w:trPr>
        <w:tc>
          <w:tcPr>
            <w:tcW w:w="6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1"/>
        </w:trPr>
        <w:tc>
          <w:tcPr>
            <w:tcW w:w="6740" w:type="dxa"/>
            <w:vAlign w:val="bottom"/>
          </w:tcPr>
          <w:p>
            <w:pPr>
              <w:spacing w:after="0"/>
              <w:rPr>
                <w:sz w:val="19"/>
                <w:szCs w:val="19"/>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b w:val="1"/>
                <w:bCs w:val="1"/>
                <w:color w:val="auto"/>
              </w:rPr>
              <w:t>2019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67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Supplemental cash flow information:</w:t>
            </w:r>
          </w:p>
        </w:tc>
        <w:tc>
          <w:tcPr>
            <w:tcW w:w="10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r>
      <w:tr>
        <w:trPr>
          <w:trHeight w:val="228"/>
        </w:trPr>
        <w:tc>
          <w:tcPr>
            <w:tcW w:w="6740" w:type="dxa"/>
            <w:vAlign w:val="bottom"/>
          </w:tcPr>
          <w:p>
            <w:pPr>
              <w:ind w:left="160"/>
              <w:spacing w:after="0"/>
              <w:rPr>
                <w:sz w:val="20"/>
                <w:szCs w:val="20"/>
                <w:color w:val="auto"/>
              </w:rPr>
            </w:pPr>
            <w:r>
              <w:rPr>
                <w:rFonts w:ascii="Arial" w:cs="Arial" w:eastAsia="Arial" w:hAnsi="Arial"/>
                <w:sz w:val="17"/>
                <w:szCs w:val="17"/>
                <w:color w:val="auto"/>
              </w:rPr>
              <w:t>Cash paid for income taxes, net of refunds</w:t>
            </w:r>
          </w:p>
        </w:tc>
        <w:tc>
          <w:tcPr>
            <w:tcW w:w="1020" w:type="dxa"/>
            <w:vAlign w:val="bottom"/>
          </w:tcPr>
          <w:p>
            <w:pPr>
              <w:jc w:val="right"/>
              <w:ind w:right="81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5"/>
              <w:spacing w:after="0"/>
              <w:rPr>
                <w:sz w:val="20"/>
                <w:szCs w:val="20"/>
                <w:color w:val="auto"/>
              </w:rPr>
            </w:pPr>
            <w:r>
              <w:rPr>
                <w:rFonts w:ascii="Arial" w:cs="Arial" w:eastAsia="Arial" w:hAnsi="Arial"/>
                <w:sz w:val="17"/>
                <w:szCs w:val="17"/>
                <w:color w:val="auto"/>
              </w:rPr>
              <w:t>319</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rPr>
                <w:sz w:val="20"/>
                <w:szCs w:val="20"/>
                <w:color w:val="auto"/>
              </w:rPr>
            </w:pPr>
            <w:r>
              <w:rPr>
                <w:rFonts w:ascii="Arial" w:cs="Arial" w:eastAsia="Arial" w:hAnsi="Arial"/>
                <w:sz w:val="17"/>
                <w:szCs w:val="17"/>
                <w:color w:val="auto"/>
              </w:rPr>
              <w:t>176</w:t>
            </w:r>
          </w:p>
        </w:tc>
      </w:tr>
      <w:tr>
        <w:trPr>
          <w:trHeight w:val="26"/>
        </w:trPr>
        <w:tc>
          <w:tcPr>
            <w:tcW w:w="6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6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paid for interest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145</w:t>
            </w:r>
          </w:p>
        </w:tc>
      </w:tr>
      <w:tr>
        <w:trPr>
          <w:trHeight w:val="26"/>
        </w:trPr>
        <w:tc>
          <w:tcPr>
            <w:tcW w:w="67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396" w:lineRule="exact"/>
        <w:rPr>
          <w:sz w:val="20"/>
          <w:szCs w:val="20"/>
          <w:color w:val="auto"/>
        </w:rPr>
      </w:pPr>
    </w:p>
    <w:p>
      <w:pPr>
        <w:ind w:right="580" w:firstLine="408"/>
        <w:spacing w:after="0" w:line="274" w:lineRule="auto"/>
        <w:rPr>
          <w:sz w:val="20"/>
          <w:szCs w:val="20"/>
          <w:color w:val="auto"/>
        </w:rPr>
      </w:pPr>
      <w:r>
        <w:rPr>
          <w:rFonts w:ascii="Arial" w:cs="Arial" w:eastAsia="Arial" w:hAnsi="Arial"/>
          <w:sz w:val="17"/>
          <w:szCs w:val="17"/>
          <w:color w:val="auto"/>
        </w:rPr>
        <w:t>The beginning and ending cash and cash equivalents and restricted cash reported within our consolidated statement of cash flows included restricted cash amounts as follows (amounts in millions):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6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ind w:left="20"/>
              <w:spacing w:after="0"/>
              <w:rPr>
                <w:sz w:val="20"/>
                <w:szCs w:val="20"/>
                <w:color w:val="auto"/>
              </w:rPr>
            </w:pPr>
            <w:r>
              <w:rPr>
                <w:rFonts w:ascii="Arial" w:cs="Arial" w:eastAsia="Arial" w:hAnsi="Arial"/>
                <w:sz w:val="17"/>
                <w:szCs w:val="17"/>
                <w:b w:val="1"/>
                <w:bCs w:val="1"/>
                <w:color w:val="auto"/>
              </w:rPr>
              <w:t>At December 31,</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
        </w:trPr>
        <w:tc>
          <w:tcPr>
            <w:tcW w:w="366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1"/>
        </w:trPr>
        <w:tc>
          <w:tcPr>
            <w:tcW w:w="3660" w:type="dxa"/>
            <w:vAlign w:val="bottom"/>
          </w:tcPr>
          <w:p>
            <w:pPr>
              <w:spacing w:after="0"/>
              <w:rPr>
                <w:sz w:val="19"/>
                <w:szCs w:val="19"/>
                <w:color w:val="auto"/>
              </w:rPr>
            </w:pPr>
          </w:p>
        </w:tc>
        <w:tc>
          <w:tcPr>
            <w:tcW w:w="420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495"/>
              <w:spacing w:after="0"/>
              <w:rPr>
                <w:sz w:val="20"/>
                <w:szCs w:val="20"/>
                <w:color w:val="auto"/>
              </w:rPr>
            </w:pPr>
            <w:r>
              <w:rPr>
                <w:rFonts w:ascii="Arial" w:cs="Arial" w:eastAsia="Arial" w:hAnsi="Arial"/>
                <w:sz w:val="17"/>
                <w:szCs w:val="17"/>
                <w:b w:val="1"/>
                <w:bCs w:val="1"/>
                <w:color w:val="auto"/>
              </w:rPr>
              <w:t>2018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7"/>
        </w:trPr>
        <w:tc>
          <w:tcPr>
            <w:tcW w:w="366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Beginning restricted cash</w:t>
            </w:r>
          </w:p>
        </w:tc>
        <w:tc>
          <w:tcPr>
            <w:tcW w:w="4200" w:type="dxa"/>
            <w:vAlign w:val="bottom"/>
            <w:tcBorders>
              <w:bottom w:val="single" w:sz="8" w:color="CCEEFF"/>
            </w:tcBorders>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w:t>
            </w:r>
          </w:p>
        </w:tc>
      </w:tr>
      <w:tr>
        <w:trPr>
          <w:trHeight w:val="229"/>
        </w:trPr>
        <w:tc>
          <w:tcPr>
            <w:tcW w:w="3660" w:type="dxa"/>
            <w:vAlign w:val="bottom"/>
          </w:tcPr>
          <w:p>
            <w:pPr>
              <w:ind w:left="20"/>
              <w:spacing w:after="0"/>
              <w:rPr>
                <w:sz w:val="20"/>
                <w:szCs w:val="20"/>
                <w:color w:val="auto"/>
              </w:rPr>
            </w:pPr>
            <w:r>
              <w:rPr>
                <w:rFonts w:ascii="Arial" w:cs="Arial" w:eastAsia="Arial" w:hAnsi="Arial"/>
                <w:sz w:val="17"/>
                <w:szCs w:val="17"/>
                <w:color w:val="auto"/>
              </w:rPr>
              <w:t>Ending restricted cash</w:t>
            </w:r>
          </w:p>
        </w:tc>
        <w:tc>
          <w:tcPr>
            <w:tcW w:w="3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Arial" w:cs="Arial" w:eastAsia="Arial" w:hAnsi="Arial"/>
                <w:sz w:val="17"/>
                <w:szCs w:val="17"/>
                <w:color w:val="auto"/>
              </w:rPr>
              <w:t>7</w:t>
            </w:r>
          </w:p>
        </w:tc>
      </w:tr>
      <w:tr>
        <w:trPr>
          <w:trHeight w:val="841"/>
        </w:trPr>
        <w:tc>
          <w:tcPr>
            <w:tcW w:w="3660" w:type="dxa"/>
            <w:vAlign w:val="bottom"/>
          </w:tcPr>
          <w:p>
            <w:pPr>
              <w:spacing w:after="0"/>
              <w:rPr>
                <w:sz w:val="24"/>
                <w:szCs w:val="24"/>
                <w:color w:val="auto"/>
              </w:rPr>
            </w:pPr>
          </w:p>
        </w:tc>
        <w:tc>
          <w:tcPr>
            <w:tcW w:w="4200" w:type="dxa"/>
            <w:vAlign w:val="bottom"/>
            <w:gridSpan w:val="2"/>
          </w:tcPr>
          <w:p>
            <w:pPr>
              <w:jc w:val="right"/>
              <w:ind w:right="1980"/>
              <w:spacing w:after="0"/>
              <w:rPr>
                <w:sz w:val="20"/>
                <w:szCs w:val="20"/>
                <w:color w:val="auto"/>
              </w:rPr>
            </w:pPr>
            <w:r>
              <w:rPr>
                <w:rFonts w:ascii="Arial" w:cs="Arial" w:eastAsia="Arial" w:hAnsi="Arial"/>
                <w:sz w:val="17"/>
                <w:szCs w:val="17"/>
                <w:color w:val="auto"/>
              </w:rPr>
              <w:t>F-53</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Commitments and 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Obligations</w:t>
      </w:r>
    </w:p>
    <w:p>
      <w:pPr>
        <w:spacing w:after="0" w:line="213" w:lineRule="exact"/>
        <w:rPr>
          <w:sz w:val="20"/>
          <w:szCs w:val="20"/>
          <w:color w:val="auto"/>
        </w:rPr>
      </w:pPr>
    </w:p>
    <w:p>
      <w:pPr>
        <w:ind w:firstLine="408"/>
        <w:spacing w:after="0" w:line="272" w:lineRule="auto"/>
        <w:rPr>
          <w:sz w:val="20"/>
          <w:szCs w:val="20"/>
          <w:color w:val="auto"/>
        </w:rPr>
      </w:pPr>
      <w:r>
        <w:rPr>
          <w:rFonts w:ascii="Arial" w:cs="Arial" w:eastAsia="Arial" w:hAnsi="Arial"/>
          <w:sz w:val="16"/>
          <w:szCs w:val="16"/>
          <w:color w:val="auto"/>
        </w:rPr>
        <w:t>In the normal course of business, we enter into contractual arrangements with third parties for non-cancelable operating lease agreements for our offices, for the development of products which may include obtaining rights to intellectual property, and for hosting services to support our games and our administrative functions. Under these agreements, we commit to provide specified payments to a lessor, developer, or hosting provider, as the case may be, based upon contractual arrangements. The payments to third-party developers are generally conditioned upon the achievement by the developers of contractually specified development milestones. Further, these payments to third-party developers typically are deemed to be advances and, as such, are recoupable against future royalties earned by the developer based on sales of the related game. Assuming all contractual provisions are met, the total future minimum commitments for these and other contractual arrangements in place at December 31, 2019, are scheduled to be paid as follows (amounts in millions):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0"/>
              </w:rPr>
              <w:t>Contractual Obligations (1)</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44"/>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60"/>
              <w:spacing w:after="0" w:line="144" w:lineRule="exact"/>
              <w:rPr>
                <w:sz w:val="20"/>
                <w:szCs w:val="20"/>
                <w:color w:val="auto"/>
              </w:rPr>
            </w:pPr>
            <w:r>
              <w:rPr>
                <w:rFonts w:ascii="Arial" w:cs="Arial" w:eastAsia="Arial" w:hAnsi="Arial"/>
                <w:sz w:val="14"/>
                <w:szCs w:val="14"/>
                <w:b w:val="1"/>
                <w:bCs w:val="1"/>
                <w:color w:val="auto"/>
                <w:w w:val="90"/>
              </w:rPr>
              <w:t>Facility and</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0"/>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Equipment</w:t>
            </w: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19"/>
              <w:spacing w:after="0" w:line="141" w:lineRule="exact"/>
              <w:rPr>
                <w:sz w:val="20"/>
                <w:szCs w:val="20"/>
                <w:color w:val="auto"/>
              </w:rPr>
            </w:pPr>
            <w:r>
              <w:rPr>
                <w:rFonts w:ascii="Arial" w:cs="Arial" w:eastAsia="Arial" w:hAnsi="Arial"/>
                <w:sz w:val="14"/>
                <w:szCs w:val="14"/>
                <w:b w:val="1"/>
                <w:bCs w:val="1"/>
                <w:color w:val="auto"/>
                <w:w w:val="90"/>
              </w:rPr>
              <w:t>Long-Term Debt</w:t>
            </w:r>
          </w:p>
        </w:tc>
        <w:tc>
          <w:tcPr>
            <w:tcW w:w="4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81"/>
        </w:trPr>
        <w:tc>
          <w:tcPr>
            <w:tcW w:w="4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79"/>
              </w:rPr>
              <w:t>Leases</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Developer and Hosting</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Marketing</w:t>
            </w:r>
          </w:p>
        </w:tc>
        <w:tc>
          <w:tcPr>
            <w:tcW w:w="160" w:type="dxa"/>
            <w:vAlign w:val="bottom"/>
          </w:tcPr>
          <w:p>
            <w:pPr>
              <w:spacing w:after="0"/>
              <w:rPr>
                <w:sz w:val="15"/>
                <w:szCs w:val="15"/>
                <w:color w:val="auto"/>
              </w:rPr>
            </w:pPr>
          </w:p>
        </w:tc>
        <w:tc>
          <w:tcPr>
            <w:tcW w:w="1200" w:type="dxa"/>
            <w:vAlign w:val="bottom"/>
          </w:tcPr>
          <w:p>
            <w:pPr>
              <w:jc w:val="right"/>
              <w:ind w:right="179"/>
              <w:spacing w:after="0"/>
              <w:rPr>
                <w:sz w:val="20"/>
                <w:szCs w:val="20"/>
                <w:color w:val="auto"/>
              </w:rPr>
            </w:pPr>
            <w:r>
              <w:rPr>
                <w:rFonts w:ascii="Arial" w:cs="Arial" w:eastAsia="Arial" w:hAnsi="Arial"/>
                <w:sz w:val="14"/>
                <w:szCs w:val="14"/>
                <w:b w:val="1"/>
                <w:bCs w:val="1"/>
                <w:color w:val="auto"/>
                <w:w w:val="93"/>
              </w:rPr>
              <w:t>Obligations (2)</w:t>
            </w:r>
          </w:p>
        </w:tc>
        <w:tc>
          <w:tcPr>
            <w:tcW w:w="420" w:type="dxa"/>
            <w:vAlign w:val="bottom"/>
          </w:tcPr>
          <w:p>
            <w:pPr>
              <w:spacing w:after="0"/>
              <w:rPr>
                <w:sz w:val="15"/>
                <w:szCs w:val="15"/>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b w:val="1"/>
                <w:bCs w:val="1"/>
                <w:color w:val="auto"/>
              </w:rPr>
              <w:t>Total</w:t>
            </w:r>
          </w:p>
        </w:tc>
      </w:tr>
      <w:tr>
        <w:trPr>
          <w:trHeight w:val="233"/>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 the years ending December 31,</w:t>
            </w: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9"/>
        </w:trPr>
        <w:tc>
          <w:tcPr>
            <w:tcW w:w="4120" w:type="dxa"/>
            <w:vAlign w:val="bottom"/>
          </w:tcPr>
          <w:p>
            <w:pPr>
              <w:ind w:left="160"/>
              <w:spacing w:after="0"/>
              <w:rPr>
                <w:sz w:val="20"/>
                <w:szCs w:val="20"/>
                <w:color w:val="auto"/>
              </w:rPr>
            </w:pPr>
            <w:r>
              <w:rPr>
                <w:rFonts w:ascii="Arial" w:cs="Arial" w:eastAsia="Arial" w:hAnsi="Arial"/>
                <w:sz w:val="17"/>
                <w:szCs w:val="17"/>
                <w:color w:val="auto"/>
              </w:rPr>
              <w:t>2020</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77</w:t>
            </w:r>
          </w:p>
        </w:tc>
        <w:tc>
          <w:tcPr>
            <w:tcW w:w="120" w:type="dxa"/>
            <w:vAlign w:val="bottom"/>
          </w:tcPr>
          <w:p>
            <w:pPr>
              <w:spacing w:after="0"/>
              <w:rPr>
                <w:sz w:val="19"/>
                <w:szCs w:val="19"/>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400" w:type="dxa"/>
            <w:vAlign w:val="bottom"/>
            <w:gridSpan w:val="3"/>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86</w:t>
            </w:r>
          </w:p>
        </w:tc>
        <w:tc>
          <w:tcPr>
            <w:tcW w:w="4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218</w:t>
            </w:r>
          </w:p>
        </w:tc>
      </w:tr>
      <w:tr>
        <w:trPr>
          <w:trHeight w:val="26"/>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5"/>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736</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813</w:t>
            </w:r>
          </w:p>
        </w:tc>
      </w:tr>
      <w:tr>
        <w:trPr>
          <w:trHeight w:val="229"/>
        </w:trPr>
        <w:tc>
          <w:tcPr>
            <w:tcW w:w="4120" w:type="dxa"/>
            <w:vAlign w:val="bottom"/>
          </w:tcPr>
          <w:p>
            <w:pPr>
              <w:ind w:left="160"/>
              <w:spacing w:after="0"/>
              <w:rPr>
                <w:sz w:val="20"/>
                <w:szCs w:val="20"/>
                <w:color w:val="auto"/>
              </w:rPr>
            </w:pPr>
            <w:r>
              <w:rPr>
                <w:rFonts w:ascii="Arial" w:cs="Arial" w:eastAsia="Arial" w:hAnsi="Arial"/>
                <w:sz w:val="17"/>
                <w:szCs w:val="17"/>
                <w:color w:val="auto"/>
              </w:rPr>
              <w:t>2022</w:t>
            </w:r>
          </w:p>
        </w:tc>
        <w:tc>
          <w:tcPr>
            <w:tcW w:w="24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466</w:t>
            </w:r>
          </w:p>
        </w:tc>
        <w:tc>
          <w:tcPr>
            <w:tcW w:w="42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529</w:t>
            </w:r>
          </w:p>
        </w:tc>
      </w:tr>
      <w:tr>
        <w:trPr>
          <w:trHeight w:val="26"/>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5"/>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2023</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60</w:t>
            </w: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116</w:t>
            </w:r>
          </w:p>
        </w:tc>
      </w:tr>
      <w:tr>
        <w:trPr>
          <w:trHeight w:val="229"/>
        </w:trPr>
        <w:tc>
          <w:tcPr>
            <w:tcW w:w="4120" w:type="dxa"/>
            <w:vAlign w:val="bottom"/>
          </w:tcPr>
          <w:p>
            <w:pPr>
              <w:ind w:left="160"/>
              <w:spacing w:after="0"/>
              <w:rPr>
                <w:sz w:val="20"/>
                <w:szCs w:val="20"/>
                <w:color w:val="auto"/>
              </w:rPr>
            </w:pPr>
            <w:r>
              <w:rPr>
                <w:rFonts w:ascii="Arial" w:cs="Arial" w:eastAsia="Arial" w:hAnsi="Arial"/>
                <w:sz w:val="17"/>
                <w:szCs w:val="17"/>
                <w:color w:val="auto"/>
              </w:rPr>
              <w:t>2024</w:t>
            </w:r>
          </w:p>
        </w:tc>
        <w:tc>
          <w:tcPr>
            <w:tcW w:w="240" w:type="dxa"/>
            <w:vAlign w:val="bottom"/>
          </w:tcPr>
          <w:p>
            <w:pPr>
              <w:spacing w:after="0"/>
              <w:rPr>
                <w:sz w:val="19"/>
                <w:szCs w:val="19"/>
                <w:color w:val="auto"/>
              </w:rPr>
            </w:pPr>
          </w:p>
        </w:tc>
        <w:tc>
          <w:tcPr>
            <w:tcW w:w="1140" w:type="dxa"/>
            <w:vAlign w:val="bottom"/>
          </w:tcPr>
          <w:p>
            <w:pPr>
              <w:jc w:val="right"/>
              <w:ind w:right="20"/>
              <w:spacing w:after="0"/>
              <w:rPr>
                <w:sz w:val="20"/>
                <w:szCs w:val="20"/>
                <w:color w:val="auto"/>
              </w:rPr>
            </w:pPr>
            <w:r>
              <w:rPr>
                <w:rFonts w:ascii="Arial" w:cs="Arial" w:eastAsia="Arial" w:hAnsi="Arial"/>
                <w:sz w:val="17"/>
                <w:szCs w:val="17"/>
                <w:color w:val="auto"/>
              </w:rPr>
              <w:t>52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Arial" w:cs="Arial" w:eastAsia="Arial" w:hAnsi="Arial"/>
                <w:sz w:val="17"/>
                <w:szCs w:val="17"/>
                <w:color w:val="auto"/>
              </w:rPr>
              <w:t>60</w:t>
            </w:r>
          </w:p>
        </w:tc>
        <w:tc>
          <w:tcPr>
            <w:tcW w:w="42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112</w:t>
            </w:r>
          </w:p>
        </w:tc>
      </w:tr>
      <w:tr>
        <w:trPr>
          <w:trHeight w:val="26"/>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5"/>
        </w:trPr>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7"/>
                <w:szCs w:val="17"/>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7"/>
                <w:szCs w:val="17"/>
                <w:color w:val="auto"/>
              </w:rPr>
              <w:t>2,147</w:t>
            </w: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2,193</w:t>
            </w:r>
          </w:p>
        </w:tc>
      </w:tr>
      <w:tr>
        <w:trPr>
          <w:trHeight w:val="241"/>
        </w:trPr>
        <w:tc>
          <w:tcPr>
            <w:tcW w:w="4120" w:type="dxa"/>
            <w:vAlign w:val="bottom"/>
          </w:tcPr>
          <w:p>
            <w:pPr>
              <w:ind w:left="360"/>
              <w:spacing w:after="0"/>
              <w:rPr>
                <w:sz w:val="20"/>
                <w:szCs w:val="20"/>
                <w:color w:val="auto"/>
              </w:rPr>
            </w:pPr>
            <w:r>
              <w:rPr>
                <w:rFonts w:ascii="Arial" w:cs="Arial" w:eastAsia="Arial" w:hAnsi="Arial"/>
                <w:sz w:val="17"/>
                <w:szCs w:val="17"/>
                <w:color w:val="auto"/>
              </w:rPr>
              <w:t>Total</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7"/>
                <w:szCs w:val="17"/>
                <w:color w:val="auto"/>
              </w:rPr>
              <w:t>364</w:t>
            </w: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40" w:type="dxa"/>
            <w:vAlign w:val="bottom"/>
            <w:tcBorders>
              <w:top w:val="single" w:sz="8" w:color="auto"/>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7"/>
                <w:szCs w:val="17"/>
                <w:color w:val="auto"/>
              </w:rPr>
              <w:t>3,555</w:t>
            </w:r>
          </w:p>
        </w:tc>
        <w:tc>
          <w:tcPr>
            <w:tcW w:w="4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3,981</w:t>
            </w: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00" w:right="20" w:hanging="298"/>
        <w:spacing w:after="0" w:line="258" w:lineRule="auto"/>
        <w:tabs>
          <w:tab w:leader="none" w:pos="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2019, we had $438 million of net unrecognized tax benefits included “Other liabilities,” in our consolidated balance sheet.</w:t>
      </w:r>
    </w:p>
    <w:p>
      <w:pPr>
        <w:spacing w:after="0" w:line="179" w:lineRule="exact"/>
        <w:rPr>
          <w:rFonts w:ascii="Arial" w:cs="Arial" w:eastAsia="Arial" w:hAnsi="Arial"/>
          <w:sz w:val="17"/>
          <w:szCs w:val="17"/>
          <w:color w:val="auto"/>
        </w:rPr>
      </w:pPr>
    </w:p>
    <w:p>
      <w:pPr>
        <w:ind w:left="300" w:right="360"/>
        <w:spacing w:after="0" w:line="274" w:lineRule="auto"/>
        <w:rPr>
          <w:rFonts w:ascii="Arial" w:cs="Arial" w:eastAsia="Arial" w:hAnsi="Arial"/>
          <w:sz w:val="17"/>
          <w:szCs w:val="17"/>
          <w:color w:val="auto"/>
        </w:rPr>
      </w:pPr>
      <w:r>
        <w:rPr>
          <w:rFonts w:ascii="Arial" w:cs="Arial" w:eastAsia="Arial" w:hAnsi="Arial"/>
          <w:sz w:val="17"/>
          <w:szCs w:val="17"/>
          <w:color w:val="auto"/>
        </w:rPr>
        <w:t>Additionally, at December 31, 2019 we have a remaining net Transition Tax liability of $153 million associated with the U.S. Tax Reform Act. The remaining Transition Tax liability is payable over the next seven years and is not reflected in our Contractual Obligations table above.</w:t>
      </w:r>
    </w:p>
    <w:p>
      <w:pPr>
        <w:spacing w:after="0" w:line="165" w:lineRule="exact"/>
        <w:rPr>
          <w:rFonts w:ascii="Arial" w:cs="Arial" w:eastAsia="Arial" w:hAnsi="Arial"/>
          <w:sz w:val="17"/>
          <w:szCs w:val="17"/>
          <w:color w:val="auto"/>
        </w:rPr>
      </w:pPr>
    </w:p>
    <w:p>
      <w:pPr>
        <w:ind w:left="300" w:right="20" w:hanging="298"/>
        <w:spacing w:after="0" w:line="258" w:lineRule="auto"/>
        <w:tabs>
          <w:tab w:leader="none" w:pos="3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 xml:space="preserve">Long-term debt obligations represent our obligations related to the contractual principal repayments and interest payments under the Notes, which are subject to fixed interest rates, as of December 31, 2019. There was no outstanding balance under our Revolver as of December 31, 2019. We have calculated the expected interest obligation based on the outstanding principal balance and interest rate applicable at December 31, 2019. Refer to </w:t>
      </w:r>
      <w:hyperlink w:anchor="page97">
        <w:r>
          <w:rPr>
            <w:rFonts w:ascii="Arial" w:cs="Arial" w:eastAsia="Arial" w:hAnsi="Arial"/>
            <w:sz w:val="17"/>
            <w:szCs w:val="17"/>
            <w:u w:val="single" w:color="auto"/>
            <w:color w:val="0000EE"/>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additional information on our debt obligations.</w:t>
      </w:r>
    </w:p>
    <w:p>
      <w:pPr>
        <w:spacing w:after="0" w:line="192" w:lineRule="exact"/>
        <w:rPr>
          <w:sz w:val="20"/>
          <w:szCs w:val="20"/>
          <w:color w:val="auto"/>
        </w:rPr>
      </w:pPr>
    </w:p>
    <w:p>
      <w:pPr>
        <w:ind w:right="180" w:firstLine="382"/>
        <w:spacing w:after="0" w:line="262" w:lineRule="auto"/>
        <w:rPr>
          <w:sz w:val="20"/>
          <w:szCs w:val="20"/>
          <w:color w:val="auto"/>
        </w:rPr>
      </w:pPr>
      <w:r>
        <w:rPr>
          <w:rFonts w:ascii="Arial" w:cs="Arial" w:eastAsia="Arial" w:hAnsi="Arial"/>
          <w:sz w:val="17"/>
          <w:szCs w:val="17"/>
          <w:color w:val="auto"/>
        </w:rPr>
        <w:t>Subsequent to year-end, we entered into certain agreements, for which, under the terms, we have future minimum commitments of approximately $600 million. The commitments relate primarily to advertising and hosting services which comprise approximately 60% and 40%, respectively, of the total future minimum commitment. Payments of these commitments will be made over the next three years to four years.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1420"/>
          </w:cols>
          <w:pgMar w:left="240" w:top="127"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ACTIVISION BLIZZARD, INC. AND SUBSIDIARIES</w:t>
      </w: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213" w:lineRule="exact"/>
        <w:rPr>
          <w:sz w:val="20"/>
          <w:szCs w:val="20"/>
          <w:color w:val="auto"/>
        </w:rPr>
      </w:pPr>
    </w:p>
    <w:p>
      <w:pPr>
        <w:ind w:firstLine="382"/>
        <w:spacing w:after="0" w:line="303" w:lineRule="auto"/>
        <w:rPr>
          <w:sz w:val="20"/>
          <w:szCs w:val="20"/>
          <w:color w:val="auto"/>
        </w:rPr>
      </w:pPr>
      <w:r>
        <w:rPr>
          <w:rFonts w:ascii="Arial" w:cs="Arial" w:eastAsia="Arial" w:hAnsi="Arial"/>
          <w:sz w:val="15"/>
          <w:szCs w:val="15"/>
          <w:color w:val="auto"/>
        </w:rPr>
        <w:t>In December 2017, we received a Notice of Reassessment from the FTA related to transfer pricing for intercompany transactions involving one of our French subsidiaries for the 2011 through 2013 tax years. The total assessment, including interest and penalties, was approximately €571 million (approximately $638 million). In December 2019, the Company reached a settlement with the FTA for the 2011 through 2018 tax years, resulting in the recognition of $54 million of tax expense in the period ended December 31, 2019 and a tax payment of €161 million (approximately $179 million), including interest and penalties, in January 2020.</w:t>
      </w:r>
    </w:p>
    <w:p>
      <w:pPr>
        <w:spacing w:after="0" w:line="149" w:lineRule="exact"/>
        <w:rPr>
          <w:sz w:val="20"/>
          <w:szCs w:val="20"/>
          <w:color w:val="auto"/>
        </w:rPr>
      </w:pPr>
    </w:p>
    <w:p>
      <w:pPr>
        <w:ind w:right="20" w:firstLine="382"/>
        <w:spacing w:after="0" w:line="256" w:lineRule="auto"/>
        <w:rPr>
          <w:sz w:val="20"/>
          <w:szCs w:val="20"/>
          <w:color w:val="auto"/>
        </w:rPr>
      </w:pPr>
      <w:r>
        <w:rPr>
          <w:rFonts w:ascii="Arial" w:cs="Arial" w:eastAsia="Arial" w:hAnsi="Arial"/>
          <w:sz w:val="17"/>
          <w:szCs w:val="17"/>
          <w:color w:val="auto"/>
        </w:rPr>
        <w:t>In addition, we are party to routine claims, suits, investigations, audits, and other proceedings arising in the ordinary course of business, including with respect to intellectual property, competition and antitrust matters, regulatory matters, tax matters, privacy matters, labor and employment matters, compliance matters, unclaimed property matters, liability and personal injury claims, product damage claims, collection matters, and/or commercial claims.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Letters of Credit</w:t>
      </w:r>
    </w:p>
    <w:p>
      <w:pPr>
        <w:spacing w:after="0" w:line="213" w:lineRule="exact"/>
        <w:rPr>
          <w:sz w:val="20"/>
          <w:szCs w:val="20"/>
          <w:color w:val="auto"/>
        </w:rPr>
      </w:pPr>
    </w:p>
    <w:p>
      <w:pPr>
        <w:ind w:right="480" w:firstLine="408"/>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As described in </w:t>
      </w:r>
      <w:hyperlink w:anchor="page97">
        <w:r>
          <w:rPr>
            <w:rFonts w:ascii="Arial" w:cs="Arial" w:eastAsia="Arial" w:hAnsi="Arial"/>
            <w:sz w:val="17"/>
            <w:szCs w:val="17"/>
            <w:u w:val="single" w:color="auto"/>
            <w:color w:val="0000EE"/>
          </w:rPr>
          <w:t>Note 13</w:t>
        </w:r>
      </w:hyperlink>
      <w:r>
        <w:rPr>
          <w:rFonts w:ascii="Arial" w:cs="Arial" w:eastAsia="Arial" w:hAnsi="Arial"/>
          <w:sz w:val="17"/>
          <w:szCs w:val="17"/>
          <w:color w:val="auto"/>
        </w:rPr>
        <w:t>, a portion of our Revolver can be used to issue letters of credit of up to $50 million, subject to the availability of the Revolver. At December 31, 2019, we did not have any letters of credit issued or outstanding under the Revolver.</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Quarterly Financial Information (Unaudited)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3"/>
          </w:tcPr>
          <w:p>
            <w:pPr>
              <w:jc w:val="center"/>
              <w:ind w:right="337"/>
              <w:spacing w:after="0"/>
              <w:rPr>
                <w:sz w:val="20"/>
                <w:szCs w:val="20"/>
                <w:color w:val="auto"/>
              </w:rPr>
            </w:pPr>
            <w:r>
              <w:rPr>
                <w:rFonts w:ascii="Arial" w:cs="Arial" w:eastAsia="Arial" w:hAnsi="Arial"/>
                <w:sz w:val="14"/>
                <w:szCs w:val="14"/>
                <w:b w:val="1"/>
                <w:bCs w:val="1"/>
                <w:color w:val="auto"/>
                <w:w w:val="89"/>
              </w:rPr>
              <w:t>For the Quarters Ended</w:t>
            </w:r>
          </w:p>
        </w:tc>
        <w:tc>
          <w:tcPr>
            <w:tcW w:w="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48"/>
        </w:trPr>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1"/>
              </w:rPr>
              <w:t>September 30, 2019</w:t>
            </w:r>
          </w:p>
        </w:tc>
        <w:tc>
          <w:tcPr>
            <w:tcW w:w="3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June 30, 2019</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 2019</w:t>
            </w:r>
          </w:p>
        </w:tc>
      </w:tr>
      <w:tr>
        <w:trPr>
          <w:trHeight w:val="184"/>
        </w:trPr>
        <w:tc>
          <w:tcPr>
            <w:tcW w:w="3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60" w:type="dxa"/>
            <w:vAlign w:val="bottom"/>
            <w:gridSpan w:val="3"/>
          </w:tcPr>
          <w:p>
            <w:pPr>
              <w:jc w:val="center"/>
              <w:ind w:right="337"/>
              <w:spacing w:after="0"/>
              <w:rPr>
                <w:sz w:val="20"/>
                <w:szCs w:val="20"/>
                <w:color w:val="auto"/>
              </w:rPr>
            </w:pPr>
            <w:r>
              <w:rPr>
                <w:rFonts w:ascii="Arial" w:cs="Arial" w:eastAsia="Arial" w:hAnsi="Arial"/>
                <w:sz w:val="14"/>
                <w:szCs w:val="14"/>
                <w:b w:val="1"/>
                <w:bCs w:val="1"/>
                <w:color w:val="auto"/>
                <w:w w:val="86"/>
              </w:rPr>
              <w:t>(Amounts in millions, except per share data)</w:t>
            </w: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4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1,986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1,282</w:t>
            </w:r>
          </w:p>
        </w:tc>
        <w:tc>
          <w:tcPr>
            <w:tcW w:w="3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1,396</w:t>
            </w: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1,825</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Cost of revenues</w:t>
            </w:r>
          </w:p>
        </w:tc>
        <w:tc>
          <w:tcPr>
            <w:tcW w:w="200" w:type="dxa"/>
            <w:vAlign w:val="bottom"/>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7"/>
                <w:szCs w:val="17"/>
                <w:color w:val="auto"/>
              </w:rPr>
              <w:t>656</w:t>
            </w:r>
          </w:p>
        </w:tc>
        <w:tc>
          <w:tcPr>
            <w:tcW w:w="30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17"/>
                <w:szCs w:val="17"/>
                <w:color w:val="auto"/>
              </w:rPr>
              <w:t>442</w:t>
            </w:r>
          </w:p>
        </w:tc>
        <w:tc>
          <w:tcPr>
            <w:tcW w:w="36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auto"/>
              </w:rPr>
              <w:t>433</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563</w:t>
            </w:r>
          </w:p>
        </w:tc>
        <w:tc>
          <w:tcPr>
            <w:tcW w:w="20" w:type="dxa"/>
            <w:vAlign w:val="bottom"/>
          </w:tcPr>
          <w:p>
            <w:pPr>
              <w:spacing w:after="0"/>
              <w:rPr>
                <w:sz w:val="19"/>
                <w:szCs w:val="19"/>
                <w:color w:val="auto"/>
              </w:rPr>
            </w:pPr>
          </w:p>
        </w:tc>
      </w:tr>
      <w:tr>
        <w:trPr>
          <w:trHeight w:val="27"/>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454</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247</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336</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570</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7"/>
                <w:szCs w:val="17"/>
                <w:color w:val="auto"/>
              </w:rPr>
              <w:t>525</w:t>
            </w:r>
          </w:p>
        </w:tc>
        <w:tc>
          <w:tcPr>
            <w:tcW w:w="30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17"/>
                <w:szCs w:val="17"/>
                <w:color w:val="auto"/>
              </w:rPr>
              <w:t>204</w:t>
            </w:r>
          </w:p>
        </w:tc>
        <w:tc>
          <w:tcPr>
            <w:tcW w:w="36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auto"/>
              </w:rPr>
              <w:t>328</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447</w:t>
            </w:r>
          </w:p>
        </w:tc>
        <w:tc>
          <w:tcPr>
            <w:tcW w:w="20" w:type="dxa"/>
            <w:vAlign w:val="bottom"/>
          </w:tcPr>
          <w:p>
            <w:pPr>
              <w:spacing w:after="0"/>
              <w:rPr>
                <w:sz w:val="19"/>
                <w:szCs w:val="19"/>
                <w:color w:val="auto"/>
              </w:rPr>
            </w:pPr>
          </w:p>
        </w:tc>
      </w:tr>
      <w:tr>
        <w:trPr>
          <w:trHeight w:val="27"/>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0.68</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0.27</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0.43</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0.58</w:t>
            </w:r>
          </w:p>
        </w:tc>
        <w:tc>
          <w:tcPr>
            <w:tcW w:w="20" w:type="dxa"/>
            <w:vAlign w:val="bottom"/>
            <w:tcBorders>
              <w:bottom w:val="single" w:sz="8" w:color="CCEEFF"/>
            </w:tcBorders>
            <w:shd w:val="clear" w:color="auto" w:fill="CCEEFF"/>
          </w:tcPr>
          <w:p>
            <w:pPr>
              <w:spacing w:after="0"/>
              <w:rPr>
                <w:sz w:val="20"/>
                <w:szCs w:val="20"/>
                <w:color w:val="auto"/>
              </w:rPr>
            </w:pPr>
          </w:p>
        </w:tc>
      </w:tr>
      <w:tr>
        <w:trPr>
          <w:trHeight w:val="228"/>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Diluted earnings per common share</w:t>
            </w:r>
          </w:p>
        </w:tc>
        <w:tc>
          <w:tcPr>
            <w:tcW w:w="200" w:type="dxa"/>
            <w:vAlign w:val="bottom"/>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7"/>
                <w:szCs w:val="17"/>
                <w:color w:val="auto"/>
              </w:rPr>
              <w:t>0.68</w:t>
            </w:r>
          </w:p>
        </w:tc>
        <w:tc>
          <w:tcPr>
            <w:tcW w:w="300" w:type="dxa"/>
            <w:vAlign w:val="bottom"/>
          </w:tcPr>
          <w:p>
            <w:pPr>
              <w:spacing w:after="0"/>
              <w:rPr>
                <w:sz w:val="19"/>
                <w:szCs w:val="19"/>
                <w:color w:val="auto"/>
              </w:rPr>
            </w:pPr>
          </w:p>
        </w:tc>
        <w:tc>
          <w:tcPr>
            <w:tcW w:w="1500" w:type="dxa"/>
            <w:vAlign w:val="bottom"/>
          </w:tcPr>
          <w:p>
            <w:pPr>
              <w:jc w:val="right"/>
              <w:ind w:right="21"/>
              <w:spacing w:after="0"/>
              <w:rPr>
                <w:sz w:val="20"/>
                <w:szCs w:val="20"/>
                <w:color w:val="auto"/>
              </w:rPr>
            </w:pPr>
            <w:r>
              <w:rPr>
                <w:rFonts w:ascii="Arial" w:cs="Arial" w:eastAsia="Arial" w:hAnsi="Arial"/>
                <w:sz w:val="17"/>
                <w:szCs w:val="17"/>
                <w:color w:val="auto"/>
              </w:rPr>
              <w:t>0.26</w:t>
            </w:r>
          </w:p>
        </w:tc>
        <w:tc>
          <w:tcPr>
            <w:tcW w:w="360" w:type="dxa"/>
            <w:vAlign w:val="bottom"/>
          </w:tcPr>
          <w:p>
            <w:pPr>
              <w:spacing w:after="0"/>
              <w:rPr>
                <w:sz w:val="19"/>
                <w:szCs w:val="19"/>
                <w:color w:val="auto"/>
              </w:rPr>
            </w:pPr>
          </w:p>
        </w:tc>
        <w:tc>
          <w:tcPr>
            <w:tcW w:w="1400" w:type="dxa"/>
            <w:vAlign w:val="bottom"/>
          </w:tcPr>
          <w:p>
            <w:pPr>
              <w:jc w:val="right"/>
              <w:ind w:right="17"/>
              <w:spacing w:after="0"/>
              <w:rPr>
                <w:sz w:val="20"/>
                <w:szCs w:val="20"/>
                <w:color w:val="auto"/>
              </w:rPr>
            </w:pPr>
            <w:r>
              <w:rPr>
                <w:rFonts w:ascii="Arial" w:cs="Arial" w:eastAsia="Arial" w:hAnsi="Arial"/>
                <w:sz w:val="17"/>
                <w:szCs w:val="17"/>
                <w:color w:val="auto"/>
              </w:rPr>
              <w:t>0.43</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0.58</w:t>
            </w:r>
          </w:p>
        </w:tc>
        <w:tc>
          <w:tcPr>
            <w:tcW w:w="20" w:type="dxa"/>
            <w:vAlign w:val="bottom"/>
          </w:tcPr>
          <w:p>
            <w:pPr>
              <w:spacing w:after="0"/>
              <w:rPr>
                <w:sz w:val="19"/>
                <w:szCs w:val="19"/>
                <w:color w:val="auto"/>
              </w:rPr>
            </w:pPr>
          </w:p>
        </w:tc>
      </w:tr>
      <w:tr>
        <w:trPr>
          <w:trHeight w:val="608"/>
        </w:trPr>
        <w:tc>
          <w:tcPr>
            <w:tcW w:w="39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3"/>
          </w:tcPr>
          <w:p>
            <w:pPr>
              <w:jc w:val="center"/>
              <w:ind w:right="377"/>
              <w:spacing w:after="0"/>
              <w:rPr>
                <w:sz w:val="20"/>
                <w:szCs w:val="20"/>
                <w:color w:val="auto"/>
              </w:rPr>
            </w:pPr>
            <w:r>
              <w:rPr>
                <w:rFonts w:ascii="Arial" w:cs="Arial" w:eastAsia="Arial" w:hAnsi="Arial"/>
                <w:sz w:val="14"/>
                <w:szCs w:val="14"/>
                <w:b w:val="1"/>
                <w:bCs w:val="1"/>
                <w:color w:val="auto"/>
                <w:w w:val="89"/>
              </w:rPr>
              <w:t>For the Quarters Ended</w:t>
            </w:r>
          </w:p>
        </w:tc>
        <w:tc>
          <w:tcPr>
            <w:tcW w:w="3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48"/>
        </w:trPr>
        <w:tc>
          <w:tcPr>
            <w:tcW w:w="3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257"/>
              <w:spacing w:after="0"/>
              <w:rPr>
                <w:sz w:val="20"/>
                <w:szCs w:val="20"/>
                <w:color w:val="auto"/>
              </w:rPr>
            </w:pPr>
            <w:r>
              <w:rPr>
                <w:rFonts w:ascii="Arial" w:cs="Arial" w:eastAsia="Arial" w:hAnsi="Arial"/>
                <w:sz w:val="14"/>
                <w:szCs w:val="14"/>
                <w:b w:val="1"/>
                <w:bCs w:val="1"/>
                <w:color w:val="auto"/>
                <w:w w:val="93"/>
              </w:rPr>
              <w:t>December 31, 2018 (1)</w:t>
            </w:r>
          </w:p>
        </w:tc>
        <w:tc>
          <w:tcPr>
            <w:tcW w:w="300" w:type="dxa"/>
            <w:vAlign w:val="bottom"/>
          </w:tcPr>
          <w:p>
            <w:pPr>
              <w:spacing w:after="0"/>
              <w:rPr>
                <w:sz w:val="21"/>
                <w:szCs w:val="21"/>
                <w:color w:val="auto"/>
              </w:rPr>
            </w:pPr>
          </w:p>
        </w:tc>
        <w:tc>
          <w:tcPr>
            <w:tcW w:w="1500" w:type="dxa"/>
            <w:vAlign w:val="bottom"/>
          </w:tcPr>
          <w:p>
            <w:pPr>
              <w:jc w:val="right"/>
              <w:ind w:right="221"/>
              <w:spacing w:after="0"/>
              <w:rPr>
                <w:sz w:val="20"/>
                <w:szCs w:val="20"/>
                <w:color w:val="auto"/>
              </w:rPr>
            </w:pPr>
            <w:r>
              <w:rPr>
                <w:rFonts w:ascii="Arial" w:cs="Arial" w:eastAsia="Arial" w:hAnsi="Arial"/>
                <w:sz w:val="14"/>
                <w:szCs w:val="14"/>
                <w:b w:val="1"/>
                <w:bCs w:val="1"/>
                <w:color w:val="auto"/>
                <w:w w:val="90"/>
              </w:rPr>
              <w:t>September 30, 2018</w:t>
            </w:r>
          </w:p>
        </w:tc>
        <w:tc>
          <w:tcPr>
            <w:tcW w:w="360" w:type="dxa"/>
            <w:vAlign w:val="bottom"/>
          </w:tcPr>
          <w:p>
            <w:pPr>
              <w:spacing w:after="0"/>
              <w:rPr>
                <w:sz w:val="21"/>
                <w:szCs w:val="21"/>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rPr>
              <w:t>June 30, 2018</w:t>
            </w:r>
          </w:p>
        </w:tc>
        <w:tc>
          <w:tcPr>
            <w:tcW w:w="340" w:type="dxa"/>
            <w:vAlign w:val="bottom"/>
          </w:tcPr>
          <w:p>
            <w:pPr>
              <w:spacing w:after="0"/>
              <w:rPr>
                <w:sz w:val="21"/>
                <w:szCs w:val="21"/>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r>
      <w:tr>
        <w:trPr>
          <w:trHeight w:val="235"/>
        </w:trPr>
        <w:tc>
          <w:tcPr>
            <w:tcW w:w="39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3"/>
          </w:tcPr>
          <w:p>
            <w:pPr>
              <w:jc w:val="center"/>
              <w:ind w:right="377"/>
              <w:spacing w:after="0"/>
              <w:rPr>
                <w:sz w:val="20"/>
                <w:szCs w:val="20"/>
                <w:color w:val="auto"/>
              </w:rPr>
            </w:pPr>
            <w:r>
              <w:rPr>
                <w:rFonts w:ascii="Arial" w:cs="Arial" w:eastAsia="Arial" w:hAnsi="Arial"/>
                <w:sz w:val="14"/>
                <w:szCs w:val="14"/>
                <w:b w:val="1"/>
                <w:bCs w:val="1"/>
                <w:color w:val="auto"/>
                <w:w w:val="86"/>
              </w:rPr>
              <w:t>(Amounts in millions, except per share data)</w:t>
            </w:r>
          </w:p>
        </w:tc>
        <w:tc>
          <w:tcPr>
            <w:tcW w:w="3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40"/>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2,381</w:t>
            </w: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1,512</w:t>
            </w:r>
          </w:p>
        </w:tc>
        <w:tc>
          <w:tcPr>
            <w:tcW w:w="3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1,641</w:t>
            </w:r>
          </w:p>
        </w:tc>
        <w:tc>
          <w:tcPr>
            <w:tcW w:w="3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1,965</w:t>
            </w:r>
          </w:p>
        </w:tc>
        <w:tc>
          <w:tcPr>
            <w:tcW w:w="20" w:type="dxa"/>
            <w:vAlign w:val="bottom"/>
          </w:tcPr>
          <w:p>
            <w:pPr>
              <w:spacing w:after="0"/>
              <w:rPr>
                <w:sz w:val="20"/>
                <w:szCs w:val="20"/>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Cost of revenues</w:t>
            </w:r>
          </w:p>
        </w:tc>
        <w:tc>
          <w:tcPr>
            <w:tcW w:w="200" w:type="dxa"/>
            <w:vAlign w:val="bottom"/>
          </w:tcPr>
          <w:p>
            <w:pPr>
              <w:spacing w:after="0"/>
              <w:rPr>
                <w:sz w:val="19"/>
                <w:szCs w:val="19"/>
                <w:color w:val="auto"/>
              </w:rPr>
            </w:pPr>
          </w:p>
        </w:tc>
        <w:tc>
          <w:tcPr>
            <w:tcW w:w="1740" w:type="dxa"/>
            <w:vAlign w:val="bottom"/>
          </w:tcPr>
          <w:p>
            <w:pPr>
              <w:jc w:val="right"/>
              <w:ind w:right="57"/>
              <w:spacing w:after="0"/>
              <w:rPr>
                <w:sz w:val="20"/>
                <w:szCs w:val="20"/>
                <w:color w:val="auto"/>
              </w:rPr>
            </w:pPr>
            <w:r>
              <w:rPr>
                <w:rFonts w:ascii="Arial" w:cs="Arial" w:eastAsia="Arial" w:hAnsi="Arial"/>
                <w:sz w:val="17"/>
                <w:szCs w:val="17"/>
                <w:color w:val="auto"/>
              </w:rPr>
              <w:t>832</w:t>
            </w:r>
          </w:p>
        </w:tc>
        <w:tc>
          <w:tcPr>
            <w:tcW w:w="30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17"/>
                <w:szCs w:val="17"/>
                <w:color w:val="auto"/>
              </w:rPr>
              <w:t>513</w:t>
            </w:r>
          </w:p>
        </w:tc>
        <w:tc>
          <w:tcPr>
            <w:tcW w:w="36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510</w:t>
            </w:r>
          </w:p>
        </w:tc>
        <w:tc>
          <w:tcPr>
            <w:tcW w:w="34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662</w:t>
            </w:r>
          </w:p>
        </w:tc>
        <w:tc>
          <w:tcPr>
            <w:tcW w:w="20" w:type="dxa"/>
            <w:vAlign w:val="bottom"/>
          </w:tcPr>
          <w:p>
            <w:pPr>
              <w:spacing w:after="0"/>
              <w:rPr>
                <w:sz w:val="19"/>
                <w:szCs w:val="19"/>
                <w:color w:val="auto"/>
              </w:rPr>
            </w:pPr>
          </w:p>
        </w:tc>
      </w:tr>
      <w:tr>
        <w:trPr>
          <w:trHeight w:val="26"/>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694</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265</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434</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595</w:t>
            </w:r>
          </w:p>
        </w:tc>
        <w:tc>
          <w:tcPr>
            <w:tcW w:w="20" w:type="dxa"/>
            <w:vAlign w:val="bottom"/>
          </w:tcPr>
          <w:p>
            <w:pPr>
              <w:spacing w:after="0"/>
              <w:rPr>
                <w:sz w:val="20"/>
                <w:szCs w:val="20"/>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spacing w:after="0"/>
              <w:rPr>
                <w:sz w:val="19"/>
                <w:szCs w:val="19"/>
                <w:color w:val="auto"/>
              </w:rPr>
            </w:pPr>
          </w:p>
        </w:tc>
        <w:tc>
          <w:tcPr>
            <w:tcW w:w="1740" w:type="dxa"/>
            <w:vAlign w:val="bottom"/>
          </w:tcPr>
          <w:p>
            <w:pPr>
              <w:jc w:val="right"/>
              <w:ind w:right="57"/>
              <w:spacing w:after="0"/>
              <w:rPr>
                <w:sz w:val="20"/>
                <w:szCs w:val="20"/>
                <w:color w:val="auto"/>
              </w:rPr>
            </w:pPr>
            <w:r>
              <w:rPr>
                <w:rFonts w:ascii="Arial" w:cs="Arial" w:eastAsia="Arial" w:hAnsi="Arial"/>
                <w:sz w:val="17"/>
                <w:szCs w:val="17"/>
                <w:color w:val="auto"/>
              </w:rPr>
              <w:t>685</w:t>
            </w:r>
          </w:p>
        </w:tc>
        <w:tc>
          <w:tcPr>
            <w:tcW w:w="30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17"/>
                <w:szCs w:val="17"/>
                <w:color w:val="auto"/>
              </w:rPr>
              <w:t>260</w:t>
            </w:r>
          </w:p>
        </w:tc>
        <w:tc>
          <w:tcPr>
            <w:tcW w:w="36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402</w:t>
            </w:r>
          </w:p>
        </w:tc>
        <w:tc>
          <w:tcPr>
            <w:tcW w:w="34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500</w:t>
            </w:r>
          </w:p>
        </w:tc>
        <w:tc>
          <w:tcPr>
            <w:tcW w:w="20" w:type="dxa"/>
            <w:vAlign w:val="bottom"/>
          </w:tcPr>
          <w:p>
            <w:pPr>
              <w:spacing w:after="0"/>
              <w:rPr>
                <w:sz w:val="19"/>
                <w:szCs w:val="19"/>
                <w:color w:val="auto"/>
              </w:rPr>
            </w:pPr>
          </w:p>
        </w:tc>
      </w:tr>
      <w:tr>
        <w:trPr>
          <w:trHeight w:val="26"/>
        </w:trPr>
        <w:tc>
          <w:tcPr>
            <w:tcW w:w="39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Basic earnings per common share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7"/>
                <w:szCs w:val="17"/>
                <w:color w:val="auto"/>
              </w:rPr>
              <w:t>0.90</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0.34</w:t>
            </w:r>
          </w:p>
        </w:tc>
        <w:tc>
          <w:tcPr>
            <w:tcW w:w="3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0.53</w:t>
            </w:r>
          </w:p>
        </w:tc>
        <w:tc>
          <w:tcPr>
            <w:tcW w:w="3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0.66</w:t>
            </w:r>
          </w:p>
        </w:tc>
        <w:tc>
          <w:tcPr>
            <w:tcW w:w="20" w:type="dxa"/>
            <w:vAlign w:val="bottom"/>
          </w:tcPr>
          <w:p>
            <w:pPr>
              <w:spacing w:after="0"/>
              <w:rPr>
                <w:sz w:val="20"/>
                <w:szCs w:val="20"/>
                <w:color w:val="auto"/>
              </w:rPr>
            </w:pPr>
          </w:p>
        </w:tc>
      </w:tr>
      <w:tr>
        <w:trPr>
          <w:trHeight w:val="229"/>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Diluted earnings per common share</w:t>
            </w:r>
          </w:p>
        </w:tc>
        <w:tc>
          <w:tcPr>
            <w:tcW w:w="200" w:type="dxa"/>
            <w:vAlign w:val="bottom"/>
          </w:tcPr>
          <w:p>
            <w:pPr>
              <w:spacing w:after="0"/>
              <w:rPr>
                <w:sz w:val="19"/>
                <w:szCs w:val="19"/>
                <w:color w:val="auto"/>
              </w:rPr>
            </w:pPr>
          </w:p>
        </w:tc>
        <w:tc>
          <w:tcPr>
            <w:tcW w:w="1740" w:type="dxa"/>
            <w:vAlign w:val="bottom"/>
          </w:tcPr>
          <w:p>
            <w:pPr>
              <w:jc w:val="right"/>
              <w:ind w:right="57"/>
              <w:spacing w:after="0"/>
              <w:rPr>
                <w:sz w:val="20"/>
                <w:szCs w:val="20"/>
                <w:color w:val="auto"/>
              </w:rPr>
            </w:pPr>
            <w:r>
              <w:rPr>
                <w:rFonts w:ascii="Arial" w:cs="Arial" w:eastAsia="Arial" w:hAnsi="Arial"/>
                <w:sz w:val="17"/>
                <w:szCs w:val="17"/>
                <w:color w:val="auto"/>
              </w:rPr>
              <w:t>0.89</w:t>
            </w:r>
          </w:p>
        </w:tc>
        <w:tc>
          <w:tcPr>
            <w:tcW w:w="300" w:type="dxa"/>
            <w:vAlign w:val="bottom"/>
          </w:tcPr>
          <w:p>
            <w:pPr>
              <w:spacing w:after="0"/>
              <w:rPr>
                <w:sz w:val="19"/>
                <w:szCs w:val="19"/>
                <w:color w:val="auto"/>
              </w:rPr>
            </w:pPr>
          </w:p>
        </w:tc>
        <w:tc>
          <w:tcPr>
            <w:tcW w:w="1500" w:type="dxa"/>
            <w:vAlign w:val="bottom"/>
          </w:tcPr>
          <w:p>
            <w:pPr>
              <w:jc w:val="right"/>
              <w:ind w:right="41"/>
              <w:spacing w:after="0"/>
              <w:rPr>
                <w:sz w:val="20"/>
                <w:szCs w:val="20"/>
                <w:color w:val="auto"/>
              </w:rPr>
            </w:pPr>
            <w:r>
              <w:rPr>
                <w:rFonts w:ascii="Arial" w:cs="Arial" w:eastAsia="Arial" w:hAnsi="Arial"/>
                <w:sz w:val="17"/>
                <w:szCs w:val="17"/>
                <w:color w:val="auto"/>
              </w:rPr>
              <w:t>0.34</w:t>
            </w:r>
          </w:p>
        </w:tc>
        <w:tc>
          <w:tcPr>
            <w:tcW w:w="360" w:type="dxa"/>
            <w:vAlign w:val="bottom"/>
          </w:tcPr>
          <w:p>
            <w:pPr>
              <w:spacing w:after="0"/>
              <w:rPr>
                <w:sz w:val="19"/>
                <w:szCs w:val="19"/>
                <w:color w:val="auto"/>
              </w:rPr>
            </w:pPr>
          </w:p>
        </w:tc>
        <w:tc>
          <w:tcPr>
            <w:tcW w:w="1400" w:type="dxa"/>
            <w:vAlign w:val="bottom"/>
          </w:tcPr>
          <w:p>
            <w:pPr>
              <w:jc w:val="right"/>
              <w:ind w:right="37"/>
              <w:spacing w:after="0"/>
              <w:rPr>
                <w:sz w:val="20"/>
                <w:szCs w:val="20"/>
                <w:color w:val="auto"/>
              </w:rPr>
            </w:pPr>
            <w:r>
              <w:rPr>
                <w:rFonts w:ascii="Arial" w:cs="Arial" w:eastAsia="Arial" w:hAnsi="Arial"/>
                <w:sz w:val="17"/>
                <w:szCs w:val="17"/>
                <w:color w:val="auto"/>
              </w:rPr>
              <w:t>0.52</w:t>
            </w:r>
          </w:p>
        </w:tc>
        <w:tc>
          <w:tcPr>
            <w:tcW w:w="340" w:type="dxa"/>
            <w:vAlign w:val="bottom"/>
          </w:tcPr>
          <w:p>
            <w:pPr>
              <w:spacing w:after="0"/>
              <w:rPr>
                <w:sz w:val="19"/>
                <w:szCs w:val="19"/>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0.65</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22" w:lineRule="exact"/>
        <w:rPr>
          <w:sz w:val="20"/>
          <w:szCs w:val="20"/>
          <w:color w:val="auto"/>
        </w:rPr>
      </w:pPr>
    </w:p>
    <w:p>
      <w:pPr>
        <w:ind w:left="300" w:right="60" w:hanging="298"/>
        <w:spacing w:after="0" w:line="274" w:lineRule="auto"/>
        <w:tabs>
          <w:tab w:leader="none" w:pos="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Quarterly financial data for the quarter ended December 31, 2018, as presented above, have been revised to reflect the correction of the tax error identified during 2019, as previously discussed in </w:t>
      </w:r>
      <w:hyperlink w:anchor="page75">
        <w:r>
          <w:rPr>
            <w:rFonts w:ascii="Arial" w:cs="Arial" w:eastAsia="Arial" w:hAnsi="Arial"/>
            <w:sz w:val="17"/>
            <w:szCs w:val="17"/>
            <w:u w:val="single" w:color="auto"/>
            <w:color w:val="0000EE"/>
          </w:rPr>
          <w:t>Note 2</w:t>
        </w:r>
      </w:hyperlink>
      <w:r>
        <w:rPr>
          <w:rFonts w:ascii="Arial" w:cs="Arial" w:eastAsia="Arial" w:hAnsi="Arial"/>
          <w:sz w:val="17"/>
          <w:szCs w:val="17"/>
          <w:color w:val="auto"/>
        </w:rPr>
        <w:t>.</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360"/>
          </w:cols>
          <w:pgMar w:left="240" w:top="127" w:right="29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80"/>
              <w:spacing w:after="0"/>
              <w:rPr>
                <w:sz w:val="20"/>
                <w:szCs w:val="20"/>
                <w:color w:val="auto"/>
              </w:rPr>
            </w:pPr>
            <w:r>
              <w:rPr>
                <w:rFonts w:ascii="Arial" w:cs="Arial" w:eastAsia="Arial" w:hAnsi="Arial"/>
                <w:sz w:val="17"/>
                <w:szCs w:val="17"/>
                <w:b w:val="1"/>
                <w:bCs w:val="1"/>
                <w:color w:val="auto"/>
              </w:rPr>
              <w:t>SCHEDULE II</w:t>
            </w:r>
          </w:p>
        </w:tc>
      </w:tr>
      <w:tr>
        <w:trPr>
          <w:trHeight w:val="408"/>
        </w:trPr>
        <w:tc>
          <w:tcPr>
            <w:tcW w:w="8360" w:type="dxa"/>
            <w:vAlign w:val="bottom"/>
            <w:gridSpan w:val="8"/>
          </w:tcPr>
          <w:p>
            <w:pPr>
              <w:jc w:val="center"/>
              <w:ind w:left="2976"/>
              <w:spacing w:after="0"/>
              <w:rPr>
                <w:sz w:val="20"/>
                <w:szCs w:val="20"/>
                <w:color w:val="auto"/>
              </w:rPr>
            </w:pPr>
            <w:r>
              <w:rPr>
                <w:rFonts w:ascii="Arial" w:cs="Arial" w:eastAsia="Arial" w:hAnsi="Arial"/>
                <w:sz w:val="17"/>
                <w:szCs w:val="17"/>
                <w:b w:val="1"/>
                <w:bCs w:val="1"/>
                <w:color w:val="auto"/>
              </w:rPr>
              <w:t>ACTIVISION BLIZZARD, INC. AND SUBSIDIARIES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8360" w:type="dxa"/>
            <w:vAlign w:val="bottom"/>
            <w:gridSpan w:val="8"/>
          </w:tcPr>
          <w:p>
            <w:pPr>
              <w:jc w:val="center"/>
              <w:ind w:left="2996"/>
              <w:spacing w:after="0"/>
              <w:rPr>
                <w:sz w:val="20"/>
                <w:szCs w:val="20"/>
                <w:color w:val="auto"/>
              </w:rPr>
            </w:pPr>
            <w:r>
              <w:rPr>
                <w:rFonts w:ascii="Arial" w:cs="Arial" w:eastAsia="Arial" w:hAnsi="Arial"/>
                <w:sz w:val="17"/>
                <w:szCs w:val="17"/>
                <w:b w:val="1"/>
                <w:bCs w:val="1"/>
                <w:color w:val="auto"/>
              </w:rPr>
              <w:t>VALUATION AND QUALIFYING ACCOUNTS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6760" w:type="dxa"/>
            <w:vAlign w:val="bottom"/>
            <w:gridSpan w:val="5"/>
          </w:tcPr>
          <w:p>
            <w:pPr>
              <w:jc w:val="center"/>
              <w:ind w:left="4576"/>
              <w:spacing w:after="0"/>
              <w:rPr>
                <w:sz w:val="20"/>
                <w:szCs w:val="20"/>
                <w:color w:val="auto"/>
              </w:rPr>
            </w:pPr>
            <w:r>
              <w:rPr>
                <w:rFonts w:ascii="Arial" w:cs="Arial" w:eastAsia="Arial" w:hAnsi="Arial"/>
                <w:sz w:val="17"/>
                <w:szCs w:val="17"/>
                <w:b w:val="1"/>
                <w:bCs w:val="1"/>
                <w:color w:val="auto"/>
                <w:w w:val="90"/>
              </w:rPr>
              <w:t>(Amounts in millions)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4"/>
        </w:trPr>
        <w:tc>
          <w:tcPr>
            <w:tcW w:w="5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Col. B</w:t>
            </w: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40"/>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8"/>
              </w:rPr>
              <w:t>Balance at</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90"/>
              </w:rPr>
              <w:t>Col. E</w:t>
            </w:r>
          </w:p>
        </w:tc>
      </w:tr>
      <w:tr>
        <w:trPr>
          <w:trHeight w:val="140"/>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6"/>
              </w:rPr>
              <w:t>Beginning of</w:t>
            </w:r>
          </w:p>
        </w:tc>
        <w:tc>
          <w:tcPr>
            <w:tcW w:w="240" w:type="dxa"/>
            <w:vAlign w:val="bottom"/>
          </w:tcPr>
          <w:p>
            <w:pPr>
              <w:spacing w:after="0"/>
              <w:rPr>
                <w:sz w:val="12"/>
                <w:szCs w:val="12"/>
                <w:color w:val="auto"/>
              </w:rPr>
            </w:pPr>
          </w:p>
        </w:tc>
        <w:tc>
          <w:tcPr>
            <w:tcW w:w="1360" w:type="dxa"/>
            <w:vAlign w:val="bottom"/>
            <w:gridSpan w:val="2"/>
          </w:tcPr>
          <w:p>
            <w:pPr>
              <w:ind w:left="320"/>
              <w:spacing w:after="0" w:line="141" w:lineRule="exact"/>
              <w:rPr>
                <w:sz w:val="20"/>
                <w:szCs w:val="20"/>
                <w:color w:val="auto"/>
              </w:rPr>
            </w:pPr>
            <w:r>
              <w:rPr>
                <w:rFonts w:ascii="Arial" w:cs="Arial" w:eastAsia="Arial" w:hAnsi="Arial"/>
                <w:sz w:val="14"/>
                <w:szCs w:val="14"/>
                <w:b w:val="1"/>
                <w:bCs w:val="1"/>
                <w:color w:val="auto"/>
              </w:rPr>
              <w:t>Col. C</w:t>
            </w:r>
          </w:p>
        </w:tc>
        <w:tc>
          <w:tcPr>
            <w:tcW w:w="220" w:type="dxa"/>
            <w:vAlign w:val="bottom"/>
          </w:tcPr>
          <w:p>
            <w:pPr>
              <w:spacing w:after="0"/>
              <w:rPr>
                <w:sz w:val="12"/>
                <w:szCs w:val="12"/>
                <w:color w:val="auto"/>
              </w:rPr>
            </w:pPr>
          </w:p>
        </w:tc>
        <w:tc>
          <w:tcPr>
            <w:tcW w:w="1360" w:type="dxa"/>
            <w:vAlign w:val="bottom"/>
            <w:gridSpan w:val="2"/>
          </w:tcPr>
          <w:p>
            <w:pPr>
              <w:ind w:left="340"/>
              <w:spacing w:after="0" w:line="141" w:lineRule="exact"/>
              <w:rPr>
                <w:sz w:val="20"/>
                <w:szCs w:val="20"/>
                <w:color w:val="auto"/>
              </w:rPr>
            </w:pPr>
            <w:r>
              <w:rPr>
                <w:rFonts w:ascii="Arial" w:cs="Arial" w:eastAsia="Arial" w:hAnsi="Arial"/>
                <w:sz w:val="14"/>
                <w:szCs w:val="14"/>
                <w:b w:val="1"/>
                <w:bCs w:val="1"/>
                <w:color w:val="auto"/>
              </w:rPr>
              <w:t>Col. D</w:t>
            </w:r>
          </w:p>
        </w:tc>
        <w:tc>
          <w:tcPr>
            <w:tcW w:w="200" w:type="dxa"/>
            <w:vAlign w:val="bottom"/>
          </w:tcPr>
          <w:p>
            <w:pPr>
              <w:spacing w:after="0"/>
              <w:rPr>
                <w:sz w:val="12"/>
                <w:szCs w:val="12"/>
                <w:color w:val="auto"/>
              </w:rPr>
            </w:pPr>
          </w:p>
        </w:tc>
        <w:tc>
          <w:tcPr>
            <w:tcW w:w="1280" w:type="dxa"/>
            <w:vAlign w:val="bottom"/>
            <w:gridSpan w:val="2"/>
          </w:tcPr>
          <w:p>
            <w:pPr>
              <w:jc w:val="center"/>
              <w:ind w:right="240"/>
              <w:spacing w:after="0" w:line="141" w:lineRule="exact"/>
              <w:rPr>
                <w:sz w:val="20"/>
                <w:szCs w:val="20"/>
                <w:color w:val="auto"/>
              </w:rPr>
            </w:pPr>
            <w:r>
              <w:rPr>
                <w:rFonts w:ascii="Arial" w:cs="Arial" w:eastAsia="Arial" w:hAnsi="Arial"/>
                <w:sz w:val="14"/>
                <w:szCs w:val="14"/>
                <w:b w:val="1"/>
                <w:bCs w:val="1"/>
                <w:color w:val="auto"/>
                <w:w w:val="87"/>
              </w:rPr>
              <w:t>Balance at End</w:t>
            </w:r>
          </w:p>
        </w:tc>
      </w:tr>
      <w:tr>
        <w:trPr>
          <w:trHeight w:val="181"/>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Col. A Description</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7"/>
              </w:rPr>
              <w:t>Period</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Additions(A)</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6"/>
              </w:rPr>
              <w:t>Deductions(B)</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88"/>
              </w:rPr>
              <w:t>of Period</w:t>
            </w:r>
          </w:p>
        </w:tc>
        <w:tc>
          <w:tcPr>
            <w:tcW w:w="20" w:type="dxa"/>
            <w:vAlign w:val="bottom"/>
          </w:tcPr>
          <w:p>
            <w:pPr>
              <w:spacing w:after="0"/>
              <w:rPr>
                <w:sz w:val="15"/>
                <w:szCs w:val="15"/>
                <w:color w:val="auto"/>
              </w:rPr>
            </w:pPr>
          </w:p>
        </w:tc>
      </w:tr>
      <w:tr>
        <w:trPr>
          <w:trHeight w:val="23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2019</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140" w:type="dxa"/>
            <w:vAlign w:val="bottom"/>
            <w:gridSpan w:val="2"/>
          </w:tcPr>
          <w:p>
            <w:pPr>
              <w:ind w:left="160"/>
              <w:spacing w:after="0"/>
              <w:rPr>
                <w:sz w:val="20"/>
                <w:szCs w:val="20"/>
                <w:color w:val="auto"/>
              </w:rPr>
            </w:pPr>
            <w:r>
              <w:rPr>
                <w:rFonts w:ascii="Arial" w:cs="Arial" w:eastAsia="Arial" w:hAnsi="Arial"/>
                <w:sz w:val="17"/>
                <w:szCs w:val="17"/>
                <w:color w:val="auto"/>
                <w:w w:val="93"/>
              </w:rPr>
              <w:t>Allowances for sales returns and price protection and other allowances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118</w:t>
            </w:r>
          </w:p>
        </w:tc>
        <w:tc>
          <w:tcPr>
            <w:tcW w:w="20" w:type="dxa"/>
            <w:vAlign w:val="bottom"/>
          </w:tcPr>
          <w:p>
            <w:pPr>
              <w:spacing w:after="0"/>
              <w:rPr>
                <w:sz w:val="19"/>
                <w:szCs w:val="19"/>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Valuation allowance for deferred tax assets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127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181</w:t>
            </w:r>
          </w:p>
        </w:tc>
        <w:tc>
          <w:tcPr>
            <w:tcW w:w="20" w:type="dxa"/>
            <w:vAlign w:val="bottom"/>
          </w:tcPr>
          <w:p>
            <w:pPr>
              <w:spacing w:after="0"/>
              <w:rPr>
                <w:sz w:val="20"/>
                <w:szCs w:val="20"/>
                <w:color w:val="auto"/>
              </w:rPr>
            </w:pPr>
          </w:p>
        </w:tc>
      </w:tr>
      <w:tr>
        <w:trPr>
          <w:trHeight w:val="228"/>
        </w:trPr>
        <w:tc>
          <w:tcPr>
            <w:tcW w:w="5140" w:type="dxa"/>
            <w:vAlign w:val="bottom"/>
            <w:gridSpan w:val="2"/>
          </w:tcPr>
          <w:p>
            <w:pPr>
              <w:ind w:left="20"/>
              <w:spacing w:after="0"/>
              <w:rPr>
                <w:sz w:val="20"/>
                <w:szCs w:val="20"/>
                <w:color w:val="auto"/>
              </w:rPr>
            </w:pPr>
            <w:r>
              <w:rPr>
                <w:rFonts w:ascii="Arial" w:cs="Arial" w:eastAsia="Arial" w:hAnsi="Arial"/>
                <w:sz w:val="17"/>
                <w:szCs w:val="17"/>
                <w:color w:val="auto"/>
              </w:rPr>
              <w:t>At December 31, 2018</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w w:val="93"/>
              </w:rPr>
              <w:t>Allowances for sales returns and price protection and other allowances</w:t>
            </w: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rPr>
              <w:t>274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186</w:t>
            </w:r>
          </w:p>
        </w:tc>
        <w:tc>
          <w:tcPr>
            <w:tcW w:w="20" w:type="dxa"/>
            <w:vAlign w:val="bottom"/>
          </w:tcPr>
          <w:p>
            <w:pPr>
              <w:spacing w:after="0"/>
              <w:rPr>
                <w:sz w:val="20"/>
                <w:szCs w:val="20"/>
                <w:color w:val="auto"/>
              </w:rPr>
            </w:pPr>
          </w:p>
        </w:tc>
      </w:tr>
      <w:tr>
        <w:trPr>
          <w:trHeight w:val="228"/>
        </w:trPr>
        <w:tc>
          <w:tcPr>
            <w:tcW w:w="5140" w:type="dxa"/>
            <w:vAlign w:val="bottom"/>
            <w:gridSpan w:val="2"/>
          </w:tcPr>
          <w:p>
            <w:pPr>
              <w:ind w:left="160"/>
              <w:spacing w:after="0"/>
              <w:rPr>
                <w:sz w:val="20"/>
                <w:szCs w:val="20"/>
                <w:color w:val="auto"/>
              </w:rPr>
            </w:pPr>
            <w:r>
              <w:rPr>
                <w:rFonts w:ascii="Arial" w:cs="Arial" w:eastAsia="Arial" w:hAnsi="Arial"/>
                <w:sz w:val="17"/>
                <w:szCs w:val="17"/>
                <w:color w:val="auto"/>
              </w:rPr>
              <w:t>Valuation allowance for deferred tax assets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9"/>
                <w:szCs w:val="19"/>
                <w:color w:val="auto"/>
              </w:rPr>
            </w:pP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5"/>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At December 31, 2017</w:t>
            </w: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5140" w:type="dxa"/>
            <w:vAlign w:val="bottom"/>
            <w:gridSpan w:val="2"/>
          </w:tcPr>
          <w:p>
            <w:pPr>
              <w:ind w:left="160"/>
              <w:spacing w:after="0"/>
              <w:rPr>
                <w:sz w:val="20"/>
                <w:szCs w:val="20"/>
                <w:color w:val="auto"/>
              </w:rPr>
            </w:pPr>
            <w:r>
              <w:rPr>
                <w:rFonts w:ascii="Arial" w:cs="Arial" w:eastAsia="Arial" w:hAnsi="Arial"/>
                <w:sz w:val="17"/>
                <w:szCs w:val="17"/>
                <w:color w:val="auto"/>
                <w:w w:val="93"/>
              </w:rPr>
              <w:t>Allowances for sales returns and price protection and other allowances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23"/>
              <w:spacing w:after="0"/>
              <w:rPr>
                <w:sz w:val="20"/>
                <w:szCs w:val="20"/>
                <w:color w:val="auto"/>
              </w:rPr>
            </w:pPr>
            <w:r>
              <w:rPr>
                <w:rFonts w:ascii="Arial" w:cs="Arial" w:eastAsia="Arial" w:hAnsi="Arial"/>
                <w:sz w:val="17"/>
                <w:szCs w:val="17"/>
                <w:color w:val="auto"/>
              </w:rPr>
              <w:t>257</w:t>
            </w:r>
          </w:p>
        </w:tc>
        <w:tc>
          <w:tcPr>
            <w:tcW w:w="120" w:type="dxa"/>
            <w:vAlign w:val="bottom"/>
          </w:tcPr>
          <w:p>
            <w:pPr>
              <w:spacing w:after="0"/>
              <w:rPr>
                <w:sz w:val="19"/>
                <w:szCs w:val="19"/>
                <w:color w:val="auto"/>
              </w:rPr>
            </w:pP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40"/>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21"/>
              <w:spacing w:after="0"/>
              <w:rPr>
                <w:sz w:val="20"/>
                <w:szCs w:val="20"/>
                <w:color w:val="auto"/>
              </w:rPr>
            </w:pPr>
            <w:r>
              <w:rPr>
                <w:rFonts w:ascii="Arial" w:cs="Arial" w:eastAsia="Arial" w:hAnsi="Arial"/>
                <w:sz w:val="17"/>
                <w:szCs w:val="17"/>
                <w:color w:val="auto"/>
              </w:rPr>
              <w:t>274</w:t>
            </w:r>
          </w:p>
        </w:tc>
        <w:tc>
          <w:tcPr>
            <w:tcW w:w="20" w:type="dxa"/>
            <w:vAlign w:val="bottom"/>
          </w:tcPr>
          <w:p>
            <w:pPr>
              <w:spacing w:after="0"/>
              <w:rPr>
                <w:sz w:val="19"/>
                <w:szCs w:val="19"/>
                <w:color w:val="auto"/>
              </w:rPr>
            </w:pPr>
          </w:p>
        </w:tc>
      </w:tr>
    </w:tbl>
    <w:p>
      <w:pPr>
        <w:spacing w:after="0" w:line="218" w:lineRule="exact"/>
        <w:rPr>
          <w:sz w:val="20"/>
          <w:szCs w:val="20"/>
          <w:color w:val="auto"/>
        </w:rPr>
      </w:pPr>
    </w:p>
    <w:p>
      <w:pPr>
        <w:ind w:left="300" w:hanging="298"/>
        <w:spacing w:after="0"/>
        <w:tabs>
          <w:tab w:leader="none" w:pos="3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Includes increases and reversals of allowances for sales returns, price protection, and valuation allowance for deferred tax assets due to normal reserving terms.</w:t>
      </w:r>
    </w:p>
    <w:p>
      <w:pPr>
        <w:spacing w:after="0" w:line="235" w:lineRule="exact"/>
        <w:rPr>
          <w:rFonts w:ascii="Arial" w:cs="Arial" w:eastAsia="Arial" w:hAnsi="Arial"/>
          <w:sz w:val="15"/>
          <w:szCs w:val="15"/>
          <w:color w:val="auto"/>
        </w:rPr>
      </w:pPr>
    </w:p>
    <w:p>
      <w:pPr>
        <w:ind w:left="300" w:right="280" w:hanging="298"/>
        <w:spacing w:after="0" w:line="274" w:lineRule="auto"/>
        <w:tabs>
          <w:tab w:leader="none" w:pos="3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Includes actual write-offs and utilization of allowances for sales returns, price protection, and releases of income tax valuation allowances and foreign currency translation and other adjustments.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1420"/>
          </w:cols>
          <w:pgMar w:left="240" w:top="127" w:right="23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EXHIBIT INDEX</w:t>
      </w:r>
    </w:p>
    <w:p>
      <w:pPr>
        <w:spacing w:after="0" w:line="217" w:lineRule="exact"/>
        <w:rPr>
          <w:sz w:val="20"/>
          <w:szCs w:val="20"/>
          <w:color w:val="auto"/>
        </w:rPr>
      </w:pPr>
    </w:p>
    <w:p>
      <w:pPr>
        <w:ind w:firstLine="382"/>
        <w:spacing w:after="0" w:line="287" w:lineRule="auto"/>
        <w:rPr>
          <w:sz w:val="20"/>
          <w:szCs w:val="20"/>
          <w:color w:val="auto"/>
        </w:rPr>
      </w:pPr>
      <w:r>
        <w:rPr>
          <w:rFonts w:ascii="Arial" w:cs="Arial" w:eastAsia="Arial" w:hAnsi="Arial"/>
          <w:sz w:val="15"/>
          <w:szCs w:val="15"/>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w:t>
      </w:r>
    </w:p>
    <w:p>
      <w:pPr>
        <w:spacing w:after="0" w:line="2" w:lineRule="exact"/>
        <w:rPr>
          <w:sz w:val="20"/>
          <w:szCs w:val="20"/>
          <w:color w:val="auto"/>
        </w:rPr>
      </w:pPr>
    </w:p>
    <w:p>
      <w:pPr>
        <w:ind w:right="80" w:firstLine="2"/>
        <w:spacing w:after="0" w:line="327" w:lineRule="auto"/>
        <w:tabs>
          <w:tab w:leader="none" w:pos="297" w:val="left"/>
        </w:tabs>
        <w:numPr>
          <w:ilvl w:val="0"/>
          <w:numId w:val="72"/>
        </w:numPr>
        <w:rPr>
          <w:rFonts w:ascii="Arial" w:cs="Arial" w:eastAsia="Arial" w:hAnsi="Arial"/>
          <w:sz w:val="15"/>
          <w:szCs w:val="15"/>
          <w:color w:val="auto"/>
        </w:rPr>
      </w:pPr>
      <w:r>
        <w:rPr>
          <w:rFonts w:ascii="Arial" w:cs="Arial" w:eastAsia="Arial" w:hAnsi="Arial"/>
          <w:sz w:val="15"/>
          <w:szCs w:val="15"/>
          <w:color w:val="auto"/>
        </w:rPr>
        <w:t>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339" w:lineRule="exact"/>
        <w:rPr>
          <w:sz w:val="20"/>
          <w:szCs w:val="20"/>
          <w:color w:val="auto"/>
        </w:rPr>
      </w:pPr>
    </w:p>
    <w:p>
      <w:pPr>
        <w:ind w:left="340"/>
        <w:spacing w:after="0"/>
        <w:tabs>
          <w:tab w:leader="none" w:pos="63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1" w:lineRule="exact"/>
        <w:rPr>
          <w:sz w:val="20"/>
          <w:szCs w:val="20"/>
          <w:color w:val="auto"/>
        </w:rPr>
      </w:pPr>
    </w:p>
    <w:p>
      <w:pPr>
        <w:ind w:left="1740" w:right="44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3.1</w:t>
      </w:r>
      <w:r>
        <w:rPr>
          <w:sz w:val="20"/>
          <w:szCs w:val="20"/>
          <w:color w:val="auto"/>
        </w:rPr>
        <w:tab/>
      </w:r>
      <w:hyperlink r:id="rId29">
        <w:r>
          <w:rPr>
            <w:rFonts w:ascii="Arial" w:cs="Arial" w:eastAsia="Arial" w:hAnsi="Arial"/>
            <w:sz w:val="17"/>
            <w:szCs w:val="17"/>
            <w:u w:val="single" w:color="auto"/>
            <w:color w:val="0000FF"/>
          </w:rPr>
          <w:t>Third Amended and Restated Certificate of Incorporation of Activision Blizzard, Inc., dated June 5, 2014 (incorporated by reference to</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Exhibit 3.1 of the Company’s Form 8-K, filed June 6, 2014).</w:t>
        </w:r>
      </w:hyperlink>
    </w:p>
    <w:p>
      <w:pPr>
        <w:spacing w:after="0" w:line="13" w:lineRule="exact"/>
        <w:rPr>
          <w:sz w:val="20"/>
          <w:szCs w:val="20"/>
          <w:color w:val="auto"/>
        </w:rPr>
      </w:pPr>
    </w:p>
    <w:p>
      <w:pPr>
        <w:ind w:left="1740" w:right="10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3.2</w:t>
      </w:r>
      <w:r>
        <w:rPr>
          <w:sz w:val="20"/>
          <w:szCs w:val="20"/>
          <w:color w:val="auto"/>
        </w:rPr>
        <w:tab/>
      </w:r>
      <w:hyperlink r:id="rId30">
        <w:r>
          <w:rPr>
            <w:rFonts w:ascii="Arial" w:cs="Arial" w:eastAsia="Arial" w:hAnsi="Arial"/>
            <w:sz w:val="17"/>
            <w:szCs w:val="17"/>
            <w:u w:val="single" w:color="auto"/>
            <w:color w:val="0000FF"/>
          </w:rPr>
          <w:t>Fourth Amended and Restated Bylaws of Activision Blizzard, Inc., adopted as of February 1, 2018 (incorporated by reference to Exhibit 3.1</w:t>
        </w:r>
      </w:hyperlink>
      <w:r>
        <w:rPr>
          <w:rFonts w:ascii="Arial" w:cs="Arial" w:eastAsia="Arial" w:hAnsi="Arial"/>
          <w:sz w:val="17"/>
          <w:szCs w:val="17"/>
          <w:u w:val="single" w:color="auto"/>
          <w:color w:val="0000FF"/>
        </w:rPr>
        <w:t xml:space="preserve"> </w:t>
      </w:r>
      <w:hyperlink r:id="rId30">
        <w:r>
          <w:rPr>
            <w:rFonts w:ascii="Arial" w:cs="Arial" w:eastAsia="Arial" w:hAnsi="Arial"/>
            <w:sz w:val="17"/>
            <w:szCs w:val="17"/>
            <w:u w:val="single" w:color="auto"/>
            <w:color w:val="0000FF"/>
          </w:rPr>
          <w:t>of the Company’s Form 8-K/A, filed March 21, 2018).</w:t>
        </w:r>
      </w:hyperlink>
    </w:p>
    <w:p>
      <w:pPr>
        <w:spacing w:after="0" w:line="13" w:lineRule="exact"/>
        <w:rPr>
          <w:sz w:val="20"/>
          <w:szCs w:val="20"/>
          <w:color w:val="auto"/>
        </w:rPr>
      </w:pPr>
    </w:p>
    <w:p>
      <w:pPr>
        <w:ind w:left="1740" w:right="200" w:hanging="466"/>
        <w:spacing w:after="0" w:line="313" w:lineRule="auto"/>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4.1</w:t>
      </w:r>
      <w:r>
        <w:rPr>
          <w:sz w:val="20"/>
          <w:szCs w:val="20"/>
          <w:color w:val="auto"/>
        </w:rPr>
        <w:tab/>
      </w:r>
      <w:hyperlink r:id="rId31">
        <w:r>
          <w:rPr>
            <w:rFonts w:ascii="Arial" w:cs="Arial" w:eastAsia="Arial" w:hAnsi="Arial"/>
            <w:sz w:val="15"/>
            <w:szCs w:val="15"/>
            <w:u w:val="single" w:color="auto"/>
            <w:color w:val="0000FF"/>
          </w:rPr>
          <w:t>Indenture, dated as of September 19, 2016, among Activision Blizzard, Inc., the guarantors named therein and Wells Fargo Bank, National</w:t>
        </w:r>
      </w:hyperlink>
      <w:r>
        <w:rPr>
          <w:rFonts w:ascii="Arial" w:cs="Arial" w:eastAsia="Arial" w:hAnsi="Arial"/>
          <w:sz w:val="15"/>
          <w:szCs w:val="15"/>
          <w:u w:val="single" w:color="auto"/>
          <w:color w:val="0000FF"/>
        </w:rPr>
        <w:t xml:space="preserve"> </w:t>
      </w:r>
      <w:hyperlink r:id="rId31">
        <w:r>
          <w:rPr>
            <w:rFonts w:ascii="Arial" w:cs="Arial" w:eastAsia="Arial" w:hAnsi="Arial"/>
            <w:sz w:val="15"/>
            <w:szCs w:val="15"/>
            <w:u w:val="single" w:color="auto"/>
            <w:color w:val="0000FF"/>
          </w:rPr>
          <w:t>Association, as trustee, with respect to the Company’s 2.300% Unsecured Senior Notes due 2021 and the Company’s 3.400% Unsecured</w:t>
        </w:r>
      </w:hyperlink>
      <w:r>
        <w:rPr>
          <w:rFonts w:ascii="Arial" w:cs="Arial" w:eastAsia="Arial" w:hAnsi="Arial"/>
          <w:sz w:val="15"/>
          <w:szCs w:val="15"/>
          <w:u w:val="single" w:color="auto"/>
          <w:color w:val="0000FF"/>
        </w:rPr>
        <w:t xml:space="preserve"> </w:t>
      </w:r>
      <w:hyperlink r:id="rId31">
        <w:r>
          <w:rPr>
            <w:rFonts w:ascii="Arial" w:cs="Arial" w:eastAsia="Arial" w:hAnsi="Arial"/>
            <w:sz w:val="15"/>
            <w:szCs w:val="15"/>
            <w:u w:val="single" w:color="auto"/>
            <w:color w:val="0000FF"/>
          </w:rPr>
          <w:t>Senior Notes due 2026 (incorporated by reference to Exhibit 4.1 of the Company’s Form 8-K, filed September 19, 2016).</w:t>
        </w:r>
      </w:hyperlink>
    </w:p>
    <w:p>
      <w:pPr>
        <w:spacing w:after="0" w:line="154" w:lineRule="exact"/>
        <w:rPr>
          <w:rFonts w:ascii="Arial" w:cs="Arial" w:eastAsia="Arial" w:hAnsi="Arial"/>
          <w:sz w:val="15"/>
          <w:szCs w:val="15"/>
          <w:u w:val="single" w:color="auto"/>
          <w:color w:val="0000FF"/>
        </w:rPr>
      </w:pPr>
    </w:p>
    <w:p>
      <w:pPr>
        <w:ind w:left="1740" w:right="64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4.2</w:t>
      </w:r>
      <w:r>
        <w:rPr>
          <w:sz w:val="20"/>
          <w:szCs w:val="20"/>
          <w:color w:val="auto"/>
        </w:rPr>
        <w:tab/>
      </w:r>
      <w:hyperlink r:id="rId32">
        <w:r>
          <w:rPr>
            <w:rFonts w:ascii="Arial" w:cs="Arial" w:eastAsia="Arial" w:hAnsi="Arial"/>
            <w:sz w:val="17"/>
            <w:szCs w:val="17"/>
            <w:u w:val="single" w:color="auto"/>
            <w:color w:val="0000FF"/>
          </w:rPr>
          <w:t>Base Indenture, dated as of May 26, 2017, between Activision Blizzard, Inc. and Wells Fargo Bank, National Association, as trustee</w:t>
        </w:r>
      </w:hyperlink>
      <w:r>
        <w:rPr>
          <w:rFonts w:ascii="Arial" w:cs="Arial" w:eastAsia="Arial" w:hAnsi="Arial"/>
          <w:sz w:val="17"/>
          <w:szCs w:val="17"/>
          <w:u w:val="single" w:color="auto"/>
          <w:color w:val="0000FF"/>
        </w:rPr>
        <w:t xml:space="preserve"> </w:t>
      </w:r>
      <w:hyperlink r:id="rId32">
        <w:r>
          <w:rPr>
            <w:rFonts w:ascii="Arial" w:cs="Arial" w:eastAsia="Arial" w:hAnsi="Arial"/>
            <w:sz w:val="17"/>
            <w:szCs w:val="17"/>
            <w:u w:val="single" w:color="auto"/>
            <w:color w:val="0000FF"/>
          </w:rPr>
          <w:t>(incorporated by reference to Exhibit 4.1 of the Company’s Form 8-K, filed May 26, 2017).</w:t>
        </w:r>
      </w:hyperlink>
    </w:p>
    <w:p>
      <w:pPr>
        <w:spacing w:after="0" w:line="13" w:lineRule="exact"/>
        <w:rPr>
          <w:sz w:val="20"/>
          <w:szCs w:val="20"/>
          <w:color w:val="auto"/>
        </w:rPr>
      </w:pPr>
    </w:p>
    <w:p>
      <w:pPr>
        <w:ind w:left="1740" w:right="160" w:hanging="466"/>
        <w:spacing w:after="0" w:line="258"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4.3</w:t>
      </w:r>
      <w:r>
        <w:rPr>
          <w:sz w:val="20"/>
          <w:szCs w:val="20"/>
          <w:color w:val="auto"/>
        </w:rPr>
        <w:tab/>
      </w:r>
      <w:hyperlink r:id="rId33">
        <w:r>
          <w:rPr>
            <w:rFonts w:ascii="Arial" w:cs="Arial" w:eastAsia="Arial" w:hAnsi="Arial"/>
            <w:sz w:val="17"/>
            <w:szCs w:val="17"/>
            <w:u w:val="single" w:color="auto"/>
            <w:color w:val="0000FF"/>
          </w:rPr>
          <w:t>First Supplemental Indenture, dated as of May 26, 2017, between Activision Blizzard, Inc. and Wells Fargo Bank, National Association, as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trustee, with respect to the Company’s 2.600% Unsecured Senior Notes due 2022, the Company’s 3.400% Unsecured Senior Notes due</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September 2027 and the Company’s 4.500% Unsecured Senior Notes due 2047 (incorporated by reference to Exhibit 4.2 of the Company’s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Form 8-K, filed May 26, 2017).</w:t>
        </w:r>
      </w:hyperlink>
    </w:p>
    <w:p>
      <w:pPr>
        <w:spacing w:after="0" w:line="26" w:lineRule="exact"/>
        <w:rPr>
          <w:rFonts w:ascii="Arial" w:cs="Arial" w:eastAsia="Arial" w:hAnsi="Arial"/>
          <w:sz w:val="17"/>
          <w:szCs w:val="17"/>
          <w:u w:val="single" w:color="auto"/>
          <w:color w:val="0000FF"/>
        </w:rPr>
      </w:pPr>
    </w:p>
    <w:p>
      <w:pPr>
        <w:ind w:left="1740" w:right="6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4.4</w:t>
      </w:r>
      <w:r>
        <w:rPr>
          <w:sz w:val="20"/>
          <w:szCs w:val="20"/>
          <w:color w:val="auto"/>
        </w:rPr>
        <w:tab/>
      </w:r>
      <w:hyperlink r:id="rId33">
        <w:r>
          <w:rPr>
            <w:rFonts w:ascii="Arial" w:cs="Arial" w:eastAsia="Arial" w:hAnsi="Arial"/>
            <w:sz w:val="17"/>
            <w:szCs w:val="17"/>
            <w:u w:val="single" w:color="auto"/>
            <w:color w:val="0000FF"/>
          </w:rPr>
          <w:t>Form of certificate for the Company’s 2.600% Unsecured Senior Notes due 2022 (incorporated by reference to Exhibit 4.3 of the Company’s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Form 8-K, filed May 26, 2017).</w:t>
        </w:r>
      </w:hyperlink>
    </w:p>
    <w:p>
      <w:pPr>
        <w:spacing w:after="0" w:line="13" w:lineRule="exact"/>
        <w:rPr>
          <w:sz w:val="20"/>
          <w:szCs w:val="20"/>
          <w:color w:val="auto"/>
        </w:rPr>
      </w:pPr>
    </w:p>
    <w:p>
      <w:pPr>
        <w:ind w:left="1740" w:right="6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4.5</w:t>
      </w:r>
      <w:r>
        <w:rPr>
          <w:sz w:val="20"/>
          <w:szCs w:val="20"/>
          <w:color w:val="auto"/>
        </w:rPr>
        <w:tab/>
      </w:r>
      <w:hyperlink r:id="rId33">
        <w:r>
          <w:rPr>
            <w:rFonts w:ascii="Arial" w:cs="Arial" w:eastAsia="Arial" w:hAnsi="Arial"/>
            <w:sz w:val="17"/>
            <w:szCs w:val="17"/>
            <w:u w:val="single" w:color="auto"/>
            <w:color w:val="0000FF"/>
          </w:rPr>
          <w:t>Form of certificate for the Company’s 3.400% Unsecured Senior Notes due 2027 (incorporated by reference to Exhibit 4.4 of the Company’s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Form 8-K, filed May 26, 2017).</w:t>
        </w:r>
      </w:hyperlink>
    </w:p>
    <w:p>
      <w:pPr>
        <w:spacing w:after="0" w:line="13" w:lineRule="exact"/>
        <w:rPr>
          <w:sz w:val="20"/>
          <w:szCs w:val="20"/>
          <w:color w:val="auto"/>
        </w:rPr>
      </w:pPr>
    </w:p>
    <w:p>
      <w:pPr>
        <w:ind w:left="1740" w:right="60" w:hanging="46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4.6</w:t>
      </w:r>
      <w:r>
        <w:rPr>
          <w:sz w:val="20"/>
          <w:szCs w:val="20"/>
          <w:color w:val="auto"/>
        </w:rPr>
        <w:tab/>
      </w:r>
      <w:hyperlink r:id="rId33">
        <w:r>
          <w:rPr>
            <w:rFonts w:ascii="Arial" w:cs="Arial" w:eastAsia="Arial" w:hAnsi="Arial"/>
            <w:sz w:val="17"/>
            <w:szCs w:val="17"/>
            <w:u w:val="single" w:color="auto"/>
            <w:color w:val="0000FF"/>
          </w:rPr>
          <w:t>Form of certificate for the Company’s 4.500% Unsecured Senior Notes due 2047 (incorporated by reference to Exhibit 4.5 of the Company’s</w:t>
        </w:r>
      </w:hyperlink>
      <w:r>
        <w:rPr>
          <w:rFonts w:ascii="Arial" w:cs="Arial" w:eastAsia="Arial" w:hAnsi="Arial"/>
          <w:sz w:val="17"/>
          <w:szCs w:val="17"/>
          <w:u w:val="single" w:color="auto"/>
          <w:color w:val="0000FF"/>
        </w:rPr>
        <w:t xml:space="preserve"> </w:t>
      </w:r>
      <w:hyperlink r:id="rId33">
        <w:r>
          <w:rPr>
            <w:rFonts w:ascii="Arial" w:cs="Arial" w:eastAsia="Arial" w:hAnsi="Arial"/>
            <w:sz w:val="17"/>
            <w:szCs w:val="17"/>
            <w:u w:val="single" w:color="auto"/>
            <w:color w:val="0000FF"/>
          </w:rPr>
          <w:t>Form 8-K, filed May 26, 2017).</w:t>
        </w:r>
      </w:hyperlink>
    </w:p>
    <w:p>
      <w:pPr>
        <w:spacing w:after="0" w:line="13" w:lineRule="exact"/>
        <w:rPr>
          <w:sz w:val="20"/>
          <w:szCs w:val="20"/>
          <w:color w:val="auto"/>
        </w:rPr>
      </w:pPr>
    </w:p>
    <w:p>
      <w:pPr>
        <w:ind w:left="128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4.7</w:t>
      </w:r>
      <w:r>
        <w:rPr>
          <w:sz w:val="20"/>
          <w:szCs w:val="20"/>
          <w:color w:val="auto"/>
        </w:rPr>
        <w:tab/>
      </w:r>
      <w:hyperlink w:anchor="page129">
        <w:r>
          <w:rPr>
            <w:rFonts w:ascii="Arial" w:cs="Arial" w:eastAsia="Arial" w:hAnsi="Arial"/>
            <w:sz w:val="15"/>
            <w:szCs w:val="15"/>
            <w:u w:val="single" w:color="auto"/>
            <w:color w:val="0000FF"/>
          </w:rPr>
          <w:t>Description of Securities.</w:t>
        </w:r>
      </w:hyperlink>
    </w:p>
    <w:p>
      <w:pPr>
        <w:spacing w:after="0" w:line="60" w:lineRule="exact"/>
        <w:rPr>
          <w:sz w:val="20"/>
          <w:szCs w:val="20"/>
          <w:color w:val="auto"/>
        </w:rPr>
      </w:pPr>
    </w:p>
    <w:p>
      <w:pPr>
        <w:ind w:left="1740" w:right="60" w:hanging="63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w:t>
      </w:r>
      <w:r>
        <w:rPr>
          <w:sz w:val="20"/>
          <w:szCs w:val="20"/>
          <w:color w:val="auto"/>
        </w:rPr>
        <w:tab/>
      </w:r>
      <w:hyperlink r:id="rId34">
        <w:r>
          <w:rPr>
            <w:rFonts w:ascii="Arial" w:cs="Arial" w:eastAsia="Arial" w:hAnsi="Arial"/>
            <w:sz w:val="17"/>
            <w:szCs w:val="17"/>
            <w:u w:val="single" w:color="auto"/>
            <w:color w:val="0000FF"/>
          </w:rPr>
          <w:t>Activision Blizzard, Inc. Amended and Restated 2008 Incentive Plan, as amended and restated on June 7, 2012 (incorporated by reference to</w:t>
        </w:r>
      </w:hyperlink>
      <w:r>
        <w:rPr>
          <w:rFonts w:ascii="Arial" w:cs="Arial" w:eastAsia="Arial" w:hAnsi="Arial"/>
          <w:sz w:val="17"/>
          <w:szCs w:val="17"/>
          <w:u w:val="single" w:color="auto"/>
          <w:color w:val="0000FF"/>
        </w:rPr>
        <w:t xml:space="preserve"> </w:t>
      </w:r>
      <w:hyperlink r:id="rId34">
        <w:r>
          <w:rPr>
            <w:rFonts w:ascii="Arial" w:cs="Arial" w:eastAsia="Arial" w:hAnsi="Arial"/>
            <w:sz w:val="17"/>
            <w:szCs w:val="17"/>
            <w:u w:val="single" w:color="auto"/>
            <w:color w:val="0000FF"/>
          </w:rPr>
          <w:t>Exhibit 10.1 of the Company’s Form 8-K filed June 12, 2012).</w:t>
        </w:r>
      </w:hyperlink>
    </w:p>
    <w:p>
      <w:pPr>
        <w:spacing w:after="0" w:line="13" w:lineRule="exact"/>
        <w:rPr>
          <w:sz w:val="20"/>
          <w:szCs w:val="20"/>
          <w:color w:val="auto"/>
        </w:rPr>
      </w:pPr>
    </w:p>
    <w:p>
      <w:pPr>
        <w:ind w:left="1740" w:right="260" w:hanging="63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w:t>
      </w:r>
      <w:r>
        <w:rPr>
          <w:sz w:val="20"/>
          <w:szCs w:val="20"/>
          <w:color w:val="auto"/>
        </w:rPr>
        <w:tab/>
      </w:r>
      <w:hyperlink r:id="rId35">
        <w:r>
          <w:rPr>
            <w:rFonts w:ascii="Arial" w:cs="Arial" w:eastAsia="Arial" w:hAnsi="Arial"/>
            <w:sz w:val="17"/>
            <w:szCs w:val="17"/>
            <w:u w:val="single" w:color="auto"/>
            <w:color w:val="0000FF"/>
          </w:rPr>
          <w:t>Activision Blizzard, Inc. 2014 Incentive Plan, amended and restated as of March 2, 2017 (incorporated by reference to Exhibit 10.1 of the</w:t>
        </w:r>
      </w:hyperlink>
      <w:r>
        <w:rPr>
          <w:rFonts w:ascii="Arial" w:cs="Arial" w:eastAsia="Arial" w:hAnsi="Arial"/>
          <w:sz w:val="17"/>
          <w:szCs w:val="17"/>
          <w:u w:val="single" w:color="auto"/>
          <w:color w:val="0000FF"/>
        </w:rPr>
        <w:t xml:space="preserve"> </w:t>
      </w:r>
      <w:hyperlink r:id="rId35">
        <w:r>
          <w:rPr>
            <w:rFonts w:ascii="Arial" w:cs="Arial" w:eastAsia="Arial" w:hAnsi="Arial"/>
            <w:sz w:val="17"/>
            <w:szCs w:val="17"/>
            <w:u w:val="single" w:color="auto"/>
            <w:color w:val="0000FF"/>
          </w:rPr>
          <w:t>Company’s Form 10-Q filed May 4, 2017).</w:t>
        </w:r>
      </w:hyperlink>
    </w:p>
    <w:p>
      <w:pPr>
        <w:spacing w:after="0" w:line="13" w:lineRule="exact"/>
        <w:rPr>
          <w:sz w:val="20"/>
          <w:szCs w:val="20"/>
          <w:color w:val="auto"/>
        </w:rPr>
      </w:pPr>
    </w:p>
    <w:p>
      <w:pPr>
        <w:ind w:left="1740" w:right="260" w:hanging="63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10.3*</w:t>
      </w:r>
      <w:r>
        <w:rPr>
          <w:sz w:val="20"/>
          <w:szCs w:val="20"/>
          <w:color w:val="auto"/>
        </w:rPr>
        <w:tab/>
      </w:r>
      <w:hyperlink r:id="rId36">
        <w:r>
          <w:rPr>
            <w:rFonts w:ascii="Arial" w:cs="Arial" w:eastAsia="Arial" w:hAnsi="Arial"/>
            <w:sz w:val="17"/>
            <w:szCs w:val="17"/>
            <w:u w:val="single" w:color="auto"/>
            <w:color w:val="0000FF"/>
          </w:rPr>
          <w:t>Activision Blizzard, Inc. KDE Equity Incentive Plan, amended as of November 1, 2016 (incorporated by reference to Exhibit 10.14 of the</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Company’s Form 10-K for the year ended December 31, 2016).</w:t>
        </w:r>
      </w:hyperlink>
    </w:p>
    <w:p>
      <w:pPr>
        <w:spacing w:after="0" w:line="13" w:lineRule="exact"/>
        <w:rPr>
          <w:sz w:val="20"/>
          <w:szCs w:val="20"/>
          <w:color w:val="auto"/>
        </w:rPr>
      </w:pPr>
    </w:p>
    <w:p>
      <w:pPr>
        <w:ind w:left="1740" w:right="460" w:hanging="636"/>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10.4*</w:t>
      </w:r>
      <w:r>
        <w:rPr>
          <w:sz w:val="20"/>
          <w:szCs w:val="20"/>
          <w:color w:val="auto"/>
        </w:rPr>
        <w:tab/>
      </w:r>
      <w:hyperlink r:id="rId37">
        <w:r>
          <w:rPr>
            <w:rFonts w:ascii="Arial" w:cs="Arial" w:eastAsia="Arial" w:hAnsi="Arial"/>
            <w:sz w:val="17"/>
            <w:szCs w:val="17"/>
            <w:u w:val="single" w:color="auto"/>
            <w:color w:val="0000FF"/>
          </w:rPr>
          <w:t>Form of Notice of Stock Option Award for grants to unaffiliated directors pursuant to the Activision Blizzard, Inc. 2008 Incentive Plan</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(effective as of November 12, 2008) (incorporated by reference to Exhibit 10.44 of the Company’s Form 10-K for the year ended</w:t>
        </w:r>
      </w:hyperlink>
      <w:r>
        <w:rPr>
          <w:rFonts w:ascii="Arial" w:cs="Arial" w:eastAsia="Arial" w:hAnsi="Arial"/>
          <w:sz w:val="17"/>
          <w:szCs w:val="17"/>
          <w:u w:val="single" w:color="auto"/>
          <w:color w:val="0000FF"/>
        </w:rPr>
        <w:t xml:space="preserve"> </w:t>
      </w:r>
      <w:hyperlink r:id="rId37">
        <w:r>
          <w:rPr>
            <w:rFonts w:ascii="Arial" w:cs="Arial" w:eastAsia="Arial" w:hAnsi="Arial"/>
            <w:sz w:val="17"/>
            <w:szCs w:val="17"/>
            <w:u w:val="single" w:color="auto"/>
            <w:color w:val="0000FF"/>
          </w:rPr>
          <w:t>December 31, 2008).</w:t>
        </w:r>
      </w:hyperlink>
    </w:p>
    <w:p>
      <w:pPr>
        <w:spacing w:after="0" w:line="23" w:lineRule="exact"/>
        <w:rPr>
          <w:rFonts w:ascii="Arial" w:cs="Arial" w:eastAsia="Arial" w:hAnsi="Arial"/>
          <w:sz w:val="17"/>
          <w:szCs w:val="17"/>
          <w:u w:val="single" w:color="auto"/>
          <w:color w:val="0000FF"/>
        </w:rPr>
      </w:pPr>
    </w:p>
    <w:p>
      <w:pPr>
        <w:ind w:left="1740" w:hanging="636"/>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10.5*</w:t>
      </w:r>
      <w:r>
        <w:rPr>
          <w:sz w:val="20"/>
          <w:szCs w:val="20"/>
          <w:color w:val="auto"/>
        </w:rPr>
        <w:tab/>
      </w:r>
      <w:hyperlink r:id="rId38">
        <w:r>
          <w:rPr>
            <w:rFonts w:ascii="Arial" w:cs="Arial" w:eastAsia="Arial" w:hAnsi="Arial"/>
            <w:sz w:val="17"/>
            <w:szCs w:val="17"/>
            <w:u w:val="single" w:color="auto"/>
            <w:color w:val="0000FF"/>
          </w:rPr>
          <w:t>Form of Notice of Stock Option Award for grants to persons other than directors pursuant to the Activision Blizzard, Inc. 2008 Incentive Plan</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(effective as of November 12, 2008) (incorporated by reference to Exhibit 10.45 of the Company’s Form 10-K for the year ended</w:t>
        </w:r>
      </w:hyperlink>
      <w:r>
        <w:rPr>
          <w:rFonts w:ascii="Arial" w:cs="Arial" w:eastAsia="Arial" w:hAnsi="Arial"/>
          <w:sz w:val="17"/>
          <w:szCs w:val="17"/>
          <w:u w:val="single" w:color="auto"/>
          <w:color w:val="0000FF"/>
        </w:rPr>
        <w:t xml:space="preserve"> </w:t>
      </w:r>
      <w:hyperlink r:id="rId38">
        <w:r>
          <w:rPr>
            <w:rFonts w:ascii="Arial" w:cs="Arial" w:eastAsia="Arial" w:hAnsi="Arial"/>
            <w:sz w:val="17"/>
            <w:szCs w:val="17"/>
            <w:u w:val="single" w:color="auto"/>
            <w:color w:val="0000FF"/>
          </w:rPr>
          <w:t>December 31, 2008).</w:t>
        </w:r>
      </w:hyperlink>
    </w:p>
    <w:p>
      <w:pPr>
        <w:spacing w:after="0" w:line="23" w:lineRule="exact"/>
        <w:rPr>
          <w:rFonts w:ascii="Arial" w:cs="Arial" w:eastAsia="Arial" w:hAnsi="Arial"/>
          <w:sz w:val="17"/>
          <w:szCs w:val="17"/>
          <w:u w:val="single" w:color="auto"/>
          <w:color w:val="0000FF"/>
        </w:rPr>
      </w:pPr>
    </w:p>
    <w:p>
      <w:pPr>
        <w:ind w:left="1740" w:right="360" w:hanging="636"/>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10.6*</w:t>
      </w:r>
      <w:r>
        <w:rPr>
          <w:sz w:val="20"/>
          <w:szCs w:val="20"/>
          <w:color w:val="auto"/>
        </w:rPr>
        <w:tab/>
      </w:r>
      <w:hyperlink r:id="rId39">
        <w:r>
          <w:rPr>
            <w:rFonts w:ascii="Arial" w:cs="Arial" w:eastAsia="Arial" w:hAnsi="Arial"/>
            <w:sz w:val="17"/>
            <w:szCs w:val="17"/>
            <w:u w:val="single" w:color="auto"/>
            <w:color w:val="0000FF"/>
          </w:rPr>
          <w:t>Form of Notice of Stock Option Award for grants to unaffiliated directors pursuant to the Activision Blizzard, Inc. 2008 Incentive Plan</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(effective as of March 6, 2013) (incorporated by reference to Exhibit 10.5 of the Company’s Form 10-Q for the quarter ended March 31,</w:t>
        </w:r>
      </w:hyperlink>
      <w:r>
        <w:rPr>
          <w:rFonts w:ascii="Arial" w:cs="Arial" w:eastAsia="Arial" w:hAnsi="Arial"/>
          <w:sz w:val="17"/>
          <w:szCs w:val="17"/>
          <w:u w:val="single" w:color="auto"/>
          <w:color w:val="0000FF"/>
        </w:rPr>
        <w:t xml:space="preserve"> </w:t>
      </w:r>
      <w:hyperlink r:id="rId39">
        <w:r>
          <w:rPr>
            <w:rFonts w:ascii="Arial" w:cs="Arial" w:eastAsia="Arial" w:hAnsi="Arial"/>
            <w:sz w:val="17"/>
            <w:szCs w:val="17"/>
            <w:u w:val="single" w:color="auto"/>
            <w:color w:val="0000FF"/>
          </w:rPr>
          <w:t>2013).</w:t>
        </w:r>
      </w:hyperlink>
    </w:p>
    <w:p>
      <w:pPr>
        <w:spacing w:after="0" w:line="23" w:lineRule="exact"/>
        <w:rPr>
          <w:rFonts w:ascii="Arial" w:cs="Arial" w:eastAsia="Arial" w:hAnsi="Arial"/>
          <w:sz w:val="17"/>
          <w:szCs w:val="17"/>
          <w:u w:val="single" w:color="auto"/>
          <w:color w:val="0000FF"/>
        </w:rPr>
      </w:pPr>
    </w:p>
    <w:p>
      <w:pPr>
        <w:ind w:left="1740" w:hanging="636"/>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10.7*</w:t>
      </w:r>
      <w:r>
        <w:rPr>
          <w:sz w:val="20"/>
          <w:szCs w:val="20"/>
          <w:color w:val="auto"/>
        </w:rPr>
        <w:tab/>
      </w:r>
      <w:hyperlink r:id="rId40">
        <w:r>
          <w:rPr>
            <w:rFonts w:ascii="Arial" w:cs="Arial" w:eastAsia="Arial" w:hAnsi="Arial"/>
            <w:sz w:val="17"/>
            <w:szCs w:val="17"/>
            <w:u w:val="single" w:color="auto"/>
            <w:color w:val="0000FF"/>
          </w:rPr>
          <w:t>Form of Notice of Stock Option Award for grants to persons other than directors pursuant to the Activision Blizzard, Inc. 2008 Incentive Plan</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(effective as of March 6, 2013) (incorporated by reference to Exhibit 10.6 of the Company’s Form10-Q for the quarter ended March 31,</w:t>
        </w:r>
      </w:hyperlink>
      <w:r>
        <w:rPr>
          <w:rFonts w:ascii="Arial" w:cs="Arial" w:eastAsia="Arial" w:hAnsi="Arial"/>
          <w:sz w:val="17"/>
          <w:szCs w:val="17"/>
          <w:u w:val="single" w:color="auto"/>
          <w:color w:val="0000FF"/>
        </w:rPr>
        <w:t xml:space="preserve"> </w:t>
      </w:r>
      <w:hyperlink r:id="rId40">
        <w:r>
          <w:rPr>
            <w:rFonts w:ascii="Arial" w:cs="Arial" w:eastAsia="Arial" w:hAnsi="Arial"/>
            <w:sz w:val="17"/>
            <w:szCs w:val="17"/>
            <w:u w:val="single" w:color="auto"/>
            <w:color w:val="0000FF"/>
          </w:rPr>
          <w:t>2013).</w:t>
        </w:r>
      </w:hyperlink>
    </w:p>
    <w:p>
      <w:pPr>
        <w:spacing w:after="0" w:line="23" w:lineRule="exact"/>
        <w:rPr>
          <w:rFonts w:ascii="Arial" w:cs="Arial" w:eastAsia="Arial" w:hAnsi="Arial"/>
          <w:sz w:val="17"/>
          <w:szCs w:val="17"/>
          <w:u w:val="single" w:color="auto"/>
          <w:color w:val="0000FF"/>
        </w:rPr>
      </w:pPr>
    </w:p>
    <w:p>
      <w:pPr>
        <w:ind w:left="1740" w:right="80" w:hanging="636"/>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10.8*</w:t>
      </w:r>
      <w:r>
        <w:rPr>
          <w:sz w:val="20"/>
          <w:szCs w:val="20"/>
          <w:color w:val="auto"/>
        </w:rPr>
        <w:tab/>
      </w:r>
      <w:hyperlink r:id="rId41">
        <w:r>
          <w:rPr>
            <w:rFonts w:ascii="Arial" w:cs="Arial" w:eastAsia="Arial" w:hAnsi="Arial"/>
            <w:sz w:val="17"/>
            <w:szCs w:val="17"/>
            <w:u w:val="single" w:color="auto"/>
            <w:color w:val="0000FF"/>
          </w:rPr>
          <w:t>Form of Notice of Stock Option Award for grants pursuant to the Activision Blizzard, Inc. 2014 Incentive Plan (effective as of June 5, 2014)</w:t>
        </w:r>
      </w:hyperlink>
      <w:r>
        <w:rPr>
          <w:rFonts w:ascii="Arial" w:cs="Arial" w:eastAsia="Arial" w:hAnsi="Arial"/>
          <w:sz w:val="17"/>
          <w:szCs w:val="17"/>
          <w:u w:val="single" w:color="auto"/>
          <w:color w:val="0000FF"/>
        </w:rPr>
        <w:t xml:space="preserve"> </w:t>
      </w:r>
      <w:hyperlink r:id="rId41">
        <w:r>
          <w:rPr>
            <w:rFonts w:ascii="Arial" w:cs="Arial" w:eastAsia="Arial" w:hAnsi="Arial"/>
            <w:sz w:val="17"/>
            <w:szCs w:val="17"/>
            <w:u w:val="single" w:color="auto"/>
            <w:color w:val="0000FF"/>
          </w:rPr>
          <w:t>(incorporated by reference to Exhibit 10.1 of the Company’s Form 10-Q for the quarter ended June 30, 2014).</w:t>
        </w:r>
      </w:hyperlink>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E-1</w:t>
      </w:r>
    </w:p>
    <w:p>
      <w:pPr>
        <w:sectPr>
          <w:pgSz w:w="11900" w:h="16838" w:orient="portrait"/>
          <w:cols w:equalWidth="0" w:num="1">
            <w:col w:w="11380"/>
          </w:cols>
          <w:pgMar w:left="240" w:top="127" w:right="27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0"/>
        <w:spacing w:after="0"/>
        <w:tabs>
          <w:tab w:leader="none" w:pos="63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1" w:lineRule="exact"/>
        <w:rPr>
          <w:sz w:val="20"/>
          <w:szCs w:val="20"/>
          <w:color w:val="auto"/>
        </w:rPr>
      </w:pPr>
    </w:p>
    <w:p>
      <w:pPr>
        <w:ind w:left="1740" w:hanging="636"/>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10.9*</w:t>
      </w:r>
      <w:r>
        <w:rPr>
          <w:sz w:val="20"/>
          <w:szCs w:val="20"/>
          <w:color w:val="auto"/>
        </w:rPr>
        <w:tab/>
      </w:r>
      <w:hyperlink r:id="rId43">
        <w:r>
          <w:rPr>
            <w:rFonts w:ascii="Arial" w:cs="Arial" w:eastAsia="Arial" w:hAnsi="Arial"/>
            <w:sz w:val="17"/>
            <w:szCs w:val="17"/>
            <w:u w:val="single" w:color="auto"/>
            <w:color w:val="0000FF"/>
          </w:rPr>
          <w:t>Form of Notice of Restricted Share Unit Award for grants to persons other than non-affiliated directors pursuant to the Activision Blizzard,</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Inc. 2014 Incentive Plan (effective as of June 5, 2014) (incorporated by reference to Exhibit 10.2 of the Company’s Form 10-Q for the quarter</w:t>
        </w:r>
      </w:hyperlink>
      <w:r>
        <w:rPr>
          <w:rFonts w:ascii="Arial" w:cs="Arial" w:eastAsia="Arial" w:hAnsi="Arial"/>
          <w:sz w:val="17"/>
          <w:szCs w:val="17"/>
          <w:u w:val="single" w:color="auto"/>
          <w:color w:val="0000FF"/>
        </w:rPr>
        <w:t xml:space="preserve"> </w:t>
      </w:r>
      <w:hyperlink r:id="rId43">
        <w:r>
          <w:rPr>
            <w:rFonts w:ascii="Arial" w:cs="Arial" w:eastAsia="Arial" w:hAnsi="Arial"/>
            <w:sz w:val="17"/>
            <w:szCs w:val="17"/>
            <w:u w:val="single" w:color="auto"/>
            <w:color w:val="0000FF"/>
          </w:rPr>
          <w:t>ended June 30, 2014).</w:t>
        </w:r>
      </w:hyperlink>
    </w:p>
    <w:p>
      <w:pPr>
        <w:spacing w:after="0" w:line="23" w:lineRule="exact"/>
        <w:rPr>
          <w:rFonts w:ascii="Arial" w:cs="Arial" w:eastAsia="Arial" w:hAnsi="Arial"/>
          <w:sz w:val="17"/>
          <w:szCs w:val="17"/>
          <w:u w:val="single" w:color="auto"/>
          <w:color w:val="0000FF"/>
        </w:rPr>
      </w:pPr>
    </w:p>
    <w:p>
      <w:pPr>
        <w:ind w:left="1740" w:right="80" w:hanging="721"/>
        <w:spacing w:after="0" w:line="319" w:lineRule="auto"/>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10.10*</w:t>
      </w:r>
      <w:r>
        <w:rPr>
          <w:sz w:val="20"/>
          <w:szCs w:val="20"/>
          <w:color w:val="auto"/>
        </w:rPr>
        <w:tab/>
      </w:r>
      <w:hyperlink r:id="rId44">
        <w:r>
          <w:rPr>
            <w:rFonts w:ascii="Arial" w:cs="Arial" w:eastAsia="Arial" w:hAnsi="Arial"/>
            <w:sz w:val="15"/>
            <w:szCs w:val="15"/>
            <w:u w:val="single" w:color="auto"/>
            <w:color w:val="0000FF"/>
          </w:rPr>
          <w:t>Form of Notice of Performance-Vesting Restricted Share Unit Award for grants pursuant to the Activision Blizzard, Inc. 2014 Incentive Plan</w:t>
        </w:r>
      </w:hyperlink>
      <w:r>
        <w:rPr>
          <w:rFonts w:ascii="Arial" w:cs="Arial" w:eastAsia="Arial" w:hAnsi="Arial"/>
          <w:sz w:val="15"/>
          <w:szCs w:val="15"/>
          <w:u w:val="single" w:color="auto"/>
          <w:color w:val="0000FF"/>
        </w:rPr>
        <w:t xml:space="preserve"> </w:t>
      </w:r>
      <w:hyperlink r:id="rId44">
        <w:r>
          <w:rPr>
            <w:rFonts w:ascii="Arial" w:cs="Arial" w:eastAsia="Arial" w:hAnsi="Arial"/>
            <w:sz w:val="15"/>
            <w:szCs w:val="15"/>
            <w:u w:val="single" w:color="auto"/>
            <w:color w:val="0000FF"/>
          </w:rPr>
          <w:t>(effective as of June 5, 2014) (incorporated by reference to Exhibit 10.4 of the Company’s Form 10-Q for the quarter ended June 30, 2014).</w:t>
        </w:r>
      </w:hyperlink>
    </w:p>
    <w:p>
      <w:pPr>
        <w:ind w:left="104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10.11*</w:t>
      </w:r>
      <w:r>
        <w:rPr>
          <w:sz w:val="20"/>
          <w:szCs w:val="20"/>
          <w:color w:val="auto"/>
        </w:rPr>
        <w:tab/>
      </w:r>
      <w:hyperlink r:id="rId45">
        <w:r>
          <w:rPr>
            <w:rFonts w:ascii="Arial" w:cs="Arial" w:eastAsia="Arial" w:hAnsi="Arial"/>
            <w:sz w:val="15"/>
            <w:szCs w:val="15"/>
            <w:u w:val="single" w:color="auto"/>
            <w:color w:val="0000FF"/>
          </w:rPr>
          <w:t>Form of Notice of Restricted Share Award for grants pursuant to the Activision Blizzard, Inc. 2014 Incentive Plan (effective as of June 5,</w:t>
        </w:r>
      </w:hyperlink>
    </w:p>
    <w:p>
      <w:pPr>
        <w:spacing w:after="0" w:line="20" w:lineRule="exact"/>
        <w:rPr>
          <w:sz w:val="20"/>
          <w:szCs w:val="20"/>
          <w:color w:val="auto"/>
        </w:rPr>
      </w:pPr>
    </w:p>
    <w:p>
      <w:pPr>
        <w:ind w:left="1740"/>
        <w:spacing w:after="0"/>
        <w:rPr>
          <w:rFonts w:ascii="Arial" w:cs="Arial" w:eastAsia="Arial" w:hAnsi="Arial"/>
          <w:sz w:val="17"/>
          <w:szCs w:val="17"/>
          <w:u w:val="single" w:color="auto"/>
          <w:color w:val="0000FF"/>
        </w:rPr>
      </w:pPr>
      <w:hyperlink r:id="rId45">
        <w:r>
          <w:rPr>
            <w:rFonts w:ascii="Arial" w:cs="Arial" w:eastAsia="Arial" w:hAnsi="Arial"/>
            <w:sz w:val="17"/>
            <w:szCs w:val="17"/>
            <w:u w:val="single" w:color="auto"/>
            <w:color w:val="0000FF"/>
          </w:rPr>
          <w:t>2014) (incorporated by reference to Exhibit 10.5 of the Company’s Form 10-Q for the quarter ended June 30, 2014).</w:t>
        </w:r>
      </w:hyperlink>
    </w:p>
    <w:p>
      <w:pPr>
        <w:spacing w:after="0" w:line="48" w:lineRule="exact"/>
        <w:rPr>
          <w:sz w:val="20"/>
          <w:szCs w:val="20"/>
          <w:color w:val="auto"/>
        </w:rPr>
      </w:pPr>
    </w:p>
    <w:p>
      <w:pPr>
        <w:ind w:left="1740" w:right="20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10.12*</w:t>
      </w:r>
      <w:r>
        <w:rPr>
          <w:sz w:val="20"/>
          <w:szCs w:val="20"/>
          <w:color w:val="auto"/>
        </w:rPr>
        <w:tab/>
      </w:r>
      <w:hyperlink r:id="rId46">
        <w:r>
          <w:rPr>
            <w:rFonts w:ascii="Arial" w:cs="Arial" w:eastAsia="Arial" w:hAnsi="Arial"/>
            <w:sz w:val="17"/>
            <w:szCs w:val="17"/>
            <w:u w:val="single" w:color="auto"/>
            <w:color w:val="0000FF"/>
          </w:rPr>
          <w:t>Form of Notice of Restricted Share Unit Award for grants to persons other than non-affiliated directors pursuant to the Activision Blizzard,</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Inc. 2014 Incentive Plan (effective as of July 29, 2014) (incorporated by reference to Exhibit 10.1 of the Company’s Form 10-Q for the</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quarter ended September 30, 2014).</w:t>
        </w:r>
      </w:hyperlink>
    </w:p>
    <w:p>
      <w:pPr>
        <w:spacing w:after="0" w:line="23" w:lineRule="exact"/>
        <w:rPr>
          <w:rFonts w:ascii="Arial" w:cs="Arial" w:eastAsia="Arial" w:hAnsi="Arial"/>
          <w:sz w:val="17"/>
          <w:szCs w:val="17"/>
          <w:u w:val="single" w:color="auto"/>
          <w:color w:val="0000FF"/>
        </w:rPr>
      </w:pPr>
    </w:p>
    <w:p>
      <w:pPr>
        <w:jc w:val="both"/>
        <w:ind w:left="1740" w:right="8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10.13*</w:t>
      </w:r>
      <w:r>
        <w:rPr>
          <w:sz w:val="20"/>
          <w:szCs w:val="20"/>
          <w:color w:val="auto"/>
        </w:rPr>
        <w:tab/>
      </w:r>
      <w:hyperlink r:id="rId47">
        <w:r>
          <w:rPr>
            <w:rFonts w:ascii="Arial" w:cs="Arial" w:eastAsia="Arial" w:hAnsi="Arial"/>
            <w:sz w:val="17"/>
            <w:szCs w:val="17"/>
            <w:u w:val="single" w:color="auto"/>
            <w:color w:val="0000FF"/>
          </w:rPr>
          <w:t>Form of Notice of Restricted Share Unit Award for grants to non-affiliated directors pursuant to the Activision Blizzard, Inc. 2014 Incentive</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Plan (effective as of July 29, 2014) (incorporated by reference to Exhibit 10.2 of the Company’s Form 10-Q for the quarter ended September</w:t>
        </w:r>
      </w:hyperlink>
      <w:r>
        <w:rPr>
          <w:rFonts w:ascii="Arial" w:cs="Arial" w:eastAsia="Arial" w:hAnsi="Arial"/>
          <w:sz w:val="17"/>
          <w:szCs w:val="17"/>
          <w:u w:val="single" w:color="auto"/>
          <w:color w:val="0000FF"/>
        </w:rPr>
        <w:t xml:space="preserve"> </w:t>
      </w:r>
      <w:hyperlink r:id="rId47">
        <w:r>
          <w:rPr>
            <w:rFonts w:ascii="Arial" w:cs="Arial" w:eastAsia="Arial" w:hAnsi="Arial"/>
            <w:sz w:val="17"/>
            <w:szCs w:val="17"/>
            <w:u w:val="single" w:color="auto"/>
            <w:color w:val="0000FF"/>
          </w:rPr>
          <w:t>30, 2014).</w:t>
        </w:r>
      </w:hyperlink>
    </w:p>
    <w:p>
      <w:pPr>
        <w:spacing w:after="0" w:line="23" w:lineRule="exact"/>
        <w:rPr>
          <w:rFonts w:ascii="Arial" w:cs="Arial" w:eastAsia="Arial" w:hAnsi="Arial"/>
          <w:sz w:val="17"/>
          <w:szCs w:val="17"/>
          <w:u w:val="single" w:color="auto"/>
          <w:color w:val="0000FF"/>
        </w:rPr>
      </w:pPr>
    </w:p>
    <w:p>
      <w:pPr>
        <w:ind w:left="1740" w:right="8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10.14*</w:t>
      </w:r>
      <w:r>
        <w:rPr>
          <w:sz w:val="20"/>
          <w:szCs w:val="20"/>
          <w:color w:val="auto"/>
        </w:rPr>
        <w:tab/>
      </w:r>
      <w:hyperlink r:id="rId48">
        <w:r>
          <w:rPr>
            <w:rFonts w:ascii="Arial" w:cs="Arial" w:eastAsia="Arial" w:hAnsi="Arial"/>
            <w:sz w:val="17"/>
            <w:szCs w:val="17"/>
            <w:u w:val="single" w:color="auto"/>
            <w:color w:val="0000FF"/>
          </w:rPr>
          <w:t>Form of Notice of Performance-Vesting Restricted Share Unit Award for grants pursuant to the Activision Blizzard, Inc. 2014 Incentive Plan</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(effective as of July 29, 2014) (incorporated by reference to Exhibit 10.3 of the Company’s Form 10-Q for the quarter ended September 30,</w:t>
        </w:r>
      </w:hyperlink>
      <w:r>
        <w:rPr>
          <w:rFonts w:ascii="Arial" w:cs="Arial" w:eastAsia="Arial" w:hAnsi="Arial"/>
          <w:sz w:val="17"/>
          <w:szCs w:val="17"/>
          <w:u w:val="single" w:color="auto"/>
          <w:color w:val="0000FF"/>
        </w:rPr>
        <w:t xml:space="preserve"> </w:t>
      </w:r>
      <w:hyperlink r:id="rId48">
        <w:r>
          <w:rPr>
            <w:rFonts w:ascii="Arial" w:cs="Arial" w:eastAsia="Arial" w:hAnsi="Arial"/>
            <w:sz w:val="17"/>
            <w:szCs w:val="17"/>
            <w:u w:val="single" w:color="auto"/>
            <w:color w:val="0000FF"/>
          </w:rPr>
          <w:t>2014).</w:t>
        </w:r>
      </w:hyperlink>
    </w:p>
    <w:p>
      <w:pPr>
        <w:spacing w:after="0" w:line="23" w:lineRule="exact"/>
        <w:rPr>
          <w:rFonts w:ascii="Arial" w:cs="Arial" w:eastAsia="Arial" w:hAnsi="Arial"/>
          <w:sz w:val="17"/>
          <w:szCs w:val="17"/>
          <w:u w:val="single" w:color="auto"/>
          <w:color w:val="0000FF"/>
        </w:rPr>
      </w:pPr>
    </w:p>
    <w:p>
      <w:pPr>
        <w:jc w:val="right"/>
        <w:ind w:left="1020" w:right="140"/>
        <w:spacing w:after="0" w:line="319"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10.15*   </w:t>
      </w:r>
      <w:hyperlink r:id="rId49">
        <w:r>
          <w:rPr>
            <w:rFonts w:ascii="Arial" w:cs="Arial" w:eastAsia="Arial" w:hAnsi="Arial"/>
            <w:sz w:val="15"/>
            <w:szCs w:val="15"/>
            <w:u w:val="single" w:color="auto"/>
            <w:color w:val="0000FF"/>
          </w:rPr>
          <w:t>Form of Notice of Stock Option Award for grants to U.S. employees pursuant to the Activision Blizzard, Inc. 2014 Incentive Plan (effective</w:t>
        </w:r>
      </w:hyperlink>
      <w:r>
        <w:rPr>
          <w:rFonts w:ascii="Arial" w:cs="Arial" w:eastAsia="Arial" w:hAnsi="Arial"/>
          <w:sz w:val="15"/>
          <w:szCs w:val="15"/>
          <w:color w:val="auto"/>
        </w:rPr>
        <w:t xml:space="preserve"> </w:t>
      </w:r>
      <w:hyperlink r:id="rId49">
        <w:r>
          <w:rPr>
            <w:rFonts w:ascii="Arial" w:cs="Arial" w:eastAsia="Arial" w:hAnsi="Arial"/>
            <w:sz w:val="15"/>
            <w:szCs w:val="15"/>
            <w:u w:val="single" w:color="auto"/>
            <w:color w:val="0000FF"/>
          </w:rPr>
          <w:t>as of November 1, 2016) (incorporated by reference to Exhibit 10.44 of the Company’s Form 10-K for the year ended December 31, 2016).</w:t>
        </w:r>
      </w:hyperlink>
    </w:p>
    <w:p>
      <w:pPr>
        <w:ind w:left="1740" w:right="22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50">
        <w:r>
          <w:rPr>
            <w:rFonts w:ascii="Arial" w:cs="Arial" w:eastAsia="Arial" w:hAnsi="Arial"/>
            <w:sz w:val="17"/>
            <w:szCs w:val="17"/>
            <w:u w:val="single" w:color="auto"/>
            <w:color w:val="0000FF"/>
          </w:rPr>
          <w:t>Form of Notice of Stock Option Award for grants to non-U.S. employees pursuant to the Activision Blizzard, Inc. 2014 Incentive Plan</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(effective as of November 1, 2016) (incorporated by reference to Exhibit 10.45 of the Company’s Form 10-K for the year ended December</w:t>
        </w:r>
      </w:hyperlink>
      <w:r>
        <w:rPr>
          <w:rFonts w:ascii="Arial" w:cs="Arial" w:eastAsia="Arial" w:hAnsi="Arial"/>
          <w:sz w:val="17"/>
          <w:szCs w:val="17"/>
          <w:u w:val="single" w:color="auto"/>
          <w:color w:val="0000FF"/>
        </w:rPr>
        <w:t xml:space="preserve"> </w:t>
      </w:r>
      <w:hyperlink r:id="rId50">
        <w:r>
          <w:rPr>
            <w:rFonts w:ascii="Arial" w:cs="Arial" w:eastAsia="Arial" w:hAnsi="Arial"/>
            <w:sz w:val="17"/>
            <w:szCs w:val="17"/>
            <w:u w:val="single" w:color="auto"/>
            <w:color w:val="0000FF"/>
          </w:rPr>
          <w:t>31, 2016).</w:t>
        </w:r>
      </w:hyperlink>
    </w:p>
    <w:p>
      <w:pPr>
        <w:spacing w:after="0" w:line="23" w:lineRule="exact"/>
        <w:rPr>
          <w:rFonts w:ascii="Arial" w:cs="Arial" w:eastAsia="Arial" w:hAnsi="Arial"/>
          <w:sz w:val="17"/>
          <w:szCs w:val="17"/>
          <w:u w:val="single" w:color="auto"/>
          <w:color w:val="0000FF"/>
        </w:rPr>
      </w:pPr>
    </w:p>
    <w:p>
      <w:pPr>
        <w:ind w:left="1740" w:right="30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10.17*</w:t>
      </w:r>
      <w:r>
        <w:rPr>
          <w:sz w:val="20"/>
          <w:szCs w:val="20"/>
          <w:color w:val="auto"/>
        </w:rPr>
        <w:tab/>
      </w:r>
      <w:hyperlink r:id="rId51">
        <w:r>
          <w:rPr>
            <w:rFonts w:ascii="Arial" w:cs="Arial" w:eastAsia="Arial" w:hAnsi="Arial"/>
            <w:sz w:val="17"/>
            <w:szCs w:val="17"/>
            <w:u w:val="single" w:color="auto"/>
            <w:color w:val="0000FF"/>
          </w:rPr>
          <w:t>Form of Notice of Restricted Share Unit Award for grants to non-U.S. employees pursuant to the Activision Blizzard, Inc. 2014 Incentive</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Plan (effective as of November 1, 2016) (incorporated by reference to Exhibit 10.46 of the Company’s Form 10-K for the year ended</w:t>
        </w:r>
      </w:hyperlink>
      <w:r>
        <w:rPr>
          <w:rFonts w:ascii="Arial" w:cs="Arial" w:eastAsia="Arial" w:hAnsi="Arial"/>
          <w:sz w:val="17"/>
          <w:szCs w:val="17"/>
          <w:u w:val="single" w:color="auto"/>
          <w:color w:val="0000FF"/>
        </w:rPr>
        <w:t xml:space="preserve"> </w:t>
      </w:r>
      <w:hyperlink r:id="rId51">
        <w:r>
          <w:rPr>
            <w:rFonts w:ascii="Arial" w:cs="Arial" w:eastAsia="Arial" w:hAnsi="Arial"/>
            <w:sz w:val="17"/>
            <w:szCs w:val="17"/>
            <w:u w:val="single" w:color="auto"/>
            <w:color w:val="0000FF"/>
          </w:rPr>
          <w:t>December 31, 2016).</w:t>
        </w:r>
      </w:hyperlink>
    </w:p>
    <w:p>
      <w:pPr>
        <w:spacing w:after="0" w:line="23" w:lineRule="exact"/>
        <w:rPr>
          <w:rFonts w:ascii="Arial" w:cs="Arial" w:eastAsia="Arial" w:hAnsi="Arial"/>
          <w:sz w:val="17"/>
          <w:szCs w:val="17"/>
          <w:u w:val="single" w:color="auto"/>
          <w:color w:val="0000FF"/>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10.18*</w:t>
      </w:r>
      <w:r>
        <w:rPr>
          <w:sz w:val="20"/>
          <w:szCs w:val="20"/>
          <w:color w:val="auto"/>
        </w:rPr>
        <w:tab/>
      </w:r>
      <w:hyperlink r:id="rId52">
        <w:r>
          <w:rPr>
            <w:rFonts w:ascii="Arial" w:cs="Arial" w:eastAsia="Arial" w:hAnsi="Arial"/>
            <w:sz w:val="15"/>
            <w:szCs w:val="15"/>
            <w:u w:val="single" w:color="auto"/>
            <w:color w:val="0000FF"/>
          </w:rPr>
          <w:t>Form of Notice of Stock Option Award for grants pursuant to the Activision Blizzard, Inc. 2014 Incentive Plan (effective as of March 2,</w:t>
        </w:r>
      </w:hyperlink>
    </w:p>
    <w:p>
      <w:pPr>
        <w:spacing w:after="0" w:line="20" w:lineRule="exact"/>
        <w:rPr>
          <w:rFonts w:ascii="Arial" w:cs="Arial" w:eastAsia="Arial" w:hAnsi="Arial"/>
          <w:sz w:val="17"/>
          <w:szCs w:val="17"/>
          <w:u w:val="single" w:color="auto"/>
          <w:color w:val="0000FF"/>
        </w:rPr>
      </w:pPr>
    </w:p>
    <w:p>
      <w:pPr>
        <w:ind w:left="1740"/>
        <w:spacing w:after="0"/>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2017) (incorporated by reference to Exhibit 10.2 of the Company’s Form 10-Q for the quarter ended March 31, 2017).</w:t>
        </w:r>
      </w:hyperlink>
    </w:p>
    <w:p>
      <w:pPr>
        <w:spacing w:after="0" w:line="48" w:lineRule="exact"/>
        <w:rPr>
          <w:rFonts w:ascii="Arial" w:cs="Arial" w:eastAsia="Arial" w:hAnsi="Arial"/>
          <w:sz w:val="17"/>
          <w:szCs w:val="17"/>
          <w:u w:val="single" w:color="auto"/>
          <w:color w:val="0000FF"/>
        </w:rPr>
      </w:pPr>
    </w:p>
    <w:p>
      <w:pPr>
        <w:ind w:left="1740" w:right="8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10.19*</w:t>
      </w:r>
      <w:r>
        <w:rPr>
          <w:sz w:val="20"/>
          <w:szCs w:val="20"/>
          <w:color w:val="auto"/>
        </w:rPr>
        <w:tab/>
      </w:r>
      <w:hyperlink r:id="rId53">
        <w:r>
          <w:rPr>
            <w:rFonts w:ascii="Arial" w:cs="Arial" w:eastAsia="Arial" w:hAnsi="Arial"/>
            <w:sz w:val="17"/>
            <w:szCs w:val="17"/>
            <w:u w:val="single" w:color="auto"/>
            <w:color w:val="0000FF"/>
          </w:rPr>
          <w:t>Form of Notice of Performance-Vesting Restricted Share Unit Award for grants pursuant to the Activision Blizzard, Inc. 2014 Incentive Plan</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(effective as of March 2, 2017) (incorporated by reference to Exhibit 10.3 of the Company’s Form 10-Q for the quarter ended March 31,</w:t>
        </w:r>
      </w:hyperlink>
      <w:r>
        <w:rPr>
          <w:rFonts w:ascii="Arial" w:cs="Arial" w:eastAsia="Arial" w:hAnsi="Arial"/>
          <w:sz w:val="17"/>
          <w:szCs w:val="17"/>
          <w:u w:val="single" w:color="auto"/>
          <w:color w:val="0000FF"/>
        </w:rPr>
        <w:t xml:space="preserve"> </w:t>
      </w:r>
      <w:hyperlink r:id="rId53">
        <w:r>
          <w:rPr>
            <w:rFonts w:ascii="Arial" w:cs="Arial" w:eastAsia="Arial" w:hAnsi="Arial"/>
            <w:sz w:val="17"/>
            <w:szCs w:val="17"/>
            <w:u w:val="single" w:color="auto"/>
            <w:color w:val="0000FF"/>
          </w:rPr>
          <w:t>2017).</w:t>
        </w:r>
      </w:hyperlink>
    </w:p>
    <w:p>
      <w:pPr>
        <w:spacing w:after="0" w:line="23" w:lineRule="exact"/>
        <w:rPr>
          <w:rFonts w:ascii="Arial" w:cs="Arial" w:eastAsia="Arial" w:hAnsi="Arial"/>
          <w:sz w:val="17"/>
          <w:szCs w:val="17"/>
          <w:u w:val="single" w:color="auto"/>
          <w:color w:val="0000FF"/>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10.20*</w:t>
      </w:r>
      <w:r>
        <w:rPr>
          <w:sz w:val="20"/>
          <w:szCs w:val="20"/>
          <w:color w:val="auto"/>
        </w:rPr>
        <w:tab/>
      </w:r>
      <w:hyperlink r:id="rId54">
        <w:r>
          <w:rPr>
            <w:rFonts w:ascii="Arial" w:cs="Arial" w:eastAsia="Arial" w:hAnsi="Arial"/>
            <w:sz w:val="15"/>
            <w:szCs w:val="15"/>
            <w:u w:val="single" w:color="auto"/>
            <w:color w:val="0000FF"/>
          </w:rPr>
          <w:t>Form of Notice of Stock Option Award for grants pursuant to the Activision Blizzard, Inc. 2014 Incentive Plan (effective as of October 26,</w:t>
        </w:r>
      </w:hyperlink>
    </w:p>
    <w:p>
      <w:pPr>
        <w:spacing w:after="0" w:line="20" w:lineRule="exact"/>
        <w:rPr>
          <w:rFonts w:ascii="Arial" w:cs="Arial" w:eastAsia="Arial" w:hAnsi="Arial"/>
          <w:sz w:val="17"/>
          <w:szCs w:val="17"/>
          <w:u w:val="single" w:color="auto"/>
          <w:color w:val="0000FF"/>
        </w:rPr>
      </w:pPr>
    </w:p>
    <w:p>
      <w:pPr>
        <w:ind w:left="1740"/>
        <w:spacing w:after="0"/>
        <w:rPr>
          <w:rFonts w:ascii="Arial" w:cs="Arial" w:eastAsia="Arial" w:hAnsi="Arial"/>
          <w:sz w:val="17"/>
          <w:szCs w:val="17"/>
          <w:u w:val="single" w:color="auto"/>
          <w:color w:val="0000FF"/>
        </w:rPr>
      </w:pPr>
      <w:hyperlink r:id="rId54">
        <w:r>
          <w:rPr>
            <w:rFonts w:ascii="Arial" w:cs="Arial" w:eastAsia="Arial" w:hAnsi="Arial"/>
            <w:sz w:val="17"/>
            <w:szCs w:val="17"/>
            <w:u w:val="single" w:color="auto"/>
            <w:color w:val="0000FF"/>
          </w:rPr>
          <w:t>2018) (incorporated by reference to Exhibit 10.21 of the Company’s Form 10-K for the year ended December 31, 2018).</w:t>
        </w:r>
      </w:hyperlink>
    </w:p>
    <w:p>
      <w:pPr>
        <w:spacing w:after="0" w:line="48" w:lineRule="exact"/>
        <w:rPr>
          <w:rFonts w:ascii="Arial" w:cs="Arial" w:eastAsia="Arial" w:hAnsi="Arial"/>
          <w:sz w:val="17"/>
          <w:szCs w:val="17"/>
          <w:u w:val="single" w:color="auto"/>
          <w:color w:val="0000FF"/>
        </w:rPr>
      </w:pPr>
    </w:p>
    <w:p>
      <w:pPr>
        <w:jc w:val="both"/>
        <w:ind w:left="1740" w:right="80" w:hanging="721"/>
        <w:spacing w:after="0" w:line="262"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10.21*</w:t>
      </w:r>
      <w:r>
        <w:rPr>
          <w:sz w:val="20"/>
          <w:szCs w:val="20"/>
          <w:color w:val="auto"/>
        </w:rPr>
        <w:tab/>
      </w:r>
      <w:hyperlink r:id="rId55">
        <w:r>
          <w:rPr>
            <w:rFonts w:ascii="Arial" w:cs="Arial" w:eastAsia="Arial" w:hAnsi="Arial"/>
            <w:sz w:val="17"/>
            <w:szCs w:val="17"/>
            <w:u w:val="single" w:color="auto"/>
            <w:color w:val="0000FF"/>
          </w:rPr>
          <w:t>Form of Notice of Performance-Vesting Restricted Share Unit Award for grants pursuant to the Activision Blizzard, Inc. 2014 Incentive Plan</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(effective as of November 26, 2018) (incorporated by reference to Exhibit 10.20 of the Company’s Form 10-K for the year ended December</w:t>
        </w:r>
      </w:hyperlink>
      <w:r>
        <w:rPr>
          <w:rFonts w:ascii="Arial" w:cs="Arial" w:eastAsia="Arial" w:hAnsi="Arial"/>
          <w:sz w:val="17"/>
          <w:szCs w:val="17"/>
          <w:u w:val="single" w:color="auto"/>
          <w:color w:val="0000FF"/>
        </w:rPr>
        <w:t xml:space="preserve"> </w:t>
      </w:r>
      <w:hyperlink r:id="rId55">
        <w:r>
          <w:rPr>
            <w:rFonts w:ascii="Arial" w:cs="Arial" w:eastAsia="Arial" w:hAnsi="Arial"/>
            <w:sz w:val="17"/>
            <w:szCs w:val="17"/>
            <w:u w:val="single" w:color="auto"/>
            <w:color w:val="0000FF"/>
          </w:rPr>
          <w:t>31, 2018).</w:t>
        </w:r>
      </w:hyperlink>
    </w:p>
    <w:p>
      <w:pPr>
        <w:spacing w:after="0" w:line="23" w:lineRule="exact"/>
        <w:rPr>
          <w:rFonts w:ascii="Arial" w:cs="Arial" w:eastAsia="Arial" w:hAnsi="Arial"/>
          <w:sz w:val="17"/>
          <w:szCs w:val="17"/>
          <w:u w:val="single" w:color="auto"/>
          <w:color w:val="0000FF"/>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10.22*</w:t>
      </w:r>
      <w:r>
        <w:rPr>
          <w:sz w:val="20"/>
          <w:szCs w:val="20"/>
          <w:color w:val="auto"/>
        </w:rPr>
        <w:tab/>
      </w:r>
      <w:hyperlink w:anchor="page131">
        <w:r>
          <w:rPr>
            <w:rFonts w:ascii="Arial" w:cs="Arial" w:eastAsia="Arial" w:hAnsi="Arial"/>
            <w:sz w:val="15"/>
            <w:szCs w:val="15"/>
            <w:u w:val="single" w:color="auto"/>
            <w:color w:val="0000FF"/>
          </w:rPr>
          <w:t>Form of Notice of Stock Option Award for grants pursuant to the Activision Blizzard, Inc. 2014 Incentive Plan (effective as of November 4,</w:t>
        </w:r>
      </w:hyperlink>
    </w:p>
    <w:p>
      <w:pPr>
        <w:spacing w:after="0" w:line="20" w:lineRule="exact"/>
        <w:rPr>
          <w:rFonts w:ascii="Arial" w:cs="Arial" w:eastAsia="Arial" w:hAnsi="Arial"/>
          <w:sz w:val="17"/>
          <w:szCs w:val="17"/>
          <w:u w:val="single" w:color="auto"/>
          <w:color w:val="0000FF"/>
        </w:rPr>
      </w:pPr>
    </w:p>
    <w:p>
      <w:pPr>
        <w:ind w:left="1740"/>
        <w:spacing w:after="0"/>
        <w:rPr>
          <w:rFonts w:ascii="Arial" w:cs="Arial" w:eastAsia="Arial" w:hAnsi="Arial"/>
          <w:sz w:val="17"/>
          <w:szCs w:val="17"/>
          <w:u w:val="single" w:color="auto"/>
          <w:color w:val="0000FF"/>
        </w:rPr>
      </w:pPr>
      <w:hyperlink w:anchor="page131">
        <w:r>
          <w:rPr>
            <w:rFonts w:ascii="Arial" w:cs="Arial" w:eastAsia="Arial" w:hAnsi="Arial"/>
            <w:sz w:val="17"/>
            <w:szCs w:val="17"/>
            <w:u w:val="single" w:color="auto"/>
            <w:color w:val="0000FF"/>
          </w:rPr>
          <w:t>2019).</w:t>
        </w:r>
      </w:hyperlink>
    </w:p>
    <w:p>
      <w:pPr>
        <w:spacing w:after="0" w:line="48" w:lineRule="exact"/>
        <w:rPr>
          <w:rFonts w:ascii="Arial" w:cs="Arial" w:eastAsia="Arial" w:hAnsi="Arial"/>
          <w:sz w:val="17"/>
          <w:szCs w:val="17"/>
          <w:u w:val="single" w:color="auto"/>
          <w:color w:val="0000FF"/>
        </w:rPr>
      </w:pPr>
    </w:p>
    <w:p>
      <w:pPr>
        <w:ind w:left="1740" w:right="80" w:hanging="721"/>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10.23*</w:t>
      </w:r>
      <w:r>
        <w:rPr>
          <w:sz w:val="20"/>
          <w:szCs w:val="20"/>
          <w:color w:val="auto"/>
        </w:rPr>
        <w:tab/>
      </w:r>
      <w:hyperlink w:anchor="page146">
        <w:r>
          <w:rPr>
            <w:rFonts w:ascii="Arial" w:cs="Arial" w:eastAsia="Arial" w:hAnsi="Arial"/>
            <w:sz w:val="17"/>
            <w:szCs w:val="17"/>
            <w:u w:val="single" w:color="auto"/>
            <w:color w:val="0000FF"/>
          </w:rPr>
          <w:t>Form of Notice of Performance-Vesting Restricted Share Unit Award for grants pursuant to the Activision Blizzard, Inc. 2014 Incentive Plan</w:t>
        </w:r>
      </w:hyperlink>
      <w:r>
        <w:rPr>
          <w:rFonts w:ascii="Arial" w:cs="Arial" w:eastAsia="Arial" w:hAnsi="Arial"/>
          <w:sz w:val="17"/>
          <w:szCs w:val="17"/>
          <w:u w:val="single" w:color="auto"/>
          <w:color w:val="0000FF"/>
        </w:rPr>
        <w:t xml:space="preserve"> </w:t>
      </w:r>
      <w:hyperlink w:anchor="page146">
        <w:r>
          <w:rPr>
            <w:rFonts w:ascii="Arial" w:cs="Arial" w:eastAsia="Arial" w:hAnsi="Arial"/>
            <w:sz w:val="17"/>
            <w:szCs w:val="17"/>
            <w:u w:val="single" w:color="auto"/>
            <w:color w:val="0000FF"/>
          </w:rPr>
          <w:t>(effective as of November 4, 2019).</w:t>
        </w:r>
      </w:hyperlink>
    </w:p>
    <w:p>
      <w:pPr>
        <w:spacing w:after="0" w:line="13" w:lineRule="exact"/>
        <w:rPr>
          <w:sz w:val="20"/>
          <w:szCs w:val="20"/>
          <w:color w:val="auto"/>
        </w:rPr>
      </w:pPr>
    </w:p>
    <w:p>
      <w:pPr>
        <w:ind w:left="1740" w:right="220" w:hanging="721"/>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10.24*</w:t>
      </w:r>
      <w:r>
        <w:rPr>
          <w:sz w:val="20"/>
          <w:szCs w:val="20"/>
          <w:color w:val="auto"/>
        </w:rPr>
        <w:tab/>
      </w:r>
      <w:hyperlink r:id="rId56">
        <w:r>
          <w:rPr>
            <w:rFonts w:ascii="Arial" w:cs="Arial" w:eastAsia="Arial" w:hAnsi="Arial"/>
            <w:sz w:val="17"/>
            <w:szCs w:val="17"/>
            <w:u w:val="single" w:color="auto"/>
            <w:color w:val="0000FF"/>
          </w:rPr>
          <w:t>Amended and Restated CEO Recognition Program (incorporated by reference to Exhibit 10.6 of the Company’s Form 10-Q for the quarter</w:t>
        </w:r>
      </w:hyperlink>
      <w:r>
        <w:rPr>
          <w:rFonts w:ascii="Arial" w:cs="Arial" w:eastAsia="Arial" w:hAnsi="Arial"/>
          <w:sz w:val="17"/>
          <w:szCs w:val="17"/>
          <w:u w:val="single" w:color="auto"/>
          <w:color w:val="0000FF"/>
        </w:rPr>
        <w:t xml:space="preserve"> </w:t>
      </w:r>
      <w:hyperlink r:id="rId56">
        <w:r>
          <w:rPr>
            <w:rFonts w:ascii="Arial" w:cs="Arial" w:eastAsia="Arial" w:hAnsi="Arial"/>
            <w:sz w:val="17"/>
            <w:szCs w:val="17"/>
            <w:u w:val="single" w:color="auto"/>
            <w:color w:val="0000FF"/>
          </w:rPr>
          <w:t>ended June 30, 2014).</w:t>
        </w:r>
      </w:hyperlink>
    </w:p>
    <w:p>
      <w:pPr>
        <w:spacing w:after="0" w:line="13" w:lineRule="exact"/>
        <w:rPr>
          <w:sz w:val="20"/>
          <w:szCs w:val="20"/>
          <w:color w:val="auto"/>
        </w:rPr>
      </w:pPr>
    </w:p>
    <w:p>
      <w:pPr>
        <w:ind w:left="1740" w:right="260" w:hanging="721"/>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10.25*</w:t>
      </w:r>
      <w:r>
        <w:rPr>
          <w:sz w:val="20"/>
          <w:szCs w:val="20"/>
          <w:color w:val="auto"/>
        </w:rPr>
        <w:tab/>
      </w:r>
      <w:hyperlink r:id="rId57">
        <w:r>
          <w:rPr>
            <w:rFonts w:ascii="Arial" w:cs="Arial" w:eastAsia="Arial" w:hAnsi="Arial"/>
            <w:sz w:val="17"/>
            <w:szCs w:val="17"/>
            <w:u w:val="single" w:color="auto"/>
            <w:color w:val="0000FF"/>
          </w:rPr>
          <w:t>Activision Blizzard, Inc. Corporate Annual Incentive Plan (incorporated by reference to Exhibit 10.1 of the Company’s Form 10-Q for the</w:t>
        </w:r>
      </w:hyperlink>
      <w:r>
        <w:rPr>
          <w:rFonts w:ascii="Arial" w:cs="Arial" w:eastAsia="Arial" w:hAnsi="Arial"/>
          <w:sz w:val="17"/>
          <w:szCs w:val="17"/>
          <w:u w:val="single" w:color="auto"/>
          <w:color w:val="0000FF"/>
        </w:rPr>
        <w:t xml:space="preserve"> </w:t>
      </w:r>
      <w:hyperlink r:id="rId57">
        <w:r>
          <w:rPr>
            <w:rFonts w:ascii="Arial" w:cs="Arial" w:eastAsia="Arial" w:hAnsi="Arial"/>
            <w:sz w:val="17"/>
            <w:szCs w:val="17"/>
            <w:u w:val="single" w:color="auto"/>
            <w:color w:val="0000FF"/>
          </w:rPr>
          <w:t>quarter ended September 30, 2015).</w:t>
        </w:r>
      </w:hyperlink>
    </w:p>
    <w:p>
      <w:pPr>
        <w:spacing w:after="0" w:line="13" w:lineRule="exact"/>
        <w:rPr>
          <w:sz w:val="20"/>
          <w:szCs w:val="20"/>
          <w:color w:val="auto"/>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10.26*</w:t>
      </w:r>
      <w:r>
        <w:rPr>
          <w:sz w:val="20"/>
          <w:szCs w:val="20"/>
          <w:color w:val="auto"/>
        </w:rPr>
        <w:tab/>
      </w:r>
      <w:hyperlink r:id="rId58">
        <w:r>
          <w:rPr>
            <w:rFonts w:ascii="Arial" w:cs="Arial" w:eastAsia="Arial" w:hAnsi="Arial"/>
            <w:sz w:val="15"/>
            <w:szCs w:val="15"/>
            <w:u w:val="single" w:color="auto"/>
            <w:color w:val="0000FF"/>
          </w:rPr>
          <w:t>Employment Agreement, dated as of November 1, 2016, between Chris B. Walther and the Company (incorporated by reference to Exhibit</w:t>
        </w:r>
      </w:hyperlink>
    </w:p>
    <w:p>
      <w:pPr>
        <w:spacing w:after="0" w:line="20" w:lineRule="exact"/>
        <w:rPr>
          <w:sz w:val="20"/>
          <w:szCs w:val="20"/>
          <w:color w:val="auto"/>
        </w:rPr>
      </w:pPr>
    </w:p>
    <w:p>
      <w:pPr>
        <w:ind w:left="1740"/>
        <w:spacing w:after="0"/>
        <w:rPr>
          <w:rFonts w:ascii="Arial" w:cs="Arial" w:eastAsia="Arial" w:hAnsi="Arial"/>
          <w:sz w:val="17"/>
          <w:szCs w:val="17"/>
          <w:u w:val="single" w:color="auto"/>
          <w:color w:val="0000FF"/>
        </w:rPr>
      </w:pPr>
      <w:hyperlink r:id="rId58">
        <w:r>
          <w:rPr>
            <w:rFonts w:ascii="Arial" w:cs="Arial" w:eastAsia="Arial" w:hAnsi="Arial"/>
            <w:sz w:val="17"/>
            <w:szCs w:val="17"/>
            <w:u w:val="single" w:color="auto"/>
            <w:color w:val="0000FF"/>
          </w:rPr>
          <w:t>10.2 of the Company’s Form 10-Q for the quartered ended March 31, 2019).</w:t>
        </w:r>
      </w:hyperlink>
    </w:p>
    <w:p>
      <w:pPr>
        <w:spacing w:after="0" w:line="48" w:lineRule="exact"/>
        <w:rPr>
          <w:sz w:val="20"/>
          <w:szCs w:val="20"/>
          <w:color w:val="auto"/>
        </w:rPr>
      </w:pPr>
    </w:p>
    <w:p>
      <w:pPr>
        <w:ind w:left="1740" w:right="120" w:hanging="721"/>
        <w:spacing w:after="0" w:line="274" w:lineRule="auto"/>
        <w:tabs>
          <w:tab w:leader="none" w:pos="1720" w:val="left"/>
        </w:tabs>
        <w:rPr>
          <w:rFonts w:ascii="Arial" w:cs="Arial" w:eastAsia="Arial" w:hAnsi="Arial"/>
          <w:sz w:val="17"/>
          <w:szCs w:val="17"/>
          <w:u w:val="single" w:color="auto"/>
          <w:color w:val="0000FF"/>
        </w:rPr>
      </w:pPr>
      <w:r>
        <w:rPr>
          <w:rFonts w:ascii="Arial" w:cs="Arial" w:eastAsia="Arial" w:hAnsi="Arial"/>
          <w:sz w:val="17"/>
          <w:szCs w:val="17"/>
          <w:color w:val="auto"/>
        </w:rPr>
        <w:t>10.27*</w:t>
      </w:r>
      <w:r>
        <w:rPr>
          <w:sz w:val="20"/>
          <w:szCs w:val="20"/>
          <w:color w:val="auto"/>
        </w:rPr>
        <w:tab/>
      </w:r>
      <w:hyperlink r:id="rId59">
        <w:r>
          <w:rPr>
            <w:rFonts w:ascii="Arial" w:cs="Arial" w:eastAsia="Arial" w:hAnsi="Arial"/>
            <w:sz w:val="17"/>
            <w:szCs w:val="17"/>
            <w:u w:val="single" w:color="auto"/>
            <w:color w:val="0000FF"/>
          </w:rPr>
          <w:t>Employment Agreement, dated February 25, 2019, between Dennis Durkin and the Company (incorporated by reference to Exhibit 10.24 of</w:t>
        </w:r>
      </w:hyperlink>
      <w:r>
        <w:rPr>
          <w:rFonts w:ascii="Arial" w:cs="Arial" w:eastAsia="Arial" w:hAnsi="Arial"/>
          <w:sz w:val="17"/>
          <w:szCs w:val="17"/>
          <w:u w:val="single" w:color="auto"/>
          <w:color w:val="0000FF"/>
        </w:rPr>
        <w:t xml:space="preserve"> </w:t>
      </w:r>
      <w:hyperlink r:id="rId59">
        <w:r>
          <w:rPr>
            <w:rFonts w:ascii="Arial" w:cs="Arial" w:eastAsia="Arial" w:hAnsi="Arial"/>
            <w:sz w:val="17"/>
            <w:szCs w:val="17"/>
            <w:u w:val="single" w:color="auto"/>
            <w:color w:val="0000FF"/>
          </w:rPr>
          <w:t>the Company’s Form 10-K for the year ended December 31, 2018).</w:t>
        </w:r>
      </w:hyperlink>
    </w:p>
    <w:p>
      <w:pPr>
        <w:spacing w:after="0" w:line="13" w:lineRule="exact"/>
        <w:rPr>
          <w:sz w:val="20"/>
          <w:szCs w:val="20"/>
          <w:color w:val="auto"/>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10.28*</w:t>
      </w:r>
      <w:r>
        <w:rPr>
          <w:sz w:val="20"/>
          <w:szCs w:val="20"/>
          <w:color w:val="auto"/>
        </w:rPr>
        <w:tab/>
      </w:r>
      <w:hyperlink r:id="rId60">
        <w:r>
          <w:rPr>
            <w:rFonts w:ascii="Arial" w:cs="Arial" w:eastAsia="Arial" w:hAnsi="Arial"/>
            <w:sz w:val="15"/>
            <w:szCs w:val="15"/>
            <w:u w:val="single" w:color="auto"/>
            <w:color w:val="0000FF"/>
          </w:rPr>
          <w:t>Employment Agreement, dated as of November 22, 2016, between Robert A. Kotick and the Company (incorporated by reference to Exhibit</w:t>
        </w:r>
      </w:hyperlink>
    </w:p>
    <w:p>
      <w:pPr>
        <w:spacing w:after="0" w:line="20" w:lineRule="exact"/>
        <w:rPr>
          <w:sz w:val="20"/>
          <w:szCs w:val="20"/>
          <w:color w:val="auto"/>
        </w:rPr>
      </w:pPr>
    </w:p>
    <w:p>
      <w:pPr>
        <w:ind w:left="1740"/>
        <w:spacing w:after="0"/>
        <w:rPr>
          <w:rFonts w:ascii="Arial" w:cs="Arial" w:eastAsia="Arial" w:hAnsi="Arial"/>
          <w:sz w:val="17"/>
          <w:szCs w:val="17"/>
          <w:u w:val="single" w:color="auto"/>
          <w:color w:val="0000FF"/>
        </w:rPr>
      </w:pPr>
      <w:hyperlink r:id="rId60">
        <w:r>
          <w:rPr>
            <w:rFonts w:ascii="Arial" w:cs="Arial" w:eastAsia="Arial" w:hAnsi="Arial"/>
            <w:sz w:val="17"/>
            <w:szCs w:val="17"/>
            <w:u w:val="single" w:color="auto"/>
            <w:color w:val="0000FF"/>
          </w:rPr>
          <w:t>10.1 of the Company’s Form 8-K, filed November 25, 2016).</w:t>
        </w:r>
      </w:hyperlink>
    </w:p>
    <w:p>
      <w:pPr>
        <w:spacing w:after="0" w:line="48" w:lineRule="exact"/>
        <w:rPr>
          <w:sz w:val="20"/>
          <w:szCs w:val="20"/>
          <w:color w:val="auto"/>
        </w:rPr>
      </w:pPr>
    </w:p>
    <w:p>
      <w:pPr>
        <w:ind w:left="1020"/>
        <w:spacing w:after="0"/>
        <w:tabs>
          <w:tab w:leader="none" w:pos="1720" w:val="left"/>
        </w:tabs>
        <w:rPr>
          <w:rFonts w:ascii="Arial" w:cs="Arial" w:eastAsia="Arial" w:hAnsi="Arial"/>
          <w:sz w:val="15"/>
          <w:szCs w:val="15"/>
          <w:u w:val="single" w:color="auto"/>
          <w:color w:val="0000FF"/>
        </w:rPr>
      </w:pPr>
      <w:r>
        <w:rPr>
          <w:rFonts w:ascii="Arial" w:cs="Arial" w:eastAsia="Arial" w:hAnsi="Arial"/>
          <w:sz w:val="17"/>
          <w:szCs w:val="17"/>
          <w:color w:val="auto"/>
        </w:rPr>
        <w:t>10.29*</w:t>
      </w:r>
      <w:r>
        <w:rPr>
          <w:sz w:val="20"/>
          <w:szCs w:val="20"/>
          <w:color w:val="auto"/>
        </w:rPr>
        <w:tab/>
      </w:r>
      <w:hyperlink r:id="rId61">
        <w:r>
          <w:rPr>
            <w:rFonts w:ascii="Arial" w:cs="Arial" w:eastAsia="Arial" w:hAnsi="Arial"/>
            <w:sz w:val="15"/>
            <w:szCs w:val="15"/>
            <w:u w:val="single" w:color="auto"/>
            <w:color w:val="0000FF"/>
          </w:rPr>
          <w:t>Form of Notice of Performance Share Unit Award to Robert A. Kotick (incorporated by reference to Exhibit 10.26 of the Company’s Form</w:t>
        </w:r>
      </w:hyperlink>
    </w:p>
    <w:p>
      <w:pPr>
        <w:spacing w:after="0" w:line="20" w:lineRule="exact"/>
        <w:rPr>
          <w:sz w:val="20"/>
          <w:szCs w:val="20"/>
          <w:color w:val="auto"/>
        </w:rPr>
      </w:pPr>
    </w:p>
    <w:p>
      <w:pPr>
        <w:ind w:left="1740"/>
        <w:spacing w:after="0"/>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10-K for the year ended December 31, 2018).</w:t>
        </w:r>
      </w:hyperlink>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E-2</w:t>
      </w:r>
    </w:p>
    <w:p>
      <w:pPr>
        <w:sectPr>
          <w:pgSz w:w="11900" w:h="16838" w:orient="portrait"/>
          <w:cols w:equalWidth="0" w:num="1">
            <w:col w:w="11400"/>
          </w:cols>
          <w:pgMar w:left="240" w:top="127" w:right="25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20" w:type="dxa"/>
            <w:vAlign w:val="bottom"/>
            <w:gridSpan w:val="2"/>
          </w:tcPr>
          <w:p>
            <w:pPr>
              <w:ind w:left="34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180" w:type="dxa"/>
            <w:vAlign w:val="bottom"/>
            <w:gridSpan w:val="31"/>
          </w:tcPr>
          <w:p>
            <w:pPr>
              <w:ind w:left="120"/>
              <w:spacing w:after="0"/>
              <w:rPr>
                <w:sz w:val="20"/>
                <w:szCs w:val="20"/>
                <w:color w:val="auto"/>
              </w:rPr>
            </w:pPr>
            <w:r>
              <w:rPr>
                <w:rFonts w:ascii="Arial" w:cs="Arial" w:eastAsia="Arial" w:hAnsi="Arial"/>
                <w:sz w:val="14"/>
                <w:szCs w:val="14"/>
                <w:b w:val="1"/>
                <w:bCs w:val="1"/>
                <w:color w:val="auto"/>
              </w:rPr>
              <w:t>Exhibit</w:t>
            </w:r>
          </w:p>
        </w:tc>
      </w:tr>
      <w:tr>
        <w:trPr>
          <w:trHeight w:val="189"/>
        </w:trPr>
        <w:tc>
          <w:tcPr>
            <w:tcW w:w="1600" w:type="dxa"/>
            <w:vAlign w:val="bottom"/>
            <w:tcBorders>
              <w:top w:val="single" w:sz="8" w:color="auto"/>
            </w:tcBorders>
          </w:tcPr>
          <w:p>
            <w:pPr>
              <w:jc w:val="right"/>
              <w:ind w:right="16"/>
              <w:spacing w:after="0" w:line="189" w:lineRule="exact"/>
              <w:rPr>
                <w:sz w:val="20"/>
                <w:szCs w:val="20"/>
                <w:color w:val="auto"/>
              </w:rPr>
            </w:pPr>
            <w:r>
              <w:rPr>
                <w:rFonts w:ascii="Arial" w:cs="Arial" w:eastAsia="Arial" w:hAnsi="Arial"/>
                <w:sz w:val="17"/>
                <w:szCs w:val="17"/>
                <w:color w:val="auto"/>
              </w:rPr>
              <w:t>10.30*</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500" w:type="dxa"/>
            <w:vAlign w:val="bottom"/>
            <w:tcBorders>
              <w:top w:val="single" w:sz="8" w:color="auto"/>
              <w:bottom w:val="single" w:sz="8" w:color="0000FF"/>
            </w:tcBorders>
            <w:gridSpan w:val="29"/>
          </w:tcPr>
          <w:p>
            <w:pPr>
              <w:spacing w:after="0" w:line="189" w:lineRule="exact"/>
              <w:rPr>
                <w:rFonts w:ascii="Arial" w:cs="Arial" w:eastAsia="Arial" w:hAnsi="Arial"/>
                <w:sz w:val="17"/>
                <w:szCs w:val="17"/>
                <w:color w:val="0000FF"/>
                <w:w w:val="92"/>
              </w:rPr>
            </w:pPr>
            <w:hyperlink r:id="rId62">
              <w:r>
                <w:rPr>
                  <w:rFonts w:ascii="Arial" w:cs="Arial" w:eastAsia="Arial" w:hAnsi="Arial"/>
                  <w:sz w:val="17"/>
                  <w:szCs w:val="17"/>
                  <w:color w:val="0000FF"/>
                  <w:w w:val="92"/>
                </w:rPr>
                <w:t>Form of Notice of 2018 Stock Option Award to Robert A. Kotick (incorporated by reference to Exhibit 10.27 of the Company’s Form 10-K</w:t>
              </w:r>
            </w:hyperlink>
          </w:p>
        </w:tc>
        <w:tc>
          <w:tcPr>
            <w:tcW w:w="180" w:type="dxa"/>
            <w:vAlign w:val="bottom"/>
            <w:tcBorders>
              <w:top w:val="single" w:sz="8" w:color="auto"/>
            </w:tcBorders>
            <w:gridSpan w:val="8"/>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Borders>
              <w:bottom w:val="single" w:sz="8" w:color="0000FF"/>
            </w:tcBorders>
            <w:gridSpan w:val="2"/>
          </w:tcPr>
          <w:p>
            <w:pPr>
              <w:spacing w:after="0" w:line="184" w:lineRule="exact"/>
              <w:rPr>
                <w:rFonts w:ascii="Arial" w:cs="Arial" w:eastAsia="Arial" w:hAnsi="Arial"/>
                <w:sz w:val="17"/>
                <w:szCs w:val="17"/>
                <w:color w:val="0000FF"/>
                <w:w w:val="89"/>
              </w:rPr>
            </w:pPr>
            <w:hyperlink r:id="rId62">
              <w:r>
                <w:rPr>
                  <w:rFonts w:ascii="Arial" w:cs="Arial" w:eastAsia="Arial" w:hAnsi="Arial"/>
                  <w:sz w:val="17"/>
                  <w:szCs w:val="17"/>
                  <w:color w:val="0000FF"/>
                  <w:w w:val="89"/>
                </w:rPr>
                <w:t>for the year ended December 31, 2018).</w:t>
              </w:r>
            </w:hyperlink>
          </w:p>
        </w:tc>
        <w:tc>
          <w:tcPr>
            <w:tcW w:w="6960" w:type="dxa"/>
            <w:vAlign w:val="bottom"/>
            <w:gridSpan w:val="35"/>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Borders>
              <w:bottom w:val="single" w:sz="8" w:color="0000FF"/>
            </w:tcBorders>
            <w:gridSpan w:val="6"/>
          </w:tcPr>
          <w:p>
            <w:pPr>
              <w:spacing w:after="0"/>
              <w:rPr>
                <w:rFonts w:ascii="Arial" w:cs="Arial" w:eastAsia="Arial" w:hAnsi="Arial"/>
                <w:sz w:val="17"/>
                <w:szCs w:val="17"/>
                <w:color w:val="0000FF"/>
                <w:w w:val="93"/>
              </w:rPr>
            </w:pPr>
            <w:hyperlink w:anchor="page161">
              <w:r>
                <w:rPr>
                  <w:rFonts w:ascii="Arial" w:cs="Arial" w:eastAsia="Arial" w:hAnsi="Arial"/>
                  <w:sz w:val="17"/>
                  <w:szCs w:val="17"/>
                  <w:color w:val="0000FF"/>
                  <w:w w:val="93"/>
                </w:rPr>
                <w:t>Form of Notice of 2019 Stock Option Award to Robert A. Kotick.</w:t>
              </w:r>
            </w:hyperlink>
          </w:p>
        </w:tc>
        <w:tc>
          <w:tcPr>
            <w:tcW w:w="5180" w:type="dxa"/>
            <w:vAlign w:val="bottom"/>
            <w:gridSpan w:val="31"/>
          </w:tcPr>
          <w:p>
            <w:pPr>
              <w:spacing w:after="0"/>
              <w:rPr>
                <w:sz w:val="20"/>
                <w:szCs w:val="20"/>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80" w:type="dxa"/>
            <w:vAlign w:val="bottom"/>
            <w:tcBorders>
              <w:bottom w:val="single" w:sz="8" w:color="0000FF"/>
            </w:tcBorders>
            <w:gridSpan w:val="33"/>
          </w:tcPr>
          <w:p>
            <w:pPr>
              <w:spacing w:after="0"/>
              <w:rPr>
                <w:rFonts w:ascii="Arial" w:cs="Arial" w:eastAsia="Arial" w:hAnsi="Arial"/>
                <w:sz w:val="17"/>
                <w:szCs w:val="17"/>
                <w:color w:val="0000FF"/>
                <w:w w:val="91"/>
              </w:rPr>
            </w:pPr>
            <w:hyperlink r:id="rId63">
              <w:r>
                <w:rPr>
                  <w:rFonts w:ascii="Arial" w:cs="Arial" w:eastAsia="Arial" w:hAnsi="Arial"/>
                  <w:sz w:val="17"/>
                  <w:szCs w:val="17"/>
                  <w:color w:val="0000FF"/>
                  <w:w w:val="91"/>
                </w:rPr>
                <w:t>Employment Agreement, dated May 10, 2017, between Activision Blizzard, Inc. and Collister Johnson (incorporated by reference to Exhibit</w:t>
              </w:r>
            </w:hyperlink>
          </w:p>
        </w:tc>
        <w:tc>
          <w:tcPr>
            <w:tcW w:w="100" w:type="dxa"/>
            <w:vAlign w:val="bottom"/>
            <w:gridSpan w:val="4"/>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60" w:type="dxa"/>
            <w:vAlign w:val="bottom"/>
            <w:tcBorders>
              <w:bottom w:val="single" w:sz="8" w:color="0000FF"/>
            </w:tcBorders>
            <w:gridSpan w:val="5"/>
          </w:tcPr>
          <w:p>
            <w:pPr>
              <w:spacing w:after="0" w:line="184" w:lineRule="exact"/>
              <w:rPr>
                <w:rFonts w:ascii="Arial" w:cs="Arial" w:eastAsia="Arial" w:hAnsi="Arial"/>
                <w:sz w:val="17"/>
                <w:szCs w:val="17"/>
                <w:color w:val="0000FF"/>
                <w:w w:val="92"/>
              </w:rPr>
            </w:pPr>
            <w:hyperlink r:id="rId63">
              <w:r>
                <w:rPr>
                  <w:rFonts w:ascii="Arial" w:cs="Arial" w:eastAsia="Arial" w:hAnsi="Arial"/>
                  <w:sz w:val="17"/>
                  <w:szCs w:val="17"/>
                  <w:color w:val="0000FF"/>
                  <w:w w:val="92"/>
                </w:rPr>
                <w:t>10.</w:t>
              </w:r>
              <w:r>
                <w:rPr>
                  <w:rFonts w:ascii="Arial" w:cs="Arial" w:eastAsia="Arial" w:hAnsi="Arial"/>
                  <w:sz w:val="17"/>
                  <w:szCs w:val="17"/>
                  <w:u w:val="single" w:color="auto"/>
                  <w:color w:val="0000FF"/>
                  <w:w w:val="92"/>
                </w:rPr>
                <w:t>1</w:t>
              </w:r>
              <w:r>
                <w:rPr>
                  <w:rFonts w:ascii="Arial" w:cs="Arial" w:eastAsia="Arial" w:hAnsi="Arial"/>
                  <w:sz w:val="17"/>
                  <w:szCs w:val="17"/>
                  <w:color w:val="0000FF"/>
                  <w:w w:val="92"/>
                </w:rPr>
                <w:t xml:space="preserve"> of the Company’s Form 8-K, filed May 11, 2017).</w:t>
              </w:r>
            </w:hyperlink>
          </w:p>
        </w:tc>
        <w:tc>
          <w:tcPr>
            <w:tcW w:w="5920" w:type="dxa"/>
            <w:vAlign w:val="bottom"/>
            <w:gridSpan w:val="32"/>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7"/>
          </w:tcPr>
          <w:p>
            <w:pPr>
              <w:spacing w:after="0"/>
              <w:rPr>
                <w:rFonts w:ascii="Arial" w:cs="Arial" w:eastAsia="Arial" w:hAnsi="Arial"/>
                <w:sz w:val="17"/>
                <w:szCs w:val="17"/>
                <w:color w:val="0000FF"/>
              </w:rPr>
            </w:pPr>
            <w:hyperlink w:anchor="page172">
              <w:r>
                <w:rPr>
                  <w:rFonts w:ascii="Arial" w:cs="Arial" w:eastAsia="Arial" w:hAnsi="Arial"/>
                  <w:sz w:val="17"/>
                  <w:szCs w:val="17"/>
                  <w:color w:val="0000FF"/>
                </w:rPr>
                <w:t>Employment Agreement, dated as of July 24, 2019, between Claudine Naughton and the Company.</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tcBorders>
              <w:bottom w:val="single" w:sz="8" w:color="0000FF"/>
            </w:tcBorders>
            <w:gridSpan w:val="32"/>
          </w:tcPr>
          <w:p>
            <w:pPr>
              <w:spacing w:after="0"/>
              <w:rPr>
                <w:rFonts w:ascii="Arial" w:cs="Arial" w:eastAsia="Arial" w:hAnsi="Arial"/>
                <w:sz w:val="17"/>
                <w:szCs w:val="17"/>
                <w:color w:val="0000FF"/>
                <w:w w:val="90"/>
              </w:rPr>
            </w:pPr>
            <w:hyperlink r:id="rId64">
              <w:r>
                <w:rPr>
                  <w:rFonts w:ascii="Arial" w:cs="Arial" w:eastAsia="Arial" w:hAnsi="Arial"/>
                  <w:sz w:val="17"/>
                  <w:szCs w:val="17"/>
                  <w:color w:val="0000FF"/>
                  <w:w w:val="90"/>
                </w:rPr>
                <w:t>Non-Affiliated Director Compensation Program and Stock Ownership Guidelines, as amended and restated as of May 1, 2018 (incorporated</w:t>
              </w:r>
            </w:hyperlink>
          </w:p>
        </w:tc>
        <w:tc>
          <w:tcPr>
            <w:tcW w:w="120" w:type="dxa"/>
            <w:vAlign w:val="bottom"/>
            <w:gridSpan w:val="5"/>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520" w:type="dxa"/>
            <w:vAlign w:val="bottom"/>
            <w:tcBorders>
              <w:bottom w:val="single" w:sz="8" w:color="0000FF"/>
            </w:tcBorders>
            <w:gridSpan w:val="10"/>
          </w:tcPr>
          <w:p>
            <w:pPr>
              <w:spacing w:after="0" w:line="184" w:lineRule="exact"/>
              <w:rPr>
                <w:rFonts w:ascii="Arial" w:cs="Arial" w:eastAsia="Arial" w:hAnsi="Arial"/>
                <w:sz w:val="17"/>
                <w:szCs w:val="17"/>
                <w:color w:val="0000FF"/>
                <w:w w:val="90"/>
              </w:rPr>
            </w:pPr>
            <w:hyperlink r:id="rId64">
              <w:r>
                <w:rPr>
                  <w:rFonts w:ascii="Arial" w:cs="Arial" w:eastAsia="Arial" w:hAnsi="Arial"/>
                  <w:sz w:val="17"/>
                  <w:szCs w:val="17"/>
                  <w:color w:val="0000FF"/>
                  <w:w w:val="90"/>
                </w:rPr>
                <w:t>by reference to Exhibit 10.1 of the Company’s Form 10-Q for the quarter ended June 30, 2018).</w:t>
              </w:r>
            </w:hyperlink>
          </w:p>
        </w:tc>
        <w:tc>
          <w:tcPr>
            <w:tcW w:w="3160" w:type="dxa"/>
            <w:vAlign w:val="bottom"/>
            <w:gridSpan w:val="27"/>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tcBorders>
              <w:bottom w:val="single" w:sz="8" w:color="0000FF"/>
            </w:tcBorders>
            <w:gridSpan w:val="23"/>
          </w:tcPr>
          <w:p>
            <w:pPr>
              <w:spacing w:after="0"/>
              <w:rPr>
                <w:rFonts w:ascii="Arial" w:cs="Arial" w:eastAsia="Arial" w:hAnsi="Arial"/>
                <w:sz w:val="17"/>
                <w:szCs w:val="17"/>
                <w:color w:val="0000FF"/>
                <w:w w:val="89"/>
              </w:rPr>
            </w:pPr>
            <w:hyperlink r:id="rId65">
              <w:r>
                <w:rPr>
                  <w:rFonts w:ascii="Arial" w:cs="Arial" w:eastAsia="Arial" w:hAnsi="Arial"/>
                  <w:sz w:val="17"/>
                  <w:szCs w:val="17"/>
                  <w:color w:val="0000FF"/>
                  <w:w w:val="89"/>
                </w:rPr>
                <w:t>Credit Agreement, dated as of October 11, 2013, among the Company, as borrower, certain subsidiaries of the Company, as guarantors, a</w:t>
              </w:r>
            </w:hyperlink>
          </w:p>
        </w:tc>
        <w:tc>
          <w:tcPr>
            <w:tcW w:w="360" w:type="dxa"/>
            <w:vAlign w:val="bottom"/>
            <w:gridSpan w:val="14"/>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40" w:type="dxa"/>
            <w:vAlign w:val="bottom"/>
            <w:tcBorders>
              <w:bottom w:val="single" w:sz="8" w:color="0000FF"/>
            </w:tcBorders>
            <w:gridSpan w:val="20"/>
          </w:tcPr>
          <w:p>
            <w:pPr>
              <w:spacing w:after="0" w:line="184" w:lineRule="exact"/>
              <w:rPr>
                <w:rFonts w:ascii="Arial" w:cs="Arial" w:eastAsia="Arial" w:hAnsi="Arial"/>
                <w:sz w:val="17"/>
                <w:szCs w:val="17"/>
                <w:color w:val="0000FF"/>
                <w:w w:val="90"/>
              </w:rPr>
            </w:pPr>
            <w:hyperlink r:id="rId65">
              <w:r>
                <w:rPr>
                  <w:rFonts w:ascii="Arial" w:cs="Arial" w:eastAsia="Arial" w:hAnsi="Arial"/>
                  <w:sz w:val="17"/>
                  <w:szCs w:val="17"/>
                  <w:color w:val="0000FF"/>
                  <w:w w:val="90"/>
                </w:rPr>
                <w:t>group of lenders, Bank of America, N.A., as administrative agent and collateral agent for the lenders, J.P. Morgan Securities LLC, as</w:t>
              </w:r>
            </w:hyperlink>
          </w:p>
        </w:tc>
        <w:tc>
          <w:tcPr>
            <w:tcW w:w="640" w:type="dxa"/>
            <w:vAlign w:val="bottom"/>
            <w:gridSpan w:val="17"/>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6"/>
              </w:rPr>
            </w:pPr>
            <w:hyperlink r:id="rId65">
              <w:r>
                <w:rPr>
                  <w:rFonts w:ascii="Arial" w:cs="Arial" w:eastAsia="Arial" w:hAnsi="Arial"/>
                  <w:sz w:val="17"/>
                  <w:szCs w:val="17"/>
                  <w:color w:val="0000FF"/>
                  <w:w w:val="96"/>
                </w:rPr>
                <w:t>syndication agent, Bank of America Merrill Lynch and J.P. Morgan Securities LLC, as joint lead arrangers and joint bookrunners, and</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tcBorders>
              <w:bottom w:val="single" w:sz="8" w:color="0000FF"/>
            </w:tcBorders>
            <w:gridSpan w:val="22"/>
          </w:tcPr>
          <w:p>
            <w:pPr>
              <w:spacing w:after="0" w:line="184" w:lineRule="exact"/>
              <w:rPr>
                <w:rFonts w:ascii="Arial" w:cs="Arial" w:eastAsia="Arial" w:hAnsi="Arial"/>
                <w:sz w:val="17"/>
                <w:szCs w:val="17"/>
                <w:color w:val="0000FF"/>
                <w:w w:val="92"/>
              </w:rPr>
            </w:pPr>
            <w:hyperlink r:id="rId65">
              <w:r>
                <w:rPr>
                  <w:rFonts w:ascii="Arial" w:cs="Arial" w:eastAsia="Arial" w:hAnsi="Arial"/>
                  <w:sz w:val="17"/>
                  <w:szCs w:val="17"/>
                  <w:color w:val="0000FF"/>
                  <w:w w:val="92"/>
                </w:rPr>
                <w:t>Goldman Sachs &amp; Co., HSBC Securities (USA) Inc., Mitsubishi UFJ Securities (USA), Inc., Mizuho Securities USA Inc., RBC Capital</w:t>
              </w:r>
            </w:hyperlink>
          </w:p>
        </w:tc>
        <w:tc>
          <w:tcPr>
            <w:tcW w:w="440" w:type="dxa"/>
            <w:vAlign w:val="bottom"/>
            <w:gridSpan w:val="15"/>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2"/>
              </w:rPr>
            </w:pPr>
            <w:hyperlink r:id="rId65">
              <w:r>
                <w:rPr>
                  <w:rFonts w:ascii="Arial" w:cs="Arial" w:eastAsia="Arial" w:hAnsi="Arial"/>
                  <w:sz w:val="17"/>
                  <w:szCs w:val="17"/>
                  <w:color w:val="0000FF"/>
                  <w:w w:val="92"/>
                </w:rPr>
                <w:t>Markets, SunTrust Bank and U.S. Bank National Association, as co-documentation agents (incorporated by reference to Exhibit 10.1 of the</w:t>
              </w:r>
            </w:hyperlink>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80" w:type="dxa"/>
            <w:vAlign w:val="bottom"/>
            <w:tcBorders>
              <w:top w:val="single" w:sz="8" w:color="0000FF"/>
            </w:tcBorders>
            <w:gridSpan w:val="28"/>
          </w:tcPr>
          <w:p>
            <w:pPr>
              <w:spacing w:after="0" w:line="184" w:lineRule="exact"/>
              <w:rPr>
                <w:rFonts w:ascii="Arial" w:cs="Arial" w:eastAsia="Arial" w:hAnsi="Arial"/>
                <w:sz w:val="17"/>
                <w:szCs w:val="17"/>
                <w:color w:val="0000FF"/>
              </w:rPr>
            </w:pPr>
            <w:hyperlink r:id="rId65">
              <w:r>
                <w:rPr>
                  <w:rFonts w:ascii="Arial" w:cs="Arial" w:eastAsia="Arial" w:hAnsi="Arial"/>
                  <w:sz w:val="17"/>
                  <w:szCs w:val="17"/>
                  <w:color w:val="0000FF"/>
                </w:rPr>
                <w:t>Company’s Form 8-K, filed October 18, 2013).</w:t>
              </w:r>
            </w:hyperlink>
          </w:p>
        </w:tc>
        <w:tc>
          <w:tcPr>
            <w:tcW w:w="200" w:type="dxa"/>
            <w:vAlign w:val="bottom"/>
            <w:gridSpan w:val="9"/>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60" w:type="dxa"/>
            <w:vAlign w:val="bottom"/>
            <w:tcBorders>
              <w:bottom w:val="single" w:sz="8" w:color="0000FF"/>
            </w:tcBorders>
            <w:gridSpan w:val="36"/>
          </w:tcPr>
          <w:p>
            <w:pPr>
              <w:spacing w:after="0"/>
              <w:rPr>
                <w:rFonts w:ascii="Arial" w:cs="Arial" w:eastAsia="Arial" w:hAnsi="Arial"/>
                <w:sz w:val="17"/>
                <w:szCs w:val="17"/>
                <w:color w:val="0000FF"/>
                <w:w w:val="91"/>
              </w:rPr>
            </w:pPr>
            <w:hyperlink r:id="rId66">
              <w:r>
                <w:rPr>
                  <w:rFonts w:ascii="Arial" w:cs="Arial" w:eastAsia="Arial" w:hAnsi="Arial"/>
                  <w:sz w:val="17"/>
                  <w:szCs w:val="17"/>
                  <w:color w:val="0000FF"/>
                  <w:w w:val="91"/>
                </w:rPr>
                <w:t>First Amendment to the Credit Agreement, dated as of October 11, 2013, by and among Activision Blizzard, Inc., the guarantors from time to</w:t>
              </w:r>
            </w:hyperlink>
          </w:p>
        </w:tc>
        <w:tc>
          <w:tcPr>
            <w:tcW w:w="20" w:type="dxa"/>
            <w:vAlign w:val="bottom"/>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3"/>
              </w:rPr>
            </w:pPr>
            <w:hyperlink r:id="rId66">
              <w:r>
                <w:rPr>
                  <w:rFonts w:ascii="Arial" w:cs="Arial" w:eastAsia="Arial" w:hAnsi="Arial"/>
                  <w:sz w:val="17"/>
                  <w:szCs w:val="17"/>
                  <w:color w:val="0000FF"/>
                  <w:w w:val="93"/>
                </w:rPr>
                <w:t>time party thereto, the lenders from time to time party thereto, Bank of America, N.A., as administrative agent and collateral agent, and the</w:t>
              </w:r>
            </w:hyperlink>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60" w:type="dxa"/>
            <w:vAlign w:val="bottom"/>
            <w:tcBorders>
              <w:top w:val="single" w:sz="8" w:color="0000FF"/>
            </w:tcBorders>
            <w:gridSpan w:val="27"/>
          </w:tcPr>
          <w:p>
            <w:pPr>
              <w:spacing w:after="0" w:line="184" w:lineRule="exact"/>
              <w:rPr>
                <w:rFonts w:ascii="Arial" w:cs="Arial" w:eastAsia="Arial" w:hAnsi="Arial"/>
                <w:sz w:val="17"/>
                <w:szCs w:val="17"/>
                <w:color w:val="0000FF"/>
                <w:w w:val="96"/>
              </w:rPr>
            </w:pPr>
            <w:hyperlink r:id="rId66">
              <w:r>
                <w:rPr>
                  <w:rFonts w:ascii="Arial" w:cs="Arial" w:eastAsia="Arial" w:hAnsi="Arial"/>
                  <w:sz w:val="17"/>
                  <w:szCs w:val="17"/>
                  <w:color w:val="0000FF"/>
                  <w:w w:val="96"/>
                </w:rPr>
                <w:t>several other agents party thereto (incorporated by reference to Exhibit 10.1 of the Company’s Form 8-K, filed November 3, 2015).</w:t>
              </w:r>
            </w:hyperlink>
          </w:p>
        </w:tc>
        <w:tc>
          <w:tcPr>
            <w:tcW w:w="220" w:type="dxa"/>
            <w:vAlign w:val="bottom"/>
            <w:gridSpan w:val="10"/>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60" w:type="dxa"/>
            <w:vAlign w:val="bottom"/>
            <w:tcBorders>
              <w:bottom w:val="single" w:sz="8" w:color="0000FF"/>
            </w:tcBorders>
            <w:gridSpan w:val="36"/>
          </w:tcPr>
          <w:p>
            <w:pPr>
              <w:spacing w:after="0"/>
              <w:rPr>
                <w:rFonts w:ascii="Arial" w:cs="Arial" w:eastAsia="Arial" w:hAnsi="Arial"/>
                <w:sz w:val="17"/>
                <w:szCs w:val="17"/>
                <w:color w:val="0000FF"/>
                <w:w w:val="91"/>
              </w:rPr>
            </w:pPr>
            <w:hyperlink r:id="rId67">
              <w:r>
                <w:rPr>
                  <w:rFonts w:ascii="Arial" w:cs="Arial" w:eastAsia="Arial" w:hAnsi="Arial"/>
                  <w:sz w:val="17"/>
                  <w:szCs w:val="17"/>
                  <w:color w:val="0000FF"/>
                  <w:w w:val="91"/>
                </w:rPr>
                <w:t>Second Amendment to the Credit Agreement, dated as of October 11, 2013, by and among Activision Blizzard, Inc., the guarantors from time</w:t>
              </w:r>
            </w:hyperlink>
          </w:p>
        </w:tc>
        <w:tc>
          <w:tcPr>
            <w:tcW w:w="20" w:type="dxa"/>
            <w:vAlign w:val="bottom"/>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bottom w:val="single" w:sz="8" w:color="0000FF"/>
            </w:tcBorders>
            <w:gridSpan w:val="35"/>
          </w:tcPr>
          <w:p>
            <w:pPr>
              <w:spacing w:after="0" w:line="184" w:lineRule="exact"/>
              <w:rPr>
                <w:rFonts w:ascii="Arial" w:cs="Arial" w:eastAsia="Arial" w:hAnsi="Arial"/>
                <w:sz w:val="17"/>
                <w:szCs w:val="17"/>
                <w:color w:val="0000FF"/>
                <w:w w:val="91"/>
              </w:rPr>
            </w:pPr>
            <w:hyperlink r:id="rId67">
              <w:r>
                <w:rPr>
                  <w:rFonts w:ascii="Arial" w:cs="Arial" w:eastAsia="Arial" w:hAnsi="Arial"/>
                  <w:sz w:val="17"/>
                  <w:szCs w:val="17"/>
                  <w:color w:val="0000FF"/>
                  <w:w w:val="91"/>
                </w:rPr>
                <w:t>to time party thereto, the lenders from time to time party thereto, Bank of America, N.A., as administrative agent and collateral agent, and the</w:t>
              </w:r>
            </w:hyperlink>
          </w:p>
        </w:tc>
        <w:tc>
          <w:tcPr>
            <w:tcW w:w="40" w:type="dxa"/>
            <w:vAlign w:val="bottom"/>
            <w:gridSpan w:val="2"/>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7"/>
              </w:rPr>
            </w:pPr>
            <w:hyperlink r:id="rId67">
              <w:r>
                <w:rPr>
                  <w:rFonts w:ascii="Arial" w:cs="Arial" w:eastAsia="Arial" w:hAnsi="Arial"/>
                  <w:sz w:val="17"/>
                  <w:szCs w:val="17"/>
                  <w:color w:val="0000FF"/>
                  <w:w w:val="97"/>
                </w:rPr>
                <w:t>several other agents party thereto (incorporated by reference to Exhibit 10.1 of the Company’s Form 8-K, filed November 17, 2015).</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40" w:type="dxa"/>
            <w:vAlign w:val="bottom"/>
            <w:tcBorders>
              <w:bottom w:val="single" w:sz="8" w:color="0000FF"/>
            </w:tcBorders>
            <w:gridSpan w:val="31"/>
          </w:tcPr>
          <w:p>
            <w:pPr>
              <w:spacing w:after="0"/>
              <w:rPr>
                <w:rFonts w:ascii="Arial" w:cs="Arial" w:eastAsia="Arial" w:hAnsi="Arial"/>
                <w:sz w:val="17"/>
                <w:szCs w:val="17"/>
                <w:color w:val="0000FF"/>
                <w:w w:val="91"/>
              </w:rPr>
            </w:pPr>
            <w:hyperlink r:id="rId68">
              <w:r>
                <w:rPr>
                  <w:rFonts w:ascii="Arial" w:cs="Arial" w:eastAsia="Arial" w:hAnsi="Arial"/>
                  <w:sz w:val="17"/>
                  <w:szCs w:val="17"/>
                  <w:color w:val="0000FF"/>
                  <w:w w:val="91"/>
                </w:rPr>
                <w:t>Third Amendment to the Credit Agreement, dated as of October 11, 2013, by and among Activision Blizzard, Inc., the guarantors from time</w:t>
              </w:r>
            </w:hyperlink>
          </w:p>
        </w:tc>
        <w:tc>
          <w:tcPr>
            <w:tcW w:w="140" w:type="dxa"/>
            <w:vAlign w:val="bottom"/>
            <w:gridSpan w:val="6"/>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bottom w:val="single" w:sz="8" w:color="0000FF"/>
            </w:tcBorders>
            <w:gridSpan w:val="35"/>
          </w:tcPr>
          <w:p>
            <w:pPr>
              <w:spacing w:after="0" w:line="184" w:lineRule="exact"/>
              <w:rPr>
                <w:rFonts w:ascii="Arial" w:cs="Arial" w:eastAsia="Arial" w:hAnsi="Arial"/>
                <w:sz w:val="17"/>
                <w:szCs w:val="17"/>
                <w:color w:val="0000FF"/>
                <w:w w:val="91"/>
              </w:rPr>
            </w:pPr>
            <w:hyperlink r:id="rId68">
              <w:r>
                <w:rPr>
                  <w:rFonts w:ascii="Arial" w:cs="Arial" w:eastAsia="Arial" w:hAnsi="Arial"/>
                  <w:sz w:val="17"/>
                  <w:szCs w:val="17"/>
                  <w:color w:val="0000FF"/>
                  <w:w w:val="91"/>
                </w:rPr>
                <w:t>to time party thereto, the lenders from time to time party thereto, Bank of America, N.A., as administrative agent and collateral agent, and the</w:t>
              </w:r>
            </w:hyperlink>
          </w:p>
        </w:tc>
        <w:tc>
          <w:tcPr>
            <w:tcW w:w="40" w:type="dxa"/>
            <w:vAlign w:val="bottom"/>
            <w:gridSpan w:val="2"/>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8"/>
              </w:rPr>
            </w:pPr>
            <w:hyperlink r:id="rId68">
              <w:r>
                <w:rPr>
                  <w:rFonts w:ascii="Arial" w:cs="Arial" w:eastAsia="Arial" w:hAnsi="Arial"/>
                  <w:sz w:val="17"/>
                  <w:szCs w:val="17"/>
                  <w:color w:val="0000FF"/>
                  <w:w w:val="98"/>
                </w:rPr>
                <w:t>several other agents party thereto (incorporated by reference to Exhibit 10.1 of the Company’s form 8-K, filed December 14, 2015).</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10.39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7"/>
          </w:tcPr>
          <w:p>
            <w:pPr>
              <w:spacing w:after="0"/>
              <w:rPr>
                <w:rFonts w:ascii="Arial" w:cs="Arial" w:eastAsia="Arial" w:hAnsi="Arial"/>
                <w:sz w:val="17"/>
                <w:szCs w:val="17"/>
                <w:color w:val="0000FF"/>
                <w:w w:val="91"/>
              </w:rPr>
            </w:pPr>
            <w:hyperlink r:id="rId69">
              <w:r>
                <w:rPr>
                  <w:rFonts w:ascii="Arial" w:cs="Arial" w:eastAsia="Arial" w:hAnsi="Arial"/>
                  <w:sz w:val="17"/>
                  <w:szCs w:val="17"/>
                  <w:color w:val="0000FF"/>
                  <w:w w:val="91"/>
                </w:rPr>
                <w:t>Fourth Amendment to the Credit Agreement, dated as of October 11, 2013, by and among Activision Blizzard, Inc., the guarantors from time</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gridSpan w:val="3"/>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bottom w:val="single" w:sz="8" w:color="0000FF"/>
            </w:tcBorders>
            <w:gridSpan w:val="35"/>
          </w:tcPr>
          <w:p>
            <w:pPr>
              <w:spacing w:after="0" w:line="184" w:lineRule="exact"/>
              <w:rPr>
                <w:rFonts w:ascii="Arial" w:cs="Arial" w:eastAsia="Arial" w:hAnsi="Arial"/>
                <w:sz w:val="17"/>
                <w:szCs w:val="17"/>
                <w:color w:val="0000FF"/>
                <w:w w:val="91"/>
              </w:rPr>
            </w:pPr>
            <w:hyperlink r:id="rId69">
              <w:r>
                <w:rPr>
                  <w:rFonts w:ascii="Arial" w:cs="Arial" w:eastAsia="Arial" w:hAnsi="Arial"/>
                  <w:sz w:val="17"/>
                  <w:szCs w:val="17"/>
                  <w:color w:val="0000FF"/>
                  <w:w w:val="91"/>
                </w:rPr>
                <w:t>to time party thereto, the lenders from time to time party thereto, Bank of America, N.A., as administrative agent and collateral agent, and the</w:t>
              </w:r>
            </w:hyperlink>
          </w:p>
        </w:tc>
        <w:tc>
          <w:tcPr>
            <w:tcW w:w="40" w:type="dxa"/>
            <w:vAlign w:val="bottom"/>
            <w:gridSpan w:val="2"/>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rPr>
            </w:pPr>
            <w:hyperlink r:id="rId69">
              <w:r>
                <w:rPr>
                  <w:rFonts w:ascii="Arial" w:cs="Arial" w:eastAsia="Arial" w:hAnsi="Arial"/>
                  <w:sz w:val="17"/>
                  <w:szCs w:val="17"/>
                  <w:color w:val="0000FF"/>
                </w:rPr>
                <w:t>several other agents party thereto (incorporated by reference to Exhibit 10.1 of the Company’s Form 8-K, filed April 1, 2016).</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10.40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60" w:type="dxa"/>
            <w:vAlign w:val="bottom"/>
            <w:tcBorders>
              <w:bottom w:val="single" w:sz="8" w:color="0000FF"/>
            </w:tcBorders>
            <w:gridSpan w:val="36"/>
          </w:tcPr>
          <w:p>
            <w:pPr>
              <w:spacing w:after="0"/>
              <w:rPr>
                <w:rFonts w:ascii="Arial" w:cs="Arial" w:eastAsia="Arial" w:hAnsi="Arial"/>
                <w:sz w:val="17"/>
                <w:szCs w:val="17"/>
                <w:color w:val="0000FF"/>
                <w:w w:val="91"/>
              </w:rPr>
            </w:pPr>
            <w:hyperlink r:id="rId70">
              <w:r>
                <w:rPr>
                  <w:rFonts w:ascii="Arial" w:cs="Arial" w:eastAsia="Arial" w:hAnsi="Arial"/>
                  <w:sz w:val="17"/>
                  <w:szCs w:val="17"/>
                  <w:color w:val="0000FF"/>
                  <w:w w:val="91"/>
                </w:rPr>
                <w:t>Fifth Amendment to the Credit Agreement, dated as of October 11, 2013, by and among Activision Blizzard, Inc., the guarantors from time to</w:t>
              </w:r>
            </w:hyperlink>
          </w:p>
        </w:tc>
        <w:tc>
          <w:tcPr>
            <w:tcW w:w="20" w:type="dxa"/>
            <w:vAlign w:val="bottom"/>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3"/>
              </w:rPr>
            </w:pPr>
            <w:hyperlink r:id="rId70">
              <w:r>
                <w:rPr>
                  <w:rFonts w:ascii="Arial" w:cs="Arial" w:eastAsia="Arial" w:hAnsi="Arial"/>
                  <w:sz w:val="17"/>
                  <w:szCs w:val="17"/>
                  <w:color w:val="0000FF"/>
                  <w:w w:val="93"/>
                </w:rPr>
                <w:t>time party thereto, the lenders from time to time party thereto, Bank of America, N.A., as administrative agent and collateral agent, and the</w:t>
              </w:r>
            </w:hyperlink>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60" w:type="dxa"/>
            <w:vAlign w:val="bottom"/>
            <w:tcBorders>
              <w:top w:val="single" w:sz="8" w:color="0000FF"/>
            </w:tcBorders>
            <w:gridSpan w:val="27"/>
          </w:tcPr>
          <w:p>
            <w:pPr>
              <w:spacing w:after="0" w:line="184" w:lineRule="exact"/>
              <w:rPr>
                <w:rFonts w:ascii="Arial" w:cs="Arial" w:eastAsia="Arial" w:hAnsi="Arial"/>
                <w:sz w:val="17"/>
                <w:szCs w:val="17"/>
                <w:color w:val="0000FF"/>
                <w:w w:val="98"/>
              </w:rPr>
            </w:pPr>
            <w:hyperlink r:id="rId70">
              <w:r>
                <w:rPr>
                  <w:rFonts w:ascii="Arial" w:cs="Arial" w:eastAsia="Arial" w:hAnsi="Arial"/>
                  <w:sz w:val="17"/>
                  <w:szCs w:val="17"/>
                  <w:color w:val="0000FF"/>
                  <w:w w:val="98"/>
                </w:rPr>
                <w:t>several other agents party thereto (incorporated by reference to Exhibit 10.1 of the Company’s Form 8-K, filed August 24, 2016).</w:t>
              </w:r>
            </w:hyperlink>
          </w:p>
        </w:tc>
        <w:tc>
          <w:tcPr>
            <w:tcW w:w="220" w:type="dxa"/>
            <w:vAlign w:val="bottom"/>
            <w:gridSpan w:val="10"/>
          </w:tcPr>
          <w:p>
            <w:pPr>
              <w:spacing w:after="0"/>
              <w:rPr>
                <w:sz w:val="16"/>
                <w:szCs w:val="16"/>
                <w:color w:val="auto"/>
              </w:rPr>
            </w:pPr>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9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20" w:type="dxa"/>
            <w:vAlign w:val="bottom"/>
            <w:tcBorders>
              <w:bottom w:val="single" w:sz="8" w:color="0000FF"/>
            </w:tcBorders>
            <w:gridSpan w:val="30"/>
          </w:tcPr>
          <w:p>
            <w:pPr>
              <w:spacing w:after="0"/>
              <w:rPr>
                <w:rFonts w:ascii="Arial" w:cs="Arial" w:eastAsia="Arial" w:hAnsi="Arial"/>
                <w:sz w:val="17"/>
                <w:szCs w:val="17"/>
                <w:color w:val="0000FF"/>
                <w:w w:val="91"/>
              </w:rPr>
            </w:pPr>
            <w:hyperlink r:id="rId71">
              <w:r>
                <w:rPr>
                  <w:rFonts w:ascii="Arial" w:cs="Arial" w:eastAsia="Arial" w:hAnsi="Arial"/>
                  <w:sz w:val="17"/>
                  <w:szCs w:val="17"/>
                  <w:color w:val="0000FF"/>
                  <w:w w:val="91"/>
                </w:rPr>
                <w:t>Sixth Amendment to the Credit Agreement, dated as of October 11, 2013, by and among Activision Blizzard, Inc., the guarantors from time</w:t>
              </w:r>
            </w:hyperlink>
          </w:p>
        </w:tc>
        <w:tc>
          <w:tcPr>
            <w:tcW w:w="160" w:type="dxa"/>
            <w:vAlign w:val="bottom"/>
            <w:gridSpan w:val="7"/>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40" w:type="dxa"/>
            <w:vAlign w:val="bottom"/>
            <w:tcBorders>
              <w:bottom w:val="single" w:sz="8" w:color="0000FF"/>
            </w:tcBorders>
            <w:gridSpan w:val="35"/>
          </w:tcPr>
          <w:p>
            <w:pPr>
              <w:spacing w:after="0" w:line="184" w:lineRule="exact"/>
              <w:rPr>
                <w:rFonts w:ascii="Arial" w:cs="Arial" w:eastAsia="Arial" w:hAnsi="Arial"/>
                <w:sz w:val="17"/>
                <w:szCs w:val="17"/>
                <w:color w:val="0000FF"/>
                <w:w w:val="91"/>
              </w:rPr>
            </w:pPr>
            <w:hyperlink r:id="rId71">
              <w:r>
                <w:rPr>
                  <w:rFonts w:ascii="Arial" w:cs="Arial" w:eastAsia="Arial" w:hAnsi="Arial"/>
                  <w:sz w:val="17"/>
                  <w:szCs w:val="17"/>
                  <w:color w:val="0000FF"/>
                  <w:w w:val="91"/>
                </w:rPr>
                <w:t>to time party thereto, the lenders from time to time party thereto, Bank of America, N.A., as administrative agent and collateral agent, and the</w:t>
              </w:r>
            </w:hyperlink>
          </w:p>
        </w:tc>
        <w:tc>
          <w:tcPr>
            <w:tcW w:w="40" w:type="dxa"/>
            <w:vAlign w:val="bottom"/>
            <w:gridSpan w:val="2"/>
          </w:tcPr>
          <w:p>
            <w:pPr>
              <w:spacing w:after="0"/>
              <w:rPr>
                <w:sz w:val="16"/>
                <w:szCs w:val="16"/>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40" w:type="dxa"/>
            <w:vAlign w:val="bottom"/>
            <w:tcBorders>
              <w:bottom w:val="single" w:sz="8" w:color="0000FF"/>
            </w:tcBorders>
            <w:gridSpan w:val="16"/>
          </w:tcPr>
          <w:p>
            <w:pPr>
              <w:spacing w:after="0" w:line="184" w:lineRule="exact"/>
              <w:rPr>
                <w:rFonts w:ascii="Arial" w:cs="Arial" w:eastAsia="Arial" w:hAnsi="Arial"/>
                <w:sz w:val="17"/>
                <w:szCs w:val="17"/>
                <w:color w:val="0000FF"/>
                <w:w w:val="91"/>
              </w:rPr>
            </w:pPr>
            <w:hyperlink r:id="rId71">
              <w:r>
                <w:rPr>
                  <w:rFonts w:ascii="Arial" w:cs="Arial" w:eastAsia="Arial" w:hAnsi="Arial"/>
                  <w:sz w:val="17"/>
                  <w:szCs w:val="17"/>
                  <w:color w:val="0000FF"/>
                  <w:w w:val="91"/>
                </w:rPr>
                <w:t>several other agents party thereto (incorporated by reference to Exhibit 10.1 of the Company’s Form 8-K, filed February 6, 2017).</w:t>
              </w:r>
            </w:hyperlink>
          </w:p>
        </w:tc>
        <w:tc>
          <w:tcPr>
            <w:tcW w:w="840" w:type="dxa"/>
            <w:vAlign w:val="bottom"/>
            <w:gridSpan w:val="21"/>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10.42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tcBorders>
              <w:bottom w:val="single" w:sz="8" w:color="0000FF"/>
            </w:tcBorders>
            <w:gridSpan w:val="25"/>
          </w:tcPr>
          <w:p>
            <w:pPr>
              <w:spacing w:after="0"/>
              <w:rPr>
                <w:rFonts w:ascii="Arial" w:cs="Arial" w:eastAsia="Arial" w:hAnsi="Arial"/>
                <w:sz w:val="17"/>
                <w:szCs w:val="17"/>
                <w:color w:val="0000FF"/>
                <w:w w:val="90"/>
              </w:rPr>
            </w:pPr>
            <w:hyperlink r:id="rId72">
              <w:r>
                <w:rPr>
                  <w:rFonts w:ascii="Arial" w:cs="Arial" w:eastAsia="Arial" w:hAnsi="Arial"/>
                  <w:sz w:val="17"/>
                  <w:szCs w:val="17"/>
                  <w:color w:val="0000FF"/>
                  <w:w w:val="90"/>
                </w:rPr>
                <w:t>Seventh Amendment to the Credit Agreement, dated as of October 11, 2013, by and among Activision Blizzard, Inc., the guarantors from</w:t>
              </w:r>
            </w:hyperlink>
          </w:p>
        </w:tc>
        <w:tc>
          <w:tcPr>
            <w:tcW w:w="320" w:type="dxa"/>
            <w:vAlign w:val="bottom"/>
            <w:gridSpan w:val="12"/>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80" w:type="dxa"/>
            <w:vAlign w:val="bottom"/>
            <w:gridSpan w:val="37"/>
          </w:tcPr>
          <w:p>
            <w:pPr>
              <w:spacing w:after="0" w:line="184" w:lineRule="exact"/>
              <w:rPr>
                <w:rFonts w:ascii="Arial" w:cs="Arial" w:eastAsia="Arial" w:hAnsi="Arial"/>
                <w:sz w:val="17"/>
                <w:szCs w:val="17"/>
                <w:color w:val="0000FF"/>
                <w:w w:val="93"/>
              </w:rPr>
            </w:pPr>
            <w:hyperlink r:id="rId72">
              <w:r>
                <w:rPr>
                  <w:rFonts w:ascii="Arial" w:cs="Arial" w:eastAsia="Arial" w:hAnsi="Arial"/>
                  <w:sz w:val="17"/>
                  <w:szCs w:val="17"/>
                  <w:color w:val="0000FF"/>
                  <w:w w:val="93"/>
                </w:rPr>
                <w:t>time to time party thereto, the lenders from time to time party thereto, Bank of America, N.A., as administrative agent and collateral agent,</w:t>
              </w:r>
            </w:hyperlink>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40" w:type="dxa"/>
            <w:vAlign w:val="bottom"/>
            <w:tcBorders>
              <w:top w:val="single" w:sz="8" w:color="0000FF"/>
              <w:bottom w:val="single" w:sz="8" w:color="0000FF"/>
            </w:tcBorders>
            <w:gridSpan w:val="24"/>
          </w:tcPr>
          <w:p>
            <w:pPr>
              <w:spacing w:after="0" w:line="184" w:lineRule="exact"/>
              <w:rPr>
                <w:rFonts w:ascii="Arial" w:cs="Arial" w:eastAsia="Arial" w:hAnsi="Arial"/>
                <w:sz w:val="17"/>
                <w:szCs w:val="17"/>
                <w:color w:val="0000FF"/>
                <w:w w:val="90"/>
              </w:rPr>
            </w:pPr>
            <w:hyperlink r:id="rId72">
              <w:r>
                <w:rPr>
                  <w:rFonts w:ascii="Arial" w:cs="Arial" w:eastAsia="Arial" w:hAnsi="Arial"/>
                  <w:sz w:val="17"/>
                  <w:szCs w:val="17"/>
                  <w:color w:val="0000FF"/>
                  <w:w w:val="90"/>
                </w:rPr>
                <w:t>and the several other agents party thereto (incorporated by reference to Exhibit 10.1 of the Company’s Form 8-K, filed August 29, 2018).</w:t>
              </w:r>
            </w:hyperlink>
          </w:p>
        </w:tc>
        <w:tc>
          <w:tcPr>
            <w:tcW w:w="100" w:type="dxa"/>
            <w:vAlign w:val="bottom"/>
            <w:tcBorders>
              <w:top w:val="single" w:sz="8" w:color="0000FF"/>
            </w:tcBorders>
            <w:gridSpan w:val="2"/>
          </w:tcPr>
          <w:p>
            <w:pPr>
              <w:spacing w:after="0"/>
              <w:rPr>
                <w:sz w:val="16"/>
                <w:szCs w:val="16"/>
                <w:color w:val="auto"/>
              </w:rPr>
            </w:pPr>
          </w:p>
        </w:tc>
        <w:tc>
          <w:tcPr>
            <w:tcW w:w="240" w:type="dxa"/>
            <w:vAlign w:val="bottom"/>
            <w:gridSpan w:val="11"/>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7"/>
          </w:tcPr>
          <w:p>
            <w:pPr>
              <w:spacing w:after="0"/>
              <w:rPr>
                <w:rFonts w:ascii="Arial" w:cs="Arial" w:eastAsia="Arial" w:hAnsi="Arial"/>
                <w:sz w:val="17"/>
                <w:szCs w:val="17"/>
                <w:color w:val="0000FF"/>
              </w:rPr>
            </w:pPr>
            <w:hyperlink w:anchor="page193">
              <w:r>
                <w:rPr>
                  <w:rFonts w:ascii="Arial" w:cs="Arial" w:eastAsia="Arial" w:hAnsi="Arial"/>
                  <w:sz w:val="17"/>
                  <w:szCs w:val="17"/>
                  <w:color w:val="0000FF"/>
                </w:rPr>
                <w:t>Subsidiaries of the Company.</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gridSpan w:val="18"/>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20" w:type="dxa"/>
            <w:vAlign w:val="bottom"/>
            <w:tcBorders>
              <w:bottom w:val="single" w:sz="8" w:color="0000FF"/>
            </w:tcBorders>
            <w:gridSpan w:val="8"/>
          </w:tcPr>
          <w:p>
            <w:pPr>
              <w:spacing w:after="0"/>
              <w:rPr>
                <w:rFonts w:ascii="Arial" w:cs="Arial" w:eastAsia="Arial" w:hAnsi="Arial"/>
                <w:sz w:val="17"/>
                <w:szCs w:val="17"/>
                <w:color w:val="0000FF"/>
                <w:w w:val="90"/>
              </w:rPr>
            </w:pPr>
            <w:hyperlink w:anchor="page194">
              <w:r>
                <w:rPr>
                  <w:rFonts w:ascii="Arial" w:cs="Arial" w:eastAsia="Arial" w:hAnsi="Arial"/>
                  <w:sz w:val="17"/>
                  <w:szCs w:val="17"/>
                  <w:color w:val="0000FF"/>
                  <w:w w:val="90"/>
                </w:rPr>
                <w:t>Consent of Independent Registered Public Accounting Firm (PricewaterhouseCoopers LLP).</w:t>
              </w:r>
            </w:hyperlink>
          </w:p>
        </w:tc>
        <w:tc>
          <w:tcPr>
            <w:tcW w:w="3360" w:type="dxa"/>
            <w:vAlign w:val="bottom"/>
            <w:gridSpan w:val="29"/>
          </w:tcPr>
          <w:p>
            <w:pPr>
              <w:spacing w:after="0"/>
              <w:rPr>
                <w:sz w:val="20"/>
                <w:szCs w:val="20"/>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7"/>
          </w:tcPr>
          <w:p>
            <w:pPr>
              <w:spacing w:after="0"/>
              <w:rPr>
                <w:rFonts w:ascii="Arial" w:cs="Arial" w:eastAsia="Arial" w:hAnsi="Arial"/>
                <w:sz w:val="17"/>
                <w:szCs w:val="17"/>
                <w:color w:val="0000EE"/>
              </w:rPr>
            </w:pPr>
            <w:hyperlink w:anchor="page128">
              <w:r>
                <w:rPr>
                  <w:rFonts w:ascii="Arial" w:cs="Arial" w:eastAsia="Arial" w:hAnsi="Arial"/>
                  <w:sz w:val="17"/>
                  <w:szCs w:val="17"/>
                  <w:color w:val="0000EE"/>
                </w:rPr>
                <w:t>Power of Attorney of each Executive Officer and Director signing this report (included in the signature page hereto).</w:t>
              </w:r>
            </w:hyperlink>
          </w:p>
        </w:tc>
      </w:tr>
      <w:tr>
        <w:trPr>
          <w:trHeight w:val="20"/>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4"/>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60" w:type="dxa"/>
            <w:vAlign w:val="bottom"/>
            <w:gridSpan w:val="18"/>
          </w:tcPr>
          <w:p>
            <w:pPr>
              <w:spacing w:after="0" w:line="20" w:lineRule="exact"/>
              <w:rPr>
                <w:sz w:val="1"/>
                <w:szCs w:val="1"/>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tcBorders>
              <w:bottom w:val="single" w:sz="8" w:color="0000FF"/>
            </w:tcBorders>
            <w:gridSpan w:val="19"/>
          </w:tcPr>
          <w:p>
            <w:pPr>
              <w:spacing w:after="0"/>
              <w:rPr>
                <w:rFonts w:ascii="Arial" w:cs="Arial" w:eastAsia="Arial" w:hAnsi="Arial"/>
                <w:sz w:val="17"/>
                <w:szCs w:val="17"/>
                <w:color w:val="0000FF"/>
                <w:w w:val="90"/>
              </w:rPr>
            </w:pPr>
            <w:hyperlink w:anchor="page195">
              <w:r>
                <w:rPr>
                  <w:rFonts w:ascii="Arial" w:cs="Arial" w:eastAsia="Arial" w:hAnsi="Arial"/>
                  <w:sz w:val="17"/>
                  <w:szCs w:val="17"/>
                  <w:color w:val="0000FF"/>
                  <w:w w:val="90"/>
                </w:rPr>
                <w:t>Certification of Robert A. Kotick pursuant to Rule 13a-14(a) under the Securities and Exchange Act of 1934, as adopted pursuant to</w:t>
              </w:r>
            </w:hyperlink>
          </w:p>
        </w:tc>
        <w:tc>
          <w:tcPr>
            <w:tcW w:w="660" w:type="dxa"/>
            <w:vAlign w:val="bottom"/>
            <w:gridSpan w:val="18"/>
          </w:tcPr>
          <w:p>
            <w:pPr>
              <w:spacing w:after="0"/>
              <w:rPr>
                <w:sz w:val="20"/>
                <w:szCs w:val="20"/>
                <w:color w:val="auto"/>
              </w:rPr>
            </w:pPr>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bottom w:val="single" w:sz="8" w:color="0000FF"/>
            </w:tcBorders>
            <w:gridSpan w:val="4"/>
          </w:tcPr>
          <w:p>
            <w:pPr>
              <w:spacing w:after="0" w:line="184" w:lineRule="exact"/>
              <w:rPr>
                <w:rFonts w:ascii="Arial" w:cs="Arial" w:eastAsia="Arial" w:hAnsi="Arial"/>
                <w:sz w:val="17"/>
                <w:szCs w:val="17"/>
                <w:color w:val="0000FF"/>
                <w:w w:val="90"/>
              </w:rPr>
            </w:pPr>
            <w:hyperlink w:anchor="page195">
              <w:r>
                <w:rPr>
                  <w:rFonts w:ascii="Arial" w:cs="Arial" w:eastAsia="Arial" w:hAnsi="Arial"/>
                  <w:sz w:val="17"/>
                  <w:szCs w:val="17"/>
                  <w:color w:val="0000FF"/>
                  <w:w w:val="90"/>
                </w:rPr>
                <w:t>Section 302 of the Sarbanes-Oxley Act of 2002.</w:t>
              </w:r>
            </w:hyperlink>
          </w:p>
        </w:tc>
        <w:tc>
          <w:tcPr>
            <w:tcW w:w="6400" w:type="dxa"/>
            <w:vAlign w:val="bottom"/>
            <w:gridSpan w:val="33"/>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80" w:type="dxa"/>
            <w:vAlign w:val="bottom"/>
            <w:gridSpan w:val="37"/>
          </w:tcPr>
          <w:p>
            <w:pPr>
              <w:spacing w:after="0"/>
              <w:rPr>
                <w:rFonts w:ascii="Arial" w:cs="Arial" w:eastAsia="Arial" w:hAnsi="Arial"/>
                <w:sz w:val="17"/>
                <w:szCs w:val="17"/>
                <w:color w:val="0000FF"/>
                <w:w w:val="99"/>
              </w:rPr>
            </w:pPr>
            <w:hyperlink w:anchor="page196">
              <w:r>
                <w:rPr>
                  <w:rFonts w:ascii="Arial" w:cs="Arial" w:eastAsia="Arial" w:hAnsi="Arial"/>
                  <w:sz w:val="17"/>
                  <w:szCs w:val="17"/>
                  <w:color w:val="0000FF"/>
                  <w:w w:val="99"/>
                </w:rPr>
                <w:t>Certification of Dennis Durkin pursuant to Rule 13a-14(a) under the Securities and Exchange Act of 1934, as adopted pursuant to</w:t>
              </w:r>
            </w:hyperlink>
          </w:p>
        </w:tc>
      </w:tr>
      <w:tr>
        <w:trPr>
          <w:trHeight w:val="184"/>
        </w:trPr>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80" w:type="dxa"/>
            <w:vAlign w:val="bottom"/>
            <w:tcBorders>
              <w:top w:val="single" w:sz="8" w:color="0000FF"/>
              <w:bottom w:val="single" w:sz="8" w:color="0000FF"/>
            </w:tcBorders>
            <w:gridSpan w:val="4"/>
          </w:tcPr>
          <w:p>
            <w:pPr>
              <w:spacing w:after="0" w:line="184" w:lineRule="exact"/>
              <w:rPr>
                <w:rFonts w:ascii="Arial" w:cs="Arial" w:eastAsia="Arial" w:hAnsi="Arial"/>
                <w:sz w:val="17"/>
                <w:szCs w:val="17"/>
                <w:color w:val="0000FF"/>
                <w:w w:val="90"/>
              </w:rPr>
            </w:pPr>
            <w:hyperlink w:anchor="page196">
              <w:r>
                <w:rPr>
                  <w:rFonts w:ascii="Arial" w:cs="Arial" w:eastAsia="Arial" w:hAnsi="Arial"/>
                  <w:sz w:val="17"/>
                  <w:szCs w:val="17"/>
                  <w:color w:val="0000FF"/>
                  <w:w w:val="90"/>
                </w:rPr>
                <w:t>Section 302 of the Sarbanes-Oxley Act of 2002.</w:t>
              </w:r>
            </w:hyperlink>
          </w:p>
        </w:tc>
        <w:tc>
          <w:tcPr>
            <w:tcW w:w="5540" w:type="dxa"/>
            <w:vAlign w:val="bottom"/>
            <w:tcBorders>
              <w:top w:val="single" w:sz="8" w:color="0000FF"/>
            </w:tcBorders>
            <w:gridSpan w:val="11"/>
          </w:tcPr>
          <w:p>
            <w:pPr>
              <w:spacing w:after="0"/>
              <w:rPr>
                <w:sz w:val="16"/>
                <w:szCs w:val="16"/>
                <w:color w:val="auto"/>
              </w:rPr>
            </w:pPr>
          </w:p>
        </w:tc>
        <w:tc>
          <w:tcPr>
            <w:tcW w:w="860" w:type="dxa"/>
            <w:vAlign w:val="bottom"/>
            <w:gridSpan w:val="22"/>
          </w:tcPr>
          <w:p>
            <w:pPr>
              <w:spacing w:after="0"/>
              <w:rPr>
                <w:sz w:val="16"/>
                <w:szCs w:val="16"/>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tcBorders>
              <w:bottom w:val="single" w:sz="8" w:color="0000FF"/>
            </w:tcBorders>
            <w:gridSpan w:val="9"/>
          </w:tcPr>
          <w:p>
            <w:pPr>
              <w:spacing w:after="0"/>
              <w:rPr>
                <w:rFonts w:ascii="Arial" w:cs="Arial" w:eastAsia="Arial" w:hAnsi="Arial"/>
                <w:sz w:val="17"/>
                <w:szCs w:val="17"/>
                <w:color w:val="0000FF"/>
                <w:w w:val="92"/>
              </w:rPr>
            </w:pPr>
            <w:hyperlink w:anchor="page197">
              <w:r>
                <w:rPr>
                  <w:rFonts w:ascii="Arial" w:cs="Arial" w:eastAsia="Arial" w:hAnsi="Arial"/>
                  <w:sz w:val="17"/>
                  <w:szCs w:val="17"/>
                  <w:color w:val="0000FF"/>
                  <w:w w:val="92"/>
                </w:rPr>
                <w:t>Certification of Robert A. Kotick pursuant to Section 906 of the Sarbanes-Oxley Act of 2002.</w:t>
              </w:r>
            </w:hyperlink>
          </w:p>
        </w:tc>
        <w:tc>
          <w:tcPr>
            <w:tcW w:w="3300" w:type="dxa"/>
            <w:vAlign w:val="bottom"/>
            <w:gridSpan w:val="28"/>
          </w:tcPr>
          <w:p>
            <w:pPr>
              <w:spacing w:after="0"/>
              <w:rPr>
                <w:sz w:val="20"/>
                <w:szCs w:val="20"/>
                <w:color w:val="auto"/>
              </w:rPr>
            </w:pPr>
          </w:p>
        </w:tc>
      </w:tr>
      <w:tr>
        <w:trPr>
          <w:trHeight w:val="235"/>
        </w:trPr>
        <w:tc>
          <w:tcPr>
            <w:tcW w:w="1600" w:type="dxa"/>
            <w:vAlign w:val="bottom"/>
          </w:tcPr>
          <w:p>
            <w:pPr>
              <w:jc w:val="right"/>
              <w:ind w:right="16"/>
              <w:spacing w:after="0"/>
              <w:rPr>
                <w:sz w:val="20"/>
                <w:szCs w:val="20"/>
                <w:color w:val="auto"/>
              </w:rPr>
            </w:pPr>
            <w:r>
              <w:rPr>
                <w:rFonts w:ascii="Arial" w:cs="Arial" w:eastAsia="Arial" w:hAnsi="Arial"/>
                <w:sz w:val="17"/>
                <w:szCs w:val="17"/>
                <w:color w:val="auto"/>
              </w:rPr>
              <w:t>32.2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20" w:type="dxa"/>
            <w:vAlign w:val="bottom"/>
            <w:tcBorders>
              <w:bottom w:val="single" w:sz="8" w:color="0000FF"/>
            </w:tcBorders>
            <w:gridSpan w:val="7"/>
          </w:tcPr>
          <w:p>
            <w:pPr>
              <w:spacing w:after="0"/>
              <w:rPr>
                <w:rFonts w:ascii="Arial" w:cs="Arial" w:eastAsia="Arial" w:hAnsi="Arial"/>
                <w:sz w:val="17"/>
                <w:szCs w:val="17"/>
                <w:color w:val="0000FF"/>
                <w:w w:val="92"/>
              </w:rPr>
            </w:pPr>
            <w:hyperlink w:anchor="page198">
              <w:r>
                <w:rPr>
                  <w:rFonts w:ascii="Arial" w:cs="Arial" w:eastAsia="Arial" w:hAnsi="Arial"/>
                  <w:sz w:val="17"/>
                  <w:szCs w:val="17"/>
                  <w:color w:val="0000FF"/>
                  <w:w w:val="92"/>
                </w:rPr>
                <w:t>Certification of Dennis Durkin pursuant to Section 906 of the Sarbanes-Oxley Act of 2002.</w:t>
              </w:r>
            </w:hyperlink>
          </w:p>
        </w:tc>
        <w:tc>
          <w:tcPr>
            <w:tcW w:w="3460" w:type="dxa"/>
            <w:vAlign w:val="bottom"/>
            <w:gridSpan w:val="30"/>
          </w:tcPr>
          <w:p>
            <w:pPr>
              <w:spacing w:after="0"/>
              <w:rPr>
                <w:sz w:val="20"/>
                <w:szCs w:val="20"/>
                <w:color w:val="auto"/>
              </w:rPr>
            </w:pPr>
          </w:p>
        </w:tc>
      </w:tr>
      <w:tr>
        <w:trPr>
          <w:trHeight w:val="261"/>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22"/>
                <w:szCs w:val="22"/>
                <w:color w:val="auto"/>
              </w:rPr>
            </w:pPr>
          </w:p>
        </w:tc>
        <w:tc>
          <w:tcPr>
            <w:tcW w:w="9680" w:type="dxa"/>
            <w:vAlign w:val="bottom"/>
            <w:gridSpan w:val="37"/>
          </w:tcPr>
          <w:p>
            <w:pPr>
              <w:spacing w:after="0"/>
              <w:rPr>
                <w:sz w:val="20"/>
                <w:szCs w:val="20"/>
                <w:color w:val="auto"/>
              </w:rPr>
            </w:pPr>
            <w:r>
              <w:rPr>
                <w:rFonts w:ascii="Arial" w:cs="Arial" w:eastAsia="Arial" w:hAnsi="Arial"/>
                <w:sz w:val="17"/>
                <w:szCs w:val="17"/>
                <w:color w:val="auto"/>
                <w:w w:val="92"/>
              </w:rPr>
              <w:t>Inline XBRL Instance Document - The instance document does not appear in the interactive data file because its XBRL tags are embedded</w:t>
            </w:r>
          </w:p>
        </w:tc>
      </w:tr>
      <w:tr>
        <w:trPr>
          <w:trHeight w:val="215"/>
        </w:trPr>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80" w:type="dxa"/>
            <w:vAlign w:val="bottom"/>
            <w:gridSpan w:val="37"/>
          </w:tcPr>
          <w:p>
            <w:pPr>
              <w:spacing w:after="0"/>
              <w:rPr>
                <w:sz w:val="20"/>
                <w:szCs w:val="20"/>
                <w:color w:val="auto"/>
              </w:rPr>
            </w:pPr>
            <w:r>
              <w:rPr>
                <w:rFonts w:ascii="Arial" w:cs="Arial" w:eastAsia="Arial" w:hAnsi="Arial"/>
                <w:sz w:val="17"/>
                <w:szCs w:val="17"/>
                <w:color w:val="auto"/>
              </w:rPr>
              <w:t>within the Inline XBRL document.</w:t>
            </w:r>
          </w:p>
        </w:tc>
      </w:tr>
      <w:tr>
        <w:trPr>
          <w:trHeight w:val="255"/>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101.SCH</w:t>
            </w:r>
          </w:p>
        </w:tc>
        <w:tc>
          <w:tcPr>
            <w:tcW w:w="20" w:type="dxa"/>
            <w:vAlign w:val="bottom"/>
          </w:tcPr>
          <w:p>
            <w:pPr>
              <w:spacing w:after="0"/>
              <w:rPr>
                <w:sz w:val="22"/>
                <w:szCs w:val="22"/>
                <w:color w:val="auto"/>
              </w:rPr>
            </w:pPr>
          </w:p>
        </w:tc>
        <w:tc>
          <w:tcPr>
            <w:tcW w:w="9680" w:type="dxa"/>
            <w:vAlign w:val="bottom"/>
            <w:gridSpan w:val="37"/>
          </w:tcPr>
          <w:p>
            <w:pPr>
              <w:spacing w:after="0"/>
              <w:rPr>
                <w:sz w:val="20"/>
                <w:szCs w:val="20"/>
                <w:color w:val="auto"/>
              </w:rPr>
            </w:pPr>
            <w:r>
              <w:rPr>
                <w:rFonts w:ascii="Arial" w:cs="Arial" w:eastAsia="Arial" w:hAnsi="Arial"/>
                <w:sz w:val="17"/>
                <w:szCs w:val="17"/>
                <w:color w:val="auto"/>
              </w:rPr>
              <w:t>Inline XBRL Taxonomy Extension Schema Document.</w:t>
            </w:r>
          </w:p>
        </w:tc>
      </w:tr>
      <w:tr>
        <w:trPr>
          <w:trHeight w:val="434"/>
        </w:trPr>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920" w:type="dxa"/>
            <w:vAlign w:val="bottom"/>
            <w:gridSpan w:val="32"/>
          </w:tcPr>
          <w:p>
            <w:pPr>
              <w:ind w:left="100"/>
              <w:spacing w:after="0"/>
              <w:rPr>
                <w:sz w:val="20"/>
                <w:szCs w:val="20"/>
                <w:color w:val="auto"/>
              </w:rPr>
            </w:pPr>
            <w:r>
              <w:rPr>
                <w:rFonts w:ascii="Arial" w:cs="Arial" w:eastAsia="Arial" w:hAnsi="Arial"/>
                <w:sz w:val="17"/>
                <w:szCs w:val="17"/>
                <w:color w:val="auto"/>
              </w:rPr>
              <w:t>E-3</w:t>
            </w:r>
          </w:p>
        </w:tc>
      </w:tr>
    </w:tbl>
    <w:p>
      <w:pPr>
        <w:sectPr>
          <w:pgSz w:w="11900" w:h="16838" w:orient="portrait"/>
          <w:cols w:equalWidth="0" w:num="1">
            <w:col w:w="11420"/>
          </w:cols>
          <w:pgMar w:left="240" w:top="127"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15"/>
                <w:szCs w:val="15"/>
                <w:color w:val="auto"/>
              </w:rPr>
            </w:pPr>
          </w:p>
        </w:tc>
        <w:tc>
          <w:tcPr>
            <w:tcW w:w="970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Exhibit</w:t>
            </w:r>
          </w:p>
        </w:tc>
      </w:tr>
      <w:tr>
        <w:trPr>
          <w:trHeight w:val="227"/>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101.CAL</w:t>
            </w:r>
          </w:p>
        </w:tc>
        <w:tc>
          <w:tcPr>
            <w:tcW w:w="9700" w:type="dxa"/>
            <w:vAlign w:val="bottom"/>
          </w:tcPr>
          <w:p>
            <w:pPr>
              <w:ind w:left="20"/>
              <w:spacing w:after="0"/>
              <w:rPr>
                <w:sz w:val="20"/>
                <w:szCs w:val="20"/>
                <w:color w:val="auto"/>
              </w:rPr>
            </w:pPr>
            <w:r>
              <w:rPr>
                <w:rFonts w:ascii="Arial" w:cs="Arial" w:eastAsia="Arial" w:hAnsi="Arial"/>
                <w:sz w:val="17"/>
                <w:szCs w:val="17"/>
                <w:color w:val="auto"/>
              </w:rPr>
              <w:t>Inline XBRL Taxonomy Calculation Linkbase Document.</w:t>
            </w:r>
          </w:p>
        </w:tc>
      </w:tr>
      <w:tr>
        <w:trPr>
          <w:trHeight w:val="255"/>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101.LAB</w:t>
            </w:r>
          </w:p>
        </w:tc>
        <w:tc>
          <w:tcPr>
            <w:tcW w:w="9700" w:type="dxa"/>
            <w:vAlign w:val="bottom"/>
          </w:tcPr>
          <w:p>
            <w:pPr>
              <w:ind w:left="20"/>
              <w:spacing w:after="0"/>
              <w:rPr>
                <w:sz w:val="20"/>
                <w:szCs w:val="20"/>
                <w:color w:val="auto"/>
              </w:rPr>
            </w:pPr>
            <w:r>
              <w:rPr>
                <w:rFonts w:ascii="Arial" w:cs="Arial" w:eastAsia="Arial" w:hAnsi="Arial"/>
                <w:sz w:val="17"/>
                <w:szCs w:val="17"/>
                <w:color w:val="auto"/>
              </w:rPr>
              <w:t>Inline XBRL Taxonomy Label Linkbase Document.</w:t>
            </w:r>
          </w:p>
        </w:tc>
      </w:tr>
      <w:tr>
        <w:trPr>
          <w:trHeight w:val="255"/>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101.PRE</w:t>
            </w:r>
          </w:p>
        </w:tc>
        <w:tc>
          <w:tcPr>
            <w:tcW w:w="9700" w:type="dxa"/>
            <w:vAlign w:val="bottom"/>
          </w:tcPr>
          <w:p>
            <w:pPr>
              <w:ind w:left="20"/>
              <w:spacing w:after="0"/>
              <w:rPr>
                <w:sz w:val="20"/>
                <w:szCs w:val="20"/>
                <w:color w:val="auto"/>
              </w:rPr>
            </w:pPr>
            <w:r>
              <w:rPr>
                <w:rFonts w:ascii="Arial" w:cs="Arial" w:eastAsia="Arial" w:hAnsi="Arial"/>
                <w:sz w:val="17"/>
                <w:szCs w:val="17"/>
                <w:color w:val="auto"/>
              </w:rPr>
              <w:t>Inline XBRL Taxonomy Presentation Linkbase Document.</w:t>
            </w:r>
          </w:p>
        </w:tc>
      </w:tr>
      <w:tr>
        <w:trPr>
          <w:trHeight w:val="255"/>
        </w:trPr>
        <w:tc>
          <w:tcPr>
            <w:tcW w:w="1720" w:type="dxa"/>
            <w:vAlign w:val="bottom"/>
            <w:gridSpan w:val="2"/>
          </w:tcPr>
          <w:p>
            <w:pPr>
              <w:jc w:val="right"/>
              <w:ind w:right="220"/>
              <w:spacing w:after="0"/>
              <w:rPr>
                <w:sz w:val="20"/>
                <w:szCs w:val="20"/>
                <w:color w:val="auto"/>
              </w:rPr>
            </w:pPr>
            <w:r>
              <w:rPr>
                <w:rFonts w:ascii="Arial" w:cs="Arial" w:eastAsia="Arial" w:hAnsi="Arial"/>
                <w:sz w:val="17"/>
                <w:szCs w:val="17"/>
                <w:color w:val="auto"/>
              </w:rPr>
              <w:t>101.DEF</w:t>
            </w:r>
          </w:p>
        </w:tc>
        <w:tc>
          <w:tcPr>
            <w:tcW w:w="9700" w:type="dxa"/>
            <w:vAlign w:val="bottom"/>
          </w:tcPr>
          <w:p>
            <w:pPr>
              <w:ind w:left="20"/>
              <w:spacing w:after="0"/>
              <w:rPr>
                <w:sz w:val="20"/>
                <w:szCs w:val="20"/>
                <w:color w:val="auto"/>
              </w:rPr>
            </w:pPr>
            <w:r>
              <w:rPr>
                <w:rFonts w:ascii="Arial" w:cs="Arial" w:eastAsia="Arial" w:hAnsi="Arial"/>
                <w:sz w:val="17"/>
                <w:szCs w:val="17"/>
                <w:color w:val="auto"/>
              </w:rPr>
              <w:t>Inline XBRL Taxonomy Extension Definition Document.</w:t>
            </w:r>
          </w:p>
        </w:tc>
      </w:tr>
    </w:tbl>
    <w:p>
      <w:pPr>
        <w:spacing w:after="0" w:line="40" w:lineRule="exact"/>
        <w:rPr>
          <w:sz w:val="20"/>
          <w:szCs w:val="20"/>
          <w:color w:val="auto"/>
        </w:rPr>
      </w:pPr>
    </w:p>
    <w:p>
      <w:pPr>
        <w:ind w:left="1740" w:hanging="501"/>
        <w:spacing w:after="0"/>
        <w:tabs>
          <w:tab w:leader="none" w:pos="1740" w:val="left"/>
        </w:tabs>
        <w:numPr>
          <w:ilvl w:val="1"/>
          <w:numId w:val="73"/>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2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Indicates a management contract or compensatory plan, contract or arrangement in which a director or executive officer of the Company participates.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E-4</w:t>
      </w:r>
    </w:p>
    <w:p>
      <w:pPr>
        <w:sectPr>
          <w:pgSz w:w="11900" w:h="16838" w:orient="portrait"/>
          <w:cols w:equalWidth="0" w:num="1">
            <w:col w:w="11420"/>
          </w:cols>
          <w:pgMar w:left="240" w:top="127" w:right="23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w:t>
      </w:r>
    </w:p>
    <w:p>
      <w:pPr>
        <w:spacing w:after="0" w:line="140" w:lineRule="exact"/>
        <w:rPr>
          <w:sz w:val="20"/>
          <w:szCs w:val="20"/>
          <w:color w:val="auto"/>
        </w:rPr>
      </w:pPr>
    </w:p>
    <w:p>
      <w:pPr>
        <w:ind w:right="20" w:firstLine="408"/>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2020</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ACTIVISION BLIZZARD, INC.</w:t>
      </w:r>
    </w:p>
    <w:p>
      <w:pPr>
        <w:spacing w:after="0" w:line="60" w:lineRule="exact"/>
        <w:rPr>
          <w:sz w:val="20"/>
          <w:szCs w:val="20"/>
          <w:color w:val="auto"/>
        </w:rPr>
      </w:pPr>
    </w:p>
    <w:p>
      <w:pPr>
        <w:ind w:left="20"/>
        <w:spacing w:after="0"/>
        <w:tabs>
          <w:tab w:leader="none" w:pos="24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29210</wp:posOffset>
            </wp:positionV>
            <wp:extent cx="3659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3">
                      <a:extLst>
                        <a:ext uri="{28A0092B-C50C-407E-A947-70E740481C1C}"/>
                      </a:extLst>
                    </a:blip>
                    <a:srcRect/>
                    <a:stretch>
                      <a:fillRect/>
                    </a:stretch>
                  </pic:blipFill>
                  <pic:spPr bwMode="auto">
                    <a:xfrm>
                      <a:off x="0" y="0"/>
                      <a:ext cx="3659505" cy="8255"/>
                    </a:xfrm>
                    <a:prstGeom prst="rect">
                      <a:avLst/>
                    </a:prstGeom>
                    <a:noFill/>
                  </pic:spPr>
                </pic:pic>
              </a:graphicData>
            </a:graphic>
          </wp:anchor>
        </w:drawing>
      </w:r>
    </w:p>
    <w:p>
      <w:pPr>
        <w:spacing w:after="0" w:line="52" w:lineRule="exact"/>
        <w:rPr>
          <w:sz w:val="20"/>
          <w:szCs w:val="20"/>
          <w:color w:val="auto"/>
        </w:rPr>
      </w:pPr>
    </w:p>
    <w:p>
      <w:pPr>
        <w:jc w:val="center"/>
        <w:ind w:right="4720"/>
        <w:spacing w:after="0"/>
        <w:rPr>
          <w:sz w:val="20"/>
          <w:szCs w:val="20"/>
          <w:color w:val="auto"/>
        </w:rPr>
      </w:pPr>
      <w:r>
        <w:rPr>
          <w:rFonts w:ascii="Arial" w:cs="Arial" w:eastAsia="Arial" w:hAnsi="Arial"/>
          <w:sz w:val="17"/>
          <w:szCs w:val="17"/>
          <w:color w:val="auto"/>
        </w:rPr>
        <w:t>Robert A. Kotick</w:t>
      </w:r>
    </w:p>
    <w:p>
      <w:pPr>
        <w:spacing w:after="0" w:line="20" w:lineRule="exact"/>
        <w:rPr>
          <w:sz w:val="20"/>
          <w:szCs w:val="20"/>
          <w:color w:val="auto"/>
        </w:rPr>
      </w:pPr>
    </w:p>
    <w:p>
      <w:pPr>
        <w:jc w:val="center"/>
        <w:ind w:right="4660"/>
        <w:spacing w:after="0"/>
        <w:rPr>
          <w:sz w:val="20"/>
          <w:szCs w:val="20"/>
          <w:color w:val="auto"/>
        </w:rPr>
      </w:pPr>
      <w:r>
        <w:rPr>
          <w:rFonts w:ascii="Arial" w:cs="Arial" w:eastAsia="Arial" w:hAnsi="Arial"/>
          <w:sz w:val="17"/>
          <w:szCs w:val="17"/>
          <w:i w:val="1"/>
          <w:iCs w:val="1"/>
          <w:color w:val="auto"/>
        </w:rPr>
        <w:t>Director and Chief Executive Officer of Activision Blizzard, Inc.</w:t>
      </w:r>
    </w:p>
    <w:p>
      <w:pPr>
        <w:spacing w:after="0" w:line="9" w:lineRule="exact"/>
        <w:rPr>
          <w:sz w:val="20"/>
          <w:szCs w:val="20"/>
          <w:color w:val="auto"/>
        </w:rPr>
      </w:pPr>
    </w:p>
    <w:p>
      <w:pPr>
        <w:jc w:val="center"/>
        <w:ind w:right="4720"/>
        <w:spacing w:after="0"/>
        <w:rPr>
          <w:sz w:val="20"/>
          <w:szCs w:val="20"/>
          <w:color w:val="auto"/>
        </w:rPr>
      </w:pPr>
      <w:r>
        <w:rPr>
          <w:rFonts w:ascii="Arial" w:cs="Arial" w:eastAsia="Arial" w:hAnsi="Arial"/>
          <w:sz w:val="17"/>
          <w:szCs w:val="17"/>
          <w:i w:val="1"/>
          <w:iCs w:val="1"/>
          <w:color w:val="auto"/>
        </w:rPr>
        <w:t>(Principal Executive Officer)</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w:t>
      </w:r>
    </w:p>
    <w:p>
      <w:pPr>
        <w:spacing w:after="0" w:line="12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POWER OF ATTORNEY</w:t>
      </w:r>
    </w:p>
    <w:p>
      <w:pPr>
        <w:spacing w:after="0" w:line="268" w:lineRule="exact"/>
        <w:rPr>
          <w:sz w:val="20"/>
          <w:szCs w:val="20"/>
          <w:color w:val="auto"/>
        </w:rPr>
      </w:pPr>
    </w:p>
    <w:p>
      <w:pPr>
        <w:ind w:right="120" w:firstLine="408"/>
        <w:spacing w:after="0" w:line="295" w:lineRule="auto"/>
        <w:rPr>
          <w:sz w:val="20"/>
          <w:szCs w:val="20"/>
          <w:color w:val="auto"/>
        </w:rPr>
      </w:pPr>
      <w:r>
        <w:rPr>
          <w:rFonts w:ascii="Arial" w:cs="Arial" w:eastAsia="Arial" w:hAnsi="Arial"/>
          <w:sz w:val="15"/>
          <w:szCs w:val="15"/>
          <w:color w:val="auto"/>
        </w:rPr>
        <w:t>Each individual whose signature appears below constitutes and appoints Robert A. Kotick and Dennis Durkin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207" w:lineRule="exact"/>
        <w:rPr>
          <w:sz w:val="20"/>
          <w:szCs w:val="20"/>
          <w:color w:val="auto"/>
        </w:rPr>
      </w:pPr>
    </w:p>
    <w:p>
      <w:pPr>
        <w:ind w:firstLine="408"/>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jc w:val="center"/>
              <w:ind w:left="935"/>
              <w:spacing w:after="0"/>
              <w:rPr>
                <w:sz w:val="20"/>
                <w:szCs w:val="20"/>
                <w:color w:val="auto"/>
              </w:rPr>
            </w:pPr>
            <w:r>
              <w:rPr>
                <w:rFonts w:ascii="Arial" w:cs="Arial" w:eastAsia="Arial" w:hAnsi="Arial"/>
                <w:sz w:val="17"/>
                <w:szCs w:val="17"/>
                <w:color w:val="auto"/>
                <w:w w:val="95"/>
              </w:rPr>
              <w:t>/s/ ROBERT A. KOTICK</w:t>
            </w:r>
          </w:p>
        </w:tc>
        <w:tc>
          <w:tcPr>
            <w:tcW w:w="1020" w:type="dxa"/>
            <w:vAlign w:val="bottom"/>
            <w:tcBorders>
              <w:bottom w:val="single" w:sz="8" w:color="auto"/>
            </w:tcBorders>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rPr>
              <w:t>Director, Chief Executive Officer (Principal</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480" w:type="dxa"/>
            <w:vAlign w:val="bottom"/>
          </w:tcPr>
          <w:p>
            <w:pPr>
              <w:jc w:val="center"/>
              <w:ind w:left="935"/>
              <w:spacing w:after="0"/>
              <w:rPr>
                <w:sz w:val="20"/>
                <w:szCs w:val="20"/>
                <w:color w:val="auto"/>
              </w:rPr>
            </w:pPr>
            <w:r>
              <w:rPr>
                <w:rFonts w:ascii="Arial" w:cs="Arial" w:eastAsia="Arial" w:hAnsi="Arial"/>
                <w:sz w:val="17"/>
                <w:szCs w:val="17"/>
                <w:color w:val="auto"/>
                <w:w w:val="96"/>
              </w:rPr>
              <w:t>(Robert A. Kotick)</w:t>
            </w:r>
          </w:p>
        </w:tc>
        <w:tc>
          <w:tcPr>
            <w:tcW w:w="102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rPr>
              <w:t>Executive Officer)</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Borders>
              <w:bottom w:val="single" w:sz="8" w:color="auto"/>
            </w:tcBorders>
          </w:tcPr>
          <w:p>
            <w:pPr>
              <w:jc w:val="center"/>
              <w:ind w:left="975"/>
              <w:spacing w:after="0"/>
              <w:rPr>
                <w:sz w:val="20"/>
                <w:szCs w:val="20"/>
                <w:color w:val="auto"/>
              </w:rPr>
            </w:pPr>
            <w:r>
              <w:rPr>
                <w:rFonts w:ascii="Arial" w:cs="Arial" w:eastAsia="Arial" w:hAnsi="Arial"/>
                <w:sz w:val="17"/>
                <w:szCs w:val="17"/>
                <w:color w:val="auto"/>
                <w:w w:val="98"/>
              </w:rPr>
              <w:t>/s/ DENNIS DURKIN</w:t>
            </w:r>
          </w:p>
        </w:tc>
        <w:tc>
          <w:tcPr>
            <w:tcW w:w="1020" w:type="dxa"/>
            <w:vAlign w:val="bottom"/>
            <w:tcBorders>
              <w:bottom w:val="single" w:sz="8" w:color="auto"/>
            </w:tcBorders>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w w:val="96"/>
              </w:rPr>
              <w:t>Chief Financial Officer (Principal Financial Officer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22"/>
        </w:trPr>
        <w:tc>
          <w:tcPr>
            <w:tcW w:w="440" w:type="dxa"/>
            <w:vAlign w:val="bottom"/>
          </w:tcPr>
          <w:p>
            <w:pPr>
              <w:spacing w:after="0"/>
              <w:rPr>
                <w:sz w:val="19"/>
                <w:szCs w:val="19"/>
                <w:color w:val="auto"/>
              </w:rPr>
            </w:pPr>
          </w:p>
        </w:tc>
        <w:tc>
          <w:tcPr>
            <w:tcW w:w="4480" w:type="dxa"/>
            <w:vAlign w:val="bottom"/>
          </w:tcPr>
          <w:p>
            <w:pPr>
              <w:jc w:val="center"/>
              <w:ind w:left="915"/>
              <w:spacing w:after="0"/>
              <w:rPr>
                <w:sz w:val="20"/>
                <w:szCs w:val="20"/>
                <w:color w:val="auto"/>
              </w:rPr>
            </w:pPr>
            <w:r>
              <w:rPr>
                <w:rFonts w:ascii="Arial" w:cs="Arial" w:eastAsia="Arial" w:hAnsi="Arial"/>
                <w:sz w:val="17"/>
                <w:szCs w:val="17"/>
                <w:color w:val="auto"/>
                <w:w w:val="94"/>
              </w:rPr>
              <w:t>(Dennis Durkin)</w:t>
            </w:r>
          </w:p>
        </w:tc>
        <w:tc>
          <w:tcPr>
            <w:tcW w:w="1020" w:type="dxa"/>
            <w:vAlign w:val="bottom"/>
          </w:tcPr>
          <w:p>
            <w:pPr>
              <w:spacing w:after="0"/>
              <w:rPr>
                <w:sz w:val="19"/>
                <w:szCs w:val="19"/>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rPr>
              <w:t>and Principal Accounting Officer)</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35"/>
              <w:spacing w:after="0"/>
              <w:rPr>
                <w:sz w:val="20"/>
                <w:szCs w:val="20"/>
                <w:color w:val="auto"/>
              </w:rPr>
            </w:pPr>
            <w:r>
              <w:rPr>
                <w:rFonts w:ascii="Arial" w:cs="Arial" w:eastAsia="Arial" w:hAnsi="Arial"/>
                <w:sz w:val="17"/>
                <w:szCs w:val="17"/>
                <w:color w:val="auto"/>
                <w:w w:val="94"/>
              </w:rPr>
              <w:t>/s/ REVETA BOWERS</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35"/>
              <w:spacing w:after="0"/>
              <w:rPr>
                <w:sz w:val="20"/>
                <w:szCs w:val="20"/>
                <w:color w:val="auto"/>
              </w:rPr>
            </w:pPr>
            <w:r>
              <w:rPr>
                <w:rFonts w:ascii="Arial" w:cs="Arial" w:eastAsia="Arial" w:hAnsi="Arial"/>
                <w:sz w:val="17"/>
                <w:szCs w:val="17"/>
                <w:color w:val="auto"/>
                <w:w w:val="90"/>
              </w:rPr>
              <w:t>(Reveta Bowers)</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1"/>
              </w:rPr>
              <w:t>/s/ ROBERT J. CORTI</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15"/>
              <w:spacing w:after="0"/>
              <w:rPr>
                <w:sz w:val="20"/>
                <w:szCs w:val="20"/>
                <w:color w:val="auto"/>
              </w:rPr>
            </w:pPr>
            <w:r>
              <w:rPr>
                <w:rFonts w:ascii="Arial" w:cs="Arial" w:eastAsia="Arial" w:hAnsi="Arial"/>
                <w:sz w:val="17"/>
                <w:szCs w:val="17"/>
                <w:color w:val="auto"/>
                <w:w w:val="92"/>
              </w:rPr>
              <w:t>(Robert J. Corti)</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35"/>
              <w:spacing w:after="0"/>
              <w:rPr>
                <w:sz w:val="20"/>
                <w:szCs w:val="20"/>
                <w:color w:val="auto"/>
              </w:rPr>
            </w:pPr>
            <w:r>
              <w:rPr>
                <w:rFonts w:ascii="Arial" w:cs="Arial" w:eastAsia="Arial" w:hAnsi="Arial"/>
                <w:sz w:val="17"/>
                <w:szCs w:val="17"/>
                <w:color w:val="auto"/>
                <w:w w:val="96"/>
              </w:rPr>
              <w:t>/s/ HENDRIK J. HARTONG III</w:t>
            </w:r>
          </w:p>
        </w:tc>
        <w:tc>
          <w:tcPr>
            <w:tcW w:w="1020" w:type="dxa"/>
            <w:vAlign w:val="bottom"/>
          </w:tcPr>
          <w:p>
            <w:pPr>
              <w:spacing w:after="0"/>
              <w:rPr>
                <w:sz w:val="22"/>
                <w:szCs w:val="22"/>
                <w:color w:val="auto"/>
              </w:rPr>
            </w:pPr>
          </w:p>
        </w:tc>
        <w:tc>
          <w:tcPr>
            <w:tcW w:w="3600" w:type="dxa"/>
            <w:vAlign w:val="bottom"/>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40" w:type="dxa"/>
            <w:vAlign w:val="bottom"/>
          </w:tcPr>
          <w:p>
            <w:pPr>
              <w:spacing w:after="0"/>
              <w:rPr>
                <w:sz w:val="19"/>
                <w:szCs w:val="19"/>
                <w:color w:val="auto"/>
              </w:rPr>
            </w:pPr>
          </w:p>
        </w:tc>
        <w:tc>
          <w:tcPr>
            <w:tcW w:w="4480" w:type="dxa"/>
            <w:vAlign w:val="bottom"/>
          </w:tcPr>
          <w:p>
            <w:pPr>
              <w:jc w:val="center"/>
              <w:ind w:left="935"/>
              <w:spacing w:after="0"/>
              <w:rPr>
                <w:sz w:val="20"/>
                <w:szCs w:val="20"/>
                <w:color w:val="auto"/>
              </w:rPr>
            </w:pPr>
            <w:r>
              <w:rPr>
                <w:rFonts w:ascii="Arial" w:cs="Arial" w:eastAsia="Arial" w:hAnsi="Arial"/>
                <w:sz w:val="17"/>
                <w:szCs w:val="17"/>
                <w:color w:val="auto"/>
                <w:w w:val="94"/>
              </w:rPr>
              <w:t>(Hendrik J. Hartong III)</w:t>
            </w:r>
          </w:p>
        </w:tc>
        <w:tc>
          <w:tcPr>
            <w:tcW w:w="10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9"/>
              </w:rPr>
              <w:t>/s/ BRIAN G. KELLY</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Chairman of the Board and 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15"/>
              <w:spacing w:after="0"/>
              <w:rPr>
                <w:sz w:val="20"/>
                <w:szCs w:val="20"/>
                <w:color w:val="auto"/>
              </w:rPr>
            </w:pPr>
            <w:r>
              <w:rPr>
                <w:rFonts w:ascii="Arial" w:cs="Arial" w:eastAsia="Arial" w:hAnsi="Arial"/>
                <w:sz w:val="17"/>
                <w:szCs w:val="17"/>
                <w:color w:val="auto"/>
                <w:w w:val="97"/>
              </w:rPr>
              <w:t>(Brian G. Kelly)</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35"/>
              <w:spacing w:after="0"/>
              <w:rPr>
                <w:sz w:val="20"/>
                <w:szCs w:val="20"/>
                <w:color w:val="auto"/>
              </w:rPr>
            </w:pPr>
            <w:r>
              <w:rPr>
                <w:rFonts w:ascii="Arial" w:cs="Arial" w:eastAsia="Arial" w:hAnsi="Arial"/>
                <w:sz w:val="17"/>
                <w:szCs w:val="17"/>
                <w:color w:val="auto"/>
                <w:w w:val="96"/>
              </w:rPr>
              <w:t>/s/ BARRY MEYER</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35"/>
              <w:spacing w:after="0"/>
              <w:rPr>
                <w:sz w:val="20"/>
                <w:szCs w:val="20"/>
                <w:color w:val="auto"/>
              </w:rPr>
            </w:pPr>
            <w:r>
              <w:rPr>
                <w:rFonts w:ascii="Arial" w:cs="Arial" w:eastAsia="Arial" w:hAnsi="Arial"/>
                <w:sz w:val="17"/>
                <w:szCs w:val="17"/>
                <w:color w:val="auto"/>
                <w:w w:val="94"/>
              </w:rPr>
              <w:t>(Barry Meyer)</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4"/>
              </w:rPr>
              <w:t>/s/ ROBERT J. MORGADO</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35"/>
              <w:spacing w:after="0"/>
              <w:rPr>
                <w:sz w:val="20"/>
                <w:szCs w:val="20"/>
                <w:color w:val="auto"/>
              </w:rPr>
            </w:pPr>
            <w:r>
              <w:rPr>
                <w:rFonts w:ascii="Arial" w:cs="Arial" w:eastAsia="Arial" w:hAnsi="Arial"/>
                <w:sz w:val="17"/>
                <w:szCs w:val="17"/>
                <w:color w:val="auto"/>
                <w:w w:val="90"/>
              </w:rPr>
              <w:t>(Robert J. Morgado)</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3"/>
              </w:rPr>
              <w:t>/s/ PETER NOLAN</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15"/>
              <w:spacing w:after="0"/>
              <w:rPr>
                <w:sz w:val="20"/>
                <w:szCs w:val="20"/>
                <w:color w:val="auto"/>
              </w:rPr>
            </w:pPr>
            <w:r>
              <w:rPr>
                <w:rFonts w:ascii="Arial" w:cs="Arial" w:eastAsia="Arial" w:hAnsi="Arial"/>
                <w:sz w:val="17"/>
                <w:szCs w:val="17"/>
                <w:color w:val="auto"/>
                <w:w w:val="90"/>
              </w:rPr>
              <w:t>(Peter Nolan)</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4"/>
              </w:rPr>
              <w:t>/s/ CASEY WASSERMAN</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6"/>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35"/>
              <w:spacing w:after="0"/>
              <w:rPr>
                <w:sz w:val="20"/>
                <w:szCs w:val="20"/>
                <w:color w:val="auto"/>
              </w:rPr>
            </w:pPr>
            <w:r>
              <w:rPr>
                <w:rFonts w:ascii="Arial" w:cs="Arial" w:eastAsia="Arial" w:hAnsi="Arial"/>
                <w:sz w:val="17"/>
                <w:szCs w:val="17"/>
                <w:color w:val="auto"/>
                <w:w w:val="86"/>
              </w:rPr>
              <w:t>(Casey Wasserman)</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440" w:type="dxa"/>
            <w:vAlign w:val="bottom"/>
          </w:tcPr>
          <w:p>
            <w:pPr>
              <w:spacing w:after="0"/>
              <w:rPr>
                <w:sz w:val="20"/>
                <w:szCs w:val="20"/>
                <w:color w:val="auto"/>
              </w:rPr>
            </w:pPr>
            <w:r>
              <w:rPr>
                <w:rFonts w:ascii="Arial" w:cs="Arial" w:eastAsia="Arial" w:hAnsi="Arial"/>
                <w:sz w:val="17"/>
                <w:szCs w:val="17"/>
                <w:color w:val="auto"/>
              </w:rPr>
              <w:t>By:</w:t>
            </w:r>
          </w:p>
        </w:tc>
        <w:tc>
          <w:tcPr>
            <w:tcW w:w="4480" w:type="dxa"/>
            <w:vAlign w:val="bottom"/>
          </w:tcPr>
          <w:p>
            <w:pPr>
              <w:jc w:val="center"/>
              <w:ind w:left="975"/>
              <w:spacing w:after="0"/>
              <w:rPr>
                <w:sz w:val="20"/>
                <w:szCs w:val="20"/>
                <w:color w:val="auto"/>
              </w:rPr>
            </w:pPr>
            <w:r>
              <w:rPr>
                <w:rFonts w:ascii="Arial" w:cs="Arial" w:eastAsia="Arial" w:hAnsi="Arial"/>
                <w:sz w:val="17"/>
                <w:szCs w:val="17"/>
                <w:color w:val="auto"/>
                <w:w w:val="95"/>
              </w:rPr>
              <w:t>/s/ ELAINE P. WYNN</w:t>
            </w:r>
          </w:p>
        </w:tc>
        <w:tc>
          <w:tcPr>
            <w:tcW w:w="1020" w:type="dxa"/>
            <w:vAlign w:val="bottom"/>
          </w:tcPr>
          <w:p>
            <w:pPr>
              <w:spacing w:after="0"/>
              <w:rPr>
                <w:sz w:val="22"/>
                <w:szCs w:val="22"/>
                <w:color w:val="auto"/>
              </w:rPr>
            </w:pPr>
          </w:p>
        </w:tc>
        <w:tc>
          <w:tcPr>
            <w:tcW w:w="3600" w:type="dxa"/>
            <w:vAlign w:val="bottom"/>
            <w:vMerge w:val="restart"/>
          </w:tcPr>
          <w:p>
            <w:pPr>
              <w:ind w:left="20"/>
              <w:spacing w:after="0"/>
              <w:rPr>
                <w:sz w:val="20"/>
                <w:szCs w:val="20"/>
                <w:color w:val="auto"/>
              </w:rPr>
            </w:pPr>
            <w:r>
              <w:rPr>
                <w:rFonts w:ascii="Arial" w:cs="Arial" w:eastAsia="Arial" w:hAnsi="Arial"/>
                <w:sz w:val="17"/>
                <w:szCs w:val="17"/>
                <w:color w:val="auto"/>
              </w:rPr>
              <w:t>Director</w:t>
            </w:r>
          </w:p>
        </w:tc>
        <w:tc>
          <w:tcPr>
            <w:tcW w:w="1320" w:type="dxa"/>
            <w:vAlign w:val="bottom"/>
          </w:tcPr>
          <w:p>
            <w:pPr>
              <w:ind w:left="60"/>
              <w:spacing w:after="0"/>
              <w:rPr>
                <w:sz w:val="20"/>
                <w:szCs w:val="20"/>
                <w:color w:val="auto"/>
              </w:rPr>
            </w:pPr>
            <w:r>
              <w:rPr>
                <w:rFonts w:ascii="Arial" w:cs="Arial" w:eastAsia="Arial" w:hAnsi="Arial"/>
                <w:sz w:val="17"/>
                <w:szCs w:val="17"/>
                <w:color w:val="auto"/>
                <w:w w:val="89"/>
              </w:rPr>
              <w:t>February 27, 2020</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0" w:type="dxa"/>
            <w:vAlign w:val="bottom"/>
            <w:vMerge w:val="continue"/>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440" w:type="dxa"/>
            <w:vAlign w:val="bottom"/>
          </w:tcPr>
          <w:p>
            <w:pPr>
              <w:spacing w:after="0"/>
              <w:rPr>
                <w:sz w:val="7"/>
                <w:szCs w:val="7"/>
                <w:color w:val="auto"/>
              </w:rPr>
            </w:pPr>
          </w:p>
        </w:tc>
        <w:tc>
          <w:tcPr>
            <w:tcW w:w="4480" w:type="dxa"/>
            <w:vAlign w:val="bottom"/>
            <w:vMerge w:val="restart"/>
          </w:tcPr>
          <w:p>
            <w:pPr>
              <w:jc w:val="center"/>
              <w:ind w:left="935"/>
              <w:spacing w:after="0"/>
              <w:rPr>
                <w:sz w:val="20"/>
                <w:szCs w:val="20"/>
                <w:color w:val="auto"/>
              </w:rPr>
            </w:pPr>
            <w:r>
              <w:rPr>
                <w:rFonts w:ascii="Arial" w:cs="Arial" w:eastAsia="Arial" w:hAnsi="Arial"/>
                <w:sz w:val="17"/>
                <w:szCs w:val="17"/>
                <w:color w:val="auto"/>
                <w:w w:val="89"/>
              </w:rPr>
              <w:t>(Elaine P. Wynn)</w:t>
            </w:r>
          </w:p>
        </w:tc>
        <w:tc>
          <w:tcPr>
            <w:tcW w:w="10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440" w:type="dxa"/>
            <w:vAlign w:val="bottom"/>
          </w:tcPr>
          <w:p>
            <w:pPr>
              <w:spacing w:after="0"/>
              <w:rPr>
                <w:sz w:val="12"/>
                <w:szCs w:val="12"/>
                <w:color w:val="auto"/>
              </w:rPr>
            </w:pPr>
          </w:p>
        </w:tc>
        <w:tc>
          <w:tcPr>
            <w:tcW w:w="448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3"/>
        </w:trPr>
        <w:tc>
          <w:tcPr>
            <w:tcW w:w="4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4620" w:type="dxa"/>
            <w:vAlign w:val="bottom"/>
            <w:gridSpan w:val="2"/>
          </w:tcPr>
          <w:p>
            <w:pPr>
              <w:ind w:left="660"/>
              <w:spacing w:after="0"/>
              <w:rPr>
                <w:sz w:val="20"/>
                <w:szCs w:val="20"/>
                <w:color w:val="auto"/>
              </w:rPr>
            </w:pPr>
            <w:r>
              <w:rPr>
                <w:rFonts w:ascii="Arial" w:cs="Arial" w:eastAsia="Arial" w:hAnsi="Arial"/>
                <w:sz w:val="17"/>
                <w:szCs w:val="17"/>
                <w:color w:val="auto"/>
              </w:rPr>
              <w:t>E-5</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b w:val="1"/>
          <w:bCs w:val="1"/>
          <w:color w:val="auto"/>
        </w:rPr>
        <w:t>Exhibit 4.7</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CAPITAL STOCK</w:t>
      </w:r>
    </w:p>
    <w:p>
      <w:pPr>
        <w:spacing w:after="0" w:line="217" w:lineRule="exact"/>
        <w:rPr>
          <w:sz w:val="20"/>
          <w:szCs w:val="20"/>
          <w:color w:val="auto"/>
        </w:rPr>
      </w:pPr>
    </w:p>
    <w:p>
      <w:pPr>
        <w:ind w:right="20" w:firstLine="612"/>
        <w:spacing w:after="0" w:line="258" w:lineRule="auto"/>
        <w:rPr>
          <w:sz w:val="20"/>
          <w:szCs w:val="20"/>
          <w:color w:val="auto"/>
        </w:rPr>
      </w:pPr>
      <w:r>
        <w:rPr>
          <w:rFonts w:ascii="Arial" w:cs="Arial" w:eastAsia="Arial" w:hAnsi="Arial"/>
          <w:sz w:val="17"/>
          <w:szCs w:val="17"/>
          <w:color w:val="auto"/>
        </w:rPr>
        <w:t>The following description of the capital stock of Activision Blizzard, Inc. (the “Company,” “us,” “we,” or “our”) is a summary and does not purport to be complete. It is subject to, and qualified in its entirety by, reference to our Amended and Restated Certificate of Incorporation (the “Certificate of Incorporation”) and our Amended and Restated Bylaws (the “Bylaws”), each of which are incorporated by reference as an exhibit to the Annual Report on Form 10-K of which this Exhibit 4.7 is a part.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Shares</w:t>
      </w:r>
    </w:p>
    <w:p>
      <w:pPr>
        <w:spacing w:after="0" w:line="217" w:lineRule="exact"/>
        <w:rPr>
          <w:sz w:val="20"/>
          <w:szCs w:val="20"/>
          <w:color w:val="auto"/>
        </w:rPr>
      </w:pPr>
    </w:p>
    <w:p>
      <w:pPr>
        <w:ind w:right="20" w:firstLine="612"/>
        <w:spacing w:after="0" w:line="274" w:lineRule="auto"/>
        <w:rPr>
          <w:sz w:val="20"/>
          <w:szCs w:val="20"/>
          <w:color w:val="auto"/>
        </w:rPr>
      </w:pPr>
      <w:r>
        <w:rPr>
          <w:rFonts w:ascii="Arial" w:cs="Arial" w:eastAsia="Arial" w:hAnsi="Arial"/>
          <w:sz w:val="16"/>
          <w:szCs w:val="16"/>
          <w:color w:val="auto"/>
        </w:rPr>
        <w:t>Under our Certificate of Incorporation, our authorized capital stock consists of 2,405,000,000 shares of capital stock, consisting of 2,400,000,000 shares of common stock, par value $0.000001 per share, and 5,000,000 shares of preferred stock, par value $0.000001 per share. The number of authorized shares of any class or classes of our capital stock may be increased or decreased (but not below the number of shares thereof then outstanding) by the affirmative vote of the holders of a majority in voting power of our outstanding capital stock entitled to vote thereon, irrespective of the provisions of Section 242(b)(2) of the Delaware General Corporation Law (the “DGCL”). We may not authorize the issuance of any class, or series thereof, of nonvoting equity shares. Our common stock is registered under Section 12(b) of the Securities Exchange Act of 1934, as amended (the “Exchange Act”).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Rights</w:t>
      </w:r>
    </w:p>
    <w:p>
      <w:pPr>
        <w:spacing w:after="0" w:line="217" w:lineRule="exact"/>
        <w:rPr>
          <w:sz w:val="20"/>
          <w:szCs w:val="20"/>
          <w:color w:val="auto"/>
        </w:rPr>
      </w:pPr>
    </w:p>
    <w:p>
      <w:pPr>
        <w:ind w:right="400" w:firstLine="612"/>
        <w:spacing w:after="0" w:line="258" w:lineRule="auto"/>
        <w:rPr>
          <w:sz w:val="20"/>
          <w:szCs w:val="20"/>
          <w:color w:val="auto"/>
        </w:rPr>
      </w:pPr>
      <w:r>
        <w:rPr>
          <w:rFonts w:ascii="Arial" w:cs="Arial" w:eastAsia="Arial" w:hAnsi="Arial"/>
          <w:sz w:val="17"/>
          <w:szCs w:val="17"/>
          <w:color w:val="auto"/>
        </w:rPr>
        <w:t>Holders of our common stock are entitled to one vote per share on all matters voted on by the stockholders, including in connection with the election of directors, as provided by law. Holders of our common stock do not have cumulative voting rights. Except as otherwise required by the DGCL or our Certificate of Incorporation and Bylaws, action requiring stockholder approval may be taken by a vote of the holders of a majority of the common stock present in person or by proxy a meeting at which a quorum is present and entitled to vote on the relevant action.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Rights</w:t>
      </w:r>
    </w:p>
    <w:p>
      <w:pPr>
        <w:spacing w:after="0" w:line="217" w:lineRule="exact"/>
        <w:rPr>
          <w:sz w:val="20"/>
          <w:szCs w:val="20"/>
          <w:color w:val="auto"/>
        </w:rPr>
      </w:pPr>
    </w:p>
    <w:p>
      <w:pPr>
        <w:ind w:right="40" w:firstLine="612"/>
        <w:spacing w:after="0" w:line="274" w:lineRule="auto"/>
        <w:rPr>
          <w:sz w:val="20"/>
          <w:szCs w:val="20"/>
          <w:color w:val="auto"/>
        </w:rPr>
      </w:pPr>
      <w:r>
        <w:rPr>
          <w:rFonts w:ascii="Arial" w:cs="Arial" w:eastAsia="Arial" w:hAnsi="Arial"/>
          <w:sz w:val="17"/>
          <w:szCs w:val="17"/>
          <w:color w:val="auto"/>
        </w:rPr>
        <w:t>After satisfaction of any dividend rights of holders of preferred stock and subject to applicable law, holders of common stock are entitled to receive dividends, if any, as may be declared from time to time by our board of directors in its discretion.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Liquidation and Other Rights</w:t>
      </w:r>
    </w:p>
    <w:p>
      <w:pPr>
        <w:spacing w:after="0" w:line="217" w:lineRule="exact"/>
        <w:rPr>
          <w:sz w:val="20"/>
          <w:szCs w:val="20"/>
          <w:color w:val="auto"/>
        </w:rPr>
      </w:pPr>
    </w:p>
    <w:p>
      <w:pPr>
        <w:ind w:right="280" w:firstLine="612"/>
        <w:spacing w:after="0" w:line="262" w:lineRule="auto"/>
        <w:rPr>
          <w:sz w:val="20"/>
          <w:szCs w:val="20"/>
          <w:color w:val="auto"/>
        </w:rPr>
      </w:pPr>
      <w:r>
        <w:rPr>
          <w:rFonts w:ascii="Arial" w:cs="Arial" w:eastAsia="Arial" w:hAnsi="Arial"/>
          <w:sz w:val="17"/>
          <w:szCs w:val="17"/>
          <w:color w:val="auto"/>
        </w:rPr>
        <w:t>Upon our voluntary or involuntary liquidation, distribution or winding up, the holders of our common stock will be entitled to receive ratably all of our remaining assets that are legally available for distribution, if any, after the payment of all debts and other liabilities and subject to the prior rights of any outstanding preferred stock.</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Holders of our common stock have no preemptive, subscription, redemption, conversion or exchange rights and no sinking fund provisions.</w:t>
      </w:r>
    </w:p>
    <w:p>
      <w:pPr>
        <w:spacing w:after="0" w:line="213" w:lineRule="exact"/>
        <w:rPr>
          <w:sz w:val="20"/>
          <w:szCs w:val="20"/>
          <w:color w:val="auto"/>
        </w:rPr>
      </w:pPr>
    </w:p>
    <w:p>
      <w:pPr>
        <w:ind w:firstLine="612"/>
        <w:spacing w:after="0" w:line="210" w:lineRule="exact"/>
        <w:rPr>
          <w:sz w:val="20"/>
          <w:szCs w:val="20"/>
          <w:color w:val="auto"/>
        </w:rPr>
      </w:pPr>
      <w:r>
        <w:rPr>
          <w:rFonts w:ascii="Arial" w:cs="Arial" w:eastAsia="Arial" w:hAnsi="Arial"/>
          <w:sz w:val="15"/>
          <w:szCs w:val="15"/>
          <w:color w:val="auto"/>
        </w:rPr>
        <w:t>All outstanding shares of our common stock are duly authorized, validly issued, fully paid and non</w:t>
      </w:r>
      <w:r>
        <w:rPr>
          <w:rFonts w:ascii="MS PGothic" w:cs="MS PGothic" w:eastAsia="MS PGothic" w:hAnsi="MS PGothic"/>
          <w:sz w:val="15"/>
          <w:szCs w:val="15"/>
          <w:color w:val="auto"/>
        </w:rPr>
        <w:t>‑</w:t>
      </w:r>
      <w:r>
        <w:rPr>
          <w:rFonts w:ascii="Arial" w:cs="Arial" w:eastAsia="Arial" w:hAnsi="Arial"/>
          <w:sz w:val="15"/>
          <w:szCs w:val="15"/>
          <w:color w:val="auto"/>
        </w:rPr>
        <w:t>assessable. Additional shares of common stock may be issued, as authorized by our Board from time to time, without stockholder approval, except for any stockholder approval required by The Nasdaq Global Select Market.</w:t>
      </w:r>
    </w:p>
    <w:p>
      <w:pPr>
        <w:spacing w:after="0" w:line="194" w:lineRule="exact"/>
        <w:rPr>
          <w:sz w:val="20"/>
          <w:szCs w:val="20"/>
          <w:color w:val="auto"/>
        </w:rPr>
      </w:pPr>
    </w:p>
    <w:p>
      <w:pPr>
        <w:ind w:right="180" w:firstLine="612"/>
        <w:spacing w:after="0" w:line="274" w:lineRule="auto"/>
        <w:rPr>
          <w:sz w:val="20"/>
          <w:szCs w:val="20"/>
          <w:color w:val="auto"/>
        </w:rPr>
      </w:pPr>
      <w:r>
        <w:rPr>
          <w:rFonts w:ascii="Arial" w:cs="Arial" w:eastAsia="Arial" w:hAnsi="Arial"/>
          <w:sz w:val="17"/>
          <w:szCs w:val="17"/>
          <w:color w:val="auto"/>
        </w:rPr>
        <w:t>The rights, preferences and privileges of holders of common stock are subject to, and may be adversely affected by, the rights of the holders of shares of any series of preferred stock that we may designate and issue in the future.</w:t>
      </w:r>
    </w:p>
    <w:p>
      <w:pPr>
        <w:sectPr>
          <w:pgSz w:w="11900" w:h="16838" w:orient="portrait"/>
          <w:cols w:equalWidth="0" w:num="1">
            <w:col w:w="11420"/>
          </w:cols>
          <w:pgMar w:left="240" w:top="353" w:right="2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Preferred Stock</w:t>
      </w:r>
    </w:p>
    <w:p>
      <w:pPr>
        <w:spacing w:after="0" w:line="217" w:lineRule="exact"/>
        <w:rPr>
          <w:sz w:val="20"/>
          <w:szCs w:val="20"/>
          <w:color w:val="auto"/>
        </w:rPr>
      </w:pPr>
    </w:p>
    <w:p>
      <w:pPr>
        <w:ind w:right="20" w:firstLine="612"/>
        <w:spacing w:after="0" w:line="303" w:lineRule="auto"/>
        <w:rPr>
          <w:sz w:val="20"/>
          <w:szCs w:val="20"/>
          <w:color w:val="auto"/>
        </w:rPr>
      </w:pPr>
      <w:r>
        <w:rPr>
          <w:rFonts w:ascii="Arial" w:cs="Arial" w:eastAsia="Arial" w:hAnsi="Arial"/>
          <w:sz w:val="15"/>
          <w:szCs w:val="15"/>
          <w:color w:val="auto"/>
        </w:rPr>
        <w:t>Our board of directors has been authorized to provide for the issuance of up to 5,000,000 shares of our preferred stock from time to time in one or more series without the approval of stockholders. With respect to each series of our preferred stock, our board of directors has the authority to fix or alter the dividend rights, dividend rate, conversion rights, voting rights, rights and terms of redemption, including sinking fund provisions, the redemption price or prices, and the liquidation preferences of any wholly unissued class or series of Preferred Stock, and the number of shares constituting any such series and the designation thereof, or any of them.</w:t>
      </w:r>
    </w:p>
    <w:p>
      <w:pPr>
        <w:spacing w:after="0" w:line="145"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Anti</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Takeover Effects of Provisions of our Certificate of Incorporation and Bylaws</w:t>
      </w:r>
    </w:p>
    <w:p>
      <w:pPr>
        <w:spacing w:after="0" w:line="140" w:lineRule="exact"/>
        <w:rPr>
          <w:sz w:val="20"/>
          <w:szCs w:val="20"/>
          <w:color w:val="auto"/>
        </w:rPr>
      </w:pPr>
    </w:p>
    <w:p>
      <w:pPr>
        <w:ind w:right="440" w:firstLine="612"/>
        <w:spacing w:after="0" w:line="262" w:lineRule="auto"/>
        <w:rPr>
          <w:sz w:val="20"/>
          <w:szCs w:val="20"/>
          <w:color w:val="auto"/>
        </w:rPr>
      </w:pPr>
      <w:r>
        <w:rPr>
          <w:rFonts w:ascii="Arial" w:cs="Arial" w:eastAsia="Arial" w:hAnsi="Arial"/>
          <w:sz w:val="17"/>
          <w:szCs w:val="17"/>
          <w:color w:val="auto"/>
        </w:rPr>
        <w:t>Some provisions of Delaware law, our Certificate of Incorporation and our Bylaws could delay or discourage some transactions involving an actual or potential change in control of us or our management and may limit the ability of our stockholders to remove current management or approve transactions that our stockholders may deem to be in their best interests. These provisions:</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•allow our board of directors to issue any authorized but unissued shares of common stock without approval of stockholders;</w:t>
      </w:r>
    </w:p>
    <w:p>
      <w:pPr>
        <w:spacing w:after="0" w:line="136" w:lineRule="exact"/>
        <w:rPr>
          <w:sz w:val="20"/>
          <w:szCs w:val="20"/>
          <w:color w:val="auto"/>
        </w:rPr>
      </w:pPr>
    </w:p>
    <w:p>
      <w:pPr>
        <w:ind w:left="1600" w:right="100" w:hanging="981"/>
        <w:spacing w:after="0" w:line="274" w:lineRule="auto"/>
        <w:rPr>
          <w:sz w:val="20"/>
          <w:szCs w:val="20"/>
          <w:color w:val="auto"/>
        </w:rPr>
      </w:pPr>
      <w:r>
        <w:rPr>
          <w:rFonts w:ascii="Arial" w:cs="Arial" w:eastAsia="Arial" w:hAnsi="Arial"/>
          <w:sz w:val="17"/>
          <w:szCs w:val="17"/>
          <w:color w:val="auto"/>
        </w:rPr>
        <w:t>•authorize our board of directors to establish one or more series of preferred stock, the terms of which can be determined by our board of directors at the time of issuance;</w:t>
      </w:r>
    </w:p>
    <w:p>
      <w:pPr>
        <w:spacing w:after="0" w:line="89" w:lineRule="exact"/>
        <w:rPr>
          <w:sz w:val="20"/>
          <w:szCs w:val="20"/>
          <w:color w:val="auto"/>
        </w:rPr>
      </w:pPr>
    </w:p>
    <w:p>
      <w:pPr>
        <w:ind w:left="1600" w:right="220" w:hanging="981"/>
        <w:spacing w:after="0" w:line="208" w:lineRule="exact"/>
        <w:rPr>
          <w:sz w:val="20"/>
          <w:szCs w:val="20"/>
          <w:color w:val="auto"/>
        </w:rPr>
      </w:pPr>
      <w:r>
        <w:rPr>
          <w:rFonts w:ascii="Arial" w:cs="Arial" w:eastAsia="Arial" w:hAnsi="Arial"/>
          <w:sz w:val="16"/>
          <w:szCs w:val="16"/>
          <w:color w:val="auto"/>
        </w:rPr>
        <w:t>•provide an advanced written notice procedure with respect to stockholder proposals and the nomination of candidates for election as directors, other than nominations made by or at the direction of our board of directors, subject to the rights of stockholders to request inclusion of proposals in our proxy statement pursuant to Rule 14a</w:t>
      </w:r>
      <w:r>
        <w:rPr>
          <w:rFonts w:ascii="MS PGothic" w:cs="MS PGothic" w:eastAsia="MS PGothic" w:hAnsi="MS PGothic"/>
          <w:sz w:val="16"/>
          <w:szCs w:val="16"/>
          <w:color w:val="auto"/>
        </w:rPr>
        <w:t>‑</w:t>
      </w:r>
      <w:r>
        <w:rPr>
          <w:rFonts w:ascii="Arial" w:cs="Arial" w:eastAsia="Arial" w:hAnsi="Arial"/>
          <w:sz w:val="16"/>
          <w:szCs w:val="16"/>
          <w:color w:val="auto"/>
        </w:rPr>
        <w:t>8 under the Exchange Act (or any successor provision of law);</w:t>
      </w:r>
    </w:p>
    <w:p>
      <w:pPr>
        <w:spacing w:after="0" w:line="116" w:lineRule="exact"/>
        <w:rPr>
          <w:sz w:val="20"/>
          <w:szCs w:val="20"/>
          <w:color w:val="auto"/>
        </w:rPr>
      </w:pPr>
    </w:p>
    <w:p>
      <w:pPr>
        <w:ind w:left="1600" w:right="40" w:hanging="981"/>
        <w:spacing w:after="0" w:line="274" w:lineRule="auto"/>
        <w:rPr>
          <w:sz w:val="20"/>
          <w:szCs w:val="20"/>
          <w:color w:val="auto"/>
        </w:rPr>
      </w:pPr>
      <w:r>
        <w:rPr>
          <w:rFonts w:ascii="Arial" w:cs="Arial" w:eastAsia="Arial" w:hAnsi="Arial"/>
          <w:sz w:val="17"/>
          <w:szCs w:val="17"/>
          <w:color w:val="auto"/>
        </w:rPr>
        <w:t>•state that special meetings of our stockholders may be called only by the Chairman of our board of directors, our Chief Executive Officer, our President, or at the written request of a majority of our board of directors;</w:t>
      </w:r>
    </w:p>
    <w:p>
      <w:pPr>
        <w:spacing w:after="0" w:line="89" w:lineRule="exact"/>
        <w:rPr>
          <w:sz w:val="20"/>
          <w:szCs w:val="20"/>
          <w:color w:val="auto"/>
        </w:rPr>
      </w:pPr>
    </w:p>
    <w:p>
      <w:pPr>
        <w:ind w:left="1600" w:right="260" w:hanging="981"/>
        <w:spacing w:after="0" w:line="274" w:lineRule="auto"/>
        <w:rPr>
          <w:sz w:val="20"/>
          <w:szCs w:val="20"/>
          <w:color w:val="auto"/>
        </w:rPr>
      </w:pPr>
      <w:r>
        <w:rPr>
          <w:rFonts w:ascii="Arial" w:cs="Arial" w:eastAsia="Arial" w:hAnsi="Arial"/>
          <w:sz w:val="17"/>
          <w:szCs w:val="17"/>
          <w:color w:val="auto"/>
        </w:rPr>
        <w:t>•allow our directors, and not our stockholders, to fill vacancies on our board of directors, including vacancies resulting from removal or enlargement of our board of directors; and</w:t>
      </w:r>
    </w:p>
    <w:p>
      <w:pPr>
        <w:spacing w:after="0" w:line="89" w:lineRule="exact"/>
        <w:rPr>
          <w:sz w:val="20"/>
          <w:szCs w:val="20"/>
          <w:color w:val="auto"/>
        </w:rPr>
      </w:pPr>
    </w:p>
    <w:p>
      <w:pPr>
        <w:ind w:left="1600" w:right="80" w:hanging="981"/>
        <w:spacing w:after="0" w:line="258" w:lineRule="auto"/>
        <w:rPr>
          <w:sz w:val="20"/>
          <w:szCs w:val="20"/>
          <w:color w:val="auto"/>
        </w:rPr>
      </w:pPr>
      <w:r>
        <w:rPr>
          <w:rFonts w:ascii="Arial" w:cs="Arial" w:eastAsia="Arial" w:hAnsi="Arial"/>
          <w:sz w:val="17"/>
          <w:szCs w:val="17"/>
          <w:color w:val="auto"/>
        </w:rPr>
        <w:t>•grant our board of directors the authority to alter, amend, change, add to, repeal, rescind or make new Bylaws without a stockholder assent or vote; provided, however, that such authority of our board of directors is subject to the power of the stockholders to alter, amend, change, add to, repeal, rescind or make new Bylaws by the affirmative vote of the holders of at least a majority of the voting power of the outstanding shares entitled to vote thereon.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Delaware Anti-takeover Law</w:t>
      </w:r>
    </w:p>
    <w:p>
      <w:pPr>
        <w:spacing w:after="0" w:line="217" w:lineRule="exact"/>
        <w:rPr>
          <w:sz w:val="20"/>
          <w:szCs w:val="20"/>
          <w:color w:val="auto"/>
        </w:rPr>
      </w:pPr>
    </w:p>
    <w:p>
      <w:pPr>
        <w:ind w:right="40" w:firstLine="612"/>
        <w:spacing w:after="0" w:line="205" w:lineRule="exact"/>
        <w:rPr>
          <w:sz w:val="20"/>
          <w:szCs w:val="20"/>
          <w:color w:val="auto"/>
        </w:rPr>
      </w:pPr>
      <w:r>
        <w:rPr>
          <w:rFonts w:ascii="Arial" w:cs="Arial" w:eastAsia="Arial" w:hAnsi="Arial"/>
          <w:sz w:val="16"/>
          <w:szCs w:val="16"/>
          <w:color w:val="auto"/>
        </w:rPr>
        <w:t>The Company is subject to Section 203 of the DGCL, which is an anti-takeover law. In general, Section 203 prevents a publicly</w:t>
      </w:r>
      <w:r>
        <w:rPr>
          <w:rFonts w:ascii="MS PGothic" w:cs="MS PGothic" w:eastAsia="MS PGothic" w:hAnsi="MS PGothic"/>
          <w:sz w:val="16"/>
          <w:szCs w:val="16"/>
          <w:color w:val="auto"/>
        </w:rPr>
        <w:t>‑</w:t>
      </w:r>
      <w:r>
        <w:rPr>
          <w:rFonts w:ascii="Arial" w:cs="Arial" w:eastAsia="Arial" w:hAnsi="Arial"/>
          <w:sz w:val="16"/>
          <w:szCs w:val="16"/>
          <w:color w:val="auto"/>
        </w:rPr>
        <w:t>held Delaware corporation from engaging in a “business combination” with any “interested stockholder” for a period of three years following the date that the person became an interested stockholder unless (1) our board of directors approved either the business combination or the transaction that resulted in the stockholder becoming an interested stockholder, (2) at least two-thirds of the outstanding shares not owned by that interested stockholder approve the business combination, or (3) upon becoming an interested stockholder, that stockholder owned at least 85% of the outstanding shares, excluding those held by officers, directors and some employee stock plans. In general,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99" w:lineRule="exact"/>
        <w:rPr>
          <w:sz w:val="20"/>
          <w:szCs w:val="20"/>
          <w:color w:val="auto"/>
        </w:rPr>
      </w:pPr>
    </w:p>
    <w:p>
      <w:pPr>
        <w:ind w:firstLine="612"/>
        <w:spacing w:after="0" w:line="262"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w:t>
      </w:r>
    </w:p>
    <w:p>
      <w:pPr>
        <w:sectPr>
          <w:pgSz w:w="11900" w:h="16838" w:orient="portrait"/>
          <w:cols w:equalWidth="0" w:num="1">
            <w:col w:w="11420"/>
          </w:cols>
          <w:pgMar w:left="240" w:top="327"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10.22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INCENTIVE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STOCK OPTION AWARD</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You have been awarded an option to purchase Common Shares of Activision Blizzard, Inc. (the “Company”),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7060" w:type="dxa"/>
            <w:vAlign w:val="bottom"/>
            <w:gridSpan w:val="5"/>
          </w:tcPr>
          <w:p>
            <w:pPr>
              <w:ind w:left="100"/>
              <w:spacing w:after="0"/>
              <w:rPr>
                <w:sz w:val="20"/>
                <w:szCs w:val="20"/>
                <w:color w:val="auto"/>
              </w:rPr>
            </w:pPr>
            <w:r>
              <w:rPr>
                <w:rFonts w:ascii="Arial" w:cs="Arial" w:eastAsia="Arial" w:hAnsi="Arial"/>
                <w:sz w:val="20"/>
                <w:szCs w:val="20"/>
                <w:color w:val="auto"/>
              </w:rPr>
              <w:t xml:space="preserve">Your name: </w:t>
            </w:r>
            <w:r>
              <w:rPr>
                <w:rFonts w:ascii="Arial" w:cs="Arial" w:eastAsia="Arial" w:hAnsi="Arial"/>
                <w:sz w:val="20"/>
                <w:szCs w:val="20"/>
                <w:b w:val="1"/>
                <w:bCs w:val="1"/>
                <w:color w:val="auto"/>
              </w:rPr>
              <w:t>[  ]</w:t>
            </w:r>
          </w:p>
        </w:tc>
      </w:tr>
      <w:tr>
        <w:trPr>
          <w:trHeight w:val="20"/>
        </w:trPr>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7060" w:type="dxa"/>
            <w:vAlign w:val="bottom"/>
            <w:gridSpan w:val="5"/>
          </w:tcPr>
          <w:p>
            <w:pPr>
              <w:ind w:left="100"/>
              <w:spacing w:after="0"/>
              <w:rPr>
                <w:sz w:val="20"/>
                <w:szCs w:val="20"/>
                <w:color w:val="auto"/>
              </w:rPr>
            </w:pPr>
            <w:r>
              <w:rPr>
                <w:rFonts w:ascii="Arial" w:cs="Arial" w:eastAsia="Arial" w:hAnsi="Arial"/>
                <w:sz w:val="20"/>
                <w:szCs w:val="20"/>
                <w:color w:val="auto"/>
                <w:w w:val="92"/>
              </w:rPr>
              <w:t xml:space="preserve">Total number of Shares purchasable upon exercise of the Stock Option awarded: </w:t>
            </w:r>
            <w:r>
              <w:rPr>
                <w:rFonts w:ascii="Arial" w:cs="Arial" w:eastAsia="Arial" w:hAnsi="Arial"/>
                <w:sz w:val="20"/>
                <w:szCs w:val="20"/>
                <w:b w:val="1"/>
                <w:bCs w:val="1"/>
                <w:color w:val="auto"/>
                <w:w w:val="92"/>
              </w:rPr>
              <w:t>[  ]</w:t>
            </w:r>
          </w:p>
        </w:tc>
      </w:tr>
      <w:tr>
        <w:trPr>
          <w:trHeight w:val="20"/>
        </w:trPr>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9" w:lineRule="exact"/>
        <w:rPr>
          <w:sz w:val="20"/>
          <w:szCs w:val="20"/>
          <w:color w:val="auto"/>
        </w:rPr>
      </w:pPr>
    </w:p>
    <w:p>
      <w:pPr>
        <w:ind w:left="300" w:hanging="298"/>
        <w:spacing w:after="0"/>
        <w:tabs>
          <w:tab w:leader="none" w:pos="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Exercise Price: US$</w:t>
      </w: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________</w:t>
      </w:r>
      <w:r>
        <w:rPr>
          <w:rFonts w:ascii="Arial" w:cs="Arial" w:eastAsia="Arial" w:hAnsi="Arial"/>
          <w:sz w:val="20"/>
          <w:szCs w:val="20"/>
          <w:b w:val="1"/>
          <w:bCs w:val="1"/>
          <w:color w:val="auto"/>
        </w:rPr>
        <w:t>]</w:t>
      </w:r>
      <w:r>
        <w:rPr>
          <w:rFonts w:ascii="Arial" w:cs="Arial" w:eastAsia="Arial" w:hAnsi="Arial"/>
          <w:sz w:val="20"/>
          <w:szCs w:val="20"/>
          <w:color w:val="auto"/>
        </w:rPr>
        <w:t xml:space="preserve"> per Share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4"/>
          </w:tcPr>
          <w:p>
            <w:pPr>
              <w:ind w:left="100"/>
              <w:spacing w:after="0"/>
              <w:rPr>
                <w:sz w:val="20"/>
                <w:szCs w:val="20"/>
                <w:color w:val="auto"/>
              </w:rPr>
            </w:pPr>
            <w:r>
              <w:rPr>
                <w:rFonts w:ascii="Arial" w:cs="Arial" w:eastAsia="Arial" w:hAnsi="Arial"/>
                <w:sz w:val="20"/>
                <w:szCs w:val="20"/>
                <w:color w:val="auto"/>
              </w:rPr>
              <w:t xml:space="preserve">Date of Grant: </w:t>
            </w:r>
            <w:r>
              <w:rPr>
                <w:rFonts w:ascii="Arial" w:cs="Arial" w:eastAsia="Arial" w:hAnsi="Arial"/>
                <w:sz w:val="20"/>
                <w:szCs w:val="20"/>
                <w:b w:val="1"/>
                <w:bCs w:val="1"/>
                <w:color w:val="auto"/>
              </w:rPr>
              <w:t>[</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4"/>
          </w:tcPr>
          <w:p>
            <w:pPr>
              <w:ind w:left="100"/>
              <w:spacing w:after="0"/>
              <w:rPr>
                <w:sz w:val="20"/>
                <w:szCs w:val="20"/>
                <w:color w:val="auto"/>
              </w:rPr>
            </w:pPr>
            <w:r>
              <w:rPr>
                <w:rFonts w:ascii="Arial" w:cs="Arial" w:eastAsia="Arial" w:hAnsi="Arial"/>
                <w:sz w:val="20"/>
                <w:szCs w:val="20"/>
                <w:color w:val="auto"/>
                <w:w w:val="94"/>
              </w:rPr>
              <w:t xml:space="preserve">Expiration Date: </w:t>
            </w:r>
            <w:r>
              <w:rPr>
                <w:rFonts w:ascii="Arial" w:cs="Arial" w:eastAsia="Arial" w:hAnsi="Arial"/>
                <w:sz w:val="20"/>
                <w:szCs w:val="20"/>
                <w:b w:val="1"/>
                <w:bCs w:val="1"/>
                <w:color w:val="auto"/>
                <w:w w:val="94"/>
              </w:rPr>
              <w:t>[</w:t>
            </w:r>
          </w:p>
        </w:tc>
        <w:tc>
          <w:tcPr>
            <w:tcW w:w="26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600" w:type="dxa"/>
            <w:vAlign w:val="bottom"/>
            <w:gridSpan w:val="4"/>
          </w:tcPr>
          <w:p>
            <w:pPr>
              <w:ind w:left="100"/>
              <w:spacing w:after="0"/>
              <w:rPr>
                <w:sz w:val="20"/>
                <w:szCs w:val="20"/>
                <w:color w:val="auto"/>
              </w:rPr>
            </w:pPr>
            <w:r>
              <w:rPr>
                <w:rFonts w:ascii="Arial" w:cs="Arial" w:eastAsia="Arial" w:hAnsi="Arial"/>
                <w:sz w:val="20"/>
                <w:szCs w:val="20"/>
                <w:color w:val="auto"/>
              </w:rPr>
              <w:t xml:space="preserve">Grant ID: </w:t>
            </w:r>
            <w:r>
              <w:rPr>
                <w:rFonts w:ascii="Arial" w:cs="Arial" w:eastAsia="Arial" w:hAnsi="Arial"/>
                <w:sz w:val="20"/>
                <w:szCs w:val="20"/>
                <w:b w:val="1"/>
                <w:bCs w:val="1"/>
                <w:color w:val="auto"/>
              </w:rPr>
              <w:t>[  ]</w:t>
            </w:r>
          </w:p>
        </w:tc>
        <w:tc>
          <w:tcPr>
            <w:tcW w:w="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75"/>
        </w:numPr>
        <w:rPr>
          <w:rFonts w:ascii="Arial" w:cs="Arial" w:eastAsia="Arial" w:hAnsi="Arial"/>
          <w:sz w:val="20"/>
          <w:szCs w:val="20"/>
          <w:color w:val="auto"/>
        </w:rPr>
      </w:pPr>
      <w:r>
        <w:rPr>
          <w:rFonts w:ascii="Arial" w:cs="Arial" w:eastAsia="Arial" w:hAnsi="Arial"/>
          <w:sz w:val="20"/>
          <w:szCs w:val="20"/>
          <w:color w:val="auto"/>
        </w:rPr>
        <w:t>Your Award of the Stock Option is governed by the terms and conditions set forth in:</w:t>
      </w:r>
    </w:p>
    <w:p>
      <w:pPr>
        <w:spacing w:after="0" w:line="178" w:lineRule="exact"/>
        <w:rPr>
          <w:rFonts w:ascii="Arial" w:cs="Arial" w:eastAsia="Arial" w:hAnsi="Arial"/>
          <w:sz w:val="20"/>
          <w:szCs w:val="20"/>
          <w:color w:val="auto"/>
        </w:rPr>
      </w:pPr>
    </w:p>
    <w:p>
      <w:pPr>
        <w:ind w:left="300"/>
        <w:spacing w:after="0"/>
        <w:rPr>
          <w:rFonts w:ascii="Arial" w:cs="Arial" w:eastAsia="Arial" w:hAnsi="Arial"/>
          <w:sz w:val="20"/>
          <w:szCs w:val="20"/>
          <w:color w:val="auto"/>
        </w:rPr>
      </w:pPr>
      <w:r>
        <w:rPr>
          <w:rFonts w:ascii="Arial" w:cs="Arial" w:eastAsia="Arial" w:hAnsi="Arial"/>
          <w:sz w:val="20"/>
          <w:szCs w:val="20"/>
          <w:color w:val="auto"/>
        </w:rPr>
        <w:t>•  this Notice of Stock Option Award;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•the Stock Option Award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8" w:lineRule="exact"/>
        <w:rPr>
          <w:sz w:val="20"/>
          <w:szCs w:val="20"/>
          <w:color w:val="auto"/>
        </w:rPr>
      </w:pPr>
    </w:p>
    <w:p>
      <w:pPr>
        <w:ind w:left="700" w:right="320" w:hanging="381"/>
        <w:spacing w:after="0" w:line="283" w:lineRule="auto"/>
        <w:rPr>
          <w:sz w:val="20"/>
          <w:szCs w:val="20"/>
          <w:color w:val="auto"/>
        </w:rPr>
      </w:pPr>
      <w:r>
        <w:rPr>
          <w:rFonts w:ascii="Arial" w:cs="Arial" w:eastAsia="Arial" w:hAnsi="Arial"/>
          <w:sz w:val="20"/>
          <w:szCs w:val="20"/>
          <w:color w:val="auto"/>
        </w:rPr>
        <w:t xml:space="preserve">•the Appendix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which may include special terms and conditions relating to your country of work and/or residence (the “</w:t>
      </w:r>
      <w:r>
        <w:rPr>
          <w:rFonts w:ascii="Arial" w:cs="Arial" w:eastAsia="Arial" w:hAnsi="Arial"/>
          <w:sz w:val="20"/>
          <w:szCs w:val="20"/>
          <w:u w:val="single" w:color="auto"/>
          <w:color w:val="auto"/>
        </w:rPr>
        <w:t>Appendix</w:t>
      </w:r>
      <w:r>
        <w:rPr>
          <w:rFonts w:ascii="Arial" w:cs="Arial" w:eastAsia="Arial" w:hAnsi="Arial"/>
          <w:sz w:val="20"/>
          <w:szCs w:val="20"/>
          <w:color w:val="auto"/>
        </w:rPr>
        <w:t>”); and</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Company’s 2014 Incentive Plan, the receipt of a copy of which you hereby acknowledge.</w:t>
      </w:r>
    </w:p>
    <w:p>
      <w:pPr>
        <w:spacing w:after="0" w:line="178" w:lineRule="exact"/>
        <w:rPr>
          <w:sz w:val="20"/>
          <w:szCs w:val="20"/>
          <w:color w:val="auto"/>
        </w:rPr>
      </w:pPr>
    </w:p>
    <w:p>
      <w:pPr>
        <w:ind w:left="300" w:right="160" w:hanging="298"/>
        <w:spacing w:after="0" w:line="260" w:lineRule="auto"/>
        <w:tabs>
          <w:tab w:leader="none" w:pos="300" w:val="left"/>
        </w:tabs>
        <w:numPr>
          <w:ilvl w:val="0"/>
          <w:numId w:val="76"/>
        </w:numPr>
        <w:rPr>
          <w:rFonts w:ascii="Arial" w:cs="Arial" w:eastAsia="Arial" w:hAnsi="Arial"/>
          <w:sz w:val="20"/>
          <w:szCs w:val="20"/>
          <w:color w:val="auto"/>
        </w:rPr>
      </w:pPr>
      <w:r>
        <w:rPr>
          <w:rFonts w:ascii="Arial" w:cs="Arial" w:eastAsia="Arial" w:hAnsi="Arial"/>
          <w:sz w:val="20"/>
          <w:szCs w:val="20"/>
          <w:i w:val="1"/>
          <w:iCs w:val="1"/>
          <w:color w:val="auto"/>
        </w:rPr>
        <w:t>Schedule for Vesting</w:t>
      </w:r>
      <w:r>
        <w:rPr>
          <w:rFonts w:ascii="Arial" w:cs="Arial" w:eastAsia="Arial" w:hAnsi="Arial"/>
          <w:sz w:val="20"/>
          <w:szCs w:val="20"/>
          <w:color w:val="auto"/>
        </w:rPr>
        <w:t>: Except as otherwise provided pursuant to the Stock Option Award Terms attached hereto as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Exhibit A</w:t>
      </w:r>
      <w:r>
        <w:rPr>
          <w:rFonts w:ascii="Arial" w:cs="Arial" w:eastAsia="Arial" w:hAnsi="Arial"/>
          <w:sz w:val="20"/>
          <w:szCs w:val="20"/>
          <w:color w:val="auto"/>
        </w:rPr>
        <w:t>, as</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supplemented, modified, or replaced by the special terms and conditions, if any, set forth under your country of work and/or residence in the Appendix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(together, the “</w:t>
      </w:r>
      <w:r>
        <w:rPr>
          <w:rFonts w:ascii="Arial" w:cs="Arial" w:eastAsia="Arial" w:hAnsi="Arial"/>
          <w:sz w:val="20"/>
          <w:szCs w:val="20"/>
          <w:u w:val="single" w:color="auto"/>
          <w:color w:val="auto"/>
        </w:rPr>
        <w:t>Award Terms</w:t>
      </w:r>
      <w:r>
        <w:rPr>
          <w:rFonts w:ascii="Arial" w:cs="Arial" w:eastAsia="Arial" w:hAnsi="Arial"/>
          <w:sz w:val="20"/>
          <w:szCs w:val="20"/>
          <w:color w:val="auto"/>
        </w:rPr>
        <w:t>”), the Stock Option awarded to you shall vest and become exercisable as follows, provided you remain continuously employed by the Company or one of its Subsidiaries through the applicable vesting date:</w:t>
      </w:r>
    </w:p>
    <w:p>
      <w:pPr>
        <w:spacing w:after="0" w:line="208" w:lineRule="exact"/>
        <w:rPr>
          <w:sz w:val="20"/>
          <w:szCs w:val="20"/>
          <w:color w:val="auto"/>
        </w:rPr>
      </w:pPr>
    </w:p>
    <w:tbl>
      <w:tblPr>
        <w:tblLayout w:type="fixed"/>
        <w:tblInd w:w="1300" w:type="dxa"/>
        <w:tblCellMar>
          <w:top w:w="0" w:type="dxa"/>
          <w:left w:w="0" w:type="dxa"/>
          <w:bottom w:w="0" w:type="dxa"/>
          <w:right w:w="0" w:type="dxa"/>
        </w:tblCellMar>
      </w:tblPr>
      <w:tr>
        <w:trPr>
          <w:trHeight w:val="243"/>
        </w:trPr>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40" w:type="dxa"/>
            <w:vAlign w:val="bottom"/>
          </w:tcPr>
          <w:p>
            <w:pPr>
              <w:jc w:val="right"/>
              <w:ind w:right="820"/>
              <w:spacing w:after="0"/>
              <w:rPr>
                <w:sz w:val="20"/>
                <w:szCs w:val="20"/>
                <w:color w:val="auto"/>
              </w:rPr>
            </w:pPr>
            <w:r>
              <w:rPr>
                <w:rFonts w:ascii="Arial" w:cs="Arial" w:eastAsia="Arial" w:hAnsi="Arial"/>
                <w:sz w:val="19"/>
                <w:szCs w:val="19"/>
                <w:b w:val="1"/>
                <w:bCs w:val="1"/>
                <w:color w:val="auto"/>
              </w:rPr>
              <w:t>Date of Vesting</w:t>
            </w:r>
          </w:p>
        </w:tc>
        <w:tc>
          <w:tcPr>
            <w:tcW w:w="4080" w:type="dxa"/>
            <w:vAlign w:val="bottom"/>
          </w:tcPr>
          <w:p>
            <w:pPr>
              <w:jc w:val="right"/>
              <w:ind w:right="127"/>
              <w:spacing w:after="0"/>
              <w:rPr>
                <w:sz w:val="20"/>
                <w:szCs w:val="20"/>
                <w:color w:val="auto"/>
              </w:rPr>
            </w:pPr>
            <w:r>
              <w:rPr>
                <w:rFonts w:ascii="Arial" w:cs="Arial" w:eastAsia="Arial" w:hAnsi="Arial"/>
                <w:sz w:val="19"/>
                <w:szCs w:val="19"/>
                <w:b w:val="1"/>
                <w:bCs w:val="1"/>
                <w:color w:val="auto"/>
              </w:rPr>
              <w:t>No. of Shares Vesting at Vesting Date</w:t>
            </w:r>
          </w:p>
        </w:tc>
      </w:tr>
      <w:tr>
        <w:trPr>
          <w:trHeight w:val="199"/>
        </w:trPr>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r>
      <w:tr>
        <w:trPr>
          <w:trHeight w:val="210"/>
        </w:trPr>
        <w:tc>
          <w:tcPr>
            <w:tcW w:w="100" w:type="dxa"/>
            <w:vAlign w:val="bottom"/>
          </w:tcPr>
          <w:p>
            <w:pPr>
              <w:jc w:val="right"/>
              <w:spacing w:after="0" w:line="209" w:lineRule="exact"/>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auto"/>
            </w:tcBorders>
          </w:tcPr>
          <w:p>
            <w:pPr>
              <w:spacing w:after="0"/>
              <w:rPr>
                <w:sz w:val="18"/>
                <w:szCs w:val="18"/>
                <w:color w:val="auto"/>
              </w:rPr>
            </w:pPr>
          </w:p>
        </w:tc>
        <w:tc>
          <w:tcPr>
            <w:tcW w:w="2840" w:type="dxa"/>
            <w:vAlign w:val="bottom"/>
          </w:tcPr>
          <w:p>
            <w:pPr>
              <w:jc w:val="right"/>
              <w:ind w:right="2660"/>
              <w:spacing w:after="0" w:line="209" w:lineRule="exact"/>
              <w:rPr>
                <w:sz w:val="20"/>
                <w:szCs w:val="20"/>
                <w:color w:val="auto"/>
              </w:rPr>
            </w:pPr>
            <w:r>
              <w:rPr>
                <w:rFonts w:ascii="Arial" w:cs="Arial" w:eastAsia="Arial" w:hAnsi="Arial"/>
                <w:sz w:val="20"/>
                <w:szCs w:val="20"/>
                <w:b w:val="1"/>
                <w:bCs w:val="1"/>
                <w:color w:val="auto"/>
                <w:w w:val="89"/>
              </w:rPr>
              <w:t>]</w:t>
            </w:r>
          </w:p>
        </w:tc>
        <w:tc>
          <w:tcPr>
            <w:tcW w:w="4080" w:type="dxa"/>
            <w:vAlign w:val="bottom"/>
          </w:tcPr>
          <w:p>
            <w:pPr>
              <w:jc w:val="right"/>
              <w:ind w:right="887"/>
              <w:spacing w:after="0" w:line="210" w:lineRule="exact"/>
              <w:rPr>
                <w:sz w:val="20"/>
                <w:szCs w:val="20"/>
                <w:color w:val="auto"/>
              </w:rPr>
            </w:pPr>
            <w:r>
              <w:rPr>
                <w:rFonts w:ascii="Arial" w:cs="Arial" w:eastAsia="Arial" w:hAnsi="Arial"/>
                <w:sz w:val="19"/>
                <w:szCs w:val="19"/>
                <w:b w:val="1"/>
                <w:bCs w:val="1"/>
                <w:color w:val="auto"/>
              </w:rPr>
              <w:t>[________________]</w:t>
            </w:r>
          </w:p>
        </w:tc>
      </w:tr>
      <w:tr>
        <w:trPr>
          <w:trHeight w:val="260"/>
        </w:trPr>
        <w:tc>
          <w:tcPr>
            <w:tcW w:w="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auto"/>
            </w:tcBorders>
          </w:tcPr>
          <w:p>
            <w:pPr>
              <w:spacing w:after="0"/>
              <w:rPr>
                <w:sz w:val="22"/>
                <w:szCs w:val="22"/>
                <w:color w:val="auto"/>
              </w:rPr>
            </w:pPr>
          </w:p>
        </w:tc>
        <w:tc>
          <w:tcPr>
            <w:tcW w:w="2840" w:type="dxa"/>
            <w:vAlign w:val="bottom"/>
          </w:tcPr>
          <w:p>
            <w:pPr>
              <w:jc w:val="right"/>
              <w:ind w:right="2660"/>
              <w:spacing w:after="0"/>
              <w:rPr>
                <w:sz w:val="20"/>
                <w:szCs w:val="20"/>
                <w:color w:val="auto"/>
              </w:rPr>
            </w:pPr>
            <w:r>
              <w:rPr>
                <w:rFonts w:ascii="Arial" w:cs="Arial" w:eastAsia="Arial" w:hAnsi="Arial"/>
                <w:sz w:val="20"/>
                <w:szCs w:val="20"/>
                <w:b w:val="1"/>
                <w:bCs w:val="1"/>
                <w:color w:val="auto"/>
                <w:w w:val="89"/>
              </w:rPr>
              <w:t>]</w:t>
            </w:r>
          </w:p>
        </w:tc>
        <w:tc>
          <w:tcPr>
            <w:tcW w:w="4080" w:type="dxa"/>
            <w:vAlign w:val="bottom"/>
          </w:tcPr>
          <w:p>
            <w:pPr>
              <w:jc w:val="right"/>
              <w:ind w:right="887"/>
              <w:spacing w:after="0"/>
              <w:rPr>
                <w:sz w:val="20"/>
                <w:szCs w:val="20"/>
                <w:color w:val="auto"/>
              </w:rPr>
            </w:pPr>
            <w:r>
              <w:rPr>
                <w:rFonts w:ascii="Arial" w:cs="Arial" w:eastAsia="Arial" w:hAnsi="Arial"/>
                <w:sz w:val="19"/>
                <w:szCs w:val="19"/>
                <w:b w:val="1"/>
                <w:bCs w:val="1"/>
                <w:color w:val="auto"/>
              </w:rPr>
              <w:t>[________________]</w:t>
            </w:r>
          </w:p>
        </w:tc>
      </w:tr>
      <w:tr>
        <w:trPr>
          <w:trHeight w:val="260"/>
        </w:trPr>
        <w:tc>
          <w:tcPr>
            <w:tcW w:w="1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00" w:type="dxa"/>
            <w:vAlign w:val="bottom"/>
            <w:tcBorders>
              <w:bottom w:val="single" w:sz="8" w:color="auto"/>
            </w:tcBorders>
          </w:tcPr>
          <w:p>
            <w:pPr>
              <w:spacing w:after="0"/>
              <w:rPr>
                <w:sz w:val="22"/>
                <w:szCs w:val="22"/>
                <w:color w:val="auto"/>
              </w:rPr>
            </w:pPr>
          </w:p>
        </w:tc>
        <w:tc>
          <w:tcPr>
            <w:tcW w:w="2840" w:type="dxa"/>
            <w:vAlign w:val="bottom"/>
          </w:tcPr>
          <w:p>
            <w:pPr>
              <w:jc w:val="right"/>
              <w:ind w:right="2660"/>
              <w:spacing w:after="0"/>
              <w:rPr>
                <w:sz w:val="20"/>
                <w:szCs w:val="20"/>
                <w:color w:val="auto"/>
              </w:rPr>
            </w:pPr>
            <w:r>
              <w:rPr>
                <w:rFonts w:ascii="Arial" w:cs="Arial" w:eastAsia="Arial" w:hAnsi="Arial"/>
                <w:sz w:val="20"/>
                <w:szCs w:val="20"/>
                <w:b w:val="1"/>
                <w:bCs w:val="1"/>
                <w:color w:val="auto"/>
                <w:w w:val="89"/>
              </w:rPr>
              <w:t>]</w:t>
            </w:r>
          </w:p>
        </w:tc>
        <w:tc>
          <w:tcPr>
            <w:tcW w:w="4080" w:type="dxa"/>
            <w:vAlign w:val="bottom"/>
          </w:tcPr>
          <w:p>
            <w:pPr>
              <w:jc w:val="right"/>
              <w:ind w:right="887"/>
              <w:spacing w:after="0"/>
              <w:rPr>
                <w:sz w:val="20"/>
                <w:szCs w:val="20"/>
                <w:color w:val="auto"/>
              </w:rPr>
            </w:pPr>
            <w:r>
              <w:rPr>
                <w:rFonts w:ascii="Arial" w:cs="Arial" w:eastAsia="Arial" w:hAnsi="Arial"/>
                <w:sz w:val="19"/>
                <w:szCs w:val="19"/>
                <w:b w:val="1"/>
                <w:bCs w:val="1"/>
                <w:color w:val="auto"/>
              </w:rPr>
              <w:t>[________________]</w:t>
            </w:r>
          </w:p>
        </w:tc>
      </w:tr>
    </w:tbl>
    <w:p>
      <w:pPr>
        <w:sectPr>
          <w:pgSz w:w="11900" w:h="16838" w:orient="portrait"/>
          <w:cols w:equalWidth="0" w:num="1">
            <w:col w:w="11420"/>
          </w:cols>
          <w:pgMar w:left="240" w:top="531" w:right="239" w:bottom="1440" w:gutter="0" w:footer="0" w:header="0"/>
        </w:sectPr>
      </w:pPr>
    </w:p>
    <w:bookmarkStart w:id="131" w:name="page132"/>
    <w:bookmarkEnd w:id="131"/>
    <w:p>
      <w:pPr>
        <w:ind w:left="300" w:right="540" w:hanging="298"/>
        <w:spacing w:after="0" w:line="283" w:lineRule="auto"/>
        <w:tabs>
          <w:tab w:leader="none" w:pos="300"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Please sign and return to the Company this Notice of Stock Option Award, which bears an original signature on behalf of the Company. You are urged to do so promptly.</w:t>
      </w:r>
    </w:p>
    <w:p>
      <w:pPr>
        <w:spacing w:after="0" w:line="107" w:lineRule="exact"/>
        <w:rPr>
          <w:rFonts w:ascii="Arial" w:cs="Arial" w:eastAsia="Arial" w:hAnsi="Arial"/>
          <w:sz w:val="20"/>
          <w:szCs w:val="20"/>
          <w:color w:val="auto"/>
        </w:rPr>
      </w:pPr>
    </w:p>
    <w:p>
      <w:pPr>
        <w:ind w:left="300" w:hanging="298"/>
        <w:spacing w:after="0"/>
        <w:tabs>
          <w:tab w:leader="none" w:pos="300" w:val="left"/>
        </w:tabs>
        <w:numPr>
          <w:ilvl w:val="0"/>
          <w:numId w:val="77"/>
        </w:numPr>
        <w:rPr>
          <w:rFonts w:ascii="Arial" w:cs="Arial" w:eastAsia="Arial" w:hAnsi="Arial"/>
          <w:sz w:val="20"/>
          <w:szCs w:val="20"/>
          <w:color w:val="auto"/>
        </w:rPr>
      </w:pPr>
      <w:r>
        <w:rPr>
          <w:rFonts w:ascii="Arial" w:cs="Arial" w:eastAsia="Arial" w:hAnsi="Arial"/>
          <w:sz w:val="20"/>
          <w:szCs w:val="20"/>
          <w:b w:val="1"/>
          <w:bCs w:val="1"/>
          <w:i w:val="1"/>
          <w:iCs w:val="1"/>
          <w:color w:val="auto"/>
        </w:rPr>
        <w:t>Please return the signed Notice of Stock Option Award to the Company at:</w:t>
      </w:r>
    </w:p>
    <w:p>
      <w:pPr>
        <w:spacing w:after="0" w:line="178"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Activision Blizzard, Inc.</w:t>
      </w:r>
    </w:p>
    <w:p>
      <w:pPr>
        <w:spacing w:after="0" w:line="30"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3100 Ocean Park Boulevard</w:t>
      </w:r>
    </w:p>
    <w:p>
      <w:pPr>
        <w:spacing w:after="0" w:line="12"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Santa Monica, CA 90405</w:t>
      </w:r>
    </w:p>
    <w:p>
      <w:pPr>
        <w:spacing w:after="0" w:line="12"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Attn: Stock Plan Administration</w:t>
      </w:r>
    </w:p>
    <w:p>
      <w:pPr>
        <w:spacing w:after="0" w:line="199" w:lineRule="exact"/>
        <w:rPr>
          <w:sz w:val="20"/>
          <w:szCs w:val="20"/>
          <w:color w:val="auto"/>
        </w:rPr>
      </w:pPr>
    </w:p>
    <w:p>
      <w:pPr>
        <w:ind w:left="300" w:hanging="298"/>
        <w:spacing w:after="0"/>
        <w:tabs>
          <w:tab w:leader="none" w:pos="30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Stock Option is not intended to be an “incentive stock option,” as such term is defined in Section 422 of the Code.</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78"/>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27" w:lineRule="exact"/>
        <w:rPr>
          <w:rFonts w:ascii="Arial" w:cs="Arial" w:eastAsia="Arial" w:hAnsi="Arial"/>
          <w:sz w:val="19"/>
          <w:szCs w:val="19"/>
          <w:color w:val="auto"/>
        </w:rPr>
      </w:pPr>
    </w:p>
    <w:p>
      <w:pPr>
        <w:ind w:left="300" w:hanging="298"/>
        <w:spacing w:after="0" w:line="283" w:lineRule="auto"/>
        <w:tabs>
          <w:tab w:leader="none" w:pos="300" w:val="left"/>
        </w:tabs>
        <w:numPr>
          <w:ilvl w:val="0"/>
          <w:numId w:val="78"/>
        </w:numPr>
        <w:rPr>
          <w:rFonts w:ascii="Arial" w:cs="Arial" w:eastAsia="Arial" w:hAnsi="Arial"/>
          <w:sz w:val="20"/>
          <w:szCs w:val="20"/>
          <w:i w:val="1"/>
          <w:iCs w:val="1"/>
          <w:color w:val="auto"/>
        </w:rPr>
      </w:pPr>
      <w:r>
        <w:rPr>
          <w:rFonts w:ascii="Arial" w:cs="Arial" w:eastAsia="Arial" w:hAnsi="Arial"/>
          <w:sz w:val="20"/>
          <w:szCs w:val="20"/>
          <w:b w:val="1"/>
          <w:bCs w:val="1"/>
          <w:i w:val="1"/>
          <w:iCs w:val="1"/>
          <w:color w:val="auto"/>
        </w:rPr>
        <w:t>By accepting the Award, you are deemed to be bound by the terms and conditions set forth in the 2014 Incentive Plan, this Notice of Stock Option Award and the Award Terms.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You should retain the enclosed duplicate copy of this Notice of Stock Option Award for your records.</w:t>
      </w:r>
    </w:p>
    <w:p>
      <w:pPr>
        <w:spacing w:after="0" w:line="200" w:lineRule="exact"/>
        <w:rPr>
          <w:sz w:val="20"/>
          <w:szCs w:val="20"/>
          <w:color w:val="auto"/>
        </w:rPr>
      </w:pPr>
    </w:p>
    <w:p>
      <w:pPr>
        <w:spacing w:after="0" w:line="255"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7190740</wp:posOffset>
            </wp:positionH>
            <wp:positionV relativeFrom="paragraph">
              <wp:posOffset>469265</wp:posOffset>
            </wp:positionV>
            <wp:extent cx="124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4">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Claudine Naughton</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Chief People Officer</w:t>
      </w:r>
    </w:p>
    <w:p>
      <w:pPr>
        <w:spacing w:after="0" w:line="23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-10160</wp:posOffset>
            </wp:positionV>
            <wp:extent cx="1619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extLst>
                    </a:blip>
                    <a:srcRect/>
                    <a:stretch>
                      <a:fillRect/>
                    </a:stretch>
                  </pic:blipFill>
                  <pic:spPr bwMode="auto">
                    <a:xfrm>
                      <a:off x="0" y="0"/>
                      <a:ext cx="1619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[Name of Holder]</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-10160</wp:posOffset>
            </wp:positionV>
            <wp:extent cx="1295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6">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ectPr>
          <w:pgSz w:w="11900" w:h="16838" w:orient="portrait"/>
          <w:cols w:equalWidth="0" w:num="1">
            <w:col w:w="11360"/>
          </w:cols>
          <w:pgMar w:left="240" w:top="335" w:right="299" w:bottom="1440" w:gutter="0" w:footer="0" w:header="0"/>
        </w:sectPr>
      </w:pPr>
    </w:p>
    <w:bookmarkStart w:id="132" w:name="page133"/>
    <w:bookmarkEnd w:id="132"/>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2014 INCENTIVE PLAN</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 AWARD TERMS</w:t>
      </w:r>
    </w:p>
    <w:p>
      <w:pPr>
        <w:spacing w:after="0" w:line="233" w:lineRule="exact"/>
        <w:rPr>
          <w:sz w:val="20"/>
          <w:szCs w:val="20"/>
          <w:color w:val="auto"/>
        </w:rPr>
      </w:pPr>
    </w:p>
    <w:p>
      <w:pPr>
        <w:ind w:left="1380" w:hanging="766"/>
        <w:spacing w:after="0"/>
        <w:tabs>
          <w:tab w:leader="none" w:pos="1380" w:val="left"/>
        </w:tabs>
        <w:numPr>
          <w:ilvl w:val="0"/>
          <w:numId w:val="79"/>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1220"/>
        <w:spacing w:after="0"/>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8"/>
          <w:szCs w:val="18"/>
          <w:color w:val="auto"/>
        </w:rPr>
        <w:t>For purposes of these Award Terms, the following terms shall have the meanings set forth below:</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“Award” </w:t>
      </w:r>
      <w:r>
        <w:rPr>
          <w:rFonts w:ascii="Arial" w:cs="Arial" w:eastAsia="Arial" w:hAnsi="Arial"/>
          <w:sz w:val="20"/>
          <w:szCs w:val="20"/>
          <w:color w:val="auto"/>
        </w:rPr>
        <w:t>means the award described on the Grant Notice.</w:t>
      </w:r>
    </w:p>
    <w:p>
      <w:pPr>
        <w:spacing w:after="0" w:line="216" w:lineRule="exact"/>
        <w:rPr>
          <w:sz w:val="20"/>
          <w:szCs w:val="20"/>
          <w:color w:val="auto"/>
        </w:rPr>
      </w:pPr>
    </w:p>
    <w:p>
      <w:pPr>
        <w:ind w:firstLine="1224"/>
        <w:spacing w:after="0" w:line="256" w:lineRule="auto"/>
        <w:rPr>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(i) shall have the meaning given to such term in any employment agreement, service contract or offer letter</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Holder and any entity in 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70" w:lineRule="exact"/>
        <w:rPr>
          <w:sz w:val="20"/>
          <w:szCs w:val="20"/>
          <w:color w:val="auto"/>
        </w:rPr>
      </w:pPr>
    </w:p>
    <w:p>
      <w:pPr>
        <w:ind w:right="20" w:firstLine="1224"/>
        <w:spacing w:after="0" w:line="346"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Shares may be changed by reason of any transaction or event of the type referred to in Section 9 hereof.</w:t>
      </w:r>
    </w:p>
    <w:p>
      <w:pPr>
        <w:spacing w:after="0" w:line="9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Activision Blizzard, Inc. and any successor thereto.</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Group” </w:t>
      </w:r>
      <w:r>
        <w:rPr>
          <w:rFonts w:ascii="Arial" w:cs="Arial" w:eastAsia="Arial" w:hAnsi="Arial"/>
          <w:sz w:val="20"/>
          <w:szCs w:val="20"/>
          <w:color w:val="auto"/>
        </w:rPr>
        <w:t>means the Company and its Subsidiaries.</w:t>
      </w:r>
    </w:p>
    <w:p>
      <w:pPr>
        <w:spacing w:after="0" w:line="216" w:lineRule="exact"/>
        <w:rPr>
          <w:sz w:val="20"/>
          <w:szCs w:val="20"/>
          <w:color w:val="auto"/>
        </w:rPr>
      </w:pPr>
    </w:p>
    <w:p>
      <w:pPr>
        <w:ind w:right="580" w:firstLine="1224"/>
        <w:spacing w:after="0" w:line="288" w:lineRule="auto"/>
        <w:rPr>
          <w:sz w:val="20"/>
          <w:szCs w:val="20"/>
          <w:color w:val="auto"/>
        </w:rPr>
      </w:pPr>
      <w:r>
        <w:rPr>
          <w:rFonts w:ascii="Arial" w:cs="Arial" w:eastAsia="Arial" w:hAnsi="Arial"/>
          <w:sz w:val="20"/>
          <w:szCs w:val="20"/>
          <w:b w:val="1"/>
          <w:bCs w:val="1"/>
          <w:color w:val="auto"/>
        </w:rPr>
        <w:t xml:space="preserve">“Company-Sponsored Equity Account” </w:t>
      </w:r>
      <w:r>
        <w:rPr>
          <w:rFonts w:ascii="Arial" w:cs="Arial" w:eastAsia="Arial" w:hAnsi="Arial"/>
          <w:sz w:val="20"/>
          <w:szCs w:val="20"/>
          <w:color w:val="auto"/>
        </w:rPr>
        <w:t>means an account that is created with the Equity Account Administrator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administration of the Company’s equity plans and programs, including the Plan.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means the Date of Grant of the Award set forth on the Grant Notice.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00"/>
          </w:cols>
          <w:pgMar w:left="240" w:top="573" w:right="259" w:bottom="1440" w:gutter="0" w:footer="0" w:header="0"/>
        </w:sectPr>
      </w:pPr>
    </w:p>
    <w:bookmarkStart w:id="133" w:name="page134"/>
    <w:bookmarkEnd w:id="133"/>
    <w:p>
      <w:pPr>
        <w:ind w:right="60" w:firstLine="1224"/>
        <w:spacing w:after="0" w:line="261" w:lineRule="auto"/>
        <w:rPr>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shall mean (i) the Holder is receiving benefits under any long-term disability plan of the Company Group then</w:t>
      </w:r>
      <w:r>
        <w:rPr>
          <w:rFonts w:ascii="Arial" w:cs="Arial" w:eastAsia="Arial" w:hAnsi="Arial"/>
          <w:sz w:val="20"/>
          <w:szCs w:val="20"/>
          <w:b w:val="1"/>
          <w:bCs w:val="1"/>
          <w:color w:val="auto"/>
        </w:rPr>
        <w:t xml:space="preserve"> </w:t>
      </w:r>
      <w:r>
        <w:rPr>
          <w:rFonts w:ascii="Arial" w:cs="Arial" w:eastAsia="Arial" w:hAnsi="Arial"/>
          <w:sz w:val="20"/>
          <w:szCs w:val="20"/>
          <w:color w:val="auto"/>
        </w:rPr>
        <w:t>in effect or (ii) if the Holder is an employee who works and/or resides in the U.S. and is then party to an agreement or offer letter with any entity in the Company Group which contains a definition of “disability” or otherwise provides a method for determining whether the Holder is disabled, shall have the meaning given to such term in, or otherwise be determined in accordance with, such employment agreement or offer letter.</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“Employer” </w:t>
      </w:r>
      <w:r>
        <w:rPr>
          <w:rFonts w:ascii="Arial" w:cs="Arial" w:eastAsia="Arial" w:hAnsi="Arial"/>
          <w:sz w:val="20"/>
          <w:szCs w:val="20"/>
          <w:color w:val="auto"/>
        </w:rPr>
        <w:t>means the Subsidiary of the Company which employs the Holder.</w:t>
      </w:r>
    </w:p>
    <w:p>
      <w:pPr>
        <w:spacing w:after="0" w:line="216" w:lineRule="exact"/>
        <w:rPr>
          <w:sz w:val="20"/>
          <w:szCs w:val="20"/>
          <w:color w:val="auto"/>
        </w:rPr>
      </w:pPr>
    </w:p>
    <w:p>
      <w:pPr>
        <w:ind w:right="500" w:firstLine="1224"/>
        <w:spacing w:after="0" w:line="288" w:lineRule="auto"/>
        <w:rPr>
          <w:sz w:val="20"/>
          <w:szCs w:val="20"/>
          <w:color w:val="auto"/>
        </w:rPr>
      </w:pPr>
      <w:r>
        <w:rPr>
          <w:rFonts w:ascii="Arial" w:cs="Arial" w:eastAsia="Arial" w:hAnsi="Arial"/>
          <w:sz w:val="20"/>
          <w:szCs w:val="20"/>
          <w:b w:val="1"/>
          <w:bCs w:val="1"/>
          <w:color w:val="auto"/>
        </w:rPr>
        <w:t xml:space="preserve">“Equity Account Administrator” </w:t>
      </w:r>
      <w:r>
        <w:rPr>
          <w:rFonts w:ascii="Arial" w:cs="Arial" w:eastAsia="Arial" w:hAnsi="Arial"/>
          <w:sz w:val="20"/>
          <w:szCs w:val="20"/>
          <w:color w:val="auto"/>
        </w:rPr>
        <w:t>means the brokerage firm utilized by the Company from time to time to create and</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accounts for participants in the Company’s equity plans and programs, including the Plan.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“Exercise Price” </w:t>
      </w:r>
      <w:r>
        <w:rPr>
          <w:rFonts w:ascii="Arial" w:cs="Arial" w:eastAsia="Arial" w:hAnsi="Arial"/>
          <w:sz w:val="20"/>
          <w:szCs w:val="20"/>
          <w:color w:val="auto"/>
        </w:rPr>
        <w:t>means the Exercise Price set forth on the Grant Notice.</w:t>
      </w:r>
    </w:p>
    <w:p>
      <w:pPr>
        <w:spacing w:after="0" w:line="216" w:lineRule="exact"/>
        <w:rPr>
          <w:sz w:val="20"/>
          <w:szCs w:val="20"/>
          <w:color w:val="auto"/>
        </w:rPr>
      </w:pPr>
    </w:p>
    <w:p>
      <w:pPr>
        <w:ind w:firstLine="1224"/>
        <w:spacing w:after="0" w:line="272"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comparable U.S. federal securities law and all applicable state securities laws, and (B) for employees who work and/or reside outside the U.S., any laws applicable to the Holder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Stock Options)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means the Expiration Date set forth on the Grant Notice.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Stock Option Award to which the Award Terms are attached.</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“Holder” </w:t>
      </w:r>
      <w:r>
        <w:rPr>
          <w:rFonts w:ascii="Arial" w:cs="Arial" w:eastAsia="Arial" w:hAnsi="Arial"/>
          <w:sz w:val="20"/>
          <w:szCs w:val="20"/>
          <w:color w:val="auto"/>
        </w:rPr>
        <w:t>means the recipient of the Award named on the Grant Notice.</w:t>
      </w:r>
    </w:p>
    <w:p>
      <w:pPr>
        <w:spacing w:after="0" w:line="216" w:lineRule="exact"/>
        <w:rPr>
          <w:sz w:val="20"/>
          <w:szCs w:val="20"/>
          <w:color w:val="auto"/>
        </w:rPr>
      </w:pPr>
    </w:p>
    <w:p>
      <w:pPr>
        <w:ind w:right="760" w:firstLine="1224"/>
        <w:spacing w:after="0" w:line="288" w:lineRule="auto"/>
        <w:rPr>
          <w:sz w:val="20"/>
          <w:szCs w:val="20"/>
          <w:color w:val="auto"/>
        </w:rPr>
      </w:pPr>
      <w:r>
        <w:rPr>
          <w:rFonts w:ascii="Arial" w:cs="Arial" w:eastAsia="Arial" w:hAnsi="Arial"/>
          <w:sz w:val="20"/>
          <w:szCs w:val="20"/>
          <w:b w:val="1"/>
          <w:bCs w:val="1"/>
          <w:color w:val="auto"/>
        </w:rPr>
        <w:t xml:space="preserve">“Option” </w:t>
      </w:r>
      <w:r>
        <w:rPr>
          <w:rFonts w:ascii="Arial" w:cs="Arial" w:eastAsia="Arial" w:hAnsi="Arial"/>
          <w:sz w:val="20"/>
          <w:szCs w:val="20"/>
          <w:color w:val="auto"/>
        </w:rPr>
        <w:t>means the Stock Option to purchase Common Shares awarded to the Holder on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the Grant Notice and these Award Terms.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Activision Blizzard, Inc. 2014 Incentive Plan, as amended from time to time.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“Securities Act” </w:t>
      </w:r>
      <w:r>
        <w:rPr>
          <w:rFonts w:ascii="Arial" w:cs="Arial" w:eastAsia="Arial" w:hAnsi="Arial"/>
          <w:sz w:val="20"/>
          <w:szCs w:val="20"/>
          <w:color w:val="auto"/>
        </w:rPr>
        <w:t>means the U.S. Securities Act of 1933, as amended.</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“Shares” </w:t>
      </w:r>
      <w:r>
        <w:rPr>
          <w:rFonts w:ascii="Arial" w:cs="Arial" w:eastAsia="Arial" w:hAnsi="Arial"/>
          <w:sz w:val="20"/>
          <w:szCs w:val="20"/>
          <w:color w:val="auto"/>
        </w:rPr>
        <w:t>means the Common Shares purchasable upon exercise of the Stock Option.</w:t>
      </w:r>
    </w:p>
    <w:p>
      <w:pPr>
        <w:spacing w:after="0" w:line="38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A-2</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380"/>
          </w:cols>
          <w:pgMar w:left="240" w:top="573" w:right="279" w:bottom="1440" w:gutter="0" w:footer="0" w:header="0"/>
        </w:sectPr>
      </w:pPr>
    </w:p>
    <w:bookmarkStart w:id="134" w:name="page135"/>
    <w:bookmarkEnd w:id="134"/>
    <w:p>
      <w:pPr>
        <w:ind w:left="1220"/>
        <w:spacing w:after="0"/>
        <w:rPr>
          <w:sz w:val="20"/>
          <w:szCs w:val="20"/>
          <w:color w:val="auto"/>
        </w:rPr>
      </w:pPr>
      <w:r>
        <w:rPr>
          <w:rFonts w:ascii="Arial" w:cs="Arial" w:eastAsia="Arial" w:hAnsi="Arial"/>
          <w:sz w:val="20"/>
          <w:szCs w:val="20"/>
          <w:b w:val="1"/>
          <w:bCs w:val="1"/>
          <w:color w:val="auto"/>
        </w:rPr>
        <w:t xml:space="preserve">“U.S.” </w:t>
      </w:r>
      <w:r>
        <w:rPr>
          <w:rFonts w:ascii="Arial" w:cs="Arial" w:eastAsia="Arial" w:hAnsi="Arial"/>
          <w:sz w:val="20"/>
          <w:szCs w:val="20"/>
          <w:color w:val="auto"/>
        </w:rPr>
        <w:t>means the United States of America.</w:t>
      </w:r>
    </w:p>
    <w:p>
      <w:pPr>
        <w:spacing w:after="0" w:line="216" w:lineRule="exact"/>
        <w:rPr>
          <w:sz w:val="20"/>
          <w:szCs w:val="20"/>
          <w:color w:val="auto"/>
        </w:rPr>
      </w:pPr>
    </w:p>
    <w:p>
      <w:pPr>
        <w:ind w:firstLine="1224"/>
        <w:spacing w:after="0" w:line="270" w:lineRule="auto"/>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means any taxes, including, but not limited to, income tax, social insurance (</w:t>
      </w:r>
      <w:r>
        <w:rPr>
          <w:rFonts w:ascii="Arial" w:cs="Arial" w:eastAsia="Arial" w:hAnsi="Arial"/>
          <w:sz w:val="20"/>
          <w:szCs w:val="20"/>
          <w:i w:val="1"/>
          <w:iCs w:val="1"/>
          <w:color w:val="auto"/>
        </w:rPr>
        <w:t>e.g.</w:t>
      </w:r>
      <w:r>
        <w:rPr>
          <w:rFonts w:ascii="Arial" w:cs="Arial" w:eastAsia="Arial" w:hAnsi="Arial"/>
          <w:sz w:val="20"/>
          <w:szCs w:val="20"/>
          <w:color w:val="auto"/>
        </w:rPr>
        <w:t>, U.S.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and Medicare), payroll tax, state and local income taxes, fringe benefits tax, and payment on account, required or permitted under any applicable law to be withheld from amounts otherwise payable to the Holder.</w:t>
      </w:r>
    </w:p>
    <w:p>
      <w:pPr>
        <w:spacing w:after="0" w:line="159" w:lineRule="exact"/>
        <w:rPr>
          <w:sz w:val="20"/>
          <w:szCs w:val="20"/>
          <w:color w:val="auto"/>
        </w:rPr>
      </w:pPr>
    </w:p>
    <w:p>
      <w:pPr>
        <w:ind w:left="1660" w:hanging="434"/>
        <w:spacing w:after="0"/>
        <w:tabs>
          <w:tab w:leader="none" w:pos="1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39" w:lineRule="exact"/>
        <w:rPr>
          <w:rFonts w:ascii="Arial" w:cs="Arial" w:eastAsia="Arial" w:hAnsi="Arial"/>
          <w:sz w:val="18"/>
          <w:szCs w:val="18"/>
          <w:color w:val="auto"/>
        </w:rPr>
      </w:pPr>
    </w:p>
    <w:p>
      <w:pPr>
        <w:ind w:left="940" w:hanging="326"/>
        <w:spacing w:after="0"/>
        <w:tabs>
          <w:tab w:leader="none" w:pos="94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Expiration</w:t>
      </w:r>
      <w:r>
        <w:rPr>
          <w:rFonts w:ascii="Arial" w:cs="Arial" w:eastAsia="Arial" w:hAnsi="Arial"/>
          <w:sz w:val="19"/>
          <w:szCs w:val="19"/>
          <w:color w:val="auto"/>
        </w:rPr>
        <w:t>. The Stock Option shall expire on the Expiration Date and, after such expiration, shall no longer be exercisable.</w:t>
      </w:r>
    </w:p>
    <w:p>
      <w:pPr>
        <w:spacing w:after="0" w:line="240" w:lineRule="exact"/>
        <w:rPr>
          <w:rFonts w:ascii="Arial" w:cs="Arial" w:eastAsia="Arial" w:hAnsi="Arial"/>
          <w:sz w:val="19"/>
          <w:szCs w:val="19"/>
          <w:color w:val="auto"/>
        </w:rPr>
      </w:pPr>
    </w:p>
    <w:p>
      <w:pPr>
        <w:ind w:left="940" w:hanging="326"/>
        <w:spacing w:after="0"/>
        <w:tabs>
          <w:tab w:leader="none" w:pos="94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Vesting and Exercise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480" w:firstLine="1226"/>
        <w:spacing w:after="0" w:line="297" w:lineRule="auto"/>
        <w:tabs>
          <w:tab w:leader="none" w:pos="1620" w:val="left"/>
        </w:tabs>
        <w:numPr>
          <w:ilvl w:val="1"/>
          <w:numId w:val="81"/>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otherwise set forth in these Award Terms, the Stock Option shall vest, and thereupon become exercisable, in accordance with the “Schedule for Vesting” set forth on the Grant Notice.</w:t>
      </w:r>
    </w:p>
    <w:p>
      <w:pPr>
        <w:spacing w:after="0" w:line="132" w:lineRule="exact"/>
        <w:rPr>
          <w:rFonts w:ascii="Arial" w:cs="Arial" w:eastAsia="Arial" w:hAnsi="Arial"/>
          <w:sz w:val="20"/>
          <w:szCs w:val="20"/>
          <w:color w:val="auto"/>
        </w:rPr>
      </w:pPr>
    </w:p>
    <w:p>
      <w:pPr>
        <w:ind w:right="80" w:firstLine="1226"/>
        <w:spacing w:after="0" w:line="318" w:lineRule="auto"/>
        <w:tabs>
          <w:tab w:leader="none" w:pos="163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Exercisable Only by the Holder</w:t>
      </w:r>
      <w:r>
        <w:rPr>
          <w:rFonts w:ascii="Arial" w:cs="Arial" w:eastAsia="Arial" w:hAnsi="Arial"/>
          <w:sz w:val="18"/>
          <w:szCs w:val="18"/>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20" w:lineRule="exact"/>
        <w:rPr>
          <w:rFonts w:ascii="Arial" w:cs="Arial" w:eastAsia="Arial" w:hAnsi="Arial"/>
          <w:sz w:val="18"/>
          <w:szCs w:val="18"/>
          <w:color w:val="auto"/>
        </w:rPr>
      </w:pPr>
    </w:p>
    <w:p>
      <w:pPr>
        <w:ind w:right="20" w:firstLine="1226"/>
        <w:spacing w:after="0" w:line="285" w:lineRule="auto"/>
        <w:tabs>
          <w:tab w:leader="none" w:pos="162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Procedure for Exercise</w:t>
      </w:r>
      <w:r>
        <w:rPr>
          <w:rFonts w:ascii="Arial" w:cs="Arial" w:eastAsia="Arial" w:hAnsi="Arial"/>
          <w:sz w:val="19"/>
          <w:szCs w:val="19"/>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47" w:lineRule="exact"/>
        <w:rPr>
          <w:rFonts w:ascii="Arial" w:cs="Arial" w:eastAsia="Arial" w:hAnsi="Arial"/>
          <w:sz w:val="19"/>
          <w:szCs w:val="19"/>
          <w:color w:val="auto"/>
        </w:rPr>
      </w:pPr>
    </w:p>
    <w:p>
      <w:pPr>
        <w:ind w:firstLine="1226"/>
        <w:spacing w:after="0" w:line="288" w:lineRule="auto"/>
        <w:tabs>
          <w:tab w:leader="none" w:pos="1632"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through the withholding of Shares otherwise deliverable upon exercise, (iv) for U.S. taxpayers only, by tendering previously owned shares (valued at their Market Value per Share as of the date of tender), or (v) any combination of (i), (ii), (iii) or (for U.S. employees only) (iv) above or any other manner permitted pursuant to the Plan.</w:t>
      </w:r>
    </w:p>
    <w:p>
      <w:pPr>
        <w:spacing w:after="0" w:line="31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A-3</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360"/>
          </w:cols>
          <w:pgMar w:left="240" w:top="573" w:right="299" w:bottom="1440" w:gutter="0" w:footer="0" w:header="0"/>
        </w:sectPr>
      </w:pPr>
    </w:p>
    <w:bookmarkStart w:id="135" w:name="page136"/>
    <w:bookmarkEnd w:id="135"/>
    <w:p>
      <w:pPr>
        <w:ind w:left="1620" w:hanging="394"/>
        <w:spacing w:after="0"/>
        <w:tabs>
          <w:tab w:leader="none" w:pos="1620" w:val="left"/>
        </w:tabs>
        <w:numPr>
          <w:ilvl w:val="2"/>
          <w:numId w:val="82"/>
        </w:numPr>
        <w:rPr>
          <w:rFonts w:ascii="Arial" w:cs="Arial" w:eastAsia="Arial" w:hAnsi="Arial"/>
          <w:sz w:val="20"/>
          <w:szCs w:val="20"/>
          <w:color w:val="auto"/>
        </w:rPr>
      </w:pPr>
      <w:r>
        <w:rPr>
          <w:rFonts w:ascii="Arial" w:cs="Arial" w:eastAsia="Arial" w:hAnsi="Arial"/>
          <w:sz w:val="20"/>
          <w:szCs w:val="20"/>
          <w:u w:val="single" w:color="auto"/>
          <w:color w:val="auto"/>
        </w:rPr>
        <w:t>No Fractional Shares</w:t>
      </w:r>
      <w:r>
        <w:rPr>
          <w:rFonts w:ascii="Arial" w:cs="Arial" w:eastAsia="Arial" w:hAnsi="Arial"/>
          <w:sz w:val="20"/>
          <w:szCs w:val="20"/>
          <w:color w:val="auto"/>
        </w:rPr>
        <w:t>. In no event may the Stock Option be exercised for a fraction of a Share.</w:t>
      </w:r>
    </w:p>
    <w:p>
      <w:pPr>
        <w:spacing w:after="0" w:line="229" w:lineRule="exact"/>
        <w:rPr>
          <w:rFonts w:ascii="Arial" w:cs="Arial" w:eastAsia="Arial" w:hAnsi="Arial"/>
          <w:sz w:val="20"/>
          <w:szCs w:val="20"/>
          <w:color w:val="auto"/>
        </w:rPr>
      </w:pPr>
    </w:p>
    <w:p>
      <w:pPr>
        <w:ind w:firstLine="1226"/>
        <w:spacing w:after="0" w:line="318" w:lineRule="auto"/>
        <w:tabs>
          <w:tab w:leader="none" w:pos="1598"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20" w:lineRule="exact"/>
        <w:rPr>
          <w:rFonts w:ascii="Arial" w:cs="Arial" w:eastAsia="Arial" w:hAnsi="Arial"/>
          <w:sz w:val="18"/>
          <w:szCs w:val="18"/>
          <w:color w:val="auto"/>
        </w:rPr>
      </w:pPr>
    </w:p>
    <w:p>
      <w:pPr>
        <w:ind w:firstLine="1226"/>
        <w:spacing w:after="0" w:line="260" w:lineRule="auto"/>
        <w:tabs>
          <w:tab w:leader="none" w:pos="1632" w:val="left"/>
        </w:tabs>
        <w:numPr>
          <w:ilvl w:val="2"/>
          <w:numId w:val="82"/>
        </w:numPr>
        <w:rPr>
          <w:rFonts w:ascii="Arial" w:cs="Arial" w:eastAsia="Arial" w:hAnsi="Arial"/>
          <w:sz w:val="20"/>
          <w:szCs w:val="20"/>
          <w:color w:val="auto"/>
        </w:rPr>
      </w:pPr>
      <w:r>
        <w:rPr>
          <w:rFonts w:ascii="Arial" w:cs="Arial" w:eastAsia="Arial" w:hAnsi="Arial"/>
          <w:sz w:val="20"/>
          <w:szCs w:val="20"/>
          <w:u w:val="single" w:color="auto"/>
          <w:color w:val="auto"/>
        </w:rPr>
        <w:t>Issuance and Delivery of Shares</w:t>
      </w:r>
      <w:r>
        <w:rPr>
          <w:rFonts w:ascii="Arial" w:cs="Arial" w:eastAsia="Arial" w:hAnsi="Arial"/>
          <w:sz w:val="20"/>
          <w:szCs w:val="20"/>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68" w:lineRule="exact"/>
        <w:rPr>
          <w:rFonts w:ascii="Arial" w:cs="Arial" w:eastAsia="Arial" w:hAnsi="Arial"/>
          <w:sz w:val="20"/>
          <w:szCs w:val="20"/>
          <w:color w:val="auto"/>
        </w:rPr>
      </w:pPr>
    </w:p>
    <w:p>
      <w:pPr>
        <w:jc w:val="both"/>
        <w:ind w:right="260" w:firstLine="1226"/>
        <w:spacing w:after="0" w:line="318" w:lineRule="auto"/>
        <w:tabs>
          <w:tab w:leader="none" w:pos="1632" w:val="left"/>
        </w:tabs>
        <w:numPr>
          <w:ilvl w:val="2"/>
          <w:numId w:val="82"/>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20" w:lineRule="exact"/>
        <w:rPr>
          <w:rFonts w:ascii="Arial" w:cs="Arial" w:eastAsia="Arial" w:hAnsi="Arial"/>
          <w:sz w:val="18"/>
          <w:szCs w:val="18"/>
          <w:color w:val="auto"/>
        </w:rPr>
      </w:pPr>
    </w:p>
    <w:p>
      <w:pPr>
        <w:ind w:left="940" w:hanging="326"/>
        <w:spacing w:after="0"/>
        <w:tabs>
          <w:tab w:leader="none" w:pos="940" w:val="left"/>
        </w:tabs>
        <w:numPr>
          <w:ilvl w:val="1"/>
          <w:numId w:val="8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60" w:firstLine="1226"/>
        <w:spacing w:after="0" w:line="292" w:lineRule="auto"/>
        <w:tabs>
          <w:tab w:leader="none" w:pos="1620" w:val="left"/>
        </w:tabs>
        <w:numPr>
          <w:ilvl w:val="2"/>
          <w:numId w:val="8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w:t>
      </w:r>
    </w:p>
    <w:p>
      <w:pPr>
        <w:spacing w:after="0" w:line="1" w:lineRule="exact"/>
        <w:rPr>
          <w:rFonts w:ascii="Arial" w:cs="Arial" w:eastAsia="Arial" w:hAnsi="Arial"/>
          <w:sz w:val="18"/>
          <w:szCs w:val="18"/>
          <w:color w:val="auto"/>
        </w:rPr>
      </w:pPr>
    </w:p>
    <w:p>
      <w:pPr>
        <w:ind w:left="240" w:hanging="238"/>
        <w:spacing w:after="0"/>
        <w:tabs>
          <w:tab w:leader="none" w:pos="240" w:val="left"/>
        </w:tabs>
        <w:numPr>
          <w:ilvl w:val="0"/>
          <w:numId w:val="84"/>
        </w:numPr>
        <w:rPr>
          <w:rFonts w:ascii="Arial" w:cs="Arial" w:eastAsia="Arial" w:hAnsi="Arial"/>
          <w:sz w:val="20"/>
          <w:szCs w:val="20"/>
          <w:color w:val="auto"/>
        </w:rPr>
      </w:pPr>
      <w:r>
        <w:rPr>
          <w:rFonts w:ascii="Arial" w:cs="Arial" w:eastAsia="Arial" w:hAnsi="Arial"/>
          <w:sz w:val="20"/>
          <w:szCs w:val="20"/>
          <w:color w:val="auto"/>
        </w:rPr>
        <w:t>cease to vest, if not then fully vested, (ii) no longer be exercisable, whether or not vested, and (iii) be immediately cancelled.</w:t>
      </w:r>
    </w:p>
    <w:p>
      <w:pPr>
        <w:spacing w:after="0" w:line="198" w:lineRule="exact"/>
        <w:rPr>
          <w:rFonts w:ascii="Arial" w:cs="Arial" w:eastAsia="Arial" w:hAnsi="Arial"/>
          <w:sz w:val="20"/>
          <w:szCs w:val="20"/>
          <w:color w:val="auto"/>
        </w:rPr>
      </w:pPr>
    </w:p>
    <w:p>
      <w:pPr>
        <w:ind w:right="40" w:firstLine="1226"/>
        <w:spacing w:after="0" w:line="258" w:lineRule="auto"/>
        <w:tabs>
          <w:tab w:leader="none" w:pos="1632" w:val="left"/>
        </w:tabs>
        <w:numPr>
          <w:ilvl w:val="2"/>
          <w:numId w:val="84"/>
        </w:numPr>
        <w:rPr>
          <w:rFonts w:ascii="Arial" w:cs="Arial" w:eastAsia="Arial" w:hAnsi="Arial"/>
          <w:sz w:val="20"/>
          <w:szCs w:val="20"/>
          <w:color w:val="auto"/>
        </w:rPr>
      </w:pPr>
      <w:r>
        <w:rPr>
          <w:rFonts w:ascii="Arial" w:cs="Arial" w:eastAsia="Arial" w:hAnsi="Arial"/>
          <w:sz w:val="20"/>
          <w:szCs w:val="20"/>
          <w:u w:val="single" w:color="auto"/>
          <w:color w:val="auto"/>
        </w:rPr>
        <w:t>Death or Disability</w:t>
      </w:r>
      <w:r>
        <w:rPr>
          <w:rFonts w:ascii="Arial" w:cs="Arial" w:eastAsia="Arial" w:hAnsi="Arial"/>
          <w:sz w:val="20"/>
          <w:szCs w:val="20"/>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 (i) cease to vest as of the date of the Holder’s death or the first date of the Holder’s Disability (as determined by the Committee), as the case may be, and (ii) 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 (B)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33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A-4</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20"/>
          </w:cols>
          <w:pgMar w:left="240" w:top="577" w:right="239" w:bottom="1440" w:gutter="0" w:footer="0" w:header="0"/>
        </w:sectPr>
      </w:pPr>
    </w:p>
    <w:bookmarkStart w:id="136" w:name="page137"/>
    <w:bookmarkEnd w:id="136"/>
    <w:p>
      <w:pPr>
        <w:ind w:firstLine="1226"/>
        <w:spacing w:after="0" w:line="289" w:lineRule="auto"/>
        <w:tabs>
          <w:tab w:leader="none" w:pos="1620" w:val="left"/>
        </w:tabs>
        <w:numPr>
          <w:ilvl w:val="2"/>
          <w:numId w:val="85"/>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w:t>
      </w:r>
    </w:p>
    <w:p>
      <w:pPr>
        <w:spacing w:after="0" w:line="2" w:lineRule="exact"/>
        <w:rPr>
          <w:rFonts w:ascii="Arial" w:cs="Arial" w:eastAsia="Arial" w:hAnsi="Arial"/>
          <w:sz w:val="18"/>
          <w:szCs w:val="18"/>
          <w:color w:val="auto"/>
        </w:rPr>
      </w:pPr>
    </w:p>
    <w:p>
      <w:pPr>
        <w:ind w:right="60" w:firstLine="2"/>
        <w:spacing w:after="0" w:line="271" w:lineRule="auto"/>
        <w:tabs>
          <w:tab w:leader="none" w:pos="3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59" w:lineRule="exact"/>
        <w:rPr>
          <w:rFonts w:ascii="Arial" w:cs="Arial" w:eastAsia="Arial" w:hAnsi="Arial"/>
          <w:sz w:val="19"/>
          <w:szCs w:val="19"/>
          <w:color w:val="auto"/>
        </w:rPr>
      </w:pPr>
    </w:p>
    <w:p>
      <w:pPr>
        <w:ind w:left="940" w:hanging="326"/>
        <w:spacing w:after="0"/>
        <w:tabs>
          <w:tab w:leader="none" w:pos="940" w:val="left"/>
        </w:tabs>
        <w:numPr>
          <w:ilvl w:val="1"/>
          <w:numId w:val="86"/>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firstLine="1226"/>
        <w:spacing w:after="0" w:line="288" w:lineRule="auto"/>
        <w:tabs>
          <w:tab w:leader="none" w:pos="1620" w:val="left"/>
        </w:tabs>
        <w:numPr>
          <w:ilvl w:val="2"/>
          <w:numId w:val="86"/>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if any,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 Option to reduce or eliminate the Holder’s liability for Withholding Taxes or achieve any particular tax result. Further, if the Holder is or becomes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49" w:lineRule="exact"/>
        <w:rPr>
          <w:rFonts w:ascii="Arial" w:cs="Arial" w:eastAsia="Arial" w:hAnsi="Arial"/>
          <w:sz w:val="18"/>
          <w:szCs w:val="18"/>
          <w:color w:val="auto"/>
        </w:rPr>
      </w:pPr>
    </w:p>
    <w:p>
      <w:pPr>
        <w:ind w:right="80" w:firstLine="1226"/>
        <w:spacing w:after="0" w:line="290" w:lineRule="auto"/>
        <w:tabs>
          <w:tab w:leader="none" w:pos="1632" w:val="left"/>
        </w:tabs>
        <w:numPr>
          <w:ilvl w:val="2"/>
          <w:numId w:val="86"/>
        </w:numPr>
        <w:rPr>
          <w:rFonts w:ascii="Arial" w:cs="Arial" w:eastAsia="Arial" w:hAnsi="Arial"/>
          <w:sz w:val="18"/>
          <w:szCs w:val="18"/>
          <w:color w:val="auto"/>
        </w:rPr>
      </w:pPr>
      <w:r>
        <w:rPr>
          <w:rFonts w:ascii="Arial" w:cs="Arial" w:eastAsia="Arial" w:hAnsi="Arial"/>
          <w:sz w:val="18"/>
          <w:szCs w:val="18"/>
          <w:color w:val="auto"/>
        </w:rPr>
        <w:t>Prior to any relevant taxable or tax withholding event, as applicable, the Holder agrees to make adequate arrangements satisfactory to the Company and/or the Employer to satisfy all Withholding Taxes resulting from the exercise (in whole or in part) of the Stock Option, the issuance or transfer of any Shares upon exercise of the Stock Option or otherwise in connection with the Award at the time such Withholding Taxes become due. In this regard, the Holder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w:t>
      </w:r>
    </w:p>
    <w:p>
      <w:pPr>
        <w:spacing w:after="0" w:line="313"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A-5</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20"/>
          </w:cols>
          <w:pgMar w:left="240" w:top="577" w:right="239" w:bottom="1440" w:gutter="0" w:footer="0" w:header="0"/>
        </w:sectPr>
      </w:pPr>
    </w:p>
    <w:bookmarkStart w:id="137" w:name="page138"/>
    <w:bookmarkEnd w:id="137"/>
    <w:p>
      <w:pPr>
        <w:jc w:val="both"/>
        <w:spacing w:after="0" w:line="287" w:lineRule="auto"/>
        <w:rPr>
          <w:sz w:val="20"/>
          <w:szCs w:val="20"/>
          <w:color w:val="auto"/>
        </w:rPr>
      </w:pPr>
      <w:r>
        <w:rPr>
          <w:rFonts w:ascii="Arial" w:cs="Arial" w:eastAsia="Arial" w:hAnsi="Arial"/>
          <w:sz w:val="18"/>
          <w:szCs w:val="18"/>
          <w:color w:val="auto"/>
        </w:rPr>
        <w:t>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 (iv) by any combination of (i),</w:t>
      </w:r>
    </w:p>
    <w:p>
      <w:pPr>
        <w:spacing w:after="0" w:line="2" w:lineRule="exact"/>
        <w:rPr>
          <w:sz w:val="20"/>
          <w:szCs w:val="20"/>
          <w:color w:val="auto"/>
        </w:rPr>
      </w:pPr>
    </w:p>
    <w:p>
      <w:pPr>
        <w:ind w:right="400" w:firstLine="2"/>
        <w:spacing w:after="0" w:line="259" w:lineRule="auto"/>
        <w:tabs>
          <w:tab w:leader="none" w:pos="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68" w:lineRule="exact"/>
        <w:rPr>
          <w:rFonts w:ascii="Arial" w:cs="Arial" w:eastAsia="Arial" w:hAnsi="Arial"/>
          <w:sz w:val="20"/>
          <w:szCs w:val="20"/>
          <w:color w:val="auto"/>
        </w:rPr>
      </w:pPr>
    </w:p>
    <w:p>
      <w:pPr>
        <w:ind w:right="80" w:firstLine="1226"/>
        <w:spacing w:after="0" w:line="275" w:lineRule="auto"/>
        <w:tabs>
          <w:tab w:leader="none" w:pos="1620" w:val="left"/>
        </w:tabs>
        <w:numPr>
          <w:ilvl w:val="2"/>
          <w:numId w:val="87"/>
        </w:numPr>
        <w:rPr>
          <w:rFonts w:ascii="Arial" w:cs="Arial" w:eastAsia="Arial" w:hAnsi="Arial"/>
          <w:sz w:val="19"/>
          <w:szCs w:val="19"/>
          <w:color w:val="auto"/>
        </w:rPr>
      </w:pPr>
      <w:r>
        <w:rPr>
          <w:rFonts w:ascii="Arial" w:cs="Arial" w:eastAsia="Arial" w:hAnsi="Arial"/>
          <w:sz w:val="19"/>
          <w:szCs w:val="19"/>
          <w:color w:val="auto"/>
        </w:rPr>
        <w:t>The Company Group may withhold or account for Withholding Taxes contemplated by this Section 5 by reference to applicable withholding rates, including minimum or maximum applicable statutory rates in the Holder’s jurisdiction(s) of employment and/or residency, and if the Company Group withholds more than the amount necessary to satisfy the liability, the Holder may receive a refund of any over-withheld amount in cash and will have no entitlement to the equivalent Shares.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No fractional Shares will be withheld or issued pursuant to the exercise of the Stock Option and the issuance of Withholding Taxes thereunder.</w:t>
      </w:r>
    </w:p>
    <w:p>
      <w:pPr>
        <w:spacing w:after="0" w:line="156" w:lineRule="exact"/>
        <w:rPr>
          <w:rFonts w:ascii="Arial" w:cs="Arial" w:eastAsia="Arial" w:hAnsi="Arial"/>
          <w:sz w:val="19"/>
          <w:szCs w:val="19"/>
          <w:color w:val="auto"/>
        </w:rPr>
      </w:pPr>
    </w:p>
    <w:p>
      <w:pPr>
        <w:ind w:right="160" w:firstLine="614"/>
        <w:spacing w:after="0" w:line="301" w:lineRule="auto"/>
        <w:tabs>
          <w:tab w:leader="none" w:pos="935"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Deemed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By accepting the Award, the Holder is deemed to be bound by the terms and conditions set forth in</w:t>
      </w:r>
      <w:r>
        <w:rPr>
          <w:rFonts w:ascii="Arial" w:cs="Arial" w:eastAsia="Arial" w:hAnsi="Arial"/>
          <w:sz w:val="20"/>
          <w:szCs w:val="20"/>
          <w:color w:val="auto"/>
        </w:rPr>
        <w:t xml:space="preserve"> </w:t>
      </w:r>
      <w:r>
        <w:rPr>
          <w:rFonts w:ascii="Arial" w:cs="Arial" w:eastAsia="Arial" w:hAnsi="Arial"/>
          <w:sz w:val="20"/>
          <w:szCs w:val="20"/>
          <w:b w:val="1"/>
          <w:bCs w:val="1"/>
          <w:color w:val="auto"/>
        </w:rPr>
        <w:t>the Plan, the Grant Notice and these Award Terms.</w:t>
      </w:r>
    </w:p>
    <w:p>
      <w:pPr>
        <w:spacing w:after="0" w:line="128" w:lineRule="exact"/>
        <w:rPr>
          <w:rFonts w:ascii="Arial" w:cs="Arial" w:eastAsia="Arial" w:hAnsi="Arial"/>
          <w:sz w:val="20"/>
          <w:szCs w:val="20"/>
          <w:color w:val="auto"/>
        </w:rPr>
      </w:pPr>
    </w:p>
    <w:p>
      <w:pPr>
        <w:ind w:right="160" w:firstLine="614"/>
        <w:spacing w:after="0" w:line="297" w:lineRule="auto"/>
        <w:tabs>
          <w:tab w:leader="none" w:pos="935" w:val="left"/>
        </w:tabs>
        <w:numPr>
          <w:ilvl w:val="1"/>
          <w:numId w:val="87"/>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exercise of the Stock Option such number of Common Shares as shall be required for issuance or delivery upon exercise thereof.</w:t>
      </w:r>
    </w:p>
    <w:p>
      <w:pPr>
        <w:spacing w:after="0" w:line="132" w:lineRule="exact"/>
        <w:rPr>
          <w:rFonts w:ascii="Arial" w:cs="Arial" w:eastAsia="Arial" w:hAnsi="Arial"/>
          <w:sz w:val="20"/>
          <w:szCs w:val="20"/>
          <w:color w:val="auto"/>
        </w:rPr>
      </w:pPr>
    </w:p>
    <w:p>
      <w:pPr>
        <w:ind w:right="20" w:firstLine="614"/>
        <w:spacing w:after="0" w:line="271" w:lineRule="auto"/>
        <w:tabs>
          <w:tab w:leader="none" w:pos="935" w:val="left"/>
        </w:tabs>
        <w:numPr>
          <w:ilvl w:val="1"/>
          <w:numId w:val="87"/>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331"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A-6</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00"/>
          </w:cols>
          <w:pgMar w:left="240" w:top="577" w:right="259" w:bottom="1440" w:gutter="0" w:footer="0" w:header="0"/>
        </w:sectPr>
      </w:pPr>
    </w:p>
    <w:bookmarkStart w:id="138" w:name="page139"/>
    <w:bookmarkEnd w:id="138"/>
    <w:p>
      <w:pPr>
        <w:ind w:right="20" w:firstLine="614"/>
        <w:spacing w:after="0" w:line="258" w:lineRule="auto"/>
        <w:tabs>
          <w:tab w:leader="none" w:pos="935"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71" w:lineRule="exact"/>
        <w:rPr>
          <w:rFonts w:ascii="Arial" w:cs="Arial" w:eastAsia="Arial" w:hAnsi="Arial"/>
          <w:sz w:val="20"/>
          <w:szCs w:val="20"/>
          <w:color w:val="auto"/>
        </w:rPr>
      </w:pPr>
    </w:p>
    <w:p>
      <w:pPr>
        <w:ind w:firstLine="614"/>
        <w:spacing w:after="0" w:line="272" w:lineRule="auto"/>
        <w:tabs>
          <w:tab w:leader="none" w:pos="1037"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U.S. Securities and Exchange Commission,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57" w:lineRule="exact"/>
        <w:rPr>
          <w:rFonts w:ascii="Arial" w:cs="Arial" w:eastAsia="Arial" w:hAnsi="Arial"/>
          <w:sz w:val="19"/>
          <w:szCs w:val="19"/>
          <w:color w:val="auto"/>
        </w:rPr>
      </w:pPr>
    </w:p>
    <w:p>
      <w:pPr>
        <w:ind w:right="100" w:firstLine="614"/>
        <w:spacing w:after="0" w:line="260" w:lineRule="auto"/>
        <w:tabs>
          <w:tab w:leader="none" w:pos="1029"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the Holder may transfer all or part of the Stock Option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68" w:lineRule="exact"/>
        <w:rPr>
          <w:rFonts w:ascii="Arial" w:cs="Arial" w:eastAsia="Arial" w:hAnsi="Arial"/>
          <w:sz w:val="20"/>
          <w:szCs w:val="20"/>
          <w:color w:val="auto"/>
        </w:rPr>
      </w:pPr>
    </w:p>
    <w:p>
      <w:pPr>
        <w:ind w:left="1040" w:hanging="426"/>
        <w:spacing w:after="0"/>
        <w:tabs>
          <w:tab w:leader="none" w:pos="104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 and Regulations and Company Policies and Procedures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40" w:firstLine="1226"/>
        <w:spacing w:after="0" w:line="275" w:lineRule="auto"/>
        <w:tabs>
          <w:tab w:leader="none" w:pos="16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The Holder is responsible for complying with (i) any federal, state, and local tax, social insurance, national insurance contributions, payroll tax, payment on account or other tax liabilities applicable to the Holder in connection with the Award and (ii) all Exercise Rules and Regulations.</w:t>
      </w:r>
    </w:p>
    <w:p>
      <w:pPr>
        <w:spacing w:after="0" w:line="32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A-7</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20"/>
          </w:cols>
          <w:pgMar w:left="240" w:top="577" w:right="239" w:bottom="1440" w:gutter="0" w:footer="0" w:header="0"/>
        </w:sectPr>
      </w:pPr>
    </w:p>
    <w:bookmarkStart w:id="139" w:name="page140"/>
    <w:bookmarkEnd w:id="139"/>
    <w:p>
      <w:pPr>
        <w:ind w:right="80" w:firstLine="1226"/>
        <w:spacing w:after="0" w:line="275" w:lineRule="auto"/>
        <w:tabs>
          <w:tab w:leader="none" w:pos="1632" w:val="left"/>
        </w:tabs>
        <w:numPr>
          <w:ilvl w:val="1"/>
          <w:numId w:val="89"/>
        </w:numPr>
        <w:rPr>
          <w:rFonts w:ascii="Arial" w:cs="Arial" w:eastAsia="Arial" w:hAnsi="Arial"/>
          <w:sz w:val="20"/>
          <w:szCs w:val="20"/>
          <w:color w:val="auto"/>
        </w:rPr>
      </w:pPr>
      <w:r>
        <w:rPr>
          <w:rFonts w:ascii="Arial" w:cs="Arial" w:eastAsia="Arial" w:hAnsi="Arial"/>
          <w:sz w:val="20"/>
          <w:szCs w:val="20"/>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52" w:lineRule="exact"/>
        <w:rPr>
          <w:rFonts w:ascii="Arial" w:cs="Arial" w:eastAsia="Arial" w:hAnsi="Arial"/>
          <w:sz w:val="20"/>
          <w:szCs w:val="20"/>
          <w:color w:val="auto"/>
        </w:rPr>
      </w:pPr>
    </w:p>
    <w:p>
      <w:pPr>
        <w:ind w:right="20" w:firstLine="1226"/>
        <w:spacing w:after="0" w:line="275" w:lineRule="auto"/>
        <w:tabs>
          <w:tab w:leader="none" w:pos="1620" w:val="left"/>
        </w:tabs>
        <w:numPr>
          <w:ilvl w:val="1"/>
          <w:numId w:val="89"/>
        </w:numPr>
        <w:rPr>
          <w:rFonts w:ascii="Arial" w:cs="Arial" w:eastAsia="Arial" w:hAnsi="Arial"/>
          <w:sz w:val="20"/>
          <w:szCs w:val="20"/>
          <w:color w:val="auto"/>
        </w:rPr>
      </w:pPr>
      <w:r>
        <w:rPr>
          <w:rFonts w:ascii="Arial" w:cs="Arial" w:eastAsia="Arial" w:hAnsi="Arial"/>
          <w:sz w:val="20"/>
          <w:szCs w:val="20"/>
          <w:color w:val="auto"/>
        </w:rPr>
        <w:t>If and when the Holder is an “executive officer” of the Company within the meaning of the Executive Stock Ownership Guidelines, the Award will be subject to the terms and conditions of the Executive Stock Ownership Guidelines and the limitations contained therein on the ability of the Holder to transfer any Vested Shares.</w:t>
      </w:r>
    </w:p>
    <w:p>
      <w:pPr>
        <w:spacing w:after="0" w:line="152" w:lineRule="exact"/>
        <w:rPr>
          <w:rFonts w:ascii="Arial" w:cs="Arial" w:eastAsia="Arial" w:hAnsi="Arial"/>
          <w:sz w:val="20"/>
          <w:szCs w:val="20"/>
          <w:color w:val="auto"/>
        </w:rPr>
      </w:pPr>
    </w:p>
    <w:p>
      <w:pPr>
        <w:ind w:firstLine="614"/>
        <w:spacing w:after="0" w:line="288" w:lineRule="auto"/>
        <w:tabs>
          <w:tab w:leader="none" w:pos="103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49" w:lineRule="exact"/>
        <w:rPr>
          <w:rFonts w:ascii="Arial" w:cs="Arial" w:eastAsia="Arial" w:hAnsi="Arial"/>
          <w:sz w:val="18"/>
          <w:szCs w:val="18"/>
          <w:color w:val="auto"/>
        </w:rPr>
      </w:pPr>
    </w:p>
    <w:p>
      <w:pPr>
        <w:ind w:right="760" w:firstLine="614"/>
        <w:spacing w:after="0" w:line="297" w:lineRule="auto"/>
        <w:tabs>
          <w:tab w:leader="none" w:pos="1037"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Legend</w:t>
      </w:r>
      <w:r>
        <w:rPr>
          <w:rFonts w:ascii="Arial" w:cs="Arial" w:eastAsia="Arial" w:hAnsi="Arial"/>
          <w:sz w:val="20"/>
          <w:szCs w:val="20"/>
          <w:color w:val="auto"/>
        </w:rPr>
        <w:t>. The Company may, if determined by it based on the advice of counsel to be appropriate, cause any certificate evidencing Shares to bear a legend substantially as follows:</w:t>
      </w:r>
    </w:p>
    <w:p>
      <w:pPr>
        <w:spacing w:after="0" w:line="132" w:lineRule="exact"/>
        <w:rPr>
          <w:sz w:val="20"/>
          <w:szCs w:val="20"/>
          <w:color w:val="auto"/>
        </w:rPr>
      </w:pPr>
    </w:p>
    <w:p>
      <w:pPr>
        <w:ind w:left="620"/>
        <w:spacing w:after="0" w:line="288"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4" w:lineRule="exact"/>
        <w:rPr>
          <w:sz w:val="20"/>
          <w:szCs w:val="20"/>
          <w:color w:val="auto"/>
        </w:rPr>
      </w:pPr>
    </w:p>
    <w:p>
      <w:pPr>
        <w:jc w:val="both"/>
        <w:ind w:right="80" w:firstLine="614"/>
        <w:spacing w:after="0" w:line="267" w:lineRule="auto"/>
        <w:tabs>
          <w:tab w:leader="none" w:pos="1037"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the Holder’s employment or service relationship at any time.</w:t>
      </w:r>
    </w:p>
    <w:p>
      <w:pPr>
        <w:spacing w:after="0" w:line="162" w:lineRule="exact"/>
        <w:rPr>
          <w:rFonts w:ascii="Arial" w:cs="Arial" w:eastAsia="Arial" w:hAnsi="Arial"/>
          <w:sz w:val="20"/>
          <w:szCs w:val="20"/>
          <w:color w:val="auto"/>
        </w:rPr>
      </w:pPr>
    </w:p>
    <w:p>
      <w:pPr>
        <w:jc w:val="both"/>
        <w:ind w:right="20" w:firstLine="614"/>
        <w:spacing w:after="0" w:line="318" w:lineRule="auto"/>
        <w:tabs>
          <w:tab w:leader="none" w:pos="103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28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A-8</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20"/>
          </w:cols>
          <w:pgMar w:left="240" w:top="577" w:right="239" w:bottom="1440" w:gutter="0" w:footer="0" w:header="0"/>
        </w:sectPr>
      </w:pPr>
    </w:p>
    <w:bookmarkStart w:id="140" w:name="page141"/>
    <w:bookmarkEnd w:id="140"/>
    <w:p>
      <w:pPr>
        <w:jc w:val="both"/>
        <w:ind w:right="400" w:firstLine="614"/>
        <w:spacing w:after="0" w:line="275" w:lineRule="auto"/>
        <w:tabs>
          <w:tab w:leader="none" w:pos="1037"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2" w:lineRule="exact"/>
        <w:rPr>
          <w:rFonts w:ascii="Arial" w:cs="Arial" w:eastAsia="Arial" w:hAnsi="Arial"/>
          <w:sz w:val="20"/>
          <w:szCs w:val="20"/>
          <w:color w:val="auto"/>
        </w:rPr>
      </w:pPr>
    </w:p>
    <w:p>
      <w:pPr>
        <w:ind w:left="1040" w:hanging="426"/>
        <w:spacing w:after="0"/>
        <w:tabs>
          <w:tab w:leader="none" w:pos="104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Venue and Governing Law</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120" w:firstLine="1226"/>
        <w:spacing w:after="0" w:line="277" w:lineRule="auto"/>
        <w:tabs>
          <w:tab w:leader="none" w:pos="1620"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parties have entered into another agreement providing for a different venue or forum (e.g., a dispute resolution agreement), then the terms of such agreement will control for purposes of this provision.</w:t>
      </w:r>
    </w:p>
    <w:p>
      <w:pPr>
        <w:spacing w:after="0" w:line="157" w:lineRule="exact"/>
        <w:rPr>
          <w:rFonts w:ascii="Arial" w:cs="Arial" w:eastAsia="Arial" w:hAnsi="Arial"/>
          <w:sz w:val="19"/>
          <w:szCs w:val="19"/>
          <w:color w:val="auto"/>
        </w:rPr>
      </w:pPr>
    </w:p>
    <w:p>
      <w:pPr>
        <w:ind w:firstLine="1226"/>
        <w:spacing w:after="0" w:line="275" w:lineRule="auto"/>
        <w:tabs>
          <w:tab w:leader="none" w:pos="1632" w:val="left"/>
        </w:tabs>
        <w:numPr>
          <w:ilvl w:val="1"/>
          <w:numId w:val="92"/>
        </w:numPr>
        <w:rPr>
          <w:rFonts w:ascii="Arial" w:cs="Arial" w:eastAsia="Arial" w:hAnsi="Arial"/>
          <w:sz w:val="20"/>
          <w:szCs w:val="20"/>
          <w:color w:val="auto"/>
        </w:rPr>
      </w:pPr>
      <w:r>
        <w:rPr>
          <w:rFonts w:ascii="Arial" w:cs="Arial" w:eastAsia="Arial" w:hAnsi="Arial"/>
          <w:sz w:val="20"/>
          <w:szCs w:val="20"/>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52" w:lineRule="exact"/>
        <w:rPr>
          <w:rFonts w:ascii="Arial" w:cs="Arial" w:eastAsia="Arial" w:hAnsi="Arial"/>
          <w:sz w:val="20"/>
          <w:szCs w:val="20"/>
          <w:color w:val="auto"/>
        </w:rPr>
      </w:pPr>
    </w:p>
    <w:p>
      <w:pPr>
        <w:ind w:right="380" w:firstLine="614"/>
        <w:spacing w:after="0" w:line="318" w:lineRule="auto"/>
        <w:tabs>
          <w:tab w:leader="none" w:pos="103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20" w:lineRule="exact"/>
        <w:rPr>
          <w:rFonts w:ascii="Arial" w:cs="Arial" w:eastAsia="Arial" w:hAnsi="Arial"/>
          <w:sz w:val="18"/>
          <w:szCs w:val="18"/>
          <w:color w:val="auto"/>
        </w:rPr>
      </w:pPr>
    </w:p>
    <w:p>
      <w:pPr>
        <w:ind w:left="1040" w:hanging="426"/>
        <w:spacing w:after="0"/>
        <w:tabs>
          <w:tab w:leader="none" w:pos="1040" w:val="left"/>
        </w:tabs>
        <w:numPr>
          <w:ilvl w:val="0"/>
          <w:numId w:val="92"/>
        </w:numPr>
        <w:rPr>
          <w:rFonts w:ascii="Arial" w:cs="Arial" w:eastAsia="Arial" w:hAnsi="Arial"/>
          <w:sz w:val="20"/>
          <w:szCs w:val="20"/>
          <w:color w:val="auto"/>
        </w:rPr>
      </w:pPr>
      <w:r>
        <w:rPr>
          <w:rFonts w:ascii="Arial" w:cs="Arial" w:eastAsia="Arial" w:hAnsi="Arial"/>
          <w:sz w:val="20"/>
          <w:szCs w:val="20"/>
          <w:u w:val="single" w:color="auto"/>
          <w:color w:val="auto"/>
        </w:rPr>
        <w:t>Delivery of Notices and Other Documents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right="20" w:firstLine="1226"/>
        <w:spacing w:after="0" w:line="289" w:lineRule="auto"/>
        <w:tabs>
          <w:tab w:leader="none" w:pos="16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the Holder may designate in writing from time to time.</w:t>
      </w:r>
    </w:p>
    <w:p>
      <w:pPr>
        <w:spacing w:after="0" w:line="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Notices shall be effective upon delivery.</w:t>
      </w:r>
    </w:p>
    <w:p>
      <w:pPr>
        <w:spacing w:after="0" w:line="198" w:lineRule="exact"/>
        <w:rPr>
          <w:rFonts w:ascii="Arial" w:cs="Arial" w:eastAsia="Arial" w:hAnsi="Arial"/>
          <w:sz w:val="18"/>
          <w:szCs w:val="18"/>
          <w:color w:val="auto"/>
        </w:rPr>
      </w:pPr>
    </w:p>
    <w:p>
      <w:pPr>
        <w:ind w:right="20" w:firstLine="1226"/>
        <w:spacing w:after="0" w:line="275" w:lineRule="auto"/>
        <w:tabs>
          <w:tab w:leader="none" w:pos="1632"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service contract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w:t>
      </w:r>
    </w:p>
    <w:p>
      <w:pPr>
        <w:spacing w:after="0" w:line="32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A-9</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00"/>
          </w:cols>
          <w:pgMar w:left="240" w:top="577" w:right="259" w:bottom="1440" w:gutter="0" w:footer="0" w:header="0"/>
        </w:sectPr>
      </w:pPr>
    </w:p>
    <w:bookmarkStart w:id="141" w:name="page142"/>
    <w:bookmarkEnd w:id="141"/>
    <w:p>
      <w:pPr>
        <w:spacing w:after="0"/>
        <w:rPr>
          <w:sz w:val="20"/>
          <w:szCs w:val="20"/>
          <w:color w:val="auto"/>
        </w:rPr>
      </w:pPr>
      <w:r>
        <w:rPr>
          <w:rFonts w:ascii="Arial" w:cs="Arial" w:eastAsia="Arial" w:hAnsi="Arial"/>
          <w:sz w:val="19"/>
          <w:szCs w:val="19"/>
          <w:color w:val="auto"/>
        </w:rPr>
        <w:t>designated by the Company, including, without limitation, the Equity Account Administrator. Notices shall be effective upon delivery.</w:t>
      </w:r>
    </w:p>
    <w:p>
      <w:pPr>
        <w:spacing w:after="0" w:line="228" w:lineRule="exact"/>
        <w:rPr>
          <w:sz w:val="20"/>
          <w:szCs w:val="20"/>
          <w:color w:val="auto"/>
        </w:rPr>
      </w:pPr>
    </w:p>
    <w:p>
      <w:pPr>
        <w:ind w:right="100" w:firstLine="614"/>
        <w:spacing w:after="0" w:line="297" w:lineRule="auto"/>
        <w:tabs>
          <w:tab w:leader="none" w:pos="103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Conflict with Plan</w:t>
      </w:r>
      <w:r>
        <w:rPr>
          <w:rFonts w:ascii="Arial" w:cs="Arial" w:eastAsia="Arial" w:hAnsi="Arial"/>
          <w:sz w:val="20"/>
          <w:szCs w:val="20"/>
          <w:color w:val="auto"/>
        </w:rPr>
        <w:t>. In the event of any conflict between the terms the Grant Notice or these Award Terms and the terms of the Plan, the terms of the Plan shall control.</w:t>
      </w:r>
    </w:p>
    <w:p>
      <w:pPr>
        <w:spacing w:after="0" w:line="132" w:lineRule="exact"/>
        <w:rPr>
          <w:rFonts w:ascii="Arial" w:cs="Arial" w:eastAsia="Arial" w:hAnsi="Arial"/>
          <w:sz w:val="20"/>
          <w:szCs w:val="20"/>
          <w:color w:val="auto"/>
        </w:rPr>
      </w:pPr>
    </w:p>
    <w:p>
      <w:pPr>
        <w:ind w:right="160" w:firstLine="614"/>
        <w:spacing w:after="0" w:line="299" w:lineRule="auto"/>
        <w:tabs>
          <w:tab w:leader="none" w:pos="103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anything to the contrary contained herein, the Stock Option shall be subject to any special terms and conditions set forth in the Appendix for the Holder’s country of work and/or residence, which constitute a part of these Award Terms. Moreover, if the Holder relocates his or her work and/or residence to one of the countries included in the Appendix, the special terms and conditions for such country will apply to the Holder, to the extent the Company determines that the application of such terms and conditions is necessary or advisable in order to comply with applicable local law or facilitate the administration of the Plan.</w:t>
      </w:r>
    </w:p>
    <w:p>
      <w:pPr>
        <w:spacing w:after="0" w:line="138" w:lineRule="exact"/>
        <w:rPr>
          <w:rFonts w:ascii="Arial" w:cs="Arial" w:eastAsia="Arial" w:hAnsi="Arial"/>
          <w:sz w:val="18"/>
          <w:szCs w:val="18"/>
          <w:color w:val="auto"/>
        </w:rPr>
      </w:pPr>
    </w:p>
    <w:p>
      <w:pPr>
        <w:ind w:firstLine="614"/>
        <w:spacing w:after="0" w:line="267" w:lineRule="auto"/>
        <w:tabs>
          <w:tab w:leader="none" w:pos="103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 Plan, on the Stock Option and on any Shares acquired under the Plan, to the extent the Company determines it is necessary or advisable in order to comply with applicable local law or facilitate the administration of the Plan, and to require the Holder to sign any additional agreements or undertakings that may be necessary to accomplish the foregoing.</w:t>
      </w:r>
    </w:p>
    <w:p>
      <w:pPr>
        <w:spacing w:after="0" w:line="162" w:lineRule="exact"/>
        <w:rPr>
          <w:rFonts w:ascii="Arial" w:cs="Arial" w:eastAsia="Arial" w:hAnsi="Arial"/>
          <w:sz w:val="20"/>
          <w:szCs w:val="20"/>
          <w:color w:val="auto"/>
        </w:rPr>
      </w:pPr>
    </w:p>
    <w:p>
      <w:pPr>
        <w:ind w:right="60" w:firstLine="614"/>
        <w:spacing w:after="0" w:line="268" w:lineRule="auto"/>
        <w:tabs>
          <w:tab w:leader="none" w:pos="1071"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328"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A-10</w:t>
      </w: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00"/>
          </w:cols>
          <w:pgMar w:left="240" w:top="577" w:right="25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APPENDIX</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TO</w:t>
      </w:r>
    </w:p>
    <w:p>
      <w:pPr>
        <w:spacing w:after="0" w:line="216"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2014 INCENTIVE PLAN</w:t>
      </w: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STOCK OPTION AWARD TERMS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ADDITIONAL TERMS AND CONDITIONS BY COUNTRY</w:t>
      </w:r>
    </w:p>
    <w:p>
      <w:pPr>
        <w:spacing w:after="0" w:line="220" w:lineRule="exact"/>
        <w:rPr>
          <w:sz w:val="20"/>
          <w:szCs w:val="20"/>
          <w:color w:val="auto"/>
        </w:rPr>
      </w:pPr>
    </w:p>
    <w:p>
      <w:pPr>
        <w:ind w:right="100"/>
        <w:spacing w:after="0" w:line="283" w:lineRule="auto"/>
        <w:rPr>
          <w:sz w:val="20"/>
          <w:szCs w:val="20"/>
          <w:color w:val="auto"/>
        </w:rPr>
      </w:pPr>
      <w:r>
        <w:rPr>
          <w:rFonts w:ascii="Arial" w:cs="Arial" w:eastAsia="Arial" w:hAnsi="Arial"/>
          <w:sz w:val="20"/>
          <w:szCs w:val="20"/>
          <w:color w:val="auto"/>
        </w:rPr>
        <w:t>Capitalized terms used but not defined herein shall have the meanings given to such terms in the Plan or the Award Terms, as the case may be.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480"/>
        <w:spacing w:after="0" w:line="268" w:lineRule="auto"/>
        <w:rPr>
          <w:sz w:val="20"/>
          <w:szCs w:val="20"/>
          <w:color w:val="auto"/>
        </w:rPr>
      </w:pPr>
      <w:r>
        <w:rPr>
          <w:rFonts w:ascii="Arial" w:cs="Arial" w:eastAsia="Arial" w:hAnsi="Arial"/>
          <w:sz w:val="20"/>
          <w:szCs w:val="20"/>
          <w:color w:val="auto"/>
        </w:rPr>
        <w:t>This Appendix includes special terms and conditions applicable to Holders who work and/or reside in the countries covered by the Appendix. These terms and conditions are in addition to or, if so indicated, in place of, the terms and conditions set forth in the Award Terms.</w:t>
      </w:r>
    </w:p>
    <w:p>
      <w:pPr>
        <w:spacing w:after="0" w:line="160" w:lineRule="exact"/>
        <w:rPr>
          <w:sz w:val="20"/>
          <w:szCs w:val="20"/>
          <w:color w:val="auto"/>
        </w:rPr>
      </w:pPr>
    </w:p>
    <w:p>
      <w:pPr>
        <w:spacing w:after="0" w:line="263" w:lineRule="auto"/>
        <w:rPr>
          <w:sz w:val="20"/>
          <w:szCs w:val="20"/>
          <w:color w:val="auto"/>
        </w:rPr>
      </w:pPr>
      <w:r>
        <w:rPr>
          <w:rFonts w:ascii="Arial" w:cs="Arial" w:eastAsia="Arial" w:hAnsi="Arial"/>
          <w:sz w:val="20"/>
          <w:szCs w:val="20"/>
          <w:color w:val="auto"/>
        </w:rPr>
        <w:t>If the Holder is a citizen or resident of a country other than the one in which he or she is currently residing and/or working, transferred or transfers employment and/or residency after the Stock Option was granted or is considered a resident of another country for local law purposes (</w:t>
      </w:r>
      <w:r>
        <w:rPr>
          <w:rFonts w:ascii="Arial" w:cs="Arial" w:eastAsia="Arial" w:hAnsi="Arial"/>
          <w:sz w:val="20"/>
          <w:szCs w:val="20"/>
          <w:i w:val="1"/>
          <w:iCs w:val="1"/>
          <w:color w:val="auto"/>
        </w:rPr>
        <w:t>i.e</w:t>
      </w:r>
      <w:r>
        <w:rPr>
          <w:rFonts w:ascii="Arial" w:cs="Arial" w:eastAsia="Arial" w:hAnsi="Arial"/>
          <w:sz w:val="20"/>
          <w:szCs w:val="20"/>
          <w:color w:val="auto"/>
        </w:rPr>
        <w:t>., the Holder is a “mobile employee”), the Company shall have the sole discretion to determine to what extent the special terms and conditions shall apply to the Holder.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This Appendix also includes notifications relating to exchange control and other issues of which the Holder should be aware with respect to his or her participation in the Plan. The information is based on the exchange control, securities and other laws in effect in the countries to which this Appendix refers as of October 2019. Such laws are often complex and change frequently. As a result, the Company strongly recommends that the Holder not rely on the notifications herein as the only source of information relating to the consequences of participation in the Plan because the information may be out of date at the time Shares are purchased upon exercise of the Stock Option or Shares purchased under the Plan are sold.</w:t>
      </w:r>
    </w:p>
    <w:p>
      <w:pPr>
        <w:spacing w:after="0" w:line="207" w:lineRule="exact"/>
        <w:rPr>
          <w:sz w:val="20"/>
          <w:szCs w:val="20"/>
          <w:color w:val="auto"/>
        </w:rPr>
      </w:pPr>
    </w:p>
    <w:p>
      <w:pPr>
        <w:jc w:val="both"/>
        <w:ind w:right="120"/>
        <w:spacing w:after="0" w:line="263" w:lineRule="auto"/>
        <w:rPr>
          <w:sz w:val="20"/>
          <w:szCs w:val="20"/>
          <w:color w:val="auto"/>
        </w:rPr>
      </w:pPr>
      <w:r>
        <w:rPr>
          <w:rFonts w:ascii="Arial" w:cs="Arial" w:eastAsia="Arial" w:hAnsi="Arial"/>
          <w:sz w:val="20"/>
          <w:szCs w:val="20"/>
          <w:color w:val="auto"/>
        </w:rPr>
        <w:t>In addition, the notifications are general in nature and may not apply to the particular situation of the Holder, and the Company is not in a position to assure the Holder of any particular result. Accordingly, each Holder should seek appropriate professional advice as to how the relevant laws in his or her country may apply to his or her situation. Finally, if the Holder is a mobile employee, the information contained herein may not be applicable to the Holder in the same manner.</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420"/>
          </w:cols>
          <w:pgMar w:left="240" w:top="573" w:right="239" w:bottom="1440" w:gutter="0" w:footer="0" w:header="0"/>
        </w:sectPr>
      </w:pPr>
    </w:p>
    <w:bookmarkStart w:id="143" w:name="page144"/>
    <w:bookmarkEnd w:id="143"/>
    <w:p>
      <w:pPr>
        <w:ind w:left="3200"/>
        <w:spacing w:after="0"/>
        <w:rPr>
          <w:sz w:val="20"/>
          <w:szCs w:val="20"/>
          <w:color w:val="auto"/>
        </w:rPr>
      </w:pPr>
      <w:r>
        <w:rPr>
          <w:rFonts w:ascii="Arial" w:cs="Arial" w:eastAsia="Arial" w:hAnsi="Arial"/>
          <w:sz w:val="20"/>
          <w:szCs w:val="20"/>
          <w:b w:val="1"/>
          <w:bCs w:val="1"/>
          <w:color w:val="auto"/>
        </w:rPr>
        <w:t>APPENDIX FOR THE UNITED STATES OF AMERICA</w:t>
      </w:r>
    </w:p>
    <w:p>
      <w:pPr>
        <w:spacing w:after="0" w:line="216"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ACTIVISION BLIZZARD, INC.</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2014 INCENTIVE PLAN</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STOCK OPTION AWARD TERMS</w:t>
      </w:r>
    </w:p>
    <w:p>
      <w:pPr>
        <w:spacing w:after="0" w:line="237" w:lineRule="exact"/>
        <w:rPr>
          <w:sz w:val="20"/>
          <w:szCs w:val="20"/>
          <w:color w:val="auto"/>
        </w:rPr>
      </w:pPr>
    </w:p>
    <w:p>
      <w:pPr>
        <w:ind w:left="940" w:hanging="326"/>
        <w:spacing w:after="0"/>
        <w:tabs>
          <w:tab w:leader="none" w:pos="940"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620" w:hanging="394"/>
        <w:spacing w:after="0"/>
        <w:tabs>
          <w:tab w:leader="none" w:pos="1620" w:val="left"/>
        </w:tabs>
        <w:numPr>
          <w:ilvl w:val="1"/>
          <w:numId w:val="94"/>
        </w:numPr>
        <w:rPr>
          <w:rFonts w:ascii="Arial" w:cs="Arial" w:eastAsia="Arial" w:hAnsi="Arial"/>
          <w:sz w:val="20"/>
          <w:szCs w:val="20"/>
          <w:color w:val="auto"/>
        </w:rPr>
      </w:pPr>
      <w:r>
        <w:rPr>
          <w:rFonts w:ascii="Arial" w:cs="Arial" w:eastAsia="Arial" w:hAnsi="Arial"/>
          <w:sz w:val="20"/>
          <w:szCs w:val="20"/>
          <w:color w:val="auto"/>
        </w:rPr>
        <w:t>For U.S. Holders only, the following terms shall have the meanings set forth below:</w:t>
      </w:r>
    </w:p>
    <w:p>
      <w:pPr>
        <w:spacing w:after="0" w:line="225" w:lineRule="exact"/>
        <w:rPr>
          <w:sz w:val="20"/>
          <w:szCs w:val="20"/>
          <w:color w:val="auto"/>
        </w:rPr>
      </w:pPr>
    </w:p>
    <w:p>
      <w:pPr>
        <w:ind w:right="80" w:firstLine="1224"/>
        <w:spacing w:after="0" w:line="270"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any material breach by the Holder of his or her employment agreement with any entity in</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Group for so long as the terms of such employment agreement shall apply to the Holder (with any breach of the post-termination obligations contained therein deemed to be material for purposes of this definition).</w:t>
      </w:r>
    </w:p>
    <w:p>
      <w:pPr>
        <w:spacing w:after="0" w:line="193" w:lineRule="exact"/>
        <w:rPr>
          <w:sz w:val="20"/>
          <w:szCs w:val="20"/>
          <w:color w:val="auto"/>
        </w:rPr>
      </w:pPr>
    </w:p>
    <w:p>
      <w:pPr>
        <w:ind w:right="120" w:firstLine="1224"/>
        <w:spacing w:after="0" w:line="270" w:lineRule="auto"/>
        <w:rPr>
          <w:sz w:val="20"/>
          <w:szCs w:val="20"/>
          <w:color w:val="auto"/>
        </w:rPr>
      </w:pPr>
      <w:r>
        <w:rPr>
          <w:rFonts w:ascii="Arial" w:cs="Arial" w:eastAsia="Arial" w:hAnsi="Arial"/>
          <w:sz w:val="20"/>
          <w:szCs w:val="20"/>
          <w:b w:val="1"/>
          <w:bCs w:val="1"/>
          <w:color w:val="auto"/>
        </w:rPr>
        <w:t xml:space="preserve">“Look-back Period” </w:t>
      </w:r>
      <w:r>
        <w:rPr>
          <w:rFonts w:ascii="Arial" w:cs="Arial" w:eastAsia="Arial" w:hAnsi="Arial"/>
          <w:sz w:val="20"/>
          <w:szCs w:val="20"/>
          <w:color w:val="auto"/>
        </w:rPr>
        <w:t>means, with respect to any Employment Violation by the Holder, the period beginning on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12 months prior to the date of such Employment Violation by the Holder and ending on the date of computation of the Recapture Amount with respect to such Employment Violation.</w:t>
      </w:r>
    </w:p>
    <w:p>
      <w:pPr>
        <w:spacing w:after="0" w:line="193" w:lineRule="exact"/>
        <w:rPr>
          <w:sz w:val="20"/>
          <w:szCs w:val="20"/>
          <w:color w:val="auto"/>
        </w:rPr>
      </w:pPr>
    </w:p>
    <w:p>
      <w:pPr>
        <w:ind w:right="140" w:firstLine="1224"/>
        <w:spacing w:after="0" w:line="270" w:lineRule="auto"/>
        <w:rPr>
          <w:sz w:val="20"/>
          <w:szCs w:val="20"/>
          <w:color w:val="auto"/>
        </w:rPr>
      </w:pPr>
      <w:r>
        <w:rPr>
          <w:rFonts w:ascii="Arial" w:cs="Arial" w:eastAsia="Arial" w:hAnsi="Arial"/>
          <w:sz w:val="20"/>
          <w:szCs w:val="20"/>
          <w:b w:val="1"/>
          <w:bCs w:val="1"/>
          <w:color w:val="auto"/>
        </w:rPr>
        <w:t xml:space="preserve">“Recapture Amount” </w:t>
      </w:r>
      <w:r>
        <w:rPr>
          <w:rFonts w:ascii="Arial" w:cs="Arial" w:eastAsia="Arial" w:hAnsi="Arial"/>
          <w:sz w:val="20"/>
          <w:szCs w:val="20"/>
          <w:color w:val="auto"/>
        </w:rPr>
        <w:t>means, with respect to any Employment Violation by the Holder, the gross gain realized or</w:t>
      </w:r>
      <w:r>
        <w:rPr>
          <w:rFonts w:ascii="Arial" w:cs="Arial" w:eastAsia="Arial" w:hAnsi="Arial"/>
          <w:sz w:val="20"/>
          <w:szCs w:val="20"/>
          <w:b w:val="1"/>
          <w:bCs w:val="1"/>
          <w:color w:val="auto"/>
        </w:rPr>
        <w:t xml:space="preserve"> </w:t>
      </w:r>
      <w:r>
        <w:rPr>
          <w:rFonts w:ascii="Arial" w:cs="Arial" w:eastAsia="Arial" w:hAnsi="Arial"/>
          <w:sz w:val="20"/>
          <w:szCs w:val="20"/>
          <w:color w:val="auto"/>
        </w:rPr>
        <w:t>unrealized by the Holder upon all exercises of the Stock Option during the Look-back Period with respect to such Employment Violation, which gain shall be calculated as the sum of:</w:t>
      </w:r>
    </w:p>
    <w:p>
      <w:pPr>
        <w:spacing w:after="0" w:line="159" w:lineRule="exact"/>
        <w:rPr>
          <w:sz w:val="20"/>
          <w:szCs w:val="20"/>
          <w:color w:val="auto"/>
        </w:rPr>
      </w:pPr>
    </w:p>
    <w:p>
      <w:pPr>
        <w:jc w:val="both"/>
        <w:ind w:left="620" w:right="180" w:firstLine="606"/>
        <w:spacing w:after="0" w:line="268" w:lineRule="auto"/>
        <w:tabs>
          <w:tab w:leader="none" w:pos="1629"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60" w:lineRule="exact"/>
        <w:rPr>
          <w:rFonts w:ascii="Arial" w:cs="Arial" w:eastAsia="Arial" w:hAnsi="Arial"/>
          <w:sz w:val="20"/>
          <w:szCs w:val="20"/>
          <w:color w:val="auto"/>
        </w:rPr>
      </w:pPr>
    </w:p>
    <w:p>
      <w:pPr>
        <w:ind w:left="620" w:firstLine="606"/>
        <w:spacing w:after="0" w:line="257" w:lineRule="auto"/>
        <w:tabs>
          <w:tab w:leader="none" w:pos="1685" w:val="left"/>
        </w:tabs>
        <w:numPr>
          <w:ilvl w:val="0"/>
          <w:numId w:val="95"/>
        </w:numPr>
        <w:rPr>
          <w:rFonts w:ascii="Arial" w:cs="Arial" w:eastAsia="Arial" w:hAnsi="Arial"/>
          <w:sz w:val="20"/>
          <w:szCs w:val="20"/>
          <w:color w:val="auto"/>
        </w:rPr>
      </w:pPr>
      <w:r>
        <w:rPr>
          <w:rFonts w:ascii="Arial" w:cs="Arial" w:eastAsia="Arial" w:hAnsi="Arial"/>
          <w:sz w:val="20"/>
          <w:szCs w:val="20"/>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Option Grant Award Agreement</w:t>
      </w:r>
    </w:p>
    <w:p>
      <w:pPr>
        <w:sectPr>
          <w:pgSz w:w="11900" w:h="16838" w:orient="portrait"/>
          <w:cols w:equalWidth="0" w:num="1">
            <w:col w:w="11380"/>
          </w:cols>
          <w:pgMar w:left="240" w:top="573" w:right="279" w:bottom="1440" w:gutter="0" w:footer="0" w:header="0"/>
        </w:sectPr>
      </w:pPr>
    </w:p>
    <w:bookmarkStart w:id="144" w:name="page145"/>
    <w:bookmarkEnd w:id="144"/>
    <w:p>
      <w:pPr>
        <w:ind w:right="240" w:firstLine="614"/>
        <w:spacing w:after="0" w:line="280" w:lineRule="auto"/>
        <w:tabs>
          <w:tab w:leader="none" w:pos="93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Conflict with Employment Agreement or Plan</w:t>
      </w:r>
      <w:r>
        <w:rPr>
          <w:rFonts w:ascii="Arial" w:cs="Arial" w:eastAsia="Arial" w:hAnsi="Arial"/>
          <w:sz w:val="19"/>
          <w:szCs w:val="19"/>
          <w:color w:val="auto"/>
        </w:rPr>
        <w:t>. In the event of any conflict between the terms of any employment agreement, service contract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the Holder and any entity in the Company Group in effect at the time and the terms of the Plan, the terms of the Plan shall control.</w:t>
      </w:r>
    </w:p>
    <w:p>
      <w:pPr>
        <w:spacing w:after="0" w:line="153" w:lineRule="exact"/>
        <w:rPr>
          <w:rFonts w:ascii="Arial" w:cs="Arial" w:eastAsia="Arial" w:hAnsi="Arial"/>
          <w:sz w:val="19"/>
          <w:szCs w:val="19"/>
          <w:color w:val="auto"/>
        </w:rPr>
      </w:pPr>
    </w:p>
    <w:p>
      <w:pPr>
        <w:ind w:firstLine="614"/>
        <w:spacing w:after="0" w:line="272" w:lineRule="auto"/>
        <w:tabs>
          <w:tab w:leader="none" w:pos="935"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Employment Violation</w:t>
      </w:r>
      <w:r>
        <w:rPr>
          <w:rFonts w:ascii="Arial" w:cs="Arial" w:eastAsia="Arial" w:hAnsi="Arial"/>
          <w:sz w:val="19"/>
          <w:szCs w:val="19"/>
          <w:color w:val="auto"/>
        </w:rPr>
        <w:t xml:space="preserve">. The terms of this Section 3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34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C-2</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Option Grant Award Agreement</w:t>
      </w:r>
    </w:p>
    <w:p>
      <w:pPr>
        <w:sectPr>
          <w:pgSz w:w="11900" w:h="16838" w:orient="portrait"/>
          <w:cols w:equalWidth="0" w:num="1">
            <w:col w:w="11380"/>
          </w:cols>
          <w:pgMar w:left="240" w:top="577" w:right="2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b w:val="1"/>
          <w:bCs w:val="1"/>
          <w:color w:val="auto"/>
        </w:rPr>
        <w:t>Exhibit 10.23</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INCENTIVE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PERFORMANCE-VESTING RESTRICTED SHARE UNIT AWARD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You have been awarded Restricted Share Units of Activision Blizzard, Inc. (the “Company”),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220" w:type="dxa"/>
            <w:vAlign w:val="bottom"/>
            <w:gridSpan w:val="2"/>
          </w:tcPr>
          <w:p>
            <w:pPr>
              <w:ind w:left="100"/>
              <w:spacing w:after="0"/>
              <w:rPr>
                <w:sz w:val="20"/>
                <w:szCs w:val="20"/>
                <w:color w:val="auto"/>
              </w:rPr>
            </w:pPr>
            <w:r>
              <w:rPr>
                <w:rFonts w:ascii="Arial" w:cs="Arial" w:eastAsia="Arial" w:hAnsi="Arial"/>
                <w:sz w:val="20"/>
                <w:szCs w:val="20"/>
                <w:color w:val="auto"/>
                <w:w w:val="93"/>
              </w:rPr>
              <w:t xml:space="preserve">Your name: </w:t>
            </w:r>
            <w:r>
              <w:rPr>
                <w:rFonts w:ascii="Arial" w:cs="Arial" w:eastAsia="Arial" w:hAnsi="Arial"/>
                <w:sz w:val="20"/>
                <w:szCs w:val="20"/>
                <w:b w:val="1"/>
                <w:bCs w:val="1"/>
                <w:color w:val="auto"/>
                <w:w w:val="93"/>
              </w:rPr>
              <w:t>[</w:t>
            </w:r>
          </w:p>
        </w:tc>
        <w:tc>
          <w:tcPr>
            <w:tcW w:w="380" w:type="dxa"/>
            <w:vAlign w:val="bottom"/>
            <w:gridSpan w:val="3"/>
          </w:tcPr>
          <w:p>
            <w:pPr>
              <w:jc w:val="right"/>
              <w:ind w:right="160"/>
              <w:spacing w:after="0"/>
              <w:rPr>
                <w:sz w:val="20"/>
                <w:szCs w:val="20"/>
                <w:color w:val="auto"/>
              </w:rPr>
            </w:pPr>
            <w:r>
              <w:rPr>
                <w:rFonts w:ascii="Arial" w:cs="Arial" w:eastAsia="Arial" w:hAnsi="Arial"/>
                <w:sz w:val="20"/>
                <w:szCs w:val="20"/>
                <w:b w:val="1"/>
                <w:bCs w:val="1"/>
                <w:color w:val="auto"/>
              </w:rPr>
              <w:t>]</w:t>
            </w: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4500" w:type="dxa"/>
            <w:vAlign w:val="bottom"/>
            <w:gridSpan w:val="10"/>
          </w:tcPr>
          <w:p>
            <w:pPr>
              <w:ind w:left="100"/>
              <w:spacing w:after="0"/>
              <w:rPr>
                <w:sz w:val="20"/>
                <w:szCs w:val="20"/>
                <w:color w:val="auto"/>
              </w:rPr>
            </w:pPr>
            <w:r>
              <w:rPr>
                <w:rFonts w:ascii="Arial" w:cs="Arial" w:eastAsia="Arial" w:hAnsi="Arial"/>
                <w:sz w:val="20"/>
                <w:szCs w:val="20"/>
                <w:color w:val="auto"/>
                <w:w w:val="94"/>
              </w:rPr>
              <w:t xml:space="preserve">Total number of Restricted Share Units awarded: </w:t>
            </w:r>
            <w:r>
              <w:rPr>
                <w:rFonts w:ascii="Arial" w:cs="Arial" w:eastAsia="Arial" w:hAnsi="Arial"/>
                <w:sz w:val="20"/>
                <w:szCs w:val="20"/>
                <w:b w:val="1"/>
                <w:bCs w:val="1"/>
                <w:color w:val="auto"/>
                <w:w w:val="94"/>
              </w:rPr>
              <w:t>[  ]</w:t>
            </w: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4220" w:type="dxa"/>
            <w:vAlign w:val="bottom"/>
            <w:gridSpan w:val="8"/>
          </w:tcPr>
          <w:p>
            <w:pPr>
              <w:ind w:left="100"/>
              <w:spacing w:after="0"/>
              <w:rPr>
                <w:sz w:val="20"/>
                <w:szCs w:val="20"/>
                <w:color w:val="auto"/>
              </w:rPr>
            </w:pPr>
            <w:r>
              <w:rPr>
                <w:rFonts w:ascii="Arial" w:cs="Arial" w:eastAsia="Arial" w:hAnsi="Arial"/>
                <w:sz w:val="20"/>
                <w:szCs w:val="20"/>
                <w:color w:val="auto"/>
              </w:rPr>
              <w:t xml:space="preserve">Your business unit, for vesting purposes: </w:t>
            </w:r>
            <w:r>
              <w:rPr>
                <w:rFonts w:ascii="Arial" w:cs="Arial" w:eastAsia="Arial" w:hAnsi="Arial"/>
                <w:sz w:val="20"/>
                <w:szCs w:val="20"/>
                <w:b w:val="1"/>
                <w:bCs w:val="1"/>
                <w:color w:val="auto"/>
              </w:rPr>
              <w:t>[  ]</w:t>
            </w:r>
          </w:p>
        </w:tc>
        <w:tc>
          <w:tcPr>
            <w:tcW w:w="2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3540" w:type="dxa"/>
            <w:vAlign w:val="bottom"/>
            <w:gridSpan w:val="6"/>
          </w:tcPr>
          <w:p>
            <w:pPr>
              <w:ind w:left="100"/>
              <w:spacing w:after="0"/>
              <w:rPr>
                <w:sz w:val="20"/>
                <w:szCs w:val="20"/>
                <w:color w:val="auto"/>
              </w:rPr>
            </w:pPr>
            <w:r>
              <w:rPr>
                <w:rFonts w:ascii="Arial" w:cs="Arial" w:eastAsia="Arial" w:hAnsi="Arial"/>
                <w:sz w:val="20"/>
                <w:szCs w:val="20"/>
                <w:color w:val="auto"/>
              </w:rPr>
              <w:t xml:space="preserve">Date of Grant: </w:t>
            </w:r>
            <w:r>
              <w:rPr>
                <w:rFonts w:ascii="Arial" w:cs="Arial" w:eastAsia="Arial" w:hAnsi="Arial"/>
                <w:sz w:val="20"/>
                <w:szCs w:val="20"/>
                <w:b w:val="1"/>
                <w:bCs w:val="1"/>
                <w:color w:val="auto"/>
              </w:rPr>
              <w:t>[  ]</w:t>
            </w:r>
          </w:p>
        </w:tc>
        <w:tc>
          <w:tcPr>
            <w:tcW w:w="220" w:type="dxa"/>
            <w:vAlign w:val="bottom"/>
            <w:tcBorders>
              <w:top w:val="single" w:sz="8" w:color="auto"/>
            </w:tcBorders>
          </w:tcPr>
          <w:p>
            <w:pPr>
              <w:spacing w:after="0"/>
              <w:rPr>
                <w:sz w:val="24"/>
                <w:szCs w:val="24"/>
                <w:color w:val="auto"/>
              </w:rPr>
            </w:pPr>
          </w:p>
        </w:tc>
        <w:tc>
          <w:tcPr>
            <w:tcW w:w="740" w:type="dxa"/>
            <w:vAlign w:val="bottom"/>
            <w:gridSpan w:val="3"/>
          </w:tcPr>
          <w:p>
            <w:pPr>
              <w:spacing w:after="0"/>
              <w:rPr>
                <w:sz w:val="24"/>
                <w:szCs w:val="24"/>
                <w:color w:val="auto"/>
              </w:rPr>
            </w:pPr>
          </w:p>
        </w:tc>
      </w:tr>
      <w:tr>
        <w:trPr>
          <w:trHeight w:val="388"/>
        </w:trPr>
        <w:tc>
          <w:tcPr>
            <w:tcW w:w="200" w:type="dxa"/>
            <w:vAlign w:val="bottom"/>
          </w:tcPr>
          <w:p>
            <w:pPr>
              <w:spacing w:after="0"/>
              <w:rPr>
                <w:sz w:val="20"/>
                <w:szCs w:val="20"/>
                <w:color w:val="auto"/>
              </w:rPr>
            </w:pPr>
            <w:r>
              <w:rPr>
                <w:rFonts w:ascii="Arial" w:cs="Arial" w:eastAsia="Arial" w:hAnsi="Arial"/>
                <w:sz w:val="20"/>
                <w:szCs w:val="20"/>
                <w:color w:val="auto"/>
              </w:rPr>
              <w:t>•</w:t>
            </w:r>
          </w:p>
        </w:tc>
        <w:tc>
          <w:tcPr>
            <w:tcW w:w="1020" w:type="dxa"/>
            <w:vAlign w:val="bottom"/>
          </w:tcPr>
          <w:p>
            <w:pPr>
              <w:ind w:left="100"/>
              <w:spacing w:after="0"/>
              <w:rPr>
                <w:sz w:val="20"/>
                <w:szCs w:val="20"/>
                <w:color w:val="auto"/>
              </w:rPr>
            </w:pPr>
            <w:r>
              <w:rPr>
                <w:rFonts w:ascii="Arial" w:cs="Arial" w:eastAsia="Arial" w:hAnsi="Arial"/>
                <w:sz w:val="20"/>
                <w:szCs w:val="20"/>
                <w:color w:val="auto"/>
                <w:w w:val="96"/>
              </w:rPr>
              <w:t xml:space="preserve">Grant ID: </w:t>
            </w:r>
            <w:r>
              <w:rPr>
                <w:rFonts w:ascii="Arial" w:cs="Arial" w:eastAsia="Arial" w:hAnsi="Arial"/>
                <w:sz w:val="20"/>
                <w:szCs w:val="20"/>
                <w:b w:val="1"/>
                <w:bCs w:val="1"/>
                <w:color w:val="auto"/>
                <w:w w:val="96"/>
              </w:rPr>
              <w:t>[</w:t>
            </w:r>
          </w:p>
        </w:tc>
        <w:tc>
          <w:tcPr>
            <w:tcW w:w="200" w:type="dxa"/>
            <w:vAlign w:val="bottom"/>
          </w:tcPr>
          <w:p>
            <w:pPr>
              <w:spacing w:after="0"/>
              <w:rPr>
                <w:sz w:val="24"/>
                <w:szCs w:val="24"/>
                <w:color w:val="auto"/>
              </w:rPr>
            </w:pPr>
          </w:p>
        </w:tc>
        <w:tc>
          <w:tcPr>
            <w:tcW w:w="160" w:type="dxa"/>
            <w:vAlign w:val="bottom"/>
          </w:tcPr>
          <w:p>
            <w:pPr>
              <w:jc w:val="right"/>
              <w:ind w:right="8"/>
              <w:spacing w:after="0"/>
              <w:rPr>
                <w:sz w:val="20"/>
                <w:szCs w:val="20"/>
                <w:color w:val="auto"/>
              </w:rPr>
            </w:pPr>
            <w:r>
              <w:rPr>
                <w:rFonts w:ascii="Arial" w:cs="Arial" w:eastAsia="Arial" w:hAnsi="Arial"/>
                <w:sz w:val="16"/>
                <w:szCs w:val="16"/>
                <w:b w:val="1"/>
                <w:bCs w:val="1"/>
                <w:color w:val="auto"/>
                <w:w w:val="74"/>
              </w:rPr>
              <w:t>]</w:t>
            </w: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ind w:left="300" w:hanging="298"/>
        <w:spacing w:after="0"/>
        <w:tabs>
          <w:tab w:leader="none" w:pos="3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Your Award of Restricted Share Units is governed by the terms and conditions set forth in:</w:t>
      </w:r>
    </w:p>
    <w:p>
      <w:pPr>
        <w:spacing w:after="0" w:line="178" w:lineRule="exact"/>
        <w:rPr>
          <w:sz w:val="20"/>
          <w:szCs w:val="20"/>
          <w:color w:val="auto"/>
        </w:rPr>
      </w:pPr>
    </w:p>
    <w:p>
      <w:pPr>
        <w:ind w:left="620" w:hanging="312"/>
        <w:spacing w:after="0"/>
        <w:tabs>
          <w:tab w:leader="none" w:pos="6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this Notice of Performance-Vesting Restricted Share Unit Award;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•the Performance-Vesting Restricted Share Unit Award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w:t>
      </w:r>
    </w:p>
    <w:p>
      <w:pPr>
        <w:spacing w:after="0" w:line="178" w:lineRule="exact"/>
        <w:rPr>
          <w:sz w:val="20"/>
          <w:szCs w:val="20"/>
          <w:color w:val="auto"/>
        </w:rPr>
      </w:pPr>
    </w:p>
    <w:p>
      <w:pPr>
        <w:ind w:left="700" w:right="320" w:hanging="381"/>
        <w:spacing w:after="0" w:line="283" w:lineRule="auto"/>
        <w:rPr>
          <w:sz w:val="20"/>
          <w:szCs w:val="20"/>
          <w:color w:val="auto"/>
        </w:rPr>
      </w:pPr>
      <w:r>
        <w:rPr>
          <w:rFonts w:ascii="Arial" w:cs="Arial" w:eastAsia="Arial" w:hAnsi="Arial"/>
          <w:sz w:val="20"/>
          <w:szCs w:val="20"/>
          <w:color w:val="auto"/>
        </w:rPr>
        <w:t xml:space="preserve">•the Appendix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which may include special terms and conditions relating to your country of work and/or residence (the “Appendix”); and</w:t>
      </w:r>
    </w:p>
    <w:p>
      <w:pPr>
        <w:spacing w:after="0" w:line="10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Company’s 2014 Incentive Plan, the receipt of a copy of which you hereby acknowledge.</w:t>
      </w:r>
    </w:p>
    <w:p>
      <w:pPr>
        <w:spacing w:after="0" w:line="178" w:lineRule="exact"/>
        <w:rPr>
          <w:sz w:val="20"/>
          <w:szCs w:val="20"/>
          <w:color w:val="auto"/>
        </w:rPr>
      </w:pPr>
    </w:p>
    <w:p>
      <w:pPr>
        <w:ind w:left="380" w:right="60" w:hanging="381"/>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Schedule for Vesting</w:t>
      </w:r>
      <w:r>
        <w:rPr>
          <w:rFonts w:ascii="Arial" w:cs="Arial" w:eastAsia="Arial" w:hAnsi="Arial"/>
          <w:sz w:val="20"/>
          <w:szCs w:val="20"/>
          <w:color w:val="auto"/>
        </w:rPr>
        <w:t xml:space="preserve">: Except as otherwise provided pursuant to the Performance-Vesting Restricted Share Unit Award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as supplemented, modified, or replaced by the special terms and conditions, if any, set forth under your country of work and/or residence in the Appendix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(together, the “Award Terms”), the Restricted Share Units shall vest in accordance with the Performance-Vesting Restricted Share Unit Vesting Schedule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(the “Vesting Schedule”).</w:t>
      </w:r>
    </w:p>
    <w:p>
      <w:pPr>
        <w:spacing w:after="0" w:line="131" w:lineRule="exact"/>
        <w:rPr>
          <w:sz w:val="20"/>
          <w:szCs w:val="20"/>
          <w:color w:val="auto"/>
        </w:rPr>
      </w:pPr>
    </w:p>
    <w:p>
      <w:pPr>
        <w:ind w:left="300" w:hanging="298"/>
        <w:spacing w:after="0"/>
        <w:tabs>
          <w:tab w:leader="none" w:pos="3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capitalized term used but not otherwise defined herein shall have the meaning ascribed to such term in the Award Terms.</w:t>
      </w:r>
    </w:p>
    <w:p>
      <w:pPr>
        <w:spacing w:after="0" w:line="216" w:lineRule="exact"/>
        <w:rPr>
          <w:rFonts w:ascii="Arial" w:cs="Arial" w:eastAsia="Arial" w:hAnsi="Arial"/>
          <w:sz w:val="20"/>
          <w:szCs w:val="20"/>
          <w:color w:val="auto"/>
        </w:rPr>
      </w:pPr>
    </w:p>
    <w:p>
      <w:pPr>
        <w:ind w:left="300" w:right="60"/>
        <w:spacing w:after="0" w:line="283" w:lineRule="auto"/>
        <w:rPr>
          <w:rFonts w:ascii="Arial" w:cs="Arial" w:eastAsia="Arial" w:hAnsi="Arial"/>
          <w:sz w:val="20"/>
          <w:szCs w:val="20"/>
          <w:color w:val="auto"/>
        </w:rPr>
      </w:pPr>
      <w:r>
        <w:rPr>
          <w:rFonts w:ascii="Arial" w:cs="Arial" w:eastAsia="Arial" w:hAnsi="Arial"/>
          <w:sz w:val="20"/>
          <w:szCs w:val="20"/>
          <w:b w:val="1"/>
          <w:bCs w:val="1"/>
          <w:i w:val="1"/>
          <w:iCs w:val="1"/>
          <w:color w:val="auto"/>
        </w:rPr>
        <w:t>By accepting the Award, you are deemed to be bound by the terms and conditions set forth in the 2014 Incentive Plan, this Notice of Performance-Vesting Restricted Share Unit Award and the Award Terms.</w:t>
      </w:r>
    </w:p>
    <w:p>
      <w:pPr>
        <w:spacing w:after="0" w:line="325"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054" w:right="239" w:bottom="1440" w:gutter="0" w:footer="0" w:header="0"/>
        </w:sectPr>
      </w:pPr>
    </w:p>
    <w:bookmarkStart w:id="146" w:name="page147"/>
    <w:bookmarkEnd w:id="146"/>
    <w:p>
      <w:pPr>
        <w:ind w:left="5180"/>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2014 INCENTIVE PLAN</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PERFORMANCE-VESTING RESTRICTED SHARE UNIT AWARD TERMS</w:t>
      </w:r>
    </w:p>
    <w:p>
      <w:pPr>
        <w:spacing w:after="0" w:line="200" w:lineRule="exact"/>
        <w:rPr>
          <w:sz w:val="20"/>
          <w:szCs w:val="20"/>
          <w:color w:val="auto"/>
        </w:rPr>
      </w:pPr>
    </w:p>
    <w:p>
      <w:pPr>
        <w:spacing w:after="0" w:line="237" w:lineRule="exact"/>
        <w:rPr>
          <w:sz w:val="20"/>
          <w:szCs w:val="20"/>
          <w:color w:val="auto"/>
        </w:rPr>
      </w:pPr>
    </w:p>
    <w:p>
      <w:pPr>
        <w:ind w:left="1380" w:hanging="766"/>
        <w:spacing w:after="0"/>
        <w:tabs>
          <w:tab w:leader="none" w:pos="1380"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left="2060" w:hanging="834"/>
        <w:spacing w:after="0"/>
        <w:tabs>
          <w:tab w:leader="none" w:pos="2060" w:val="left"/>
        </w:tabs>
        <w:numPr>
          <w:ilvl w:val="1"/>
          <w:numId w:val="100"/>
        </w:numPr>
        <w:rPr>
          <w:rFonts w:ascii="Arial" w:cs="Arial" w:eastAsia="Arial" w:hAnsi="Arial"/>
          <w:sz w:val="20"/>
          <w:szCs w:val="20"/>
          <w:color w:val="auto"/>
        </w:rPr>
      </w:pPr>
      <w:r>
        <w:rPr>
          <w:rFonts w:ascii="Arial" w:cs="Arial" w:eastAsia="Arial" w:hAnsi="Arial"/>
          <w:sz w:val="20"/>
          <w:szCs w:val="20"/>
          <w:color w:val="auto"/>
        </w:rPr>
        <w:t>For purposes of these Award Terms, the following terms shall have the meanings set forth below:</w:t>
      </w:r>
    </w:p>
    <w:p>
      <w:pPr>
        <w:spacing w:after="0" w:line="200"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“Award” </w:t>
      </w:r>
      <w:r>
        <w:rPr>
          <w:rFonts w:ascii="Arial" w:cs="Arial" w:eastAsia="Arial" w:hAnsi="Arial"/>
          <w:sz w:val="20"/>
          <w:szCs w:val="20"/>
          <w:color w:val="auto"/>
        </w:rPr>
        <w:t>means the award described on the Grant Notice.</w:t>
      </w:r>
    </w:p>
    <w:p>
      <w:pPr>
        <w:spacing w:after="0" w:line="216" w:lineRule="exact"/>
        <w:rPr>
          <w:sz w:val="20"/>
          <w:szCs w:val="20"/>
          <w:color w:val="auto"/>
        </w:rPr>
      </w:pPr>
    </w:p>
    <w:p>
      <w:pPr>
        <w:ind w:firstLine="1224"/>
        <w:spacing w:after="0" w:line="256" w:lineRule="auto"/>
        <w:rPr>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(i) shall have the meaning given to such term in any employment agreement, service contract or offer letter</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Grantee and 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70" w:lineRule="exact"/>
        <w:rPr>
          <w:sz w:val="20"/>
          <w:szCs w:val="20"/>
          <w:color w:val="auto"/>
        </w:rPr>
      </w:pPr>
    </w:p>
    <w:p>
      <w:pPr>
        <w:ind w:right="20" w:firstLine="1224"/>
        <w:spacing w:after="0" w:line="346"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Shares may be changed by reason of any transaction or event of the type referred to in Section 10 hereof.</w:t>
      </w:r>
    </w:p>
    <w:p>
      <w:pPr>
        <w:spacing w:after="0" w:line="9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Activision Blizzard, Inc. and any successor thereto.</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Group” </w:t>
      </w:r>
      <w:r>
        <w:rPr>
          <w:rFonts w:ascii="Arial" w:cs="Arial" w:eastAsia="Arial" w:hAnsi="Arial"/>
          <w:sz w:val="20"/>
          <w:szCs w:val="20"/>
          <w:color w:val="auto"/>
        </w:rPr>
        <w:t>means the Company and its Subsidiaries.</w:t>
      </w:r>
    </w:p>
    <w:p>
      <w:pPr>
        <w:spacing w:after="0" w:line="216" w:lineRule="exact"/>
        <w:rPr>
          <w:sz w:val="20"/>
          <w:szCs w:val="20"/>
          <w:color w:val="auto"/>
        </w:rPr>
      </w:pPr>
    </w:p>
    <w:p>
      <w:pPr>
        <w:ind w:right="580" w:firstLine="1224"/>
        <w:spacing w:after="0" w:line="288" w:lineRule="auto"/>
        <w:rPr>
          <w:sz w:val="20"/>
          <w:szCs w:val="20"/>
          <w:color w:val="auto"/>
        </w:rPr>
      </w:pPr>
      <w:r>
        <w:rPr>
          <w:rFonts w:ascii="Arial" w:cs="Arial" w:eastAsia="Arial" w:hAnsi="Arial"/>
          <w:sz w:val="20"/>
          <w:szCs w:val="20"/>
          <w:b w:val="1"/>
          <w:bCs w:val="1"/>
          <w:color w:val="auto"/>
        </w:rPr>
        <w:t xml:space="preserve">“Company-Sponsored Equity Account” </w:t>
      </w:r>
      <w:r>
        <w:rPr>
          <w:rFonts w:ascii="Arial" w:cs="Arial" w:eastAsia="Arial" w:hAnsi="Arial"/>
          <w:sz w:val="20"/>
          <w:szCs w:val="20"/>
          <w:color w:val="auto"/>
        </w:rPr>
        <w:t>means an account that is created with the Equity Account Administrator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administration of the Company’s equity plans and programs, including the Plan.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means the Date of Grant of the Award set forth on the Grant Notice.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“Employer” </w:t>
      </w:r>
      <w:r>
        <w:rPr>
          <w:rFonts w:ascii="Arial" w:cs="Arial" w:eastAsia="Arial" w:hAnsi="Arial"/>
          <w:sz w:val="20"/>
          <w:szCs w:val="20"/>
          <w:color w:val="auto"/>
        </w:rPr>
        <w:t>means the Subsidiary of the Company which employs Grantee.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73" w:right="259" w:bottom="1440" w:gutter="0" w:footer="0" w:header="0"/>
        </w:sectPr>
      </w:pPr>
    </w:p>
    <w:bookmarkStart w:id="147" w:name="page148"/>
    <w:bookmarkEnd w:id="147"/>
    <w:p>
      <w:pPr>
        <w:ind w:right="520" w:firstLine="1224"/>
        <w:spacing w:after="0" w:line="288" w:lineRule="auto"/>
        <w:rPr>
          <w:sz w:val="20"/>
          <w:szCs w:val="20"/>
          <w:color w:val="auto"/>
        </w:rPr>
      </w:pPr>
      <w:r>
        <w:rPr>
          <w:rFonts w:ascii="Arial" w:cs="Arial" w:eastAsia="Arial" w:hAnsi="Arial"/>
          <w:sz w:val="20"/>
          <w:szCs w:val="20"/>
          <w:b w:val="1"/>
          <w:bCs w:val="1"/>
          <w:color w:val="auto"/>
        </w:rPr>
        <w:t xml:space="preserve">“Equity Account Administrator” </w:t>
      </w:r>
      <w:r>
        <w:rPr>
          <w:rFonts w:ascii="Arial" w:cs="Arial" w:eastAsia="Arial" w:hAnsi="Arial"/>
          <w:sz w:val="20"/>
          <w:szCs w:val="20"/>
          <w:color w:val="auto"/>
        </w:rPr>
        <w:t>means the brokerage firm utilized by the Company from time to time to create and</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accounts for participants in the Company’s equity plans and programs, including the Plan.</w:t>
      </w:r>
    </w:p>
    <w:p>
      <w:pPr>
        <w:spacing w:after="0" w:line="137" w:lineRule="exact"/>
        <w:rPr>
          <w:sz w:val="20"/>
          <w:szCs w:val="20"/>
          <w:color w:val="auto"/>
        </w:rPr>
      </w:pPr>
    </w:p>
    <w:p>
      <w:pPr>
        <w:ind w:firstLine="1224"/>
        <w:spacing w:after="0" w:line="272" w:lineRule="auto"/>
        <w:rPr>
          <w:sz w:val="20"/>
          <w:szCs w:val="20"/>
          <w:color w:val="auto"/>
        </w:rPr>
      </w:pPr>
      <w:r>
        <w:rPr>
          <w:rFonts w:ascii="Arial" w:cs="Arial" w:eastAsia="Arial" w:hAnsi="Arial"/>
          <w:sz w:val="19"/>
          <w:szCs w:val="19"/>
          <w:b w:val="1"/>
          <w:bCs w:val="1"/>
          <w:color w:val="auto"/>
        </w:rPr>
        <w:t xml:space="preserve">“Exercise Rules and Regulations” </w:t>
      </w:r>
      <w:r>
        <w:rPr>
          <w:rFonts w:ascii="Arial" w:cs="Arial" w:eastAsia="Arial" w:hAnsi="Arial"/>
          <w:sz w:val="19"/>
          <w:szCs w:val="19"/>
          <w:color w:val="auto"/>
        </w:rPr>
        <w:t>means (i) (A) for employees who work and/or reside in the U.S., the Securities Act or</w:t>
      </w:r>
      <w:r>
        <w:rPr>
          <w:rFonts w:ascii="Arial" w:cs="Arial" w:eastAsia="Arial" w:hAnsi="Arial"/>
          <w:sz w:val="19"/>
          <w:szCs w:val="19"/>
          <w:b w:val="1"/>
          <w:bCs w:val="1"/>
          <w:color w:val="auto"/>
        </w:rPr>
        <w:t xml:space="preserve"> </w:t>
      </w:r>
      <w:r>
        <w:rPr>
          <w:rFonts w:ascii="Arial" w:cs="Arial" w:eastAsia="Arial" w:hAnsi="Arial"/>
          <w:sz w:val="19"/>
          <w:szCs w:val="19"/>
          <w:color w:val="auto"/>
        </w:rPr>
        <w:t>any comparable U.S. federal securities law and all applicable state securities laws, and (B) for employees who work and/or reside outside the U.S., any laws applicable to Grantee which subject him or her to insider trading restrictions and/or market abuse laws or otherwise affect his or her ability to accept, acquire, sell, attempt to sell or otherwise dispose of Common Shares, rights to Common Shares (</w:t>
      </w:r>
      <w:r>
        <w:rPr>
          <w:rFonts w:ascii="Arial" w:cs="Arial" w:eastAsia="Arial" w:hAnsi="Arial"/>
          <w:sz w:val="19"/>
          <w:szCs w:val="19"/>
          <w:i w:val="1"/>
          <w:iCs w:val="1"/>
          <w:color w:val="auto"/>
        </w:rPr>
        <w:t>e.g.</w:t>
      </w:r>
      <w:r>
        <w:rPr>
          <w:rFonts w:ascii="Arial" w:cs="Arial" w:eastAsia="Arial" w:hAnsi="Arial"/>
          <w:sz w:val="19"/>
          <w:szCs w:val="19"/>
          <w:color w:val="auto"/>
        </w:rPr>
        <w:t>, Restricted Share Units) or rights linked to the value of Common Shares during such times as he or she is considered to have “inside information” regarding the Company,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5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“Grantee” </w:t>
      </w:r>
      <w:r>
        <w:rPr>
          <w:rFonts w:ascii="Arial" w:cs="Arial" w:eastAsia="Arial" w:hAnsi="Arial"/>
          <w:sz w:val="20"/>
          <w:szCs w:val="20"/>
          <w:color w:val="auto"/>
        </w:rPr>
        <w:t>means the recipient of the Award named on the Grant Notice.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19"/>
          <w:szCs w:val="19"/>
          <w:b w:val="1"/>
          <w:bCs w:val="1"/>
          <w:color w:val="auto"/>
        </w:rPr>
        <w:t xml:space="preserve">“Grant Notice” </w:t>
      </w:r>
      <w:r>
        <w:rPr>
          <w:rFonts w:ascii="Arial" w:cs="Arial" w:eastAsia="Arial" w:hAnsi="Arial"/>
          <w:sz w:val="19"/>
          <w:szCs w:val="19"/>
          <w:color w:val="auto"/>
        </w:rPr>
        <w:t>means the Notice of Performance-Vesting Restricted Share Unit Award to which these Award Terms are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attached.</w:t>
      </w:r>
    </w:p>
    <w:p>
      <w:pPr>
        <w:spacing w:after="0" w:line="19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Activision Blizzard, Inc. 2014 Incentive Plan, as amended from time to time.</w:t>
      </w:r>
    </w:p>
    <w:p>
      <w:pPr>
        <w:spacing w:after="0" w:line="216" w:lineRule="exact"/>
        <w:rPr>
          <w:sz w:val="20"/>
          <w:szCs w:val="20"/>
          <w:color w:val="auto"/>
        </w:rPr>
      </w:pPr>
    </w:p>
    <w:p>
      <w:pPr>
        <w:jc w:val="both"/>
        <w:ind w:right="500" w:firstLine="1224"/>
        <w:spacing w:after="0" w:line="270" w:lineRule="auto"/>
        <w:rPr>
          <w:sz w:val="20"/>
          <w:szCs w:val="20"/>
          <w:color w:val="auto"/>
        </w:rPr>
      </w:pPr>
      <w:r>
        <w:rPr>
          <w:rFonts w:ascii="Arial" w:cs="Arial" w:eastAsia="Arial" w:hAnsi="Arial"/>
          <w:sz w:val="20"/>
          <w:szCs w:val="20"/>
          <w:b w:val="1"/>
          <w:bCs w:val="1"/>
          <w:color w:val="auto"/>
        </w:rPr>
        <w:t xml:space="preserve">“Restricted Share Units” </w:t>
      </w:r>
      <w:r>
        <w:rPr>
          <w:rFonts w:ascii="Arial" w:cs="Arial" w:eastAsia="Arial" w:hAnsi="Arial"/>
          <w:sz w:val="20"/>
          <w:szCs w:val="20"/>
          <w:color w:val="auto"/>
        </w:rPr>
        <w:t>means units subject to the Award, which represent the conditional right to receive Common</w:t>
      </w:r>
      <w:r>
        <w:rPr>
          <w:rFonts w:ascii="Arial" w:cs="Arial" w:eastAsia="Arial" w:hAnsi="Arial"/>
          <w:sz w:val="20"/>
          <w:szCs w:val="20"/>
          <w:b w:val="1"/>
          <w:bCs w:val="1"/>
          <w:color w:val="auto"/>
        </w:rPr>
        <w:t xml:space="preserve"> </w:t>
      </w:r>
      <w:r>
        <w:rPr>
          <w:rFonts w:ascii="Arial" w:cs="Arial" w:eastAsia="Arial" w:hAnsi="Arial"/>
          <w:sz w:val="20"/>
          <w:szCs w:val="20"/>
          <w:color w:val="auto"/>
        </w:rPr>
        <w:t>Shares in accordance with the Grant Notice and these Award Terms, unless and until such units become vested or are forfeited to the Company in accordance with the Grant Notice and these Award Terms.</w:t>
      </w:r>
    </w:p>
    <w:p>
      <w:pPr>
        <w:spacing w:after="0" w:line="15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“Securities Act” </w:t>
      </w:r>
      <w:r>
        <w:rPr>
          <w:rFonts w:ascii="Arial" w:cs="Arial" w:eastAsia="Arial" w:hAnsi="Arial"/>
          <w:sz w:val="20"/>
          <w:szCs w:val="20"/>
          <w:color w:val="auto"/>
        </w:rPr>
        <w:t>means the U.S. Securities Act of 1933, as amended.</w:t>
      </w:r>
    </w:p>
    <w:p>
      <w:pPr>
        <w:spacing w:after="0" w:line="216" w:lineRule="exact"/>
        <w:rPr>
          <w:sz w:val="20"/>
          <w:szCs w:val="20"/>
          <w:color w:val="auto"/>
        </w:rPr>
      </w:pPr>
    </w:p>
    <w:p>
      <w:pPr>
        <w:ind w:right="560" w:firstLine="1224"/>
        <w:spacing w:after="0" w:line="288" w:lineRule="auto"/>
        <w:rPr>
          <w:sz w:val="20"/>
          <w:szCs w:val="20"/>
          <w:color w:val="auto"/>
        </w:rPr>
      </w:pPr>
      <w:r>
        <w:rPr>
          <w:rFonts w:ascii="Arial" w:cs="Arial" w:eastAsia="Arial" w:hAnsi="Arial"/>
          <w:sz w:val="20"/>
          <w:szCs w:val="20"/>
          <w:b w:val="1"/>
          <w:bCs w:val="1"/>
          <w:color w:val="auto"/>
        </w:rPr>
        <w:t xml:space="preserve">“Vested Shares” </w:t>
      </w:r>
      <w:r>
        <w:rPr>
          <w:rFonts w:ascii="Arial" w:cs="Arial" w:eastAsia="Arial" w:hAnsi="Arial"/>
          <w:sz w:val="20"/>
          <w:szCs w:val="20"/>
          <w:color w:val="auto"/>
        </w:rPr>
        <w:t>means the Common Shares to which the holder of the Restricted Share Units becomes entitled upon</w:t>
      </w:r>
      <w:r>
        <w:rPr>
          <w:rFonts w:ascii="Arial" w:cs="Arial" w:eastAsia="Arial" w:hAnsi="Arial"/>
          <w:sz w:val="20"/>
          <w:szCs w:val="20"/>
          <w:b w:val="1"/>
          <w:bCs w:val="1"/>
          <w:color w:val="auto"/>
        </w:rPr>
        <w:t xml:space="preserve"> </w:t>
      </w:r>
      <w:r>
        <w:rPr>
          <w:rFonts w:ascii="Arial" w:cs="Arial" w:eastAsia="Arial" w:hAnsi="Arial"/>
          <w:sz w:val="20"/>
          <w:szCs w:val="20"/>
          <w:color w:val="auto"/>
        </w:rPr>
        <w:t>vesting thereof in accordance with Section 2 or 3 hereof.</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“U.S.” </w:t>
      </w:r>
      <w:r>
        <w:rPr>
          <w:rFonts w:ascii="Arial" w:cs="Arial" w:eastAsia="Arial" w:hAnsi="Arial"/>
          <w:sz w:val="20"/>
          <w:szCs w:val="20"/>
          <w:color w:val="auto"/>
        </w:rPr>
        <w:t>means the United States of America.</w:t>
      </w:r>
    </w:p>
    <w:p>
      <w:pPr>
        <w:spacing w:after="0" w:line="216" w:lineRule="exact"/>
        <w:rPr>
          <w:sz w:val="20"/>
          <w:szCs w:val="20"/>
          <w:color w:val="auto"/>
        </w:rPr>
      </w:pPr>
    </w:p>
    <w:p>
      <w:pPr>
        <w:ind w:right="40" w:firstLine="1224"/>
        <w:spacing w:after="0" w:line="270" w:lineRule="auto"/>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means any taxes, including, but not limited to, income tax, social insurance (</w:t>
      </w:r>
      <w:r>
        <w:rPr>
          <w:rFonts w:ascii="Arial" w:cs="Arial" w:eastAsia="Arial" w:hAnsi="Arial"/>
          <w:sz w:val="20"/>
          <w:szCs w:val="20"/>
          <w:i w:val="1"/>
          <w:iCs w:val="1"/>
          <w:color w:val="auto"/>
        </w:rPr>
        <w:t>e.g.</w:t>
      </w:r>
      <w:r>
        <w:rPr>
          <w:rFonts w:ascii="Arial" w:cs="Arial" w:eastAsia="Arial" w:hAnsi="Arial"/>
          <w:sz w:val="20"/>
          <w:szCs w:val="20"/>
          <w:color w:val="auto"/>
        </w:rPr>
        <w:t>, U.S.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and Medicare), payroll tax, state and local income taxes, fringe benefits tax, and payment on account, required or permitted under any applicable law to be withheld from amounts otherwise payable to Grantee.</w:t>
      </w:r>
    </w:p>
    <w:p>
      <w:pPr>
        <w:spacing w:after="0" w:line="133" w:lineRule="exact"/>
        <w:rPr>
          <w:sz w:val="20"/>
          <w:szCs w:val="20"/>
          <w:color w:val="auto"/>
        </w:rPr>
      </w:pPr>
    </w:p>
    <w:p>
      <w:pPr>
        <w:ind w:left="2080" w:hanging="854"/>
        <w:spacing w:after="0"/>
        <w:tabs>
          <w:tab w:leader="none" w:pos="2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Plan.</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A-B</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73" w:right="259" w:bottom="1440" w:gutter="0" w:footer="0" w:header="0"/>
        </w:sectPr>
      </w:pPr>
    </w:p>
    <w:bookmarkStart w:id="148" w:name="page149"/>
    <w:bookmarkEnd w:id="148"/>
    <w:p>
      <w:pPr>
        <w:jc w:val="both"/>
        <w:ind w:right="140" w:firstLine="614"/>
        <w:spacing w:after="0" w:line="232" w:lineRule="auto"/>
        <w:tabs>
          <w:tab w:leader="none" w:pos="1377"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Except as otherwise set forth in these Award Terms, the Restricted Share Units shall vest in accordance with the Vesting Schedule. Each Restricted Share Unit, upon vesting thereof, shall entitle the holder thereof to receive one Common Share (subject to adjustment pursuant to Section 10 hereof).</w:t>
      </w:r>
    </w:p>
    <w:p>
      <w:pPr>
        <w:spacing w:after="0" w:line="149" w:lineRule="exact"/>
        <w:rPr>
          <w:rFonts w:ascii="Arial" w:cs="Arial" w:eastAsia="Arial" w:hAnsi="Arial"/>
          <w:sz w:val="20"/>
          <w:szCs w:val="20"/>
          <w:color w:val="auto"/>
        </w:rPr>
      </w:pPr>
    </w:p>
    <w:p>
      <w:pPr>
        <w:ind w:left="1380" w:hanging="766"/>
        <w:spacing w:after="0"/>
        <w:tabs>
          <w:tab w:leader="none" w:pos="138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right="40" w:firstLine="1226"/>
        <w:spacing w:after="0" w:line="227" w:lineRule="auto"/>
        <w:tabs>
          <w:tab w:leader="none" w:pos="2062"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Cause</w:t>
      </w:r>
      <w:r>
        <w:rPr>
          <w:rFonts w:ascii="Arial" w:cs="Arial" w:eastAsia="Arial" w:hAnsi="Arial"/>
          <w:sz w:val="20"/>
          <w:szCs w:val="20"/>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0"/>
          <w:szCs w:val="20"/>
          <w:color w:val="auto"/>
        </w:rPr>
      </w:pPr>
    </w:p>
    <w:p>
      <w:pPr>
        <w:ind w:right="120" w:firstLine="1226"/>
        <w:spacing w:after="0" w:line="227" w:lineRule="auto"/>
        <w:tabs>
          <w:tab w:leader="none" w:pos="2074"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Other</w:t>
      </w:r>
      <w:r>
        <w:rPr>
          <w:rFonts w:ascii="Arial" w:cs="Arial" w:eastAsia="Arial" w:hAnsi="Arial"/>
          <w:sz w:val="20"/>
          <w:szCs w:val="20"/>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49" w:lineRule="exact"/>
        <w:rPr>
          <w:rFonts w:ascii="Arial" w:cs="Arial" w:eastAsia="Arial" w:hAnsi="Arial"/>
          <w:sz w:val="20"/>
          <w:szCs w:val="20"/>
          <w:color w:val="auto"/>
        </w:rPr>
      </w:pPr>
    </w:p>
    <w:p>
      <w:pPr>
        <w:ind w:left="1380" w:hanging="766"/>
        <w:spacing w:after="0"/>
        <w:tabs>
          <w:tab w:leader="none" w:pos="1380" w:val="left"/>
        </w:tabs>
        <w:numPr>
          <w:ilvl w:val="0"/>
          <w:numId w:val="102"/>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right="240" w:firstLine="1226"/>
        <w:spacing w:after="0" w:line="243" w:lineRule="auto"/>
        <w:tabs>
          <w:tab w:leader="none" w:pos="206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if any, actually withheld by the Company or the Employer.</w:t>
      </w:r>
    </w:p>
    <w:p>
      <w:pPr>
        <w:spacing w:after="0" w:line="1" w:lineRule="exact"/>
        <w:rPr>
          <w:rFonts w:ascii="Arial" w:cs="Arial" w:eastAsia="Arial" w:hAnsi="Arial"/>
          <w:sz w:val="18"/>
          <w:szCs w:val="18"/>
          <w:color w:val="auto"/>
        </w:rPr>
      </w:pPr>
    </w:p>
    <w:p>
      <w:pPr>
        <w:ind w:right="80"/>
        <w:spacing w:after="0" w:line="229" w:lineRule="auto"/>
        <w:rPr>
          <w:rFonts w:ascii="Arial" w:cs="Arial" w:eastAsia="Arial" w:hAnsi="Arial"/>
          <w:sz w:val="18"/>
          <w:szCs w:val="18"/>
          <w:color w:val="auto"/>
        </w:rPr>
      </w:pPr>
      <w:r>
        <w:rPr>
          <w:rFonts w:ascii="Arial" w:cs="Arial" w:eastAsia="Arial" w:hAnsi="Arial"/>
          <w:sz w:val="19"/>
          <w:szCs w:val="19"/>
          <w:color w:val="auto"/>
        </w:rPr>
        <w:t>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or becomes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50" w:lineRule="exact"/>
        <w:rPr>
          <w:rFonts w:ascii="Arial" w:cs="Arial" w:eastAsia="Arial" w:hAnsi="Arial"/>
          <w:sz w:val="18"/>
          <w:szCs w:val="18"/>
          <w:color w:val="auto"/>
        </w:rPr>
      </w:pPr>
    </w:p>
    <w:p>
      <w:pPr>
        <w:ind w:firstLine="1226"/>
        <w:spacing w:after="0" w:line="222" w:lineRule="auto"/>
        <w:tabs>
          <w:tab w:leader="none" w:pos="2074" w:val="left"/>
        </w:tabs>
        <w:numPr>
          <w:ilvl w:val="1"/>
          <w:numId w:val="102"/>
        </w:numPr>
        <w:rPr>
          <w:rFonts w:ascii="Arial" w:cs="Arial" w:eastAsia="Arial" w:hAnsi="Arial"/>
          <w:sz w:val="20"/>
          <w:szCs w:val="20"/>
          <w:color w:val="auto"/>
        </w:rPr>
      </w:pPr>
      <w:r>
        <w:rPr>
          <w:rFonts w:ascii="Arial" w:cs="Arial" w:eastAsia="Arial" w:hAnsi="Arial"/>
          <w:sz w:val="20"/>
          <w:szCs w:val="20"/>
          <w:color w:val="auto"/>
        </w:rPr>
        <w:t>Prior to any relevant taxable or tax withholding event, as applicable, Grantee agrees to make adequate arrangements satisfactory to the Company and/or the Employer to satisfy all Withholding Taxes resulting from the vesting of any Restricted Share Units, the issuance or transfer of any Vested Shares or otherwise in connection with the Award at the time such Withholding Taxes become due. In this regard, Grantee authorizes the Company and/or the Employer, or their respective agents to satisfy any applicable withholding obligations with regard to all Withholding Taxes by one or a combination of the following: (i) by delivery to the Company of a bank check or certified check or wire transfer of immediately available funds; (ii)</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20"/>
          </w:cols>
          <w:pgMar w:left="240" w:top="552" w:right="239" w:bottom="1440" w:gutter="0" w:footer="0" w:header="0"/>
        </w:sectPr>
      </w:pPr>
    </w:p>
    <w:bookmarkStart w:id="149" w:name="page150"/>
    <w:bookmarkEnd w:id="149"/>
    <w:p>
      <w:pPr>
        <w:spacing w:after="0" w:line="248" w:lineRule="auto"/>
        <w:rPr>
          <w:sz w:val="20"/>
          <w:szCs w:val="20"/>
          <w:color w:val="auto"/>
        </w:rPr>
      </w:pPr>
      <w:r>
        <w:rPr>
          <w:rFonts w:ascii="Arial" w:cs="Arial" w:eastAsia="Arial" w:hAnsi="Arial"/>
          <w:sz w:val="18"/>
          <w:szCs w:val="18"/>
          <w:color w:val="auto"/>
        </w:rPr>
        <w:t>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 (iii) above. Further, any entity in the Company Group shall have the right to require Grantee to satisfy any Withholding Taxes contemplated by this Section 4 by any of the aforementioned methods or by withholding from Grantee’s wages or other cash compensation.</w:t>
      </w:r>
    </w:p>
    <w:p>
      <w:pPr>
        <w:spacing w:after="0" w:line="145" w:lineRule="exact"/>
        <w:rPr>
          <w:sz w:val="20"/>
          <w:szCs w:val="20"/>
          <w:color w:val="auto"/>
        </w:rPr>
      </w:pPr>
    </w:p>
    <w:p>
      <w:pPr>
        <w:ind w:firstLine="1226"/>
        <w:spacing w:after="0" w:line="220" w:lineRule="auto"/>
        <w:tabs>
          <w:tab w:leader="none" w:pos="206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 Company Group may withhold or account for Withholding Taxes contemplated by this Section 4 by reference to applicable withholding rates, including minimum or maximum applicable statutory rates in Grantee’s jurisdiction(s) of employment and/or residency, and if the Company Group withholds more than the amount necessary to satisfy the liability, Grantee may receive a refund of any over-withheld amount in cash and will have no entitlement to the equivalent Shares.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45" w:lineRule="exact"/>
        <w:rPr>
          <w:rFonts w:ascii="Arial" w:cs="Arial" w:eastAsia="Arial" w:hAnsi="Arial"/>
          <w:sz w:val="20"/>
          <w:szCs w:val="20"/>
          <w:color w:val="auto"/>
        </w:rPr>
      </w:pPr>
    </w:p>
    <w:p>
      <w:pPr>
        <w:ind w:right="160" w:firstLine="614"/>
        <w:spacing w:after="0" w:line="248" w:lineRule="auto"/>
        <w:tabs>
          <w:tab w:leader="none" w:pos="1377"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Deemed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By accepting the Award, Grantee is deemed to be bound by the terms and conditions set forth</w:t>
      </w:r>
      <w:r>
        <w:rPr>
          <w:rFonts w:ascii="Arial" w:cs="Arial" w:eastAsia="Arial" w:hAnsi="Arial"/>
          <w:sz w:val="20"/>
          <w:szCs w:val="20"/>
          <w:color w:val="auto"/>
        </w:rPr>
        <w:t xml:space="preserve"> </w:t>
      </w:r>
      <w:r>
        <w:rPr>
          <w:rFonts w:ascii="Arial" w:cs="Arial" w:eastAsia="Arial" w:hAnsi="Arial"/>
          <w:sz w:val="20"/>
          <w:szCs w:val="20"/>
          <w:b w:val="1"/>
          <w:bCs w:val="1"/>
          <w:color w:val="auto"/>
        </w:rPr>
        <w:t>in the Plan, the Grant Notice and these Award Terms.</w:t>
      </w:r>
    </w:p>
    <w:p>
      <w:pPr>
        <w:spacing w:after="0" w:line="140" w:lineRule="exact"/>
        <w:rPr>
          <w:rFonts w:ascii="Arial" w:cs="Arial" w:eastAsia="Arial" w:hAnsi="Arial"/>
          <w:sz w:val="20"/>
          <w:szCs w:val="20"/>
          <w:color w:val="auto"/>
        </w:rPr>
      </w:pPr>
    </w:p>
    <w:p>
      <w:pPr>
        <w:ind w:right="480" w:firstLine="614"/>
        <w:spacing w:after="0" w:line="243" w:lineRule="auto"/>
        <w:tabs>
          <w:tab w:leader="none" w:pos="1377"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vesting of the Restricted Share Units such number of Common Shares as shall be required for issuance or delivery upon vesting thereof.</w:t>
      </w:r>
    </w:p>
    <w:p>
      <w:pPr>
        <w:spacing w:after="0" w:line="146" w:lineRule="exact"/>
        <w:rPr>
          <w:rFonts w:ascii="Arial" w:cs="Arial" w:eastAsia="Arial" w:hAnsi="Arial"/>
          <w:sz w:val="20"/>
          <w:szCs w:val="20"/>
          <w:color w:val="auto"/>
        </w:rPr>
      </w:pPr>
    </w:p>
    <w:p>
      <w:pPr>
        <w:ind w:right="140" w:firstLine="614"/>
        <w:spacing w:after="0" w:line="243" w:lineRule="auto"/>
        <w:tabs>
          <w:tab w:leader="none" w:pos="1377"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The holder of the Restricted Share Units shall not be entitled to receive any payment, payment-in-kind or any equivalent with regard to any cash or other dividends that are declared and paid on Common Shares.</w:t>
      </w:r>
    </w:p>
    <w:p>
      <w:pPr>
        <w:spacing w:after="0" w:line="146" w:lineRule="exact"/>
        <w:rPr>
          <w:rFonts w:ascii="Arial" w:cs="Arial" w:eastAsia="Arial" w:hAnsi="Arial"/>
          <w:sz w:val="20"/>
          <w:szCs w:val="20"/>
          <w:color w:val="auto"/>
        </w:rPr>
      </w:pPr>
    </w:p>
    <w:p>
      <w:pPr>
        <w:ind w:right="40" w:firstLine="614"/>
        <w:spacing w:after="0" w:line="232" w:lineRule="auto"/>
        <w:tabs>
          <w:tab w:leader="none" w:pos="1377" w:val="left"/>
        </w:tabs>
        <w:numPr>
          <w:ilvl w:val="0"/>
          <w:numId w:val="104"/>
        </w:numPr>
        <w:rPr>
          <w:rFonts w:ascii="Arial" w:cs="Arial" w:eastAsia="Arial" w:hAnsi="Arial"/>
          <w:sz w:val="19"/>
          <w:szCs w:val="19"/>
          <w:b w:val="1"/>
          <w:bCs w:val="1"/>
          <w:color w:val="auto"/>
        </w:rPr>
      </w:pPr>
      <w:r>
        <w:rPr>
          <w:rFonts w:ascii="Arial" w:cs="Arial" w:eastAsia="Arial" w:hAnsi="Arial"/>
          <w:sz w:val="19"/>
          <w:szCs w:val="19"/>
          <w:u w:val="single" w:color="auto"/>
          <w:color w:val="auto"/>
        </w:rPr>
        <w:t>Receipt and Delivery</w:t>
      </w:r>
      <w:r>
        <w:rPr>
          <w:rFonts w:ascii="Arial" w:cs="Arial" w:eastAsia="Arial" w:hAnsi="Arial"/>
          <w:sz w:val="19"/>
          <w:szCs w:val="19"/>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A-D</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52" w:right="259" w:bottom="1440" w:gutter="0" w:footer="0" w:header="0"/>
        </w:sectPr>
      </w:pPr>
    </w:p>
    <w:bookmarkStart w:id="150" w:name="page151"/>
    <w:bookmarkEnd w:id="150"/>
    <w:p>
      <w:pPr>
        <w:ind w:right="60" w:firstLine="614"/>
        <w:spacing w:after="0" w:line="217" w:lineRule="auto"/>
        <w:tabs>
          <w:tab w:leader="none" w:pos="1377" w:val="left"/>
        </w:tabs>
        <w:numPr>
          <w:ilvl w:val="0"/>
          <w:numId w:val="105"/>
        </w:numPr>
        <w:rPr>
          <w:rFonts w:ascii="Arial" w:cs="Arial" w:eastAsia="Arial" w:hAnsi="Arial"/>
          <w:sz w:val="20"/>
          <w:szCs w:val="20"/>
          <w:b w:val="1"/>
          <w:bCs w:val="1"/>
          <w:color w:val="auto"/>
        </w:rPr>
      </w:pPr>
      <w:r>
        <w:rPr>
          <w:rFonts w:ascii="Arial" w:cs="Arial" w:eastAsia="Arial" w:hAnsi="Arial"/>
          <w:sz w:val="20"/>
          <w:szCs w:val="20"/>
          <w:u w:val="single" w:color="auto"/>
          <w:color w:val="auto"/>
        </w:rPr>
        <w:t>Committee Discretion</w:t>
      </w:r>
      <w:r>
        <w:rPr>
          <w:rFonts w:ascii="Arial" w:cs="Arial" w:eastAsia="Arial" w:hAnsi="Arial"/>
          <w:sz w:val="20"/>
          <w:szCs w:val="20"/>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52" w:lineRule="exact"/>
        <w:rPr>
          <w:rFonts w:ascii="Arial" w:cs="Arial" w:eastAsia="Arial" w:hAnsi="Arial"/>
          <w:sz w:val="20"/>
          <w:szCs w:val="20"/>
          <w:b w:val="1"/>
          <w:bCs w:val="1"/>
          <w:color w:val="auto"/>
        </w:rPr>
      </w:pPr>
    </w:p>
    <w:p>
      <w:pPr>
        <w:ind w:firstLine="614"/>
        <w:spacing w:after="0" w:line="219" w:lineRule="auto"/>
        <w:tabs>
          <w:tab w:leader="none" w:pos="1479" w:val="left"/>
        </w:tabs>
        <w:numPr>
          <w:ilvl w:val="0"/>
          <w:numId w:val="105"/>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51" w:lineRule="exact"/>
        <w:rPr>
          <w:rFonts w:ascii="Arial" w:cs="Arial" w:eastAsia="Arial" w:hAnsi="Arial"/>
          <w:sz w:val="20"/>
          <w:szCs w:val="20"/>
          <w:color w:val="auto"/>
        </w:rPr>
      </w:pPr>
    </w:p>
    <w:p>
      <w:pPr>
        <w:ind w:right="80" w:firstLine="614"/>
        <w:spacing w:after="0" w:line="244" w:lineRule="auto"/>
        <w:tabs>
          <w:tab w:leader="none" w:pos="147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52" w:right="259" w:bottom="1440" w:gutter="0" w:footer="0" w:header="0"/>
        </w:sectPr>
      </w:pPr>
    </w:p>
    <w:bookmarkStart w:id="151" w:name="page152"/>
    <w:bookmarkEnd w:id="151"/>
    <w:p>
      <w:pPr>
        <w:ind w:right="200"/>
        <w:spacing w:after="0" w:line="232" w:lineRule="auto"/>
        <w:rPr>
          <w:sz w:val="20"/>
          <w:szCs w:val="20"/>
          <w:color w:val="auto"/>
        </w:rPr>
      </w:pPr>
      <w:r>
        <w:rPr>
          <w:rFonts w:ascii="Arial" w:cs="Arial" w:eastAsia="Arial" w:hAnsi="Arial"/>
          <w:sz w:val="20"/>
          <w:szCs w:val="20"/>
          <w:color w:val="auto"/>
        </w:rPr>
        <w:t>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49" w:lineRule="exact"/>
        <w:rPr>
          <w:sz w:val="20"/>
          <w:szCs w:val="20"/>
          <w:color w:val="auto"/>
        </w:rPr>
      </w:pPr>
    </w:p>
    <w:p>
      <w:pPr>
        <w:ind w:right="140" w:firstLine="614"/>
        <w:spacing w:after="0" w:line="221" w:lineRule="auto"/>
        <w:tabs>
          <w:tab w:leader="none" w:pos="1479"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Transferability</w:t>
      </w:r>
      <w:r>
        <w:rPr>
          <w:rFonts w:ascii="Arial" w:cs="Arial" w:eastAsia="Arial" w:hAnsi="Arial"/>
          <w:sz w:val="20"/>
          <w:szCs w:val="20"/>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49" w:lineRule="exact"/>
        <w:rPr>
          <w:rFonts w:ascii="Arial" w:cs="Arial" w:eastAsia="Arial" w:hAnsi="Arial"/>
          <w:sz w:val="20"/>
          <w:szCs w:val="20"/>
          <w:color w:val="auto"/>
        </w:rPr>
      </w:pPr>
    </w:p>
    <w:p>
      <w:pPr>
        <w:ind w:left="1480" w:hanging="866"/>
        <w:spacing w:after="0"/>
        <w:tabs>
          <w:tab w:leader="none" w:pos="148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 and Regulations and Company Policies and Procedures</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right="60" w:firstLine="1226"/>
        <w:spacing w:after="0" w:line="232" w:lineRule="auto"/>
        <w:tabs>
          <w:tab w:leader="none" w:pos="206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Grantee is responsible for complying with (i) any federal, state, and local tax, social insurance, national insurance contributions, payroll tax, payment on account or other tax liabilities applicable to Grantee in connection with the Award and (ii) all Exercise Rules and Regulations.</w:t>
      </w:r>
    </w:p>
    <w:p>
      <w:pPr>
        <w:spacing w:after="0" w:line="149" w:lineRule="exact"/>
        <w:rPr>
          <w:rFonts w:ascii="Arial" w:cs="Arial" w:eastAsia="Arial" w:hAnsi="Arial"/>
          <w:sz w:val="20"/>
          <w:szCs w:val="20"/>
          <w:color w:val="auto"/>
        </w:rPr>
      </w:pPr>
    </w:p>
    <w:p>
      <w:pPr>
        <w:ind w:right="280" w:firstLine="1226"/>
        <w:spacing w:after="0" w:line="232" w:lineRule="auto"/>
        <w:tabs>
          <w:tab w:leader="none" w:pos="2074"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49" w:lineRule="exact"/>
        <w:rPr>
          <w:rFonts w:ascii="Arial" w:cs="Arial" w:eastAsia="Arial" w:hAnsi="Arial"/>
          <w:sz w:val="20"/>
          <w:szCs w:val="20"/>
          <w:color w:val="auto"/>
        </w:rPr>
      </w:pPr>
    </w:p>
    <w:p>
      <w:pPr>
        <w:ind w:left="1480" w:hanging="866"/>
        <w:spacing w:after="0"/>
        <w:tabs>
          <w:tab w:leader="none" w:pos="1480" w:val="left"/>
        </w:tabs>
        <w:numPr>
          <w:ilvl w:val="0"/>
          <w:numId w:val="106"/>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firstLine="1226"/>
        <w:spacing w:after="0" w:line="229" w:lineRule="auto"/>
        <w:tabs>
          <w:tab w:leader="none" w:pos="206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 Section 409A.</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A-F</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52" w:right="259" w:bottom="1440" w:gutter="0" w:footer="0" w:header="0"/>
        </w:sectPr>
      </w:pPr>
    </w:p>
    <w:bookmarkStart w:id="152" w:name="page153"/>
    <w:bookmarkEnd w:id="152"/>
    <w:p>
      <w:pPr>
        <w:ind w:right="20" w:firstLine="1226"/>
        <w:spacing w:after="0" w:line="224" w:lineRule="auto"/>
        <w:tabs>
          <w:tab w:leader="none" w:pos="2074" w:val="left"/>
        </w:tabs>
        <w:numPr>
          <w:ilvl w:val="1"/>
          <w:numId w:val="107"/>
        </w:numPr>
        <w:rPr>
          <w:rFonts w:ascii="Arial" w:cs="Arial" w:eastAsia="Arial" w:hAnsi="Arial"/>
          <w:sz w:val="20"/>
          <w:szCs w:val="20"/>
          <w:color w:val="auto"/>
        </w:rPr>
      </w:pPr>
      <w:r>
        <w:rPr>
          <w:rFonts w:ascii="Arial" w:cs="Arial" w:eastAsia="Arial" w:hAnsi="Arial"/>
          <w:sz w:val="20"/>
          <w:szCs w:val="20"/>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0" w:lineRule="exact"/>
        <w:rPr>
          <w:rFonts w:ascii="Arial" w:cs="Arial" w:eastAsia="Arial" w:hAnsi="Arial"/>
          <w:sz w:val="20"/>
          <w:szCs w:val="20"/>
          <w:color w:val="auto"/>
        </w:rPr>
      </w:pPr>
    </w:p>
    <w:p>
      <w:pPr>
        <w:ind w:firstLine="1226"/>
        <w:spacing w:after="0" w:line="232" w:lineRule="auto"/>
        <w:tabs>
          <w:tab w:leader="none" w:pos="2062" w:val="left"/>
        </w:tabs>
        <w:numPr>
          <w:ilvl w:val="1"/>
          <w:numId w:val="107"/>
        </w:numPr>
        <w:rPr>
          <w:rFonts w:ascii="Arial" w:cs="Arial" w:eastAsia="Arial" w:hAnsi="Arial"/>
          <w:sz w:val="19"/>
          <w:szCs w:val="19"/>
          <w:b w:val="1"/>
          <w:bCs w:val="1"/>
          <w:color w:val="auto"/>
        </w:rPr>
      </w:pPr>
      <w:r>
        <w:rPr>
          <w:rFonts w:ascii="Arial" w:cs="Arial" w:eastAsia="Arial" w:hAnsi="Arial"/>
          <w:sz w:val="19"/>
          <w:szCs w:val="19"/>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 (B) Grantee’s death.</w:t>
      </w:r>
    </w:p>
    <w:p>
      <w:pPr>
        <w:spacing w:after="0" w:line="153" w:lineRule="exact"/>
        <w:rPr>
          <w:rFonts w:ascii="Arial" w:cs="Arial" w:eastAsia="Arial" w:hAnsi="Arial"/>
          <w:sz w:val="19"/>
          <w:szCs w:val="19"/>
          <w:b w:val="1"/>
          <w:bCs w:val="1"/>
          <w:color w:val="auto"/>
        </w:rPr>
      </w:pPr>
    </w:p>
    <w:p>
      <w:pPr>
        <w:ind w:right="300" w:firstLine="614"/>
        <w:spacing w:after="0" w:line="243" w:lineRule="auto"/>
        <w:tabs>
          <w:tab w:leader="none" w:pos="1479"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Legend</w:t>
      </w:r>
      <w:r>
        <w:rPr>
          <w:rFonts w:ascii="Arial" w:cs="Arial" w:eastAsia="Arial" w:hAnsi="Arial"/>
          <w:sz w:val="20"/>
          <w:szCs w:val="20"/>
          <w:color w:val="auto"/>
        </w:rPr>
        <w:t>. The Company may, if determined by it based on the advice of counsel to be appropriate, cause any certificate evidencing Vested Shares to bear a legend substantially as follows:</w:t>
      </w:r>
    </w:p>
    <w:p>
      <w:pPr>
        <w:spacing w:after="0" w:line="172" w:lineRule="exact"/>
        <w:rPr>
          <w:sz w:val="20"/>
          <w:szCs w:val="20"/>
          <w:color w:val="auto"/>
        </w:rPr>
      </w:pPr>
    </w:p>
    <w:p>
      <w:pPr>
        <w:ind w:left="1220" w:right="700"/>
        <w:spacing w:after="0" w:line="263" w:lineRule="auto"/>
        <w:rPr>
          <w:sz w:val="20"/>
          <w:szCs w:val="20"/>
          <w:color w:val="auto"/>
        </w:rPr>
      </w:pPr>
      <w:r>
        <w:rPr>
          <w:rFonts w:ascii="Arial" w:cs="Arial" w:eastAsia="Arial" w:hAnsi="Arial"/>
          <w:sz w:val="20"/>
          <w:szCs w:val="20"/>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39" w:lineRule="exact"/>
        <w:rPr>
          <w:sz w:val="20"/>
          <w:szCs w:val="20"/>
          <w:color w:val="auto"/>
        </w:rPr>
      </w:pPr>
    </w:p>
    <w:p>
      <w:pPr>
        <w:ind w:right="260" w:firstLine="614"/>
        <w:spacing w:after="0" w:line="227" w:lineRule="auto"/>
        <w:tabs>
          <w:tab w:leader="none" w:pos="1479" w:val="left"/>
        </w:tabs>
        <w:numPr>
          <w:ilvl w:val="0"/>
          <w:numId w:val="109"/>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Nothing contained in the Grant Notice or these Award Terms shall create a right to employment or be interpreted as forming and employment or service contract with the Company, the Employer or any other entity in the Company Group and shall not interfere with the ability of the Employer to retire, request the resignation of or terminate Grantee’s employment or service relationship at any time.</w:t>
      </w:r>
    </w:p>
    <w:p>
      <w:pPr>
        <w:spacing w:after="0" w:line="149" w:lineRule="exact"/>
        <w:rPr>
          <w:rFonts w:ascii="Arial" w:cs="Arial" w:eastAsia="Arial" w:hAnsi="Arial"/>
          <w:sz w:val="20"/>
          <w:szCs w:val="20"/>
          <w:color w:val="auto"/>
        </w:rPr>
      </w:pPr>
    </w:p>
    <w:p>
      <w:pPr>
        <w:ind w:firstLine="614"/>
        <w:spacing w:after="0" w:line="267" w:lineRule="auto"/>
        <w:tabs>
          <w:tab w:leader="none" w:pos="1479"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A-G</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00"/>
          </w:cols>
          <w:pgMar w:left="240" w:top="552" w:right="259" w:bottom="1440" w:gutter="0" w:footer="0" w:header="0"/>
        </w:sectPr>
      </w:pPr>
    </w:p>
    <w:bookmarkStart w:id="153" w:name="page154"/>
    <w:bookmarkEnd w:id="153"/>
    <w:p>
      <w:pPr>
        <w:ind w:right="80" w:firstLine="614"/>
        <w:spacing w:after="0" w:line="232" w:lineRule="auto"/>
        <w:tabs>
          <w:tab w:leader="none" w:pos="1479"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49" w:lineRule="exact"/>
        <w:rPr>
          <w:rFonts w:ascii="Arial" w:cs="Arial" w:eastAsia="Arial" w:hAnsi="Arial"/>
          <w:sz w:val="20"/>
          <w:szCs w:val="20"/>
          <w:color w:val="auto"/>
        </w:rPr>
      </w:pPr>
    </w:p>
    <w:p>
      <w:pPr>
        <w:ind w:left="1480" w:hanging="866"/>
        <w:spacing w:after="0"/>
        <w:tabs>
          <w:tab w:leader="none" w:pos="148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Venue and Governing Law</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right="100" w:firstLine="1226"/>
        <w:spacing w:after="0" w:line="248" w:lineRule="auto"/>
        <w:tabs>
          <w:tab w:leader="none" w:pos="206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U.S. for the Central District of California and no other courts, regardless of where the grant of the Restricted Share Units is made and/or to be performed;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parties have entered into another agreement providing for a different venue or forum (e.g., a dispute resolution agreement), then the terms of such agreement will control for purposes of this provision.</w:t>
      </w:r>
    </w:p>
    <w:p>
      <w:pPr>
        <w:spacing w:after="0" w:line="144" w:lineRule="exact"/>
        <w:rPr>
          <w:rFonts w:ascii="Arial" w:cs="Arial" w:eastAsia="Arial" w:hAnsi="Arial"/>
          <w:sz w:val="18"/>
          <w:szCs w:val="18"/>
          <w:color w:val="auto"/>
        </w:rPr>
      </w:pPr>
    </w:p>
    <w:p>
      <w:pPr>
        <w:ind w:right="240" w:firstLine="1226"/>
        <w:spacing w:after="0" w:line="232" w:lineRule="auto"/>
        <w:tabs>
          <w:tab w:leader="none" w:pos="207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To the extent that U.S.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49" w:lineRule="exact"/>
        <w:rPr>
          <w:rFonts w:ascii="Arial" w:cs="Arial" w:eastAsia="Arial" w:hAnsi="Arial"/>
          <w:sz w:val="20"/>
          <w:szCs w:val="20"/>
          <w:color w:val="auto"/>
        </w:rPr>
      </w:pPr>
    </w:p>
    <w:p>
      <w:pPr>
        <w:ind w:firstLine="614"/>
        <w:spacing w:after="0" w:line="246" w:lineRule="auto"/>
        <w:tabs>
          <w:tab w:leader="none" w:pos="1479"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44" w:lineRule="exact"/>
        <w:rPr>
          <w:rFonts w:ascii="Arial" w:cs="Arial" w:eastAsia="Arial" w:hAnsi="Arial"/>
          <w:sz w:val="19"/>
          <w:szCs w:val="19"/>
          <w:color w:val="auto"/>
        </w:rPr>
      </w:pPr>
    </w:p>
    <w:p>
      <w:pPr>
        <w:ind w:left="1480" w:hanging="866"/>
        <w:spacing w:after="0"/>
        <w:tabs>
          <w:tab w:leader="none" w:pos="148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Delivery of Notices and Other Documents</w:t>
      </w:r>
      <w:r>
        <w:rPr>
          <w:rFonts w:ascii="Arial" w:cs="Arial" w:eastAsia="Arial" w:hAnsi="Arial"/>
          <w:sz w:val="20"/>
          <w:szCs w:val="20"/>
          <w:color w:val="auto"/>
        </w:rPr>
        <w:t>.</w:t>
      </w:r>
    </w:p>
    <w:p>
      <w:pPr>
        <w:spacing w:after="0" w:line="178" w:lineRule="exact"/>
        <w:rPr>
          <w:rFonts w:ascii="Arial" w:cs="Arial" w:eastAsia="Arial" w:hAnsi="Arial"/>
          <w:sz w:val="20"/>
          <w:szCs w:val="20"/>
          <w:color w:val="auto"/>
        </w:rPr>
      </w:pPr>
    </w:p>
    <w:p>
      <w:pPr>
        <w:ind w:right="40" w:firstLine="1226"/>
        <w:spacing w:after="0" w:line="224" w:lineRule="auto"/>
        <w:tabs>
          <w:tab w:leader="none" w:pos="2062"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U.S.A. Attn: Stock Plan Administration, or such other address as the Company by notice to Grantee may designate in writing from time to time. Notices shall be effective upon delivery.</w:t>
      </w:r>
    </w:p>
    <w:p>
      <w:pPr>
        <w:spacing w:after="0" w:line="150" w:lineRule="exact"/>
        <w:rPr>
          <w:rFonts w:ascii="Arial" w:cs="Arial" w:eastAsia="Arial" w:hAnsi="Arial"/>
          <w:sz w:val="20"/>
          <w:szCs w:val="20"/>
          <w:color w:val="auto"/>
        </w:rPr>
      </w:pPr>
    </w:p>
    <w:p>
      <w:pPr>
        <w:ind w:right="40" w:firstLine="1226"/>
        <w:spacing w:after="0" w:line="222" w:lineRule="auto"/>
        <w:tabs>
          <w:tab w:leader="none" w:pos="2074" w:val="left"/>
        </w:tabs>
        <w:numPr>
          <w:ilvl w:val="1"/>
          <w:numId w:val="110"/>
        </w:numPr>
        <w:rPr>
          <w:rFonts w:ascii="Arial" w:cs="Arial" w:eastAsia="Arial" w:hAnsi="Arial"/>
          <w:sz w:val="20"/>
          <w:szCs w:val="20"/>
          <w:color w:val="auto"/>
        </w:rPr>
      </w:pPr>
      <w:r>
        <w:rPr>
          <w:rFonts w:ascii="Arial" w:cs="Arial" w:eastAsia="Arial" w:hAnsi="Arial"/>
          <w:sz w:val="20"/>
          <w:szCs w:val="20"/>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A-H</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380"/>
          </w:cols>
          <w:pgMar w:left="240" w:top="552" w:right="279" w:bottom="1440" w:gutter="0" w:footer="0" w:header="0"/>
        </w:sectPr>
      </w:pPr>
    </w:p>
    <w:bookmarkStart w:id="154" w:name="page155"/>
    <w:bookmarkEnd w:id="154"/>
    <w:p>
      <w:pPr>
        <w:ind w:right="140"/>
        <w:spacing w:after="0" w:line="232" w:lineRule="auto"/>
        <w:rPr>
          <w:sz w:val="20"/>
          <w:szCs w:val="20"/>
          <w:color w:val="auto"/>
        </w:rPr>
      </w:pPr>
      <w:r>
        <w:rPr>
          <w:rFonts w:ascii="Arial" w:cs="Arial" w:eastAsia="Arial" w:hAnsi="Arial"/>
          <w:sz w:val="20"/>
          <w:szCs w:val="20"/>
          <w:color w:val="auto"/>
        </w:rPr>
        <w:t>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49" w:lineRule="exact"/>
        <w:rPr>
          <w:sz w:val="20"/>
          <w:szCs w:val="20"/>
          <w:color w:val="auto"/>
        </w:rPr>
      </w:pPr>
    </w:p>
    <w:p>
      <w:pPr>
        <w:ind w:right="200" w:firstLine="614"/>
        <w:spacing w:after="0" w:line="243" w:lineRule="auto"/>
        <w:tabs>
          <w:tab w:leader="none" w:pos="1479" w:val="left"/>
        </w:tabs>
        <w:numPr>
          <w:ilvl w:val="0"/>
          <w:numId w:val="111"/>
        </w:numPr>
        <w:rPr>
          <w:rFonts w:ascii="Arial" w:cs="Arial" w:eastAsia="Arial" w:hAnsi="Arial"/>
          <w:sz w:val="20"/>
          <w:szCs w:val="20"/>
          <w:color w:val="auto"/>
        </w:rPr>
      </w:pPr>
      <w:r>
        <w:rPr>
          <w:rFonts w:ascii="Arial" w:cs="Arial" w:eastAsia="Arial" w:hAnsi="Arial"/>
          <w:sz w:val="20"/>
          <w:szCs w:val="20"/>
          <w:u w:val="single" w:color="auto"/>
          <w:color w:val="auto"/>
        </w:rPr>
        <w:t>Conflict with Plan</w:t>
      </w:r>
      <w:r>
        <w:rPr>
          <w:rFonts w:ascii="Arial" w:cs="Arial" w:eastAsia="Arial" w:hAnsi="Arial"/>
          <w:sz w:val="20"/>
          <w:szCs w:val="20"/>
          <w:color w:val="auto"/>
        </w:rPr>
        <w:t>. In the event of any conflict between the terms the Grant Notice or these Award Terms and the terms of the Plan, the terms of the Plan shall control.</w:t>
      </w:r>
    </w:p>
    <w:p>
      <w:pPr>
        <w:spacing w:after="0" w:line="146" w:lineRule="exact"/>
        <w:rPr>
          <w:rFonts w:ascii="Arial" w:cs="Arial" w:eastAsia="Arial" w:hAnsi="Arial"/>
          <w:sz w:val="20"/>
          <w:szCs w:val="20"/>
          <w:color w:val="auto"/>
        </w:rPr>
      </w:pPr>
    </w:p>
    <w:p>
      <w:pPr>
        <w:ind w:right="160" w:firstLine="614"/>
        <w:spacing w:after="0" w:line="251" w:lineRule="auto"/>
        <w:tabs>
          <w:tab w:leader="none" w:pos="147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anything to the contrary contained herein, the Restricted Share Units shall be subject to any special terms and conditions set forth in the Appendix for Grantee’s country of work and/or residence, both of which constitute a part of these Award Terms. Moreover, if Grantee relocates his or her work and/or residence to one of the countries included in the Appendix, the special terms and 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41" w:lineRule="exact"/>
        <w:rPr>
          <w:rFonts w:ascii="Arial" w:cs="Arial" w:eastAsia="Arial" w:hAnsi="Arial"/>
          <w:sz w:val="18"/>
          <w:szCs w:val="18"/>
          <w:color w:val="auto"/>
        </w:rPr>
      </w:pPr>
    </w:p>
    <w:p>
      <w:pPr>
        <w:ind w:right="380" w:firstLine="614"/>
        <w:spacing w:after="0" w:line="256" w:lineRule="auto"/>
        <w:tabs>
          <w:tab w:leader="none" w:pos="1479"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62" w:lineRule="exact"/>
        <w:rPr>
          <w:sz w:val="20"/>
          <w:szCs w:val="20"/>
          <w:color w:val="auto"/>
        </w:rPr>
      </w:pPr>
    </w:p>
    <w:p>
      <w:pPr>
        <w:ind w:firstLine="612"/>
        <w:spacing w:after="0" w:line="268" w:lineRule="auto"/>
        <w:rPr>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A-I</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Online PSU Grant Award Agreement (2019 Annual Grant)</w:t>
      </w:r>
    </w:p>
    <w:p>
      <w:pPr>
        <w:sectPr>
          <w:pgSz w:w="11900" w:h="16838" w:orient="portrait"/>
          <w:cols w:equalWidth="0" w:num="1">
            <w:col w:w="11420"/>
          </w:cols>
          <w:pgMar w:left="240" w:top="552" w:right="239" w:bottom="1440" w:gutter="0" w:footer="0" w:header="0"/>
        </w:sectPr>
      </w:pPr>
    </w:p>
    <w:bookmarkStart w:id="155" w:name="page156"/>
    <w:bookmarkEnd w:id="155"/>
    <w:p>
      <w:pPr>
        <w:jc w:val="center"/>
        <w:ind w:right="-7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5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APPENDIX</w:t>
      </w:r>
    </w:p>
    <w:p>
      <w:pPr>
        <w:spacing w:after="0" w:line="216" w:lineRule="exact"/>
        <w:rPr>
          <w:sz w:val="20"/>
          <w:szCs w:val="20"/>
          <w:color w:val="auto"/>
        </w:rPr>
      </w:pPr>
    </w:p>
    <w:p>
      <w:pPr>
        <w:ind w:left="5560"/>
        <w:spacing w:after="0"/>
        <w:rPr>
          <w:sz w:val="20"/>
          <w:szCs w:val="20"/>
          <w:color w:val="auto"/>
        </w:rPr>
      </w:pPr>
      <w:r>
        <w:rPr>
          <w:rFonts w:ascii="Arial" w:cs="Arial" w:eastAsia="Arial" w:hAnsi="Arial"/>
          <w:sz w:val="20"/>
          <w:szCs w:val="20"/>
          <w:b w:val="1"/>
          <w:bCs w:val="1"/>
          <w:color w:val="auto"/>
        </w:rPr>
        <w:t>TO</w:t>
      </w:r>
    </w:p>
    <w:p>
      <w:pPr>
        <w:spacing w:after="0" w:line="216" w:lineRule="exact"/>
        <w:rPr>
          <w:sz w:val="20"/>
          <w:szCs w:val="20"/>
          <w:color w:val="auto"/>
        </w:rPr>
      </w:pPr>
    </w:p>
    <w:p>
      <w:pPr>
        <w:ind w:left="4280"/>
        <w:spacing w:after="0"/>
        <w:rPr>
          <w:sz w:val="20"/>
          <w:szCs w:val="20"/>
          <w:color w:val="auto"/>
        </w:rPr>
      </w:pPr>
      <w:r>
        <w:rPr>
          <w:rFonts w:ascii="Arial" w:cs="Arial" w:eastAsia="Arial" w:hAnsi="Arial"/>
          <w:sz w:val="20"/>
          <w:szCs w:val="20"/>
          <w:b w:val="1"/>
          <w:bCs w:val="1"/>
          <w:color w:val="auto"/>
        </w:rPr>
        <w:t>ACTIVISION BLIZZARD,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INCENTIVE PLAN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PERFORMANCE-VESTING RESTRICTED SHARE UNIT AWARD TERMS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AND CONDITIONS BY COUNTRY</w:t>
      </w:r>
    </w:p>
    <w:p>
      <w:pPr>
        <w:spacing w:after="0" w:line="259" w:lineRule="exact"/>
        <w:rPr>
          <w:sz w:val="20"/>
          <w:szCs w:val="20"/>
          <w:color w:val="auto"/>
        </w:rPr>
      </w:pPr>
    </w:p>
    <w:p>
      <w:pPr>
        <w:spacing w:after="0" w:line="283" w:lineRule="auto"/>
        <w:rPr>
          <w:sz w:val="20"/>
          <w:szCs w:val="20"/>
          <w:color w:val="auto"/>
        </w:rPr>
      </w:pPr>
      <w:r>
        <w:rPr>
          <w:rFonts w:ascii="Arial" w:cs="Arial" w:eastAsia="Arial" w:hAnsi="Arial"/>
          <w:sz w:val="20"/>
          <w:szCs w:val="20"/>
          <w:color w:val="auto"/>
        </w:rPr>
        <w:t>Capitalized terms used but not defined herein shall have the meanings given to such terms in the Plan or the Award Terms, as the case may be.</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480"/>
        <w:spacing w:after="0" w:line="268" w:lineRule="auto"/>
        <w:rPr>
          <w:sz w:val="20"/>
          <w:szCs w:val="20"/>
          <w:color w:val="auto"/>
        </w:rPr>
      </w:pPr>
      <w:r>
        <w:rPr>
          <w:rFonts w:ascii="Arial" w:cs="Arial" w:eastAsia="Arial" w:hAnsi="Arial"/>
          <w:sz w:val="20"/>
          <w:szCs w:val="20"/>
          <w:color w:val="auto"/>
        </w:rPr>
        <w:t>This Appendix includes special terms and conditions applicable to Grantees who work and/or reside in the countries covered by the Appendix. These terms and conditions are in addition to or, if so indicated, in place of, the terms and conditions set forth in the Award Terms.</w:t>
      </w:r>
    </w:p>
    <w:p>
      <w:pPr>
        <w:spacing w:after="0" w:line="160"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20"/>
          <w:szCs w:val="20"/>
          <w:i w:val="1"/>
          <w:iCs w:val="1"/>
          <w:color w:val="auto"/>
        </w:rPr>
        <w:t>i.e.</w:t>
      </w:r>
      <w:r>
        <w:rPr>
          <w:rFonts w:ascii="Arial" w:cs="Arial" w:eastAsia="Arial" w:hAnsi="Arial"/>
          <w:sz w:val="20"/>
          <w:szCs w:val="20"/>
          <w:color w:val="auto"/>
        </w:rPr>
        <w:t>, Grantee is a “mobile employee”), the Company shall have the sole discretion to determine to what extent the special terms and conditions shall apply to Grantee.</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 as of October 2019.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207" w:lineRule="exact"/>
        <w:rPr>
          <w:sz w:val="20"/>
          <w:szCs w:val="20"/>
          <w:color w:val="auto"/>
        </w:rPr>
      </w:pPr>
    </w:p>
    <w:p>
      <w:pPr>
        <w:ind w:right="80"/>
        <w:spacing w:after="0" w:line="263" w:lineRule="auto"/>
        <w:rPr>
          <w:sz w:val="20"/>
          <w:szCs w:val="20"/>
          <w:color w:val="auto"/>
        </w:rPr>
      </w:pPr>
      <w:r>
        <w:rPr>
          <w:rFonts w:ascii="Arial" w:cs="Arial" w:eastAsia="Arial" w:hAnsi="Arial"/>
          <w:sz w:val="20"/>
          <w:szCs w:val="20"/>
          <w:color w:val="auto"/>
        </w:rPr>
        <w:t>In addition, the notifications are general in nature and may not apply to the particular situation of Grantee, and the Company is not in a position to assure Grantee of any particular result. Accordingly, Grantee should seek appropriate professional advice as to how the relevant laws in his or her country may apply to his or her situation. Finally, if Grantee is a mobile employee, the information contained herein may not be applicable to Grantee in the same manner.</w:t>
      </w:r>
    </w:p>
    <w:p>
      <w:pPr>
        <w:spacing w:after="0" w:line="382"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B-1</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(2019 Annual Grant)</w:t>
      </w:r>
    </w:p>
    <w:p>
      <w:pPr>
        <w:sectPr>
          <w:pgSz w:w="11900" w:h="16838" w:orient="portrait"/>
          <w:cols w:equalWidth="0" w:num="1">
            <w:col w:w="11420"/>
          </w:cols>
          <w:pgMar w:left="240" w:top="573" w:right="239" w:bottom="1440" w:gutter="0" w:footer="0" w:header="0"/>
        </w:sectPr>
      </w:pPr>
    </w:p>
    <w:bookmarkStart w:id="156" w:name="page157"/>
    <w:bookmarkEnd w:id="156"/>
    <w:p>
      <w:pPr>
        <w:ind w:left="3200"/>
        <w:spacing w:after="0"/>
        <w:rPr>
          <w:sz w:val="20"/>
          <w:szCs w:val="20"/>
          <w:color w:val="auto"/>
        </w:rPr>
      </w:pPr>
      <w:r>
        <w:rPr>
          <w:rFonts w:ascii="Arial" w:cs="Arial" w:eastAsia="Arial" w:hAnsi="Arial"/>
          <w:sz w:val="20"/>
          <w:szCs w:val="20"/>
          <w:b w:val="1"/>
          <w:bCs w:val="1"/>
          <w:color w:val="auto"/>
        </w:rPr>
        <w:t>APPENDIX FOR THE UNITED STATES OF AMERICA</w:t>
      </w:r>
    </w:p>
    <w:p>
      <w:pPr>
        <w:spacing w:after="0" w:line="216"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ADDITIONAL TERMS AND CONDITIONS OF THE</w:t>
      </w:r>
    </w:p>
    <w:p>
      <w:pPr>
        <w:spacing w:after="0" w:line="3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ACTIVISION BLIZZARD, INC.</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2014 INCENTIVE PLAN</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RESTRICTED SHARE UNIT AWARD TERMS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40" w:hanging="326"/>
        <w:spacing w:after="0"/>
        <w:tabs>
          <w:tab w:leader="none" w:pos="940" w:val="left"/>
        </w:tabs>
        <w:numPr>
          <w:ilvl w:val="0"/>
          <w:numId w:val="11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1620" w:hanging="394"/>
        <w:spacing w:after="0"/>
        <w:tabs>
          <w:tab w:leader="none" w:pos="1620" w:val="left"/>
        </w:tabs>
        <w:numPr>
          <w:ilvl w:val="1"/>
          <w:numId w:val="112"/>
        </w:numPr>
        <w:rPr>
          <w:rFonts w:ascii="Arial" w:cs="Arial" w:eastAsia="Arial" w:hAnsi="Arial"/>
          <w:sz w:val="20"/>
          <w:szCs w:val="20"/>
          <w:color w:val="auto"/>
        </w:rPr>
      </w:pPr>
      <w:r>
        <w:rPr>
          <w:rFonts w:ascii="Arial" w:cs="Arial" w:eastAsia="Arial" w:hAnsi="Arial"/>
          <w:sz w:val="20"/>
          <w:szCs w:val="20"/>
          <w:color w:val="auto"/>
        </w:rPr>
        <w:t>For U.S. Grantees only, the following terms shall have the meanings set forth below:</w:t>
      </w:r>
    </w:p>
    <w:p>
      <w:pPr>
        <w:spacing w:after="0" w:line="225" w:lineRule="exact"/>
        <w:rPr>
          <w:sz w:val="20"/>
          <w:szCs w:val="20"/>
          <w:color w:val="auto"/>
        </w:rPr>
      </w:pPr>
    </w:p>
    <w:p>
      <w:pPr>
        <w:ind w:right="20" w:firstLine="1224"/>
        <w:spacing w:after="0" w:line="270"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any material breach by Grantee of his or her employment agreement with any entity in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Group for so long as the terms of such employment agreement shall apply to Grantee (with any breach of the post-termination obligations contained therein deemed to be material for purposes of this definition).</w:t>
      </w:r>
    </w:p>
    <w:p>
      <w:pPr>
        <w:spacing w:after="0" w:line="193" w:lineRule="exact"/>
        <w:rPr>
          <w:sz w:val="20"/>
          <w:szCs w:val="20"/>
          <w:color w:val="auto"/>
        </w:rPr>
      </w:pPr>
    </w:p>
    <w:p>
      <w:pPr>
        <w:ind w:right="20" w:firstLine="1224"/>
        <w:spacing w:after="0" w:line="270" w:lineRule="auto"/>
        <w:rPr>
          <w:sz w:val="20"/>
          <w:szCs w:val="20"/>
          <w:color w:val="auto"/>
        </w:rPr>
      </w:pPr>
      <w:r>
        <w:rPr>
          <w:rFonts w:ascii="Arial" w:cs="Arial" w:eastAsia="Arial" w:hAnsi="Arial"/>
          <w:sz w:val="20"/>
          <w:szCs w:val="20"/>
          <w:b w:val="1"/>
          <w:bCs w:val="1"/>
          <w:color w:val="auto"/>
        </w:rPr>
        <w:t xml:space="preserve">“Look-back Period” </w:t>
      </w:r>
      <w:r>
        <w:rPr>
          <w:rFonts w:ascii="Arial" w:cs="Arial" w:eastAsia="Arial" w:hAnsi="Arial"/>
          <w:sz w:val="20"/>
          <w:szCs w:val="20"/>
          <w:color w:val="auto"/>
        </w:rPr>
        <w:t>means, with respect to any Employment Violation by Grantee, the period beginning on the date which</w:t>
      </w:r>
      <w:r>
        <w:rPr>
          <w:rFonts w:ascii="Arial" w:cs="Arial" w:eastAsia="Arial" w:hAnsi="Arial"/>
          <w:sz w:val="20"/>
          <w:szCs w:val="20"/>
          <w:b w:val="1"/>
          <w:bCs w:val="1"/>
          <w:color w:val="auto"/>
        </w:rPr>
        <w:t xml:space="preserve"> </w:t>
      </w:r>
      <w:r>
        <w:rPr>
          <w:rFonts w:ascii="Arial" w:cs="Arial" w:eastAsia="Arial" w:hAnsi="Arial"/>
          <w:sz w:val="20"/>
          <w:szCs w:val="20"/>
          <w:color w:val="auto"/>
        </w:rPr>
        <w:t>is 12 months prior to the date of such Employment Violation by Grantee and ending on the date of computation of the Recapture Amount with respect to such Employment Violation.</w:t>
      </w:r>
    </w:p>
    <w:p>
      <w:pPr>
        <w:spacing w:after="0" w:line="193" w:lineRule="exact"/>
        <w:rPr>
          <w:sz w:val="20"/>
          <w:szCs w:val="20"/>
          <w:color w:val="auto"/>
        </w:rPr>
      </w:pPr>
    </w:p>
    <w:p>
      <w:pPr>
        <w:jc w:val="both"/>
        <w:ind w:right="140" w:firstLine="1224"/>
        <w:spacing w:after="0" w:line="270" w:lineRule="auto"/>
        <w:rPr>
          <w:sz w:val="20"/>
          <w:szCs w:val="20"/>
          <w:color w:val="auto"/>
        </w:rPr>
      </w:pPr>
      <w:r>
        <w:rPr>
          <w:rFonts w:ascii="Arial" w:cs="Arial" w:eastAsia="Arial" w:hAnsi="Arial"/>
          <w:sz w:val="20"/>
          <w:szCs w:val="20"/>
          <w:b w:val="1"/>
          <w:bCs w:val="1"/>
          <w:color w:val="auto"/>
        </w:rPr>
        <w:t xml:space="preserve">“Recapture Amount” </w:t>
      </w:r>
      <w:r>
        <w:rPr>
          <w:rFonts w:ascii="Arial" w:cs="Arial" w:eastAsia="Arial" w:hAnsi="Arial"/>
          <w:sz w:val="20"/>
          <w:szCs w:val="20"/>
          <w:color w:val="auto"/>
        </w:rPr>
        <w:t>means, with respect to any Employment Violation by Grantee, the gross gain realized or unrealized</w:t>
      </w:r>
      <w:r>
        <w:rPr>
          <w:rFonts w:ascii="Arial" w:cs="Arial" w:eastAsia="Arial" w:hAnsi="Arial"/>
          <w:sz w:val="20"/>
          <w:szCs w:val="20"/>
          <w:b w:val="1"/>
          <w:bCs w:val="1"/>
          <w:color w:val="auto"/>
        </w:rPr>
        <w:t xml:space="preserve"> </w:t>
      </w:r>
      <w:r>
        <w:rPr>
          <w:rFonts w:ascii="Arial" w:cs="Arial" w:eastAsia="Arial" w:hAnsi="Arial"/>
          <w:sz w:val="20"/>
          <w:szCs w:val="20"/>
          <w:color w:val="auto"/>
        </w:rPr>
        <w:t>by Grantee upon all vesting of Restricted Share Units or delivery or transfer of Vested Shares during the Look-back Period with respect to such Employment Violation, which gain shall be calculated as the sum of:</w:t>
      </w:r>
    </w:p>
    <w:p>
      <w:pPr>
        <w:spacing w:after="0" w:line="159" w:lineRule="exact"/>
        <w:rPr>
          <w:sz w:val="20"/>
          <w:szCs w:val="20"/>
          <w:color w:val="auto"/>
        </w:rPr>
      </w:pPr>
    </w:p>
    <w:p>
      <w:pPr>
        <w:ind w:left="620" w:right="20" w:firstLine="606"/>
        <w:spacing w:after="0" w:line="283" w:lineRule="auto"/>
        <w:tabs>
          <w:tab w:leader="none" w:pos="1629"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if Grantee has received Vested Shares during such Look-back Period and sold any such Vested Shares, an amount equal to the sum of the sales price for all such Vested Shares; plus</w:t>
      </w:r>
    </w:p>
    <w:p>
      <w:pPr>
        <w:spacing w:after="0" w:line="146" w:lineRule="exact"/>
        <w:rPr>
          <w:rFonts w:ascii="Arial" w:cs="Arial" w:eastAsia="Arial" w:hAnsi="Arial"/>
          <w:sz w:val="20"/>
          <w:szCs w:val="20"/>
          <w:color w:val="auto"/>
        </w:rPr>
      </w:pPr>
    </w:p>
    <w:p>
      <w:pPr>
        <w:ind w:left="620" w:firstLine="606"/>
        <w:spacing w:after="0" w:line="273" w:lineRule="auto"/>
        <w:tabs>
          <w:tab w:leader="none" w:pos="168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 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3 hereof, or (3) the arithmetic average of the per share closing sales prices of Common Shares as reported on Nasdaq for the 30 trading day period ending on the trading day immediately preceding the date of computation, times (B) the number of such Vested Shares which were not sold.</w:t>
      </w:r>
    </w:p>
    <w:p>
      <w:pPr>
        <w:spacing w:after="0" w:line="37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(2019 Annual Grant)</w:t>
      </w:r>
    </w:p>
    <w:p>
      <w:pPr>
        <w:sectPr>
          <w:pgSz w:w="11900" w:h="16838" w:orient="portrait"/>
          <w:cols w:equalWidth="0" w:num="1">
            <w:col w:w="11400"/>
          </w:cols>
          <w:pgMar w:left="240" w:top="573" w:right="259" w:bottom="1440" w:gutter="0" w:footer="0" w:header="0"/>
        </w:sectPr>
      </w:pPr>
    </w:p>
    <w:bookmarkStart w:id="157" w:name="page158"/>
    <w:bookmarkEnd w:id="157"/>
    <w:p>
      <w:pPr>
        <w:ind w:firstLine="614"/>
        <w:spacing w:after="0" w:line="263" w:lineRule="auto"/>
        <w:tabs>
          <w:tab w:leader="none" w:pos="935" w:val="left"/>
        </w:tabs>
        <w:numPr>
          <w:ilvl w:val="0"/>
          <w:numId w:val="114"/>
        </w:numPr>
        <w:rPr>
          <w:rFonts w:ascii="Arial" w:cs="Arial" w:eastAsia="Arial" w:hAnsi="Arial"/>
          <w:sz w:val="20"/>
          <w:szCs w:val="20"/>
          <w:color w:val="auto"/>
        </w:rPr>
      </w:pPr>
      <w:r>
        <w:rPr>
          <w:rFonts w:ascii="Arial" w:cs="Arial" w:eastAsia="Arial" w:hAnsi="Arial"/>
          <w:sz w:val="20"/>
          <w:szCs w:val="20"/>
          <w:u w:val="single" w:color="auto"/>
          <w:color w:val="auto"/>
        </w:rPr>
        <w:t>Conflict with Employment Agreement or Plan</w:t>
      </w:r>
      <w:r>
        <w:rPr>
          <w:rFonts w:ascii="Arial" w:cs="Arial" w:eastAsia="Arial" w:hAnsi="Arial"/>
          <w:sz w:val="20"/>
          <w:szCs w:val="20"/>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Grantee and any entity in the Company Group in effect at the time and the terms of the Plan, the terms of the Plan shall control.</w:t>
      </w:r>
    </w:p>
    <w:p>
      <w:pPr>
        <w:spacing w:after="0" w:line="167" w:lineRule="exact"/>
        <w:rPr>
          <w:rFonts w:ascii="Arial" w:cs="Arial" w:eastAsia="Arial" w:hAnsi="Arial"/>
          <w:sz w:val="20"/>
          <w:szCs w:val="20"/>
          <w:color w:val="auto"/>
        </w:rPr>
      </w:pPr>
    </w:p>
    <w:p>
      <w:pPr>
        <w:ind w:right="20" w:firstLine="614"/>
        <w:spacing w:after="0" w:line="272" w:lineRule="auto"/>
        <w:tabs>
          <w:tab w:leader="none" w:pos="935" w:val="left"/>
        </w:tabs>
        <w:numPr>
          <w:ilvl w:val="0"/>
          <w:numId w:val="114"/>
        </w:numPr>
        <w:rPr>
          <w:rFonts w:ascii="Arial" w:cs="Arial" w:eastAsia="Arial" w:hAnsi="Arial"/>
          <w:sz w:val="19"/>
          <w:szCs w:val="19"/>
          <w:color w:val="auto"/>
        </w:rPr>
      </w:pPr>
      <w:r>
        <w:rPr>
          <w:rFonts w:ascii="Arial" w:cs="Arial" w:eastAsia="Arial" w:hAnsi="Arial"/>
          <w:sz w:val="19"/>
          <w:szCs w:val="19"/>
          <w:u w:val="single" w:color="auto"/>
          <w:color w:val="auto"/>
        </w:rPr>
        <w:t>Employment Violation</w:t>
      </w:r>
      <w:r>
        <w:rPr>
          <w:rFonts w:ascii="Arial" w:cs="Arial" w:eastAsia="Arial" w:hAnsi="Arial"/>
          <w:sz w:val="19"/>
          <w:szCs w:val="19"/>
          <w:color w:val="auto"/>
        </w:rPr>
        <w:t xml:space="preserve">. The terms of this Section 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(b) payment by Grantee to the Company of the Recapture Amount with respect to such Employment Violation;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B-3</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(2019 Annual Grant)</w:t>
      </w:r>
    </w:p>
    <w:p>
      <w:pPr>
        <w:sectPr>
          <w:pgSz w:w="11900" w:h="16838" w:orient="portrait"/>
          <w:cols w:equalWidth="0" w:num="1">
            <w:col w:w="11400"/>
          </w:cols>
          <w:pgMar w:left="240" w:top="577" w:right="25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20"/>
          <w:szCs w:val="20"/>
          <w:b w:val="1"/>
          <w:bCs w:val="1"/>
          <w:u w:val="single" w:color="auto"/>
          <w:color w:val="auto"/>
        </w:rPr>
        <w:t>EXHIBIT 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ACTIVISION BLIZZARD, INC.</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2014 INCENTIVE PLAN</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PERFORMANCE-VESTING RESTRICTED SHARE UNIT VESTING SCHEDULE</w:t>
      </w:r>
    </w:p>
    <w:p>
      <w:pPr>
        <w:spacing w:after="0" w:line="220"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Except as otherwise provided under the Award Terms, the Restricted Share Units awarded to you will vest in full on or prior to the 30th day of the third month after the end of the third full year hereafter (i.e., March 30, 2023), provided you remain continuously employed by the Company or one of its Subsidiaries through such date, as follows:</w:t>
      </w:r>
    </w:p>
    <w:p>
      <w:pPr>
        <w:spacing w:after="0" w:line="267" w:lineRule="exact"/>
        <w:rPr>
          <w:sz w:val="20"/>
          <w:szCs w:val="20"/>
          <w:color w:val="auto"/>
        </w:rPr>
      </w:pPr>
    </w:p>
    <w:p>
      <w:pPr>
        <w:ind w:left="5480"/>
        <w:spacing w:after="0"/>
        <w:rPr>
          <w:sz w:val="20"/>
          <w:szCs w:val="20"/>
          <w:color w:val="auto"/>
        </w:rPr>
      </w:pPr>
      <w:r>
        <w:rPr>
          <w:rFonts w:ascii="Arial" w:cs="Arial" w:eastAsia="Arial" w:hAnsi="Arial"/>
          <w:sz w:val="20"/>
          <w:szCs w:val="20"/>
          <w:b w:val="1"/>
          <w:bCs w:val="1"/>
          <w:color w:val="auto"/>
        </w:rPr>
        <w:t>If, and Only If, the Committee Determines that the Following</w:t>
      </w:r>
    </w:p>
    <w:p>
      <w:pPr>
        <w:ind w:left="2320" w:right="2640" w:hanging="955"/>
        <w:spacing w:after="0" w:line="239" w:lineRule="auto"/>
        <w:rPr>
          <w:sz w:val="20"/>
          <w:szCs w:val="20"/>
          <w:color w:val="auto"/>
        </w:rPr>
      </w:pPr>
      <w:r>
        <w:rPr>
          <w:rFonts w:ascii="Arial" w:cs="Arial" w:eastAsia="Arial" w:hAnsi="Arial"/>
          <w:sz w:val="20"/>
          <w:szCs w:val="20"/>
          <w:b w:val="1"/>
          <w:bCs w:val="1"/>
          <w:color w:val="auto"/>
        </w:rPr>
        <w:t>No. of Restricted Share Units Vesting</w:t>
      </w:r>
      <w:r>
        <w:rPr>
          <w:sz w:val="20"/>
          <w:szCs w:val="20"/>
          <w:color w:val="auto"/>
        </w:rPr>
        <w:t xml:space="preserve"> </w:t>
      </w:r>
      <w:r>
        <w:rPr>
          <w:rFonts w:ascii="Arial" w:cs="Arial" w:eastAsia="Arial" w:hAnsi="Arial"/>
          <w:sz w:val="41"/>
          <w:szCs w:val="41"/>
          <w:b w:val="1"/>
          <w:bCs w:val="1"/>
          <w:color w:val="auto"/>
          <w:vertAlign w:val="subscript"/>
        </w:rPr>
        <w:t>Has Occurred at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wp:posOffset>
            </wp:positionH>
            <wp:positionV relativeFrom="paragraph">
              <wp:posOffset>140970</wp:posOffset>
            </wp:positionV>
            <wp:extent cx="65741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7">
                      <a:extLst>
                        <a:ext uri="{28A0092B-C50C-407E-A947-70E740481C1C}"/>
                      </a:extLst>
                    </a:blip>
                    <a:srcRect/>
                    <a:stretch>
                      <a:fillRect/>
                    </a:stretch>
                  </pic:blipFill>
                  <pic:spPr bwMode="auto">
                    <a:xfrm>
                      <a:off x="0" y="0"/>
                      <a:ext cx="6574155" cy="8255"/>
                    </a:xfrm>
                    <a:prstGeom prst="rect">
                      <a:avLst/>
                    </a:prstGeom>
                    <a:noFill/>
                  </pic:spPr>
                </pic:pic>
              </a:graphicData>
            </a:graphic>
          </wp:anchor>
        </w:drawing>
      </w:r>
    </w:p>
    <w:p>
      <w:pPr>
        <w:sectPr>
          <w:pgSz w:w="11900" w:h="16838" w:orient="portrait"/>
          <w:cols w:equalWidth="0" w:num="1">
            <w:col w:w="11400"/>
          </w:cols>
          <w:pgMar w:left="240" w:top="573" w:right="259" w:bottom="1440" w:gutter="0" w:footer="0" w:header="0"/>
        </w:sectPr>
      </w:pPr>
    </w:p>
    <w:p>
      <w:pPr>
        <w:spacing w:after="0" w:line="239" w:lineRule="exact"/>
        <w:rPr>
          <w:sz w:val="20"/>
          <w:szCs w:val="20"/>
          <w:color w:val="auto"/>
        </w:rPr>
      </w:pPr>
    </w:p>
    <w:p>
      <w:pPr>
        <w:jc w:val="both"/>
        <w:ind w:left="560" w:right="60"/>
        <w:spacing w:after="0" w:line="296" w:lineRule="auto"/>
        <w:rPr>
          <w:sz w:val="20"/>
          <w:szCs w:val="20"/>
          <w:color w:val="auto"/>
        </w:rPr>
      </w:pPr>
      <w:r>
        <w:rPr>
          <w:rFonts w:ascii="Arial" w:cs="Arial" w:eastAsia="Arial" w:hAnsi="Arial"/>
          <w:sz w:val="18"/>
          <w:szCs w:val="18"/>
          <w:color w:val="auto"/>
        </w:rPr>
        <w:t>Number equal to the Annual Target Amount, as adjusted by the Performance Factor for the first full year hereafter and rounded to the nearest whole number</w:t>
      </w:r>
    </w:p>
    <w:p>
      <w:pPr>
        <w:spacing w:after="0" w:line="254" w:lineRule="exact"/>
        <w:rPr>
          <w:sz w:val="20"/>
          <w:szCs w:val="20"/>
          <w:color w:val="auto"/>
        </w:rPr>
      </w:pPr>
    </w:p>
    <w:p>
      <w:pPr>
        <w:ind w:left="560" w:right="100"/>
        <w:spacing w:after="0" w:line="296" w:lineRule="auto"/>
        <w:rPr>
          <w:sz w:val="20"/>
          <w:szCs w:val="20"/>
          <w:color w:val="auto"/>
        </w:rPr>
      </w:pPr>
      <w:r>
        <w:rPr>
          <w:rFonts w:ascii="Arial" w:cs="Arial" w:eastAsia="Arial" w:hAnsi="Arial"/>
          <w:sz w:val="18"/>
          <w:szCs w:val="18"/>
          <w:color w:val="auto"/>
        </w:rPr>
        <w:t>Number equal to the Annual Target Amount, as adjusted by the Performance Factor for the second full year hereafter and rounded to the nearest whole number</w:t>
      </w:r>
    </w:p>
    <w:p>
      <w:pPr>
        <w:spacing w:after="0" w:line="254" w:lineRule="exact"/>
        <w:rPr>
          <w:sz w:val="20"/>
          <w:szCs w:val="20"/>
          <w:color w:val="auto"/>
        </w:rPr>
      </w:pPr>
    </w:p>
    <w:p>
      <w:pPr>
        <w:jc w:val="both"/>
        <w:ind w:left="560"/>
        <w:spacing w:after="0" w:line="296" w:lineRule="auto"/>
        <w:rPr>
          <w:sz w:val="20"/>
          <w:szCs w:val="20"/>
          <w:color w:val="auto"/>
        </w:rPr>
      </w:pPr>
      <w:r>
        <w:rPr>
          <w:rFonts w:ascii="Arial" w:cs="Arial" w:eastAsia="Arial" w:hAnsi="Arial"/>
          <w:sz w:val="18"/>
          <w:szCs w:val="18"/>
          <w:color w:val="auto"/>
        </w:rPr>
        <w:t>Number equal to the Annual Target Amount, as adjusted by the Performance Factor for the third full year hereafter and rounded to the nearest whole number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both"/>
        <w:ind w:right="540"/>
        <w:spacing w:after="0" w:line="274" w:lineRule="auto"/>
        <w:rPr>
          <w:sz w:val="20"/>
          <w:szCs w:val="20"/>
          <w:color w:val="auto"/>
        </w:rPr>
      </w:pPr>
      <w:r>
        <w:rPr>
          <w:rFonts w:ascii="Arial" w:cs="Arial" w:eastAsia="Arial" w:hAnsi="Arial"/>
          <w:sz w:val="19"/>
          <w:szCs w:val="19"/>
          <w:color w:val="auto"/>
        </w:rPr>
        <w:t>The Business Unit’s Non-GAAP OI for the first full year hereafter is no more than 15% less than the Non-GAAP OI objective for the Business Unit set forth in the AOP for such year</w:t>
      </w:r>
    </w:p>
    <w:p>
      <w:pPr>
        <w:spacing w:after="0" w:line="272" w:lineRule="exact"/>
        <w:rPr>
          <w:sz w:val="20"/>
          <w:szCs w:val="20"/>
          <w:color w:val="auto"/>
        </w:rPr>
      </w:pPr>
    </w:p>
    <w:p>
      <w:pPr>
        <w:ind w:right="620"/>
        <w:spacing w:after="0" w:line="296" w:lineRule="auto"/>
        <w:rPr>
          <w:sz w:val="20"/>
          <w:szCs w:val="20"/>
          <w:color w:val="auto"/>
        </w:rPr>
      </w:pPr>
      <w:r>
        <w:rPr>
          <w:rFonts w:ascii="Arial" w:cs="Arial" w:eastAsia="Arial" w:hAnsi="Arial"/>
          <w:sz w:val="18"/>
          <w:szCs w:val="18"/>
          <w:color w:val="auto"/>
        </w:rPr>
        <w:t>The Business Unit’s Non-GAAP OI for the second full year hereafter is no more than 15% less than the Non-GAAP OI objective for the Business Unit set forth in the AOP for such year</w:t>
      </w:r>
    </w:p>
    <w:p>
      <w:pPr>
        <w:spacing w:after="0" w:line="254" w:lineRule="exact"/>
        <w:rPr>
          <w:sz w:val="20"/>
          <w:szCs w:val="20"/>
          <w:color w:val="auto"/>
        </w:rPr>
      </w:pPr>
    </w:p>
    <w:p>
      <w:pPr>
        <w:ind w:right="620"/>
        <w:spacing w:after="0" w:line="296" w:lineRule="auto"/>
        <w:rPr>
          <w:sz w:val="20"/>
          <w:szCs w:val="20"/>
          <w:color w:val="auto"/>
        </w:rPr>
      </w:pPr>
      <w:r>
        <w:rPr>
          <w:rFonts w:ascii="Arial" w:cs="Arial" w:eastAsia="Arial" w:hAnsi="Arial"/>
          <w:sz w:val="18"/>
          <w:szCs w:val="18"/>
          <w:color w:val="auto"/>
        </w:rPr>
        <w:t>The Business Unit’s Non-GAAP OI for the third full year hereafter is no more than 15% less than the Non-GAAP OI objective for the Business Unit set forth in the AOP for such year</w:t>
      </w:r>
    </w:p>
    <w:p>
      <w:pPr>
        <w:spacing w:after="0" w:line="200" w:lineRule="exact"/>
        <w:rPr>
          <w:sz w:val="20"/>
          <w:szCs w:val="20"/>
          <w:color w:val="auto"/>
        </w:rPr>
      </w:pPr>
    </w:p>
    <w:p>
      <w:pPr>
        <w:sectPr>
          <w:pgSz w:w="11900" w:h="16838" w:orient="portrait"/>
          <w:cols w:equalWidth="0" w:num="2">
            <w:col w:w="5280" w:space="160"/>
            <w:col w:w="5960"/>
          </w:cols>
          <w:pgMar w:left="240" w:top="573" w:right="259"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For purposes of this Vesting Schedule the following terms shall have the meanings set forth below:</w:t>
      </w:r>
    </w:p>
    <w:p>
      <w:pPr>
        <w:spacing w:after="0" w:line="212" w:lineRule="exact"/>
        <w:rPr>
          <w:sz w:val="20"/>
          <w:szCs w:val="20"/>
          <w:color w:val="auto"/>
        </w:rPr>
      </w:pPr>
    </w:p>
    <w:p>
      <w:pPr>
        <w:ind w:left="300"/>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Annual Target Amount</w:t>
      </w:r>
      <w:r>
        <w:rPr>
          <w:rFonts w:ascii="Arial" w:cs="Arial" w:eastAsia="Arial" w:hAnsi="Arial"/>
          <w:sz w:val="20"/>
          <w:szCs w:val="20"/>
          <w:color w:val="auto"/>
        </w:rPr>
        <w:t>” is a number of Restricted Share Units equal to one-third of the number of Restricted Share Units awarded as set forth in the Grant Notice.</w:t>
      </w:r>
    </w:p>
    <w:p>
      <w:pPr>
        <w:spacing w:after="0" w:line="137" w:lineRule="exact"/>
        <w:rPr>
          <w:sz w:val="20"/>
          <w:szCs w:val="20"/>
          <w:color w:val="auto"/>
        </w:rPr>
      </w:pPr>
    </w:p>
    <w:p>
      <w:pPr>
        <w:ind w:left="300" w:right="220"/>
        <w:spacing w:after="0" w:line="334" w:lineRule="auto"/>
        <w:rPr>
          <w:sz w:val="20"/>
          <w:szCs w:val="20"/>
          <w:color w:val="auto"/>
        </w:rPr>
      </w:pPr>
      <w:r>
        <w:rPr>
          <w:rFonts w:ascii="Arial" w:cs="Arial" w:eastAsia="Arial" w:hAnsi="Arial"/>
          <w:sz w:val="18"/>
          <w:szCs w:val="18"/>
          <w:b w:val="1"/>
          <w:bCs w:val="1"/>
          <w:color w:val="auto"/>
        </w:rPr>
        <w:t xml:space="preserve">“AOP” </w:t>
      </w:r>
      <w:r>
        <w:rPr>
          <w:rFonts w:ascii="Arial" w:cs="Arial" w:eastAsia="Arial" w:hAnsi="Arial"/>
          <w:sz w:val="18"/>
          <w:szCs w:val="18"/>
          <w:color w:val="auto"/>
        </w:rPr>
        <w:t>means the annual operating plan established by the Board for the relevant year and as approved by the Committee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modifications determined by the Committee) for use in connection with this Award on or prior to the 90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of that year.</w:t>
      </w:r>
    </w:p>
    <w:p>
      <w:pPr>
        <w:sectPr>
          <w:pgSz w:w="11900" w:h="16838" w:orient="portrait"/>
          <w:cols w:equalWidth="0" w:num="1">
            <w:col w:w="11400"/>
          </w:cols>
          <w:pgMar w:left="240" w:top="573" w:right="259" w:bottom="1440" w:gutter="0" w:footer="0" w:header="0"/>
          <w:type w:val="continuous"/>
        </w:sectPr>
      </w:pPr>
    </w:p>
    <w:bookmarkStart w:id="159" w:name="page160"/>
    <w:bookmarkEnd w:id="159"/>
    <w:p>
      <w:pPr>
        <w:ind w:left="30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Unit</w:t>
      </w:r>
      <w:r>
        <w:rPr>
          <w:rFonts w:ascii="Arial" w:cs="Arial" w:eastAsia="Arial" w:hAnsi="Arial"/>
          <w:sz w:val="19"/>
          <w:szCs w:val="19"/>
          <w:color w:val="auto"/>
        </w:rPr>
        <w:t>” means the business unit identified in the Grant Notice (and, for the sake of clarity, if your business unit is identified as “the Company” that means Activision Blizzard, if your business is identified as “Advertising”, that means the Company’s advertising group, if your business is identified as “ATVI Publishing”, that means Activision Publishing, if your business unit is identified as “Blizzard”, that means Blizzard Entertainment, if your business is identified as “CPD”, this means the consumer products division of the Company, and if your business is identified as “King”, that means King Digital Entertainment. Notwithstanding the foregoing, prior to the vesting of the Restricted Share Units, the Company, in its sole discretion, may adjust the performance objective for the relevant year by substituting the Non-GAAP OI and AOP Non-GAAP OI objective of one or more new or additional business units or activities for that of your original business unit or activity or by prorating or otherwise combining the Non-GAAP OI and AOP Non-GAAP OI objective of the applicable business units or activities, in each case for purposes of determining whether or not the conditions of the unvested Restricted Share Units have been satisfied.</w:t>
      </w:r>
    </w:p>
    <w:p>
      <w:pPr>
        <w:spacing w:after="0" w:line="121" w:lineRule="exact"/>
        <w:rPr>
          <w:sz w:val="20"/>
          <w:szCs w:val="20"/>
          <w:color w:val="auto"/>
        </w:rPr>
      </w:pPr>
    </w:p>
    <w:p>
      <w:pPr>
        <w:ind w:left="300" w:right="60"/>
        <w:spacing w:after="0" w:line="291" w:lineRule="auto"/>
        <w:rPr>
          <w:sz w:val="20"/>
          <w:szCs w:val="20"/>
          <w:color w:val="auto"/>
        </w:rPr>
      </w:pPr>
      <w:r>
        <w:rPr>
          <w:rFonts w:ascii="Arial" w:cs="Arial" w:eastAsia="Arial" w:hAnsi="Arial"/>
          <w:sz w:val="18"/>
          <w:szCs w:val="18"/>
          <w:b w:val="1"/>
          <w:bCs w:val="1"/>
          <w:color w:val="auto"/>
        </w:rPr>
        <w:t xml:space="preserve">“Non-GAAP OI” </w:t>
      </w:r>
      <w:r>
        <w:rPr>
          <w:rFonts w:ascii="Arial" w:cs="Arial" w:eastAsia="Arial" w:hAnsi="Arial"/>
          <w:sz w:val="18"/>
          <w:szCs w:val="18"/>
          <w:color w:val="auto"/>
        </w:rPr>
        <w:t>means non-GAAP operating income, calculated using the same accounting policies and otherwise in a manner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calculation of such measurement in the AOP. The Business Unit’s Non-GAAP OI shall also take into consideration the portion of any corporate contingency considered by the Committee at the time performance goals are established to the extent allocated to the Business Unit. Moreover, for the purposes of this Award, consistent with historic executive compensation practices, non-GAAP OI currently excludes the impact of any extraordinary transaction (defined as a non-recurring corporate transaction or legal expense matter which results in expenses exceeding $10 million). Any proposed changes to the accounting policies, or the manner of calculation, that would affect Non-GAAP OI for purposes of this Award may be approved by the Committee in its sole discretion.</w:t>
      </w:r>
    </w:p>
    <w:p>
      <w:pPr>
        <w:spacing w:after="0" w:line="143" w:lineRule="exact"/>
        <w:rPr>
          <w:sz w:val="20"/>
          <w:szCs w:val="20"/>
          <w:color w:val="auto"/>
        </w:rPr>
      </w:pPr>
    </w:p>
    <w:p>
      <w:pPr>
        <w:ind w:left="300" w:right="60"/>
        <w:spacing w:after="0" w:line="294" w:lineRule="auto"/>
        <w:rPr>
          <w:sz w:val="20"/>
          <w:szCs w:val="20"/>
          <w:color w:val="auto"/>
        </w:rPr>
      </w:pPr>
      <w:r>
        <w:rPr>
          <w:rFonts w:ascii="Arial" w:cs="Arial" w:eastAsia="Arial" w:hAnsi="Arial"/>
          <w:sz w:val="18"/>
          <w:szCs w:val="18"/>
          <w:b w:val="1"/>
          <w:bCs w:val="1"/>
          <w:color w:val="auto"/>
        </w:rPr>
        <w:t xml:space="preserve">“Performance Factor” </w:t>
      </w:r>
      <w:r>
        <w:rPr>
          <w:rFonts w:ascii="Arial" w:cs="Arial" w:eastAsia="Arial" w:hAnsi="Arial"/>
          <w:sz w:val="18"/>
          <w:szCs w:val="18"/>
          <w:color w:val="auto"/>
        </w:rPr>
        <w:t>means that (i) for each 1% that the absolute difference between the Business Unit’s Non-GAAP OI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year, as a percentage of AOP on an absolute basis for such year, is above the Non-GAAP OI objective for the Business Unit set forth in the AOP for such year, the Annual Target Amount is increased by 1%, up to a maximum increase of 25%, with linear interpolation between points, and (ii) for each 1% that the absolute difference between the Business Unit’s Non-GAAP OI for the applicable year, as a percentage of AOP on an absolute basis for such year, is below the Non-GAAP OI objective for the Business Unit set forth in the AOP for such year, the Annual Target Amount is decreased by 1%, with linear interpolation between points.</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Global PSU Grant Award Agreement (2019 Annual Grant)</w:t>
      </w:r>
    </w:p>
    <w:p>
      <w:pPr>
        <w:sectPr>
          <w:pgSz w:w="11900" w:h="16838" w:orient="portrait"/>
          <w:cols w:equalWidth="0" w:num="1">
            <w:col w:w="11380"/>
          </w:cols>
          <w:pgMar w:left="240" w:top="573" w:right="27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b w:val="1"/>
          <w:bCs w:val="1"/>
          <w:color w:val="auto"/>
        </w:rPr>
        <w:t>Exhibit 10.31</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ACTIVISION BLIZZARD, INC.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2014 INCENTIVE PLAN</w:t>
      </w:r>
    </w:p>
    <w:p>
      <w:pPr>
        <w:spacing w:after="0" w:line="216" w:lineRule="exact"/>
        <w:rPr>
          <w:sz w:val="20"/>
          <w:szCs w:val="20"/>
          <w:color w:val="auto"/>
        </w:rPr>
      </w:pPr>
    </w:p>
    <w:p>
      <w:pPr>
        <w:ind w:left="3940"/>
        <w:spacing w:after="0"/>
        <w:rPr>
          <w:sz w:val="20"/>
          <w:szCs w:val="20"/>
          <w:color w:val="auto"/>
        </w:rPr>
      </w:pPr>
      <w:r>
        <w:rPr>
          <w:rFonts w:ascii="Arial" w:cs="Arial" w:eastAsia="Arial" w:hAnsi="Arial"/>
          <w:sz w:val="20"/>
          <w:szCs w:val="20"/>
          <w:b w:val="1"/>
          <w:bCs w:val="1"/>
          <w:color w:val="auto"/>
        </w:rPr>
        <w:t>NOTICE OF STOCK OPTION AWARD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You have been awarded an option to purchase Common Shares of Activision Blizzard, Inc. (the “Company”), as follows:</w:t>
      </w:r>
    </w:p>
    <w:p>
      <w:pPr>
        <w:spacing w:after="0" w:line="110" w:lineRule="exact"/>
        <w:rPr>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Your name: </w:t>
      </w:r>
      <w:r>
        <w:rPr>
          <w:rFonts w:ascii="Arial" w:cs="Arial" w:eastAsia="Arial" w:hAnsi="Arial"/>
          <w:sz w:val="20"/>
          <w:szCs w:val="20"/>
          <w:b w:val="1"/>
          <w:bCs w:val="1"/>
          <w:color w:val="auto"/>
        </w:rPr>
        <w:t>Robert A. Kotick</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Total number of Shares purchasable upon exercise of the Stock Option awarded: </w:t>
      </w:r>
      <w:r>
        <w:rPr>
          <w:rFonts w:ascii="Arial" w:cs="Arial" w:eastAsia="Arial" w:hAnsi="Arial"/>
          <w:sz w:val="20"/>
          <w:szCs w:val="20"/>
          <w:b w:val="1"/>
          <w:bCs w:val="1"/>
          <w:color w:val="auto"/>
        </w:rPr>
        <w:t>[_________]</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Exercise Price: US$</w:t>
      </w:r>
      <w:r>
        <w:rPr>
          <w:rFonts w:ascii="Arial" w:cs="Arial" w:eastAsia="Arial" w:hAnsi="Arial"/>
          <w:sz w:val="20"/>
          <w:szCs w:val="20"/>
          <w:b w:val="1"/>
          <w:bCs w:val="1"/>
          <w:color w:val="auto"/>
        </w:rPr>
        <w:t>[_________]</w:t>
      </w:r>
      <w:r>
        <w:rPr>
          <w:rFonts w:ascii="Arial" w:cs="Arial" w:eastAsia="Arial" w:hAnsi="Arial"/>
          <w:sz w:val="20"/>
          <w:szCs w:val="20"/>
          <w:color w:val="auto"/>
        </w:rPr>
        <w:t xml:space="preserve"> per Share</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Date of Grant: </w:t>
      </w:r>
      <w:r>
        <w:rPr>
          <w:rFonts w:ascii="Arial" w:cs="Arial" w:eastAsia="Arial" w:hAnsi="Arial"/>
          <w:sz w:val="20"/>
          <w:szCs w:val="20"/>
          <w:b w:val="1"/>
          <w:bCs w:val="1"/>
          <w:color w:val="auto"/>
        </w:rPr>
        <w:t>[_________]</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Expiration Date: </w:t>
      </w:r>
      <w:r>
        <w:rPr>
          <w:rFonts w:ascii="Arial" w:cs="Arial" w:eastAsia="Arial" w:hAnsi="Arial"/>
          <w:sz w:val="20"/>
          <w:szCs w:val="20"/>
          <w:b w:val="1"/>
          <w:bCs w:val="1"/>
          <w:color w:val="auto"/>
        </w:rPr>
        <w:t>[_________]</w:t>
      </w:r>
    </w:p>
    <w:p>
      <w:pPr>
        <w:spacing w:after="0" w:line="178"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 xml:space="preserve">Grant ID: </w:t>
      </w:r>
      <w:r>
        <w:rPr>
          <w:rFonts w:ascii="Arial" w:cs="Arial" w:eastAsia="Arial" w:hAnsi="Arial"/>
          <w:sz w:val="20"/>
          <w:szCs w:val="20"/>
          <w:b w:val="1"/>
          <w:bCs w:val="1"/>
          <w:color w:val="auto"/>
        </w:rPr>
        <w:t>[_________]</w:t>
      </w:r>
    </w:p>
    <w:p>
      <w:pPr>
        <w:spacing w:after="0" w:line="182" w:lineRule="exact"/>
        <w:rPr>
          <w:rFonts w:ascii="Arial" w:cs="Arial" w:eastAsia="Arial" w:hAnsi="Arial"/>
          <w:sz w:val="20"/>
          <w:szCs w:val="20"/>
          <w:color w:val="auto"/>
        </w:rPr>
      </w:pPr>
    </w:p>
    <w:p>
      <w:pPr>
        <w:ind w:left="300" w:hanging="298"/>
        <w:spacing w:after="0"/>
        <w:tabs>
          <w:tab w:leader="none" w:pos="3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Your Award of the Stock Option is governed by the terms and conditions set forth in:</w:t>
      </w:r>
    </w:p>
    <w:p>
      <w:pPr>
        <w:spacing w:after="0" w:line="178" w:lineRule="exact"/>
        <w:rPr>
          <w:sz w:val="20"/>
          <w:szCs w:val="20"/>
          <w:color w:val="auto"/>
        </w:rPr>
      </w:pPr>
    </w:p>
    <w:p>
      <w:pPr>
        <w:ind w:left="620" w:hanging="312"/>
        <w:spacing w:after="0"/>
        <w:tabs>
          <w:tab w:leader="none" w:pos="6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this Notice of Stock Option Award;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 xml:space="preserve">•the Stock Option Award Terms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“Award Terms”); and</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Company’s 2014 Incentive Plan, the receipt of a copy of which you hereby acknowledge.</w:t>
      </w:r>
    </w:p>
    <w:p>
      <w:pPr>
        <w:spacing w:after="0" w:line="178" w:lineRule="exact"/>
        <w:rPr>
          <w:sz w:val="20"/>
          <w:szCs w:val="20"/>
          <w:color w:val="auto"/>
        </w:rPr>
      </w:pPr>
    </w:p>
    <w:p>
      <w:pPr>
        <w:ind w:left="300" w:right="780" w:hanging="298"/>
        <w:spacing w:after="0" w:line="283" w:lineRule="auto"/>
        <w:tabs>
          <w:tab w:leader="none" w:pos="3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Your Award of the Stock Option has been made in connection with your Employment Agreement, and is also governed by any applicable terms and conditions set forth in such agreement.</w:t>
      </w:r>
    </w:p>
    <w:p>
      <w:pPr>
        <w:spacing w:after="0" w:line="107" w:lineRule="exact"/>
        <w:rPr>
          <w:rFonts w:ascii="Arial" w:cs="Arial" w:eastAsia="Arial" w:hAnsi="Arial"/>
          <w:sz w:val="20"/>
          <w:szCs w:val="20"/>
          <w:color w:val="auto"/>
        </w:rPr>
      </w:pPr>
    </w:p>
    <w:p>
      <w:pPr>
        <w:ind w:left="300" w:right="400" w:hanging="298"/>
        <w:spacing w:after="0" w:line="268" w:lineRule="auto"/>
        <w:tabs>
          <w:tab w:leader="none" w:pos="300" w:val="left"/>
        </w:tabs>
        <w:numPr>
          <w:ilvl w:val="0"/>
          <w:numId w:val="117"/>
        </w:numPr>
        <w:rPr>
          <w:rFonts w:ascii="Arial" w:cs="Arial" w:eastAsia="Arial" w:hAnsi="Arial"/>
          <w:sz w:val="20"/>
          <w:szCs w:val="20"/>
          <w:color w:val="auto"/>
        </w:rPr>
      </w:pPr>
      <w:r>
        <w:rPr>
          <w:rFonts w:ascii="Arial" w:cs="Arial" w:eastAsia="Arial" w:hAnsi="Arial"/>
          <w:sz w:val="20"/>
          <w:szCs w:val="20"/>
          <w:i w:val="1"/>
          <w:iCs w:val="1"/>
          <w:color w:val="auto"/>
        </w:rPr>
        <w:t>Schedule for Vesting</w:t>
      </w:r>
      <w:r>
        <w:rPr>
          <w:rFonts w:ascii="Arial" w:cs="Arial" w:eastAsia="Arial" w:hAnsi="Arial"/>
          <w:sz w:val="20"/>
          <w:szCs w:val="20"/>
          <w:color w:val="auto"/>
        </w:rPr>
        <w:t>: Except as otherwise provided pursuant to the Award Terms, the Stock Option awarded to you shall vest and</w:t>
      </w:r>
      <w:r>
        <w:rPr>
          <w:rFonts w:ascii="Arial" w:cs="Arial" w:eastAsia="Arial" w:hAnsi="Arial"/>
          <w:sz w:val="20"/>
          <w:szCs w:val="20"/>
          <w:i w:val="1"/>
          <w:iCs w:val="1"/>
          <w:color w:val="auto"/>
        </w:rPr>
        <w:t xml:space="preserve"> </w:t>
      </w:r>
      <w:r>
        <w:rPr>
          <w:rFonts w:ascii="Arial" w:cs="Arial" w:eastAsia="Arial" w:hAnsi="Arial"/>
          <w:sz w:val="20"/>
          <w:szCs w:val="20"/>
          <w:color w:val="auto"/>
        </w:rPr>
        <w:t>become exercisable on December 31, 2023, provided you remain continuously employed by the Company or one of its subsidiaries through that date.</w:t>
      </w:r>
    </w:p>
    <w:p>
      <w:pPr>
        <w:spacing w:after="0" w:line="122" w:lineRule="exact"/>
        <w:rPr>
          <w:rFonts w:ascii="Arial" w:cs="Arial" w:eastAsia="Arial" w:hAnsi="Arial"/>
          <w:sz w:val="20"/>
          <w:szCs w:val="20"/>
          <w:color w:val="auto"/>
        </w:rPr>
      </w:pPr>
    </w:p>
    <w:p>
      <w:pPr>
        <w:ind w:left="300" w:right="600" w:hanging="298"/>
        <w:spacing w:after="0" w:line="283" w:lineRule="auto"/>
        <w:tabs>
          <w:tab w:leader="none" w:pos="300" w:val="left"/>
        </w:tabs>
        <w:numPr>
          <w:ilvl w:val="0"/>
          <w:numId w:val="117"/>
        </w:numPr>
        <w:rPr>
          <w:rFonts w:ascii="Arial" w:cs="Arial" w:eastAsia="Arial" w:hAnsi="Arial"/>
          <w:sz w:val="20"/>
          <w:szCs w:val="20"/>
          <w:color w:val="auto"/>
        </w:rPr>
      </w:pPr>
      <w:r>
        <w:rPr>
          <w:rFonts w:ascii="Arial" w:cs="Arial" w:eastAsia="Arial" w:hAnsi="Arial"/>
          <w:sz w:val="20"/>
          <w:szCs w:val="20"/>
          <w:b w:val="1"/>
          <w:bCs w:val="1"/>
          <w:i w:val="1"/>
          <w:iCs w:val="1"/>
          <w:color w:val="auto"/>
        </w:rPr>
        <w:t>Please sign and return to the Company this Notice of Stock Option Award, which bears an original signature on behalf of the Company. You are urged to do so promptly.</w:t>
      </w:r>
    </w:p>
    <w:p>
      <w:pPr>
        <w:sectPr>
          <w:pgSz w:w="11900" w:h="16838" w:orient="portrait"/>
          <w:cols w:equalWidth="0" w:num="1">
            <w:col w:w="11420"/>
          </w:cols>
          <w:pgMar w:left="240" w:top="570" w:right="239" w:bottom="1440" w:gutter="0" w:footer="0" w:header="0"/>
        </w:sectPr>
      </w:pPr>
    </w:p>
    <w:bookmarkStart w:id="161" w:name="page162"/>
    <w:bookmarkEnd w:id="161"/>
    <w:p>
      <w:pPr>
        <w:ind w:left="300" w:hanging="298"/>
        <w:spacing w:after="0"/>
        <w:tabs>
          <w:tab w:leader="none" w:pos="300" w:val="left"/>
        </w:tabs>
        <w:numPr>
          <w:ilvl w:val="0"/>
          <w:numId w:val="118"/>
        </w:numPr>
        <w:rPr>
          <w:rFonts w:ascii="Arial" w:cs="Arial" w:eastAsia="Arial" w:hAnsi="Arial"/>
          <w:sz w:val="20"/>
          <w:szCs w:val="20"/>
          <w:color w:val="auto"/>
        </w:rPr>
      </w:pPr>
      <w:r>
        <w:rPr>
          <w:rFonts w:ascii="Arial" w:cs="Arial" w:eastAsia="Arial" w:hAnsi="Arial"/>
          <w:sz w:val="20"/>
          <w:szCs w:val="20"/>
          <w:b w:val="1"/>
          <w:bCs w:val="1"/>
          <w:i w:val="1"/>
          <w:iCs w:val="1"/>
          <w:color w:val="auto"/>
        </w:rPr>
        <w:t>Please return the signed Notice of Stock Option Award to the Company at:</w:t>
      </w:r>
    </w:p>
    <w:p>
      <w:pPr>
        <w:spacing w:after="0" w:line="178"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Activision Blizzard, Inc.</w:t>
      </w:r>
    </w:p>
    <w:p>
      <w:pPr>
        <w:spacing w:after="0" w:line="30"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3100 Ocean Park Boulevard</w:t>
      </w:r>
    </w:p>
    <w:p>
      <w:pPr>
        <w:spacing w:after="0" w:line="12"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Santa Monica, CA 90405</w:t>
      </w:r>
    </w:p>
    <w:p>
      <w:pPr>
        <w:spacing w:after="0" w:line="12"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Attn: Stock Plan Administration</w:t>
      </w:r>
    </w:p>
    <w:p>
      <w:pPr>
        <w:spacing w:after="0" w:line="199" w:lineRule="exact"/>
        <w:rPr>
          <w:sz w:val="20"/>
          <w:szCs w:val="20"/>
          <w:color w:val="auto"/>
        </w:rPr>
      </w:pPr>
    </w:p>
    <w:p>
      <w:pPr>
        <w:ind w:left="300" w:hanging="298"/>
        <w:spacing w:after="0"/>
        <w:tabs>
          <w:tab w:leader="none" w:pos="30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Any capitalized term used but not otherwise defined herein shall have the meaning ascribed to such term in the Award Terms.</w:t>
      </w:r>
    </w:p>
    <w:p>
      <w:pPr>
        <w:spacing w:after="0" w:line="227" w:lineRule="exact"/>
        <w:rPr>
          <w:rFonts w:ascii="Arial" w:cs="Arial" w:eastAsia="Arial" w:hAnsi="Arial"/>
          <w:sz w:val="19"/>
          <w:szCs w:val="19"/>
          <w:color w:val="auto"/>
        </w:rPr>
      </w:pPr>
    </w:p>
    <w:p>
      <w:pPr>
        <w:ind w:left="300" w:hanging="298"/>
        <w:spacing w:after="0"/>
        <w:tabs>
          <w:tab w:leader="none" w:pos="300" w:val="left"/>
        </w:tabs>
        <w:numPr>
          <w:ilvl w:val="0"/>
          <w:numId w:val="119"/>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The Stock Option is not intended to be an “incentive stock option,” as such term is defined in Section 422 of the Code.</w:t>
      </w:r>
    </w:p>
    <w:p>
      <w:pPr>
        <w:spacing w:after="0" w:line="189" w:lineRule="exact"/>
        <w:rPr>
          <w:rFonts w:ascii="Arial" w:cs="Arial" w:eastAsia="Arial" w:hAnsi="Arial"/>
          <w:sz w:val="19"/>
          <w:szCs w:val="19"/>
          <w:b w:val="1"/>
          <w:bCs w:val="1"/>
          <w:i w:val="1"/>
          <w:iCs w:val="1"/>
          <w:color w:val="auto"/>
        </w:rPr>
      </w:pPr>
    </w:p>
    <w:p>
      <w:pPr>
        <w:ind w:left="300" w:hanging="298"/>
        <w:spacing w:after="0" w:line="283" w:lineRule="auto"/>
        <w:tabs>
          <w:tab w:leader="none" w:pos="300" w:val="left"/>
        </w:tabs>
        <w:numPr>
          <w:ilvl w:val="0"/>
          <w:numId w:val="119"/>
        </w:numPr>
        <w:rPr>
          <w:rFonts w:ascii="Arial" w:cs="Arial" w:eastAsia="Arial" w:hAnsi="Arial"/>
          <w:sz w:val="20"/>
          <w:szCs w:val="20"/>
          <w:i w:val="1"/>
          <w:iCs w:val="1"/>
          <w:color w:val="auto"/>
        </w:rPr>
      </w:pPr>
      <w:r>
        <w:rPr>
          <w:rFonts w:ascii="Arial" w:cs="Arial" w:eastAsia="Arial" w:hAnsi="Arial"/>
          <w:sz w:val="20"/>
          <w:szCs w:val="20"/>
          <w:b w:val="1"/>
          <w:bCs w:val="1"/>
          <w:i w:val="1"/>
          <w:iCs w:val="1"/>
          <w:color w:val="auto"/>
        </w:rPr>
        <w:t>By accepting the Award, you are deemed to be bound by the terms and conditions set forth in the 2014 Incentive Plan, this Notice of Stock Option Award and the Award Terms.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You should retain the enclosed duplicate copy of this Notice of Stock Option Award for your records.</w:t>
      </w:r>
    </w:p>
    <w:p>
      <w:pPr>
        <w:spacing w:after="0" w:line="212" w:lineRule="exact"/>
        <w:rPr>
          <w:sz w:val="20"/>
          <w:szCs w:val="20"/>
          <w:color w:val="auto"/>
        </w:rPr>
      </w:pPr>
    </w:p>
    <w:p>
      <w:pPr>
        <w:ind w:left="3980"/>
        <w:spacing w:after="0"/>
        <w:rPr>
          <w:sz w:val="20"/>
          <w:szCs w:val="20"/>
          <w:color w:val="auto"/>
        </w:rPr>
      </w:pPr>
      <w:r>
        <w:rPr>
          <w:rFonts w:ascii="Arial" w:cs="Arial" w:eastAsia="Arial" w:hAnsi="Arial"/>
          <w:sz w:val="20"/>
          <w:szCs w:val="20"/>
          <w:b w:val="1"/>
          <w:b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7190740</wp:posOffset>
            </wp:positionH>
            <wp:positionV relativeFrom="paragraph">
              <wp:posOffset>469265</wp:posOffset>
            </wp:positionV>
            <wp:extent cx="124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8">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Brian Stolz</w:t>
      </w:r>
    </w:p>
    <w:p>
      <w:pPr>
        <w:spacing w:after="0" w:line="30"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Chief People Officer</w:t>
      </w:r>
    </w:p>
    <w:p>
      <w:pPr>
        <w:spacing w:after="0" w:line="237"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-10160</wp:posOffset>
            </wp:positionV>
            <wp:extent cx="1295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9">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Robert A. Kotick</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-10160</wp:posOffset>
            </wp:positionV>
            <wp:extent cx="129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0">
                      <a:extLst>
                        <a:ext uri="{28A0092B-C50C-407E-A947-70E740481C1C}"/>
                      </a:extLst>
                    </a:blip>
                    <a:srcRect/>
                    <a:stretch>
                      <a:fillRect/>
                    </a:stretch>
                  </pic:blipFill>
                  <pic:spPr bwMode="auto">
                    <a:xfrm>
                      <a:off x="0" y="0"/>
                      <a:ext cx="129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60"/>
          </w:cols>
          <w:pgMar w:left="240" w:top="577" w:right="299" w:bottom="1440" w:gutter="0" w:footer="0" w:header="0"/>
        </w:sectPr>
      </w:pPr>
    </w:p>
    <w:bookmarkStart w:id="162" w:name="page163"/>
    <w:bookmarkEnd w:id="162"/>
    <w:p>
      <w:pPr>
        <w:jc w:val="center"/>
        <w:ind w:right="-39"/>
        <w:spacing w:after="0"/>
        <w:rPr>
          <w:sz w:val="20"/>
          <w:szCs w:val="20"/>
          <w:color w:val="auto"/>
        </w:rPr>
      </w:pPr>
      <w:r>
        <w:rPr>
          <w:rFonts w:ascii="Arial" w:cs="Arial" w:eastAsia="Arial" w:hAnsi="Arial"/>
          <w:sz w:val="20"/>
          <w:szCs w:val="20"/>
          <w:b w:val="1"/>
          <w:bCs w:val="1"/>
          <w:u w:val="single" w:color="auto"/>
          <w:color w:val="auto"/>
        </w:rPr>
        <w:t>EXHIBIT A</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ACTIVISION BLIZZARD, INC.</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2014 INCENTIVE PLAN</w:t>
      </w: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 AWARD TERMS</w:t>
      </w:r>
    </w:p>
    <w:p>
      <w:pPr>
        <w:spacing w:after="0" w:line="195" w:lineRule="exact"/>
        <w:rPr>
          <w:sz w:val="20"/>
          <w:szCs w:val="20"/>
          <w:color w:val="auto"/>
        </w:rPr>
      </w:pPr>
    </w:p>
    <w:p>
      <w:pPr>
        <w:ind w:left="1380" w:hanging="766"/>
        <w:spacing w:after="0"/>
        <w:tabs>
          <w:tab w:leader="none" w:pos="1380" w:val="left"/>
        </w:tabs>
        <w:numPr>
          <w:ilvl w:val="0"/>
          <w:numId w:val="120"/>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1620" w:hanging="394"/>
        <w:spacing w:after="0"/>
        <w:tabs>
          <w:tab w:leader="none" w:pos="162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For purposes of these Award Terms, the following terms shall have the meanings set forth below:</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“Award” </w:t>
      </w:r>
      <w:r>
        <w:rPr>
          <w:rFonts w:ascii="Arial" w:cs="Arial" w:eastAsia="Arial" w:hAnsi="Arial"/>
          <w:sz w:val="20"/>
          <w:szCs w:val="20"/>
          <w:color w:val="auto"/>
        </w:rPr>
        <w:t>means the award described on the Grant Notice.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“Cause” </w:t>
      </w:r>
      <w:r>
        <w:rPr>
          <w:rFonts w:ascii="Arial" w:cs="Arial" w:eastAsia="Arial" w:hAnsi="Arial"/>
          <w:sz w:val="20"/>
          <w:szCs w:val="20"/>
          <w:color w:val="auto"/>
        </w:rPr>
        <w:t>shall have the meaning given to such term in the Employment Agreement.</w:t>
      </w:r>
    </w:p>
    <w:p>
      <w:pPr>
        <w:spacing w:after="0" w:line="216" w:lineRule="exact"/>
        <w:rPr>
          <w:sz w:val="20"/>
          <w:szCs w:val="20"/>
          <w:color w:val="auto"/>
        </w:rPr>
      </w:pPr>
    </w:p>
    <w:p>
      <w:pPr>
        <w:ind w:firstLine="1224"/>
        <w:spacing w:after="0" w:line="346"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Shares may be changed by reason of any transaction or event of the type referred to in Section 9 hereof.</w:t>
      </w:r>
    </w:p>
    <w:p>
      <w:pPr>
        <w:spacing w:after="0" w:line="92"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w:t>
      </w:r>
      <w:r>
        <w:rPr>
          <w:rFonts w:ascii="Arial" w:cs="Arial" w:eastAsia="Arial" w:hAnsi="Arial"/>
          <w:sz w:val="20"/>
          <w:szCs w:val="20"/>
          <w:color w:val="auto"/>
        </w:rPr>
        <w:t>means Activision Blizzard, Inc. and any successor thereto.</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“Company Group” </w:t>
      </w:r>
      <w:r>
        <w:rPr>
          <w:rFonts w:ascii="Arial" w:cs="Arial" w:eastAsia="Arial" w:hAnsi="Arial"/>
          <w:sz w:val="20"/>
          <w:szCs w:val="20"/>
          <w:color w:val="auto"/>
        </w:rPr>
        <w:t>means the Company and its Subsidiaries.</w:t>
      </w:r>
    </w:p>
    <w:p>
      <w:pPr>
        <w:spacing w:after="0" w:line="216" w:lineRule="exact"/>
        <w:rPr>
          <w:sz w:val="20"/>
          <w:szCs w:val="20"/>
          <w:color w:val="auto"/>
        </w:rPr>
      </w:pPr>
    </w:p>
    <w:p>
      <w:pPr>
        <w:ind w:right="560" w:firstLine="1224"/>
        <w:spacing w:after="0" w:line="288" w:lineRule="auto"/>
        <w:rPr>
          <w:sz w:val="20"/>
          <w:szCs w:val="20"/>
          <w:color w:val="auto"/>
        </w:rPr>
      </w:pPr>
      <w:r>
        <w:rPr>
          <w:rFonts w:ascii="Arial" w:cs="Arial" w:eastAsia="Arial" w:hAnsi="Arial"/>
          <w:sz w:val="20"/>
          <w:szCs w:val="20"/>
          <w:b w:val="1"/>
          <w:bCs w:val="1"/>
          <w:color w:val="auto"/>
        </w:rPr>
        <w:t xml:space="preserve">“Company-Sponsored Equity Account” </w:t>
      </w:r>
      <w:r>
        <w:rPr>
          <w:rFonts w:ascii="Arial" w:cs="Arial" w:eastAsia="Arial" w:hAnsi="Arial"/>
          <w:sz w:val="20"/>
          <w:szCs w:val="20"/>
          <w:color w:val="auto"/>
        </w:rPr>
        <w:t>means an account that is created with the Equity Account Administrator in</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connection with the administration of the Company’s equity plans and programs, including the Plan.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means the Date of Grant of the Award set forth on the Grant Notice.</w:t>
      </w:r>
    </w:p>
    <w:p>
      <w:pPr>
        <w:spacing w:after="0" w:line="216" w:lineRule="exact"/>
        <w:rPr>
          <w:sz w:val="20"/>
          <w:szCs w:val="20"/>
          <w:color w:val="auto"/>
        </w:rPr>
      </w:pPr>
    </w:p>
    <w:p>
      <w:pPr>
        <w:ind w:right="140" w:firstLine="1224"/>
        <w:spacing w:after="0" w:line="288" w:lineRule="auto"/>
        <w:rPr>
          <w:sz w:val="20"/>
          <w:szCs w:val="20"/>
          <w:color w:val="auto"/>
        </w:rPr>
      </w:pPr>
      <w:r>
        <w:rPr>
          <w:rFonts w:ascii="Arial" w:cs="Arial" w:eastAsia="Arial" w:hAnsi="Arial"/>
          <w:sz w:val="20"/>
          <w:szCs w:val="20"/>
          <w:b w:val="1"/>
          <w:bCs w:val="1"/>
          <w:color w:val="auto"/>
        </w:rPr>
        <w:t xml:space="preserve">“Employment Agreement” </w:t>
      </w:r>
      <w:r>
        <w:rPr>
          <w:rFonts w:ascii="Arial" w:cs="Arial" w:eastAsia="Arial" w:hAnsi="Arial"/>
          <w:sz w:val="20"/>
          <w:szCs w:val="20"/>
          <w:color w:val="auto"/>
        </w:rPr>
        <w:t>means that certain Employment Agreement between the Holder and the Company dated as of</w:t>
      </w:r>
      <w:r>
        <w:rPr>
          <w:rFonts w:ascii="Arial" w:cs="Arial" w:eastAsia="Arial" w:hAnsi="Arial"/>
          <w:sz w:val="20"/>
          <w:szCs w:val="20"/>
          <w:b w:val="1"/>
          <w:bCs w:val="1"/>
          <w:color w:val="auto"/>
        </w:rPr>
        <w:t xml:space="preserve"> </w:t>
      </w:r>
      <w:r>
        <w:rPr>
          <w:rFonts w:ascii="Arial" w:cs="Arial" w:eastAsia="Arial" w:hAnsi="Arial"/>
          <w:sz w:val="20"/>
          <w:szCs w:val="20"/>
          <w:color w:val="auto"/>
        </w:rPr>
        <w:t>October 1, 2016.</w:t>
      </w:r>
    </w:p>
    <w:p>
      <w:pPr>
        <w:spacing w:after="0" w:line="137" w:lineRule="exact"/>
        <w:rPr>
          <w:sz w:val="20"/>
          <w:szCs w:val="20"/>
          <w:color w:val="auto"/>
        </w:rPr>
      </w:pPr>
    </w:p>
    <w:p>
      <w:pPr>
        <w:ind w:right="40" w:firstLine="1224"/>
        <w:spacing w:after="0" w:line="288" w:lineRule="auto"/>
        <w:rPr>
          <w:sz w:val="20"/>
          <w:szCs w:val="20"/>
          <w:color w:val="auto"/>
        </w:rPr>
      </w:pPr>
      <w:r>
        <w:rPr>
          <w:rFonts w:ascii="Arial" w:cs="Arial" w:eastAsia="Arial" w:hAnsi="Arial"/>
          <w:sz w:val="20"/>
          <w:szCs w:val="20"/>
          <w:b w:val="1"/>
          <w:bCs w:val="1"/>
          <w:color w:val="auto"/>
        </w:rPr>
        <w:t xml:space="preserve">“Employment Violation” </w:t>
      </w:r>
      <w:r>
        <w:rPr>
          <w:rFonts w:ascii="Arial" w:cs="Arial" w:eastAsia="Arial" w:hAnsi="Arial"/>
          <w:sz w:val="20"/>
          <w:szCs w:val="20"/>
          <w:color w:val="auto"/>
        </w:rPr>
        <w:t>means any material breach by the Holder of the Employment Agreement (with any breach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post-termination obligations contained therein deemed to be material for purposes of this definition).</w:t>
      </w:r>
    </w:p>
    <w:p>
      <w:pPr>
        <w:spacing w:after="0" w:line="137" w:lineRule="exact"/>
        <w:rPr>
          <w:sz w:val="20"/>
          <w:szCs w:val="20"/>
          <w:color w:val="auto"/>
        </w:rPr>
      </w:pPr>
    </w:p>
    <w:p>
      <w:pPr>
        <w:ind w:right="500" w:firstLine="1224"/>
        <w:spacing w:after="0" w:line="288" w:lineRule="auto"/>
        <w:rPr>
          <w:sz w:val="20"/>
          <w:szCs w:val="20"/>
          <w:color w:val="auto"/>
        </w:rPr>
      </w:pPr>
      <w:r>
        <w:rPr>
          <w:rFonts w:ascii="Arial" w:cs="Arial" w:eastAsia="Arial" w:hAnsi="Arial"/>
          <w:sz w:val="20"/>
          <w:szCs w:val="20"/>
          <w:b w:val="1"/>
          <w:bCs w:val="1"/>
          <w:color w:val="auto"/>
        </w:rPr>
        <w:t xml:space="preserve">“Equity Account Administrator” </w:t>
      </w:r>
      <w:r>
        <w:rPr>
          <w:rFonts w:ascii="Arial" w:cs="Arial" w:eastAsia="Arial" w:hAnsi="Arial"/>
          <w:sz w:val="20"/>
          <w:szCs w:val="20"/>
          <w:color w:val="auto"/>
        </w:rPr>
        <w:t>means the brokerage firm utilized by the Company from time to time to create and</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administer accounts for participants in the Company’s equity plans and programs, including the Plan.</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“Exercise Price” </w:t>
      </w:r>
      <w:r>
        <w:rPr>
          <w:rFonts w:ascii="Arial" w:cs="Arial" w:eastAsia="Arial" w:hAnsi="Arial"/>
          <w:sz w:val="20"/>
          <w:szCs w:val="20"/>
          <w:color w:val="auto"/>
        </w:rPr>
        <w:t>means the Exercise Price set forth on the Grant Notice.</w:t>
      </w:r>
    </w:p>
    <w:p>
      <w:pPr>
        <w:sectPr>
          <w:pgSz w:w="11900" w:h="16838" w:orient="portrait"/>
          <w:cols w:equalWidth="0" w:num="1">
            <w:col w:w="11380"/>
          </w:cols>
          <w:pgMar w:left="240" w:top="573" w:right="279" w:bottom="1440" w:gutter="0" w:footer="0" w:header="0"/>
        </w:sectPr>
      </w:pPr>
    </w:p>
    <w:bookmarkStart w:id="163" w:name="page164"/>
    <w:bookmarkEnd w:id="163"/>
    <w:p>
      <w:pPr>
        <w:ind w:right="100" w:firstLine="1224"/>
        <w:spacing w:after="0" w:line="261" w:lineRule="auto"/>
        <w:rPr>
          <w:sz w:val="20"/>
          <w:szCs w:val="20"/>
          <w:color w:val="auto"/>
        </w:rPr>
      </w:pPr>
      <w:r>
        <w:rPr>
          <w:rFonts w:ascii="Arial" w:cs="Arial" w:eastAsia="Arial" w:hAnsi="Arial"/>
          <w:sz w:val="20"/>
          <w:szCs w:val="20"/>
          <w:b w:val="1"/>
          <w:bCs w:val="1"/>
          <w:color w:val="auto"/>
        </w:rPr>
        <w:t xml:space="preserve">“Exercise Rules and Regulations” </w:t>
      </w:r>
      <w:r>
        <w:rPr>
          <w:rFonts w:ascii="Arial" w:cs="Arial" w:eastAsia="Arial" w:hAnsi="Arial"/>
          <w:sz w:val="20"/>
          <w:szCs w:val="20"/>
          <w:color w:val="auto"/>
        </w:rPr>
        <w:t>means (i) the Securities Act or any comparable federal securities law and all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state securities 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“Expiration Date” </w:t>
      </w:r>
      <w:r>
        <w:rPr>
          <w:rFonts w:ascii="Arial" w:cs="Arial" w:eastAsia="Arial" w:hAnsi="Arial"/>
          <w:sz w:val="20"/>
          <w:szCs w:val="20"/>
          <w:color w:val="auto"/>
        </w:rPr>
        <w:t>means the Expiration Date set forth on the Grant Notice.</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“Grant Notice” </w:t>
      </w:r>
      <w:r>
        <w:rPr>
          <w:rFonts w:ascii="Arial" w:cs="Arial" w:eastAsia="Arial" w:hAnsi="Arial"/>
          <w:sz w:val="20"/>
          <w:szCs w:val="20"/>
          <w:color w:val="auto"/>
        </w:rPr>
        <w:t>means the Notice of Stock Option Award to which the Award Terms are attached.</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“Holder” </w:t>
      </w:r>
      <w:r>
        <w:rPr>
          <w:rFonts w:ascii="Arial" w:cs="Arial" w:eastAsia="Arial" w:hAnsi="Arial"/>
          <w:sz w:val="20"/>
          <w:szCs w:val="20"/>
          <w:color w:val="auto"/>
        </w:rPr>
        <w:t>means the recipient of the Award named on the Grant Notice.</w:t>
      </w:r>
    </w:p>
    <w:p>
      <w:pPr>
        <w:spacing w:after="0" w:line="216" w:lineRule="exact"/>
        <w:rPr>
          <w:sz w:val="20"/>
          <w:szCs w:val="20"/>
          <w:color w:val="auto"/>
        </w:rPr>
      </w:pPr>
    </w:p>
    <w:p>
      <w:pPr>
        <w:ind w:right="160" w:firstLine="1224"/>
        <w:spacing w:after="0" w:line="270" w:lineRule="auto"/>
        <w:rPr>
          <w:sz w:val="20"/>
          <w:szCs w:val="20"/>
          <w:color w:val="auto"/>
        </w:rPr>
      </w:pPr>
      <w:r>
        <w:rPr>
          <w:rFonts w:ascii="Arial" w:cs="Arial" w:eastAsia="Arial" w:hAnsi="Arial"/>
          <w:sz w:val="20"/>
          <w:szCs w:val="20"/>
          <w:b w:val="1"/>
          <w:bCs w:val="1"/>
          <w:color w:val="auto"/>
        </w:rPr>
        <w:t xml:space="preserve">“Look-back Period” </w:t>
      </w:r>
      <w:r>
        <w:rPr>
          <w:rFonts w:ascii="Arial" w:cs="Arial" w:eastAsia="Arial" w:hAnsi="Arial"/>
          <w:sz w:val="20"/>
          <w:szCs w:val="20"/>
          <w:color w:val="auto"/>
        </w:rPr>
        <w:t>means, with respect to any Employment Violation by the Holder, the period beginning on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12 months prior to the date of such Employment Violation by the Holder and ending on the date of computation of the Recapture Amount with respect to such Employment Violation.</w:t>
      </w:r>
    </w:p>
    <w:p>
      <w:pPr>
        <w:spacing w:after="0" w:line="155" w:lineRule="exact"/>
        <w:rPr>
          <w:sz w:val="20"/>
          <w:szCs w:val="20"/>
          <w:color w:val="auto"/>
        </w:rPr>
      </w:pPr>
    </w:p>
    <w:p>
      <w:pPr>
        <w:ind w:right="800" w:firstLine="1224"/>
        <w:spacing w:after="0" w:line="288" w:lineRule="auto"/>
        <w:rPr>
          <w:sz w:val="20"/>
          <w:szCs w:val="20"/>
          <w:color w:val="auto"/>
        </w:rPr>
      </w:pPr>
      <w:r>
        <w:rPr>
          <w:rFonts w:ascii="Arial" w:cs="Arial" w:eastAsia="Arial" w:hAnsi="Arial"/>
          <w:sz w:val="20"/>
          <w:szCs w:val="20"/>
          <w:b w:val="1"/>
          <w:bCs w:val="1"/>
          <w:color w:val="auto"/>
        </w:rPr>
        <w:t xml:space="preserve">“Option” </w:t>
      </w:r>
      <w:r>
        <w:rPr>
          <w:rFonts w:ascii="Arial" w:cs="Arial" w:eastAsia="Arial" w:hAnsi="Arial"/>
          <w:sz w:val="20"/>
          <w:szCs w:val="20"/>
          <w:color w:val="auto"/>
        </w:rPr>
        <w:t>means the Stock Option to purchase Common Shares awarded to the Holder on the 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described in the Grant Notice and these Award Terms.</w:t>
      </w:r>
    </w:p>
    <w:p>
      <w:pPr>
        <w:spacing w:after="0" w:line="13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“Plan” </w:t>
      </w:r>
      <w:r>
        <w:rPr>
          <w:rFonts w:ascii="Arial" w:cs="Arial" w:eastAsia="Arial" w:hAnsi="Arial"/>
          <w:sz w:val="20"/>
          <w:szCs w:val="20"/>
          <w:color w:val="auto"/>
        </w:rPr>
        <w:t>means the Activision Blizzard, Inc. 2014 Incentive Plan, as amended from time to time.</w:t>
      </w:r>
    </w:p>
    <w:p>
      <w:pPr>
        <w:spacing w:after="0" w:line="216" w:lineRule="exact"/>
        <w:rPr>
          <w:sz w:val="20"/>
          <w:szCs w:val="20"/>
          <w:color w:val="auto"/>
        </w:rPr>
      </w:pPr>
    </w:p>
    <w:p>
      <w:pPr>
        <w:ind w:right="180" w:firstLine="1224"/>
        <w:spacing w:after="0" w:line="270" w:lineRule="auto"/>
        <w:rPr>
          <w:sz w:val="20"/>
          <w:szCs w:val="20"/>
          <w:color w:val="auto"/>
        </w:rPr>
      </w:pPr>
      <w:r>
        <w:rPr>
          <w:rFonts w:ascii="Arial" w:cs="Arial" w:eastAsia="Arial" w:hAnsi="Arial"/>
          <w:sz w:val="20"/>
          <w:szCs w:val="20"/>
          <w:b w:val="1"/>
          <w:bCs w:val="1"/>
          <w:color w:val="auto"/>
        </w:rPr>
        <w:t xml:space="preserve">“Recapture Amount” </w:t>
      </w:r>
      <w:r>
        <w:rPr>
          <w:rFonts w:ascii="Arial" w:cs="Arial" w:eastAsia="Arial" w:hAnsi="Arial"/>
          <w:sz w:val="20"/>
          <w:szCs w:val="20"/>
          <w:color w:val="auto"/>
        </w:rPr>
        <w:t>means, with respect to any Employment Violation by the Holder, the gross gain realized or</w:t>
      </w:r>
      <w:r>
        <w:rPr>
          <w:rFonts w:ascii="Arial" w:cs="Arial" w:eastAsia="Arial" w:hAnsi="Arial"/>
          <w:sz w:val="20"/>
          <w:szCs w:val="20"/>
          <w:b w:val="1"/>
          <w:bCs w:val="1"/>
          <w:color w:val="auto"/>
        </w:rPr>
        <w:t xml:space="preserve"> </w:t>
      </w:r>
      <w:r>
        <w:rPr>
          <w:rFonts w:ascii="Arial" w:cs="Arial" w:eastAsia="Arial" w:hAnsi="Arial"/>
          <w:sz w:val="20"/>
          <w:szCs w:val="20"/>
          <w:color w:val="auto"/>
        </w:rPr>
        <w:t>unrealized by the Holder upon all exercises of the Stock Option during the Look-back Period with respect to such Employment Violation, which gain shall be calculated as the sum of:</w:t>
      </w:r>
    </w:p>
    <w:p>
      <w:pPr>
        <w:spacing w:after="0" w:line="159" w:lineRule="exact"/>
        <w:rPr>
          <w:sz w:val="20"/>
          <w:szCs w:val="20"/>
          <w:color w:val="auto"/>
        </w:rPr>
      </w:pPr>
    </w:p>
    <w:p>
      <w:pPr>
        <w:jc w:val="both"/>
        <w:ind w:left="620" w:right="220" w:firstLine="606"/>
        <w:spacing w:after="0" w:line="268" w:lineRule="auto"/>
        <w:tabs>
          <w:tab w:leader="none" w:pos="1629"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60" w:lineRule="exact"/>
        <w:rPr>
          <w:rFonts w:ascii="Arial" w:cs="Arial" w:eastAsia="Arial" w:hAnsi="Arial"/>
          <w:sz w:val="20"/>
          <w:szCs w:val="20"/>
          <w:color w:val="auto"/>
        </w:rPr>
      </w:pPr>
    </w:p>
    <w:p>
      <w:pPr>
        <w:ind w:left="620" w:firstLine="606"/>
        <w:spacing w:after="0" w:line="257" w:lineRule="auto"/>
        <w:tabs>
          <w:tab w:leader="none" w:pos="1685"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200" w:lineRule="exact"/>
        <w:rPr>
          <w:sz w:val="20"/>
          <w:szCs w:val="20"/>
          <w:color w:val="auto"/>
        </w:rPr>
      </w:pPr>
    </w:p>
    <w:p>
      <w:pPr>
        <w:spacing w:after="0" w:line="354"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573" w:right="239" w:bottom="1440" w:gutter="0" w:footer="0" w:header="0"/>
        </w:sectPr>
      </w:pPr>
    </w:p>
    <w:bookmarkStart w:id="164" w:name="page165"/>
    <w:bookmarkEnd w:id="164"/>
    <w:p>
      <w:pPr>
        <w:ind w:left="1220"/>
        <w:spacing w:after="0"/>
        <w:rPr>
          <w:sz w:val="20"/>
          <w:szCs w:val="20"/>
          <w:color w:val="auto"/>
        </w:rPr>
      </w:pPr>
      <w:r>
        <w:rPr>
          <w:rFonts w:ascii="Arial" w:cs="Arial" w:eastAsia="Arial" w:hAnsi="Arial"/>
          <w:sz w:val="20"/>
          <w:szCs w:val="20"/>
          <w:b w:val="1"/>
          <w:bCs w:val="1"/>
          <w:color w:val="auto"/>
        </w:rPr>
        <w:t xml:space="preserve">“Section 409A” </w:t>
      </w:r>
      <w:r>
        <w:rPr>
          <w:rFonts w:ascii="Arial" w:cs="Arial" w:eastAsia="Arial" w:hAnsi="Arial"/>
          <w:sz w:val="20"/>
          <w:szCs w:val="20"/>
          <w:color w:val="auto"/>
        </w:rPr>
        <w:t>means Section 409A of the Code and the guidance and regulations promulgated thereunder.</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“Securities Act” </w:t>
      </w:r>
      <w:r>
        <w:rPr>
          <w:rFonts w:ascii="Arial" w:cs="Arial" w:eastAsia="Arial" w:hAnsi="Arial"/>
          <w:sz w:val="20"/>
          <w:szCs w:val="20"/>
          <w:color w:val="auto"/>
        </w:rPr>
        <w:t>means the Securities Act of 1933, as amended.</w:t>
      </w:r>
    </w:p>
    <w:p>
      <w:pPr>
        <w:spacing w:after="0" w:line="216"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 xml:space="preserve">“Shares” </w:t>
      </w:r>
      <w:r>
        <w:rPr>
          <w:rFonts w:ascii="Arial" w:cs="Arial" w:eastAsia="Arial" w:hAnsi="Arial"/>
          <w:sz w:val="20"/>
          <w:szCs w:val="20"/>
          <w:color w:val="auto"/>
        </w:rPr>
        <w:t>means the Common Shares purchasable upon exercise of the Stock Option.</w:t>
      </w:r>
    </w:p>
    <w:p>
      <w:pPr>
        <w:spacing w:after="0" w:line="216" w:lineRule="exact"/>
        <w:rPr>
          <w:sz w:val="20"/>
          <w:szCs w:val="20"/>
          <w:color w:val="auto"/>
        </w:rPr>
      </w:pPr>
    </w:p>
    <w:p>
      <w:pPr>
        <w:ind w:firstLine="1224"/>
        <w:spacing w:after="0" w:line="270" w:lineRule="auto"/>
        <w:rPr>
          <w:sz w:val="20"/>
          <w:szCs w:val="20"/>
          <w:color w:val="auto"/>
        </w:rPr>
      </w:pPr>
      <w:r>
        <w:rPr>
          <w:rFonts w:ascii="Arial" w:cs="Arial" w:eastAsia="Arial" w:hAnsi="Arial"/>
          <w:sz w:val="20"/>
          <w:szCs w:val="20"/>
          <w:b w:val="1"/>
          <w:bCs w:val="1"/>
          <w:color w:val="auto"/>
        </w:rPr>
        <w:t xml:space="preserve">“Withholding Taxes” </w:t>
      </w:r>
      <w:r>
        <w:rPr>
          <w:rFonts w:ascii="Arial" w:cs="Arial" w:eastAsia="Arial" w:hAnsi="Arial"/>
          <w:sz w:val="20"/>
          <w:szCs w:val="20"/>
          <w:color w:val="auto"/>
        </w:rPr>
        <w:t>means any taxes, including, but not limited to, income tax, social insurance (</w:t>
      </w:r>
      <w:r>
        <w:rPr>
          <w:rFonts w:ascii="Arial" w:cs="Arial" w:eastAsia="Arial" w:hAnsi="Arial"/>
          <w:sz w:val="20"/>
          <w:szCs w:val="20"/>
          <w:i w:val="1"/>
          <w:iCs w:val="1"/>
          <w:color w:val="auto"/>
        </w:rPr>
        <w:t>e.g.</w:t>
      </w:r>
      <w:r>
        <w:rPr>
          <w:rFonts w:ascii="Arial" w:cs="Arial" w:eastAsia="Arial" w:hAnsi="Arial"/>
          <w:sz w:val="20"/>
          <w:szCs w:val="20"/>
          <w:color w:val="auto"/>
        </w:rPr>
        <w:t>, U.S. social security</w:t>
      </w:r>
      <w:r>
        <w:rPr>
          <w:rFonts w:ascii="Arial" w:cs="Arial" w:eastAsia="Arial" w:hAnsi="Arial"/>
          <w:sz w:val="20"/>
          <w:szCs w:val="20"/>
          <w:b w:val="1"/>
          <w:bCs w:val="1"/>
          <w:color w:val="auto"/>
        </w:rPr>
        <w:t xml:space="preserve"> </w:t>
      </w:r>
      <w:r>
        <w:rPr>
          <w:rFonts w:ascii="Arial" w:cs="Arial" w:eastAsia="Arial" w:hAnsi="Arial"/>
          <w:sz w:val="20"/>
          <w:szCs w:val="20"/>
          <w:color w:val="auto"/>
        </w:rPr>
        <w:t>and Medicare), payroll tax, state and local income taxes, fringe benefits tax, and payment on account, required or permitted under any applicable law to be withheld from amounts otherwise payable to the Holder.</w:t>
      </w:r>
    </w:p>
    <w:p>
      <w:pPr>
        <w:spacing w:after="0" w:line="159" w:lineRule="exact"/>
        <w:rPr>
          <w:sz w:val="20"/>
          <w:szCs w:val="20"/>
          <w:color w:val="auto"/>
        </w:rPr>
      </w:pPr>
    </w:p>
    <w:p>
      <w:pPr>
        <w:ind w:left="1640" w:hanging="414"/>
        <w:spacing w:after="0"/>
        <w:tabs>
          <w:tab w:leader="none" w:pos="16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52" w:lineRule="exact"/>
        <w:rPr>
          <w:rFonts w:ascii="Arial" w:cs="Arial" w:eastAsia="Arial" w:hAnsi="Arial"/>
          <w:sz w:val="18"/>
          <w:szCs w:val="18"/>
          <w:color w:val="auto"/>
        </w:rPr>
      </w:pPr>
    </w:p>
    <w:p>
      <w:pPr>
        <w:ind w:left="940" w:hanging="326"/>
        <w:spacing w:after="0"/>
        <w:tabs>
          <w:tab w:leader="none" w:pos="94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Expiration</w:t>
      </w:r>
      <w:r>
        <w:rPr>
          <w:rFonts w:ascii="Arial" w:cs="Arial" w:eastAsia="Arial" w:hAnsi="Arial"/>
          <w:sz w:val="19"/>
          <w:szCs w:val="19"/>
          <w:color w:val="auto"/>
        </w:rPr>
        <w:t>. The Stock Option shall expire on the Expiration Date and, after such expiration, shall no longer be exercisable.</w:t>
      </w:r>
    </w:p>
    <w:p>
      <w:pPr>
        <w:spacing w:after="0" w:line="240" w:lineRule="exact"/>
        <w:rPr>
          <w:rFonts w:ascii="Arial" w:cs="Arial" w:eastAsia="Arial" w:hAnsi="Arial"/>
          <w:sz w:val="19"/>
          <w:szCs w:val="19"/>
          <w:color w:val="auto"/>
        </w:rPr>
      </w:pPr>
    </w:p>
    <w:p>
      <w:pPr>
        <w:ind w:left="940" w:hanging="326"/>
        <w:spacing w:after="0"/>
        <w:tabs>
          <w:tab w:leader="none" w:pos="94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Vesting and Exercise</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320" w:firstLine="1226"/>
        <w:spacing w:after="0" w:line="275" w:lineRule="auto"/>
        <w:tabs>
          <w:tab w:leader="none" w:pos="1620"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Except as otherwise set forth in these Award Terms or Section 12 of the Employment Agreement (“Shareholder Value Creation Incentive”), the Stock Option shall vest, and thereupon become exercisable, in accordance with the “Schedule for Vesting” set forth on the Grant Notice.</w:t>
      </w:r>
    </w:p>
    <w:p>
      <w:pPr>
        <w:spacing w:after="0" w:line="152" w:lineRule="exact"/>
        <w:rPr>
          <w:rFonts w:ascii="Arial" w:cs="Arial" w:eastAsia="Arial" w:hAnsi="Arial"/>
          <w:sz w:val="20"/>
          <w:szCs w:val="20"/>
          <w:color w:val="auto"/>
        </w:rPr>
      </w:pPr>
    </w:p>
    <w:p>
      <w:pPr>
        <w:ind w:right="80" w:firstLine="1226"/>
        <w:spacing w:after="0" w:line="318" w:lineRule="auto"/>
        <w:tabs>
          <w:tab w:leader="none" w:pos="1632"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Exercisable Only by the Holder</w:t>
      </w:r>
      <w:r>
        <w:rPr>
          <w:rFonts w:ascii="Arial" w:cs="Arial" w:eastAsia="Arial" w:hAnsi="Arial"/>
          <w:sz w:val="18"/>
          <w:szCs w:val="18"/>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20" w:lineRule="exact"/>
        <w:rPr>
          <w:rFonts w:ascii="Arial" w:cs="Arial" w:eastAsia="Arial" w:hAnsi="Arial"/>
          <w:sz w:val="18"/>
          <w:szCs w:val="18"/>
          <w:color w:val="auto"/>
        </w:rPr>
      </w:pPr>
    </w:p>
    <w:p>
      <w:pPr>
        <w:ind w:right="20" w:firstLine="1226"/>
        <w:spacing w:after="0" w:line="285" w:lineRule="auto"/>
        <w:tabs>
          <w:tab w:leader="none" w:pos="1620" w:val="left"/>
        </w:tabs>
        <w:numPr>
          <w:ilvl w:val="1"/>
          <w:numId w:val="123"/>
        </w:numPr>
        <w:rPr>
          <w:rFonts w:ascii="Arial" w:cs="Arial" w:eastAsia="Arial" w:hAnsi="Arial"/>
          <w:sz w:val="19"/>
          <w:szCs w:val="19"/>
          <w:color w:val="auto"/>
        </w:rPr>
      </w:pPr>
      <w:r>
        <w:rPr>
          <w:rFonts w:ascii="Arial" w:cs="Arial" w:eastAsia="Arial" w:hAnsi="Arial"/>
          <w:sz w:val="19"/>
          <w:szCs w:val="19"/>
          <w:u w:val="single" w:color="auto"/>
          <w:color w:val="auto"/>
        </w:rPr>
        <w:t>Procedure for Exercise</w:t>
      </w:r>
      <w:r>
        <w:rPr>
          <w:rFonts w:ascii="Arial" w:cs="Arial" w:eastAsia="Arial" w:hAnsi="Arial"/>
          <w:sz w:val="19"/>
          <w:szCs w:val="19"/>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47" w:lineRule="exact"/>
        <w:rPr>
          <w:rFonts w:ascii="Arial" w:cs="Arial" w:eastAsia="Arial" w:hAnsi="Arial"/>
          <w:sz w:val="19"/>
          <w:szCs w:val="19"/>
          <w:color w:val="auto"/>
        </w:rPr>
      </w:pPr>
    </w:p>
    <w:p>
      <w:pPr>
        <w:ind w:firstLine="1226"/>
        <w:spacing w:after="0" w:line="260" w:lineRule="auto"/>
        <w:tabs>
          <w:tab w:leader="none" w:pos="1632" w:val="left"/>
        </w:tabs>
        <w:numPr>
          <w:ilvl w:val="1"/>
          <w:numId w:val="123"/>
        </w:numPr>
        <w:rPr>
          <w:rFonts w:ascii="Arial" w:cs="Arial" w:eastAsia="Arial" w:hAnsi="Arial"/>
          <w:sz w:val="20"/>
          <w:szCs w:val="20"/>
          <w:color w:val="auto"/>
        </w:rPr>
      </w:pPr>
      <w:r>
        <w:rPr>
          <w:rFonts w:ascii="Arial" w:cs="Arial" w:eastAsia="Arial" w:hAnsi="Arial"/>
          <w:sz w:val="20"/>
          <w:szCs w:val="20"/>
          <w:u w:val="single" w:color="auto"/>
          <w:color w:val="auto"/>
        </w:rPr>
        <w:t>Payment of Exercise Price</w:t>
      </w:r>
      <w:r>
        <w:rPr>
          <w:rFonts w:ascii="Arial" w:cs="Arial" w:eastAsia="Arial" w:hAnsi="Arial"/>
          <w:sz w:val="20"/>
          <w:szCs w:val="20"/>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w:t>
      </w: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360"/>
          </w:cols>
          <w:pgMar w:left="240" w:top="573" w:right="299" w:bottom="1440" w:gutter="0" w:footer="0" w:header="0"/>
        </w:sectPr>
      </w:pPr>
    </w:p>
    <w:bookmarkStart w:id="165" w:name="page166"/>
    <w:bookmarkEnd w:id="165"/>
    <w:p>
      <w:pPr>
        <w:ind w:right="80"/>
        <w:spacing w:after="0" w:line="260" w:lineRule="auto"/>
        <w:rPr>
          <w:sz w:val="20"/>
          <w:szCs w:val="20"/>
          <w:color w:val="auto"/>
        </w:rPr>
      </w:pPr>
      <w:r>
        <w:rPr>
          <w:rFonts w:ascii="Arial" w:cs="Arial" w:eastAsia="Arial" w:hAnsi="Arial"/>
          <w:sz w:val="20"/>
          <w:szCs w:val="20"/>
          <w:color w:val="auto"/>
        </w:rPr>
        <w:t>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 (iv) above or any other manner permitted pursuant to the Plan.</w:t>
      </w:r>
    </w:p>
    <w:p>
      <w:pPr>
        <w:spacing w:after="0" w:line="170" w:lineRule="exact"/>
        <w:rPr>
          <w:sz w:val="20"/>
          <w:szCs w:val="20"/>
          <w:color w:val="auto"/>
        </w:rPr>
      </w:pPr>
    </w:p>
    <w:p>
      <w:pPr>
        <w:ind w:left="1620" w:hanging="394"/>
        <w:spacing w:after="0"/>
        <w:tabs>
          <w:tab w:leader="none" w:pos="1620"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No Fractional Shares</w:t>
      </w:r>
      <w:r>
        <w:rPr>
          <w:rFonts w:ascii="Arial" w:cs="Arial" w:eastAsia="Arial" w:hAnsi="Arial"/>
          <w:sz w:val="20"/>
          <w:szCs w:val="20"/>
          <w:color w:val="auto"/>
        </w:rPr>
        <w:t>. In no event may the Stock Option be exercised for a fraction of a Share.</w:t>
      </w:r>
    </w:p>
    <w:p>
      <w:pPr>
        <w:spacing w:after="0" w:line="229" w:lineRule="exact"/>
        <w:rPr>
          <w:rFonts w:ascii="Arial" w:cs="Arial" w:eastAsia="Arial" w:hAnsi="Arial"/>
          <w:sz w:val="20"/>
          <w:szCs w:val="20"/>
          <w:color w:val="auto"/>
        </w:rPr>
      </w:pPr>
    </w:p>
    <w:p>
      <w:pPr>
        <w:ind w:firstLine="1226"/>
        <w:spacing w:after="0" w:line="318" w:lineRule="auto"/>
        <w:tabs>
          <w:tab w:leader="none" w:pos="1598"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20" w:lineRule="exact"/>
        <w:rPr>
          <w:rFonts w:ascii="Arial" w:cs="Arial" w:eastAsia="Arial" w:hAnsi="Arial"/>
          <w:sz w:val="18"/>
          <w:szCs w:val="18"/>
          <w:color w:val="auto"/>
        </w:rPr>
      </w:pPr>
    </w:p>
    <w:p>
      <w:pPr>
        <w:ind w:firstLine="1226"/>
        <w:spacing w:after="0" w:line="260" w:lineRule="auto"/>
        <w:tabs>
          <w:tab w:leader="none" w:pos="1632" w:val="left"/>
        </w:tabs>
        <w:numPr>
          <w:ilvl w:val="1"/>
          <w:numId w:val="124"/>
        </w:numPr>
        <w:rPr>
          <w:rFonts w:ascii="Arial" w:cs="Arial" w:eastAsia="Arial" w:hAnsi="Arial"/>
          <w:sz w:val="20"/>
          <w:szCs w:val="20"/>
          <w:color w:val="auto"/>
        </w:rPr>
      </w:pPr>
      <w:r>
        <w:rPr>
          <w:rFonts w:ascii="Arial" w:cs="Arial" w:eastAsia="Arial" w:hAnsi="Arial"/>
          <w:sz w:val="20"/>
          <w:szCs w:val="20"/>
          <w:u w:val="single" w:color="auto"/>
          <w:color w:val="auto"/>
        </w:rPr>
        <w:t>Issuance and Delivery of Shares</w:t>
      </w:r>
      <w:r>
        <w:rPr>
          <w:rFonts w:ascii="Arial" w:cs="Arial" w:eastAsia="Arial" w:hAnsi="Arial"/>
          <w:sz w:val="20"/>
          <w:szCs w:val="20"/>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the event such Shares are subject to a legend as set forth in Section 15 hereof, the Company shall instead cause a certificate evidencing such Shares and bearing such legend to be delivered to the person entitled thereto.</w:t>
      </w:r>
    </w:p>
    <w:p>
      <w:pPr>
        <w:spacing w:after="0" w:line="168" w:lineRule="exact"/>
        <w:rPr>
          <w:rFonts w:ascii="Arial" w:cs="Arial" w:eastAsia="Arial" w:hAnsi="Arial"/>
          <w:sz w:val="20"/>
          <w:szCs w:val="20"/>
          <w:color w:val="auto"/>
        </w:rPr>
      </w:pPr>
    </w:p>
    <w:p>
      <w:pPr>
        <w:jc w:val="both"/>
        <w:ind w:right="260" w:firstLine="1226"/>
        <w:spacing w:after="0" w:line="318" w:lineRule="auto"/>
        <w:tabs>
          <w:tab w:leader="none" w:pos="1632"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20" w:lineRule="exact"/>
        <w:rPr>
          <w:rFonts w:ascii="Arial" w:cs="Arial" w:eastAsia="Arial" w:hAnsi="Arial"/>
          <w:sz w:val="18"/>
          <w:szCs w:val="18"/>
          <w:color w:val="auto"/>
        </w:rPr>
      </w:pPr>
    </w:p>
    <w:p>
      <w:pPr>
        <w:ind w:right="900" w:firstLine="614"/>
        <w:spacing w:after="0" w:line="297" w:lineRule="auto"/>
        <w:tabs>
          <w:tab w:leader="none" w:pos="935"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In the event that the Holder’s employment is terminated for any reason, the terms of the Employment Agreement shall govern the impact on the Stock Option.</w:t>
      </w:r>
    </w:p>
    <w:p>
      <w:pPr>
        <w:spacing w:after="0" w:line="132" w:lineRule="exact"/>
        <w:rPr>
          <w:rFonts w:ascii="Arial" w:cs="Arial" w:eastAsia="Arial" w:hAnsi="Arial"/>
          <w:sz w:val="20"/>
          <w:szCs w:val="20"/>
          <w:color w:val="auto"/>
        </w:rPr>
      </w:pPr>
    </w:p>
    <w:p>
      <w:pPr>
        <w:ind w:left="940" w:hanging="326"/>
        <w:spacing w:after="0"/>
        <w:tabs>
          <w:tab w:leader="none" w:pos="940"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20" w:firstLine="1226"/>
        <w:spacing w:after="0" w:line="260" w:lineRule="auto"/>
        <w:tabs>
          <w:tab w:leader="none" w:pos="1620" w:val="left"/>
        </w:tabs>
        <w:numPr>
          <w:ilvl w:val="1"/>
          <w:numId w:val="125"/>
        </w:numPr>
        <w:rPr>
          <w:rFonts w:ascii="Arial" w:cs="Arial" w:eastAsia="Arial" w:hAnsi="Arial"/>
          <w:sz w:val="20"/>
          <w:szCs w:val="20"/>
          <w:color w:val="auto"/>
        </w:rPr>
      </w:pPr>
      <w:r>
        <w:rPr>
          <w:rFonts w:ascii="Arial" w:cs="Arial" w:eastAsia="Arial" w:hAnsi="Arial"/>
          <w:sz w:val="20"/>
          <w:szCs w:val="20"/>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w:t>
      </w:r>
    </w:p>
    <w:p>
      <w:pPr>
        <w:spacing w:after="0" w:line="200" w:lineRule="exact"/>
        <w:rPr>
          <w:sz w:val="20"/>
          <w:szCs w:val="20"/>
          <w:color w:val="auto"/>
        </w:rPr>
      </w:pPr>
    </w:p>
    <w:p>
      <w:pPr>
        <w:spacing w:after="0" w:line="351"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20"/>
          </w:cols>
          <w:pgMar w:left="240" w:top="577" w:right="239" w:bottom="1440" w:gutter="0" w:footer="0" w:header="0"/>
        </w:sectPr>
      </w:pPr>
    </w:p>
    <w:bookmarkStart w:id="166" w:name="page167"/>
    <w:bookmarkEnd w:id="166"/>
    <w:p>
      <w:pPr>
        <w:ind w:right="20"/>
        <w:spacing w:after="0" w:line="277" w:lineRule="auto"/>
        <w:rPr>
          <w:sz w:val="20"/>
          <w:szCs w:val="20"/>
          <w:color w:val="auto"/>
        </w:rPr>
      </w:pPr>
      <w:r>
        <w:rPr>
          <w:rFonts w:ascii="Arial" w:cs="Arial" w:eastAsia="Arial" w:hAnsi="Arial"/>
          <w:sz w:val="19"/>
          <w:szCs w:val="19"/>
          <w:color w:val="auto"/>
        </w:rPr>
        <w:t>and are under no obligation to structure the terms of the grant or any aspect of the Stock Option to reduce or eliminate the Holder’s liability for Withholding Taxes or achieve any particular tax result. Further, if the Holder is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54" w:lineRule="exact"/>
        <w:rPr>
          <w:sz w:val="20"/>
          <w:szCs w:val="20"/>
          <w:color w:val="auto"/>
        </w:rPr>
      </w:pPr>
    </w:p>
    <w:p>
      <w:pPr>
        <w:ind w:firstLine="1226"/>
        <w:spacing w:after="0" w:line="284" w:lineRule="auto"/>
        <w:tabs>
          <w:tab w:leader="none" w:pos="1632"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The Company shall determine the method or methods the Holder may use to satisfy any Withholding Taxes resulting from the exercise (in whole or in part) of the Stock Option, the issuance or transfer of any Shares upon exercise of the Stock Option or otherwise in connection with the Award at the time such Withholding Taxes become due, which may include any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 (iv) by any combination of (i),</w:t>
      </w:r>
    </w:p>
    <w:p>
      <w:pPr>
        <w:spacing w:after="0" w:line="3" w:lineRule="exact"/>
        <w:rPr>
          <w:rFonts w:ascii="Arial" w:cs="Arial" w:eastAsia="Arial" w:hAnsi="Arial"/>
          <w:sz w:val="18"/>
          <w:szCs w:val="18"/>
          <w:color w:val="auto"/>
        </w:rPr>
      </w:pPr>
    </w:p>
    <w:p>
      <w:pPr>
        <w:ind w:right="400" w:firstLine="2"/>
        <w:spacing w:after="0" w:line="259" w:lineRule="auto"/>
        <w:tabs>
          <w:tab w:leader="none" w:pos="300" w:val="left"/>
        </w:tabs>
        <w:numPr>
          <w:ilvl w:val="0"/>
          <w:numId w:val="127"/>
        </w:numPr>
        <w:rPr>
          <w:rFonts w:ascii="Arial" w:cs="Arial" w:eastAsia="Arial" w:hAnsi="Arial"/>
          <w:sz w:val="20"/>
          <w:szCs w:val="20"/>
          <w:color w:val="auto"/>
        </w:rPr>
      </w:pPr>
      <w:r>
        <w:rPr>
          <w:rFonts w:ascii="Arial" w:cs="Arial" w:eastAsia="Arial" w:hAnsi="Arial"/>
          <w:sz w:val="20"/>
          <w:szCs w:val="20"/>
          <w:color w:val="auto"/>
        </w:rPr>
        <w:t>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68" w:lineRule="exact"/>
        <w:rPr>
          <w:rFonts w:ascii="Arial" w:cs="Arial" w:eastAsia="Arial" w:hAnsi="Arial"/>
          <w:sz w:val="20"/>
          <w:szCs w:val="20"/>
          <w:color w:val="auto"/>
        </w:rPr>
      </w:pPr>
    </w:p>
    <w:p>
      <w:pPr>
        <w:ind w:right="80" w:firstLine="1226"/>
        <w:spacing w:after="0" w:line="275" w:lineRule="auto"/>
        <w:tabs>
          <w:tab w:leader="none" w:pos="1620" w:val="left"/>
        </w:tabs>
        <w:numPr>
          <w:ilvl w:val="2"/>
          <w:numId w:val="127"/>
        </w:numPr>
        <w:rPr>
          <w:rFonts w:ascii="Arial" w:cs="Arial" w:eastAsia="Arial" w:hAnsi="Arial"/>
          <w:sz w:val="19"/>
          <w:szCs w:val="19"/>
          <w:color w:val="auto"/>
        </w:rPr>
      </w:pPr>
      <w:r>
        <w:rPr>
          <w:rFonts w:ascii="Arial" w:cs="Arial" w:eastAsia="Arial" w:hAnsi="Arial"/>
          <w:sz w:val="19"/>
          <w:szCs w:val="19"/>
          <w:color w:val="auto"/>
        </w:rPr>
        <w:t>The Company Group may withhold or account for Withholding Taxes contemplated by this Section 5 by reference to applicable withholding rates, including minimum or maximum applicable statutory rates in the Holder’s jurisdiction(s) of employment and/or residency,, and if the Company Group withholds more than the amount necessary to satisfy the liability, the Holder may receive a refund of any over-withheld amount in cash and will have no entitlement to the equivalent Shares.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No fractional Shares will be withheld or issued pursuant to the exercise of the Stock Option and the issuance of Withholding Taxes thereunder.</w:t>
      </w:r>
    </w:p>
    <w:p>
      <w:pPr>
        <w:spacing w:after="0" w:line="156" w:lineRule="exact"/>
        <w:rPr>
          <w:rFonts w:ascii="Arial" w:cs="Arial" w:eastAsia="Arial" w:hAnsi="Arial"/>
          <w:sz w:val="19"/>
          <w:szCs w:val="19"/>
          <w:color w:val="auto"/>
        </w:rPr>
      </w:pPr>
    </w:p>
    <w:p>
      <w:pPr>
        <w:ind w:right="160" w:firstLine="614"/>
        <w:spacing w:after="0" w:line="301" w:lineRule="auto"/>
        <w:tabs>
          <w:tab w:leader="none" w:pos="935"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Deemed Agreement</w:t>
      </w:r>
      <w:r>
        <w:rPr>
          <w:rFonts w:ascii="Arial" w:cs="Arial" w:eastAsia="Arial" w:hAnsi="Arial"/>
          <w:sz w:val="20"/>
          <w:szCs w:val="20"/>
          <w:color w:val="auto"/>
        </w:rPr>
        <w:t xml:space="preserve">. </w:t>
      </w:r>
      <w:r>
        <w:rPr>
          <w:rFonts w:ascii="Arial" w:cs="Arial" w:eastAsia="Arial" w:hAnsi="Arial"/>
          <w:sz w:val="20"/>
          <w:szCs w:val="20"/>
          <w:b w:val="1"/>
          <w:bCs w:val="1"/>
          <w:color w:val="auto"/>
        </w:rPr>
        <w:t>By accepting the Award, the Holder is deemed to be bound by the terms and conditions set forth in</w:t>
      </w:r>
      <w:r>
        <w:rPr>
          <w:rFonts w:ascii="Arial" w:cs="Arial" w:eastAsia="Arial" w:hAnsi="Arial"/>
          <w:sz w:val="20"/>
          <w:szCs w:val="20"/>
          <w:color w:val="auto"/>
        </w:rPr>
        <w:t xml:space="preserve"> </w:t>
      </w:r>
      <w:r>
        <w:rPr>
          <w:rFonts w:ascii="Arial" w:cs="Arial" w:eastAsia="Arial" w:hAnsi="Arial"/>
          <w:sz w:val="20"/>
          <w:szCs w:val="20"/>
          <w:b w:val="1"/>
          <w:bCs w:val="1"/>
          <w:color w:val="auto"/>
        </w:rPr>
        <w:t>the Plan, the Grant Notice and these Award Terms.</w:t>
      </w:r>
    </w:p>
    <w:p>
      <w:pPr>
        <w:spacing w:after="0" w:line="128" w:lineRule="exact"/>
        <w:rPr>
          <w:rFonts w:ascii="Arial" w:cs="Arial" w:eastAsia="Arial" w:hAnsi="Arial"/>
          <w:sz w:val="20"/>
          <w:szCs w:val="20"/>
          <w:color w:val="auto"/>
        </w:rPr>
      </w:pPr>
    </w:p>
    <w:p>
      <w:pPr>
        <w:ind w:right="160" w:firstLine="614"/>
        <w:spacing w:after="0" w:line="297" w:lineRule="auto"/>
        <w:tabs>
          <w:tab w:leader="none" w:pos="935" w:val="left"/>
        </w:tabs>
        <w:numPr>
          <w:ilvl w:val="1"/>
          <w:numId w:val="127"/>
        </w:numPr>
        <w:rPr>
          <w:rFonts w:ascii="Arial" w:cs="Arial" w:eastAsia="Arial" w:hAnsi="Arial"/>
          <w:sz w:val="20"/>
          <w:szCs w:val="20"/>
          <w:color w:val="auto"/>
        </w:rPr>
      </w:pPr>
      <w:r>
        <w:rPr>
          <w:rFonts w:ascii="Arial" w:cs="Arial" w:eastAsia="Arial" w:hAnsi="Arial"/>
          <w:sz w:val="20"/>
          <w:szCs w:val="20"/>
          <w:u w:val="single" w:color="auto"/>
          <w:color w:val="auto"/>
        </w:rPr>
        <w:t>Reservation of Shares</w:t>
      </w:r>
      <w:r>
        <w:rPr>
          <w:rFonts w:ascii="Arial" w:cs="Arial" w:eastAsia="Arial" w:hAnsi="Arial"/>
          <w:sz w:val="20"/>
          <w:szCs w:val="20"/>
          <w:color w:val="auto"/>
        </w:rPr>
        <w:t>. The Company shall at all times reserve for issuance or delivery upon exercise of the Stock Option such number of Common Shares as shall be required for issuance or delivery upon exercise thereof.</w:t>
      </w:r>
    </w:p>
    <w:p>
      <w:pPr>
        <w:spacing w:after="0" w:line="200" w:lineRule="exact"/>
        <w:rPr>
          <w:sz w:val="20"/>
          <w:szCs w:val="20"/>
          <w:color w:val="auto"/>
        </w:rPr>
      </w:pPr>
    </w:p>
    <w:p>
      <w:pPr>
        <w:spacing w:after="0" w:line="315"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00"/>
          </w:cols>
          <w:pgMar w:left="240" w:top="577" w:right="259" w:bottom="1440" w:gutter="0" w:footer="0" w:header="0"/>
        </w:sectPr>
      </w:pPr>
    </w:p>
    <w:bookmarkStart w:id="167" w:name="page168"/>
    <w:bookmarkEnd w:id="167"/>
    <w:p>
      <w:pPr>
        <w:ind w:left="-614" w:right="20" w:firstLine="614"/>
        <w:spacing w:after="0" w:line="271" w:lineRule="auto"/>
        <w:tabs>
          <w:tab w:leader="none" w:pos="321"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Committee Discretion</w:t>
      </w:r>
      <w:r>
        <w:rPr>
          <w:rFonts w:ascii="Arial" w:cs="Arial" w:eastAsia="Arial" w:hAnsi="Arial"/>
          <w:sz w:val="19"/>
          <w:szCs w:val="19"/>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63" w:lineRule="exact"/>
        <w:rPr>
          <w:rFonts w:ascii="Arial" w:cs="Arial" w:eastAsia="Arial" w:hAnsi="Arial"/>
          <w:sz w:val="19"/>
          <w:szCs w:val="19"/>
          <w:color w:val="auto"/>
        </w:rPr>
      </w:pPr>
    </w:p>
    <w:p>
      <w:pPr>
        <w:ind w:left="-614" w:firstLine="614"/>
        <w:spacing w:after="0" w:line="258" w:lineRule="auto"/>
        <w:tabs>
          <w:tab w:leader="none" w:pos="321"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71" w:lineRule="exact"/>
        <w:rPr>
          <w:rFonts w:ascii="Arial" w:cs="Arial" w:eastAsia="Arial" w:hAnsi="Arial"/>
          <w:sz w:val="20"/>
          <w:szCs w:val="20"/>
          <w:color w:val="auto"/>
        </w:rPr>
      </w:pPr>
    </w:p>
    <w:p>
      <w:pPr>
        <w:ind w:left="-614" w:firstLine="614"/>
        <w:spacing w:after="0" w:line="272" w:lineRule="auto"/>
        <w:tabs>
          <w:tab w:leader="none" w:pos="423" w:val="left"/>
        </w:tabs>
        <w:numPr>
          <w:ilvl w:val="0"/>
          <w:numId w:val="128"/>
        </w:numPr>
        <w:rPr>
          <w:rFonts w:ascii="Arial" w:cs="Arial" w:eastAsia="Arial" w:hAnsi="Arial"/>
          <w:sz w:val="19"/>
          <w:szCs w:val="19"/>
          <w:color w:val="auto"/>
        </w:rPr>
      </w:pPr>
      <w:r>
        <w:rPr>
          <w:rFonts w:ascii="Arial" w:cs="Arial" w:eastAsia="Arial" w:hAnsi="Arial"/>
          <w:sz w:val="19"/>
          <w:szCs w:val="19"/>
          <w:u w:val="single" w:color="auto"/>
          <w:color w:val="auto"/>
        </w:rPr>
        <w:t>Registration and Listing</w:t>
      </w:r>
      <w:r>
        <w:rPr>
          <w:rFonts w:ascii="Arial" w:cs="Arial" w:eastAsia="Arial" w:hAnsi="Arial"/>
          <w:sz w:val="19"/>
          <w:szCs w:val="19"/>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SEC,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200" w:lineRule="exact"/>
        <w:rPr>
          <w:sz w:val="20"/>
          <w:szCs w:val="20"/>
          <w:color w:val="auto"/>
        </w:rPr>
      </w:pPr>
    </w:p>
    <w:p>
      <w:pPr>
        <w:spacing w:after="0" w:line="340" w:lineRule="exact"/>
        <w:rPr>
          <w:sz w:val="20"/>
          <w:szCs w:val="20"/>
          <w:color w:val="auto"/>
        </w:rPr>
      </w:pPr>
    </w:p>
    <w:p>
      <w:pPr>
        <w:ind w:left="3366"/>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0786"/>
          </w:cols>
          <w:pgMar w:left="854" w:top="577" w:right="259" w:bottom="1440" w:gutter="0" w:footer="0" w:header="0"/>
        </w:sectPr>
      </w:pPr>
    </w:p>
    <w:bookmarkStart w:id="168" w:name="page169"/>
    <w:bookmarkEnd w:id="168"/>
    <w:p>
      <w:pPr>
        <w:ind w:left="-614" w:right="40" w:firstLine="614"/>
        <w:spacing w:after="0" w:line="277" w:lineRule="auto"/>
        <w:tabs>
          <w:tab w:leader="none" w:pos="415"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Transferability</w:t>
      </w:r>
      <w:r>
        <w:rPr>
          <w:rFonts w:ascii="Arial" w:cs="Arial" w:eastAsia="Arial" w:hAnsi="Arial"/>
          <w:sz w:val="19"/>
          <w:szCs w:val="19"/>
          <w:color w:val="auto"/>
        </w:rPr>
        <w:t xml:space="preserve">. Subject to the terms of the Plan and only with the Company’s consent, the Holder may transfer all or part of the Stock Option for estate planning purposes or pursuant to a domestic relations order;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57" w:lineRule="exact"/>
        <w:rPr>
          <w:rFonts w:ascii="Arial" w:cs="Arial" w:eastAsia="Arial" w:hAnsi="Arial"/>
          <w:sz w:val="19"/>
          <w:szCs w:val="19"/>
          <w:color w:val="auto"/>
        </w:rPr>
      </w:pPr>
    </w:p>
    <w:p>
      <w:pPr>
        <w:ind w:left="-614" w:firstLine="614"/>
        <w:spacing w:after="0" w:line="258" w:lineRule="auto"/>
        <w:tabs>
          <w:tab w:leader="none" w:pos="423"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Employment Violation</w:t>
      </w:r>
      <w:r>
        <w:rPr>
          <w:rFonts w:ascii="Arial" w:cs="Arial" w:eastAsia="Arial" w:hAnsi="Arial"/>
          <w:sz w:val="20"/>
          <w:szCs w:val="20"/>
          <w:color w:val="auto"/>
        </w:rPr>
        <w:t xml:space="preserve">.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71" w:lineRule="exact"/>
        <w:rPr>
          <w:rFonts w:ascii="Arial" w:cs="Arial" w:eastAsia="Arial" w:hAnsi="Arial"/>
          <w:sz w:val="20"/>
          <w:szCs w:val="20"/>
          <w:color w:val="auto"/>
        </w:rPr>
      </w:pPr>
    </w:p>
    <w:p>
      <w:pPr>
        <w:ind w:left="426" w:hanging="426"/>
        <w:spacing w:after="0"/>
        <w:tabs>
          <w:tab w:leader="none" w:pos="426" w:val="left"/>
        </w:tabs>
        <w:numPr>
          <w:ilvl w:val="0"/>
          <w:numId w:val="129"/>
        </w:numPr>
        <w:rPr>
          <w:rFonts w:ascii="Arial" w:cs="Arial" w:eastAsia="Arial" w:hAnsi="Arial"/>
          <w:sz w:val="20"/>
          <w:szCs w:val="20"/>
          <w:color w:val="auto"/>
        </w:rPr>
      </w:pPr>
      <w:r>
        <w:rPr>
          <w:rFonts w:ascii="Arial" w:cs="Arial" w:eastAsia="Arial" w:hAnsi="Arial"/>
          <w:sz w:val="20"/>
          <w:szCs w:val="20"/>
          <w:u w:val="single" w:color="auto"/>
          <w:color w:val="auto"/>
        </w:rPr>
        <w:t>Compliance with Applicable Laws and Regulations and Company Policies and Procedures</w:t>
      </w:r>
      <w:r>
        <w:rPr>
          <w:rFonts w:ascii="Arial" w:cs="Arial" w:eastAsia="Arial" w:hAnsi="Arial"/>
          <w:sz w:val="20"/>
          <w:szCs w:val="20"/>
          <w:color w:val="auto"/>
        </w:rPr>
        <w:t>.</w:t>
      </w:r>
    </w:p>
    <w:p>
      <w:pPr>
        <w:spacing w:after="0" w:line="229" w:lineRule="exact"/>
        <w:rPr>
          <w:sz w:val="20"/>
          <w:szCs w:val="20"/>
          <w:color w:val="auto"/>
        </w:rPr>
      </w:pPr>
    </w:p>
    <w:p>
      <w:pPr>
        <w:ind w:left="-614" w:right="440" w:firstLine="614"/>
        <w:spacing w:after="0" w:line="268" w:lineRule="auto"/>
        <w:tabs>
          <w:tab w:leader="none" w:pos="425"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Holder is responsible for complying with (i) any federal, state, and local tax, social insurance, national insurance contributions, payroll tax, payment on account or other tax liabilities applicable to the Holder in connection with the Award and (ii) all Exercise Rules and Regulations.</w:t>
      </w:r>
    </w:p>
    <w:p>
      <w:pPr>
        <w:spacing w:after="0" w:line="160" w:lineRule="exact"/>
        <w:rPr>
          <w:rFonts w:ascii="Arial" w:cs="Arial" w:eastAsia="Arial" w:hAnsi="Arial"/>
          <w:sz w:val="20"/>
          <w:szCs w:val="20"/>
          <w:color w:val="auto"/>
        </w:rPr>
      </w:pPr>
    </w:p>
    <w:p>
      <w:pPr>
        <w:ind w:left="-614" w:right="80" w:firstLine="1226"/>
        <w:spacing w:after="0" w:line="268" w:lineRule="auto"/>
        <w:tabs>
          <w:tab w:leader="none" w:pos="1048"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60" w:lineRule="exact"/>
        <w:rPr>
          <w:rFonts w:ascii="Arial" w:cs="Arial" w:eastAsia="Arial" w:hAnsi="Arial"/>
          <w:sz w:val="20"/>
          <w:szCs w:val="20"/>
          <w:color w:val="auto"/>
        </w:rPr>
      </w:pPr>
    </w:p>
    <w:p>
      <w:pPr>
        <w:ind w:left="-614" w:right="440" w:firstLine="1226"/>
        <w:spacing w:after="0" w:line="283" w:lineRule="auto"/>
        <w:tabs>
          <w:tab w:leader="none" w:pos="1037" w:val="left"/>
        </w:tabs>
        <w:numPr>
          <w:ilvl w:val="1"/>
          <w:numId w:val="130"/>
        </w:numPr>
        <w:rPr>
          <w:rFonts w:ascii="Arial" w:cs="Arial" w:eastAsia="Arial" w:hAnsi="Arial"/>
          <w:sz w:val="20"/>
          <w:szCs w:val="20"/>
          <w:color w:val="auto"/>
        </w:rPr>
      </w:pPr>
      <w:r>
        <w:rPr>
          <w:rFonts w:ascii="Arial" w:cs="Arial" w:eastAsia="Arial" w:hAnsi="Arial"/>
          <w:sz w:val="20"/>
          <w:szCs w:val="20"/>
          <w:color w:val="auto"/>
        </w:rPr>
        <w:t>The Award is subject to the terms and conditions of the Executive Stock Ownership Guidelines and the limitations contained therein on the ability of the Holder to transfer any Shares acquired upon exercise of the Stock Option.</w:t>
      </w:r>
    </w:p>
    <w:p>
      <w:pPr>
        <w:spacing w:after="0" w:line="146" w:lineRule="exact"/>
        <w:rPr>
          <w:sz w:val="20"/>
          <w:szCs w:val="20"/>
          <w:color w:val="auto"/>
        </w:rPr>
      </w:pPr>
    </w:p>
    <w:p>
      <w:pPr>
        <w:ind w:left="-614" w:right="140" w:firstLine="614"/>
        <w:spacing w:after="0" w:line="261" w:lineRule="auto"/>
        <w:tabs>
          <w:tab w:leader="none" w:pos="423"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w:t>
      </w:r>
    </w:p>
    <w:p>
      <w:pPr>
        <w:spacing w:after="0" w:line="200" w:lineRule="exact"/>
        <w:rPr>
          <w:sz w:val="20"/>
          <w:szCs w:val="20"/>
          <w:color w:val="auto"/>
        </w:rPr>
      </w:pPr>
    </w:p>
    <w:p>
      <w:pPr>
        <w:spacing w:after="0" w:line="352" w:lineRule="exact"/>
        <w:rPr>
          <w:sz w:val="20"/>
          <w:szCs w:val="20"/>
          <w:color w:val="auto"/>
        </w:rPr>
      </w:pPr>
    </w:p>
    <w:p>
      <w:pPr>
        <w:ind w:left="3366"/>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0806"/>
          </w:cols>
          <w:pgMar w:left="854" w:top="577" w:right="239" w:bottom="1440" w:gutter="0" w:footer="0" w:header="0"/>
        </w:sectPr>
      </w:pPr>
    </w:p>
    <w:bookmarkStart w:id="169" w:name="page170"/>
    <w:bookmarkEnd w:id="169"/>
    <w:p>
      <w:pPr>
        <w:ind w:right="100"/>
        <w:spacing w:after="0" w:line="259" w:lineRule="auto"/>
        <w:rPr>
          <w:sz w:val="20"/>
          <w:szCs w:val="20"/>
          <w:color w:val="auto"/>
        </w:rPr>
      </w:pPr>
      <w:r>
        <w:rPr>
          <w:rFonts w:ascii="Arial" w:cs="Arial" w:eastAsia="Arial" w:hAnsi="Arial"/>
          <w:sz w:val="20"/>
          <w:szCs w:val="20"/>
          <w:color w:val="auto"/>
        </w:rPr>
        <w:t xml:space="preserve">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68" w:lineRule="exact"/>
        <w:rPr>
          <w:sz w:val="20"/>
          <w:szCs w:val="20"/>
          <w:color w:val="auto"/>
        </w:rPr>
      </w:pPr>
    </w:p>
    <w:p>
      <w:pPr>
        <w:ind w:right="760" w:firstLine="614"/>
        <w:spacing w:after="0" w:line="297" w:lineRule="auto"/>
        <w:tabs>
          <w:tab w:leader="none" w:pos="1037" w:val="left"/>
        </w:tabs>
        <w:numPr>
          <w:ilvl w:val="0"/>
          <w:numId w:val="132"/>
        </w:numPr>
        <w:rPr>
          <w:rFonts w:ascii="Arial" w:cs="Arial" w:eastAsia="Arial" w:hAnsi="Arial"/>
          <w:sz w:val="20"/>
          <w:szCs w:val="20"/>
          <w:color w:val="auto"/>
        </w:rPr>
      </w:pPr>
      <w:r>
        <w:rPr>
          <w:rFonts w:ascii="Arial" w:cs="Arial" w:eastAsia="Arial" w:hAnsi="Arial"/>
          <w:sz w:val="20"/>
          <w:szCs w:val="20"/>
          <w:u w:val="single" w:color="auto"/>
          <w:color w:val="auto"/>
        </w:rPr>
        <w:t>Legend</w:t>
      </w:r>
      <w:r>
        <w:rPr>
          <w:rFonts w:ascii="Arial" w:cs="Arial" w:eastAsia="Arial" w:hAnsi="Arial"/>
          <w:sz w:val="20"/>
          <w:szCs w:val="20"/>
          <w:color w:val="auto"/>
        </w:rPr>
        <w:t>. The Company may, if determined by it based on the advice of counsel to be appropriate, cause any certificate evidencing Shares to bear a legend substantially as follows:</w:t>
      </w:r>
    </w:p>
    <w:p>
      <w:pPr>
        <w:spacing w:after="0" w:line="132" w:lineRule="exact"/>
        <w:rPr>
          <w:sz w:val="20"/>
          <w:szCs w:val="20"/>
          <w:color w:val="auto"/>
        </w:rPr>
      </w:pPr>
    </w:p>
    <w:p>
      <w:pPr>
        <w:ind w:left="620"/>
        <w:spacing w:after="0" w:line="288" w:lineRule="auto"/>
        <w:rPr>
          <w:sz w:val="20"/>
          <w:szCs w:val="20"/>
          <w:color w:val="auto"/>
        </w:rPr>
      </w:pPr>
      <w:r>
        <w:rPr>
          <w:rFonts w:ascii="Arial" w:cs="Arial" w:eastAsia="Arial" w:hAnsi="Arial"/>
          <w:sz w:val="19"/>
          <w:szCs w:val="19"/>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44" w:lineRule="exact"/>
        <w:rPr>
          <w:sz w:val="20"/>
          <w:szCs w:val="20"/>
          <w:color w:val="auto"/>
        </w:rPr>
      </w:pPr>
    </w:p>
    <w:p>
      <w:pPr>
        <w:ind w:firstLine="614"/>
        <w:spacing w:after="0" w:line="275" w:lineRule="auto"/>
        <w:tabs>
          <w:tab w:leader="none" w:pos="1037"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No Right to Employment</w:t>
      </w:r>
      <w:r>
        <w:rPr>
          <w:rFonts w:ascii="Arial" w:cs="Arial" w:eastAsia="Arial" w:hAnsi="Arial"/>
          <w:sz w:val="20"/>
          <w:szCs w:val="20"/>
          <w:color w:val="auto"/>
        </w:rPr>
        <w:t>. Nothing contained in the Grant Notice or these Award Terms shall create a right to employment with the Employer or any other entity in the Company Group and shall not interfere with the ability of the Employer to retire, request the resignation of or terminate the Holder’s employment or service relationship at any time.</w:t>
      </w:r>
    </w:p>
    <w:p>
      <w:pPr>
        <w:spacing w:after="0" w:line="152" w:lineRule="exact"/>
        <w:rPr>
          <w:rFonts w:ascii="Arial" w:cs="Arial" w:eastAsia="Arial" w:hAnsi="Arial"/>
          <w:sz w:val="20"/>
          <w:szCs w:val="20"/>
          <w:color w:val="auto"/>
        </w:rPr>
      </w:pPr>
    </w:p>
    <w:p>
      <w:pPr>
        <w:jc w:val="both"/>
        <w:ind w:right="20" w:firstLine="614"/>
        <w:spacing w:after="0" w:line="318" w:lineRule="auto"/>
        <w:tabs>
          <w:tab w:leader="none" w:pos="1037"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20" w:lineRule="exact"/>
        <w:rPr>
          <w:rFonts w:ascii="Arial" w:cs="Arial" w:eastAsia="Arial" w:hAnsi="Arial"/>
          <w:sz w:val="18"/>
          <w:szCs w:val="18"/>
          <w:color w:val="auto"/>
        </w:rPr>
      </w:pPr>
    </w:p>
    <w:p>
      <w:pPr>
        <w:jc w:val="both"/>
        <w:ind w:right="420" w:firstLine="614"/>
        <w:spacing w:after="0" w:line="275" w:lineRule="auto"/>
        <w:tabs>
          <w:tab w:leader="none" w:pos="1037"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52" w:lineRule="exact"/>
        <w:rPr>
          <w:rFonts w:ascii="Arial" w:cs="Arial" w:eastAsia="Arial" w:hAnsi="Arial"/>
          <w:sz w:val="20"/>
          <w:szCs w:val="20"/>
          <w:color w:val="auto"/>
        </w:rPr>
      </w:pPr>
    </w:p>
    <w:p>
      <w:pPr>
        <w:ind w:left="1040" w:hanging="426"/>
        <w:spacing w:after="0"/>
        <w:tabs>
          <w:tab w:leader="none" w:pos="1040"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Venue and Governing Law</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140" w:firstLine="1226"/>
        <w:spacing w:after="0" w:line="263" w:lineRule="auto"/>
        <w:tabs>
          <w:tab w:leader="none" w:pos="1620" w:val="left"/>
        </w:tabs>
        <w:numPr>
          <w:ilvl w:val="1"/>
          <w:numId w:val="133"/>
        </w:numPr>
        <w:rPr>
          <w:rFonts w:ascii="Arial" w:cs="Arial" w:eastAsia="Arial" w:hAnsi="Arial"/>
          <w:sz w:val="20"/>
          <w:szCs w:val="20"/>
          <w:color w:val="auto"/>
        </w:rPr>
      </w:pPr>
      <w:r>
        <w:rPr>
          <w:rFonts w:ascii="Arial" w:cs="Arial" w:eastAsia="Arial" w:hAnsi="Arial"/>
          <w:sz w:val="20"/>
          <w:szCs w:val="20"/>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w:t>
      </w:r>
    </w:p>
    <w:p>
      <w:pPr>
        <w:spacing w:after="0" w:line="167" w:lineRule="exact"/>
        <w:rPr>
          <w:rFonts w:ascii="Arial" w:cs="Arial" w:eastAsia="Arial" w:hAnsi="Arial"/>
          <w:sz w:val="20"/>
          <w:szCs w:val="20"/>
          <w:color w:val="auto"/>
        </w:rPr>
      </w:pPr>
    </w:p>
    <w:p>
      <w:pPr>
        <w:ind w:right="220" w:firstLine="1226"/>
        <w:spacing w:after="0" w:line="275" w:lineRule="auto"/>
        <w:tabs>
          <w:tab w:leader="none" w:pos="1632" w:val="left"/>
        </w:tabs>
        <w:numPr>
          <w:ilvl w:val="1"/>
          <w:numId w:val="133"/>
        </w:numPr>
        <w:rPr>
          <w:rFonts w:ascii="Arial" w:cs="Arial" w:eastAsia="Arial" w:hAnsi="Arial"/>
          <w:sz w:val="20"/>
          <w:szCs w:val="20"/>
          <w:color w:val="auto"/>
        </w:rPr>
      </w:pPr>
      <w:r>
        <w:rPr>
          <w:rFonts w:ascii="Arial" w:cs="Arial" w:eastAsia="Arial" w:hAnsi="Arial"/>
          <w:sz w:val="20"/>
          <w:szCs w:val="20"/>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200" w:lineRule="exact"/>
        <w:rPr>
          <w:sz w:val="20"/>
          <w:szCs w:val="20"/>
          <w:color w:val="auto"/>
        </w:rPr>
      </w:pPr>
    </w:p>
    <w:p>
      <w:pPr>
        <w:spacing w:after="0" w:line="335"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420"/>
          </w:cols>
          <w:pgMar w:left="240" w:top="577" w:right="239" w:bottom="1440" w:gutter="0" w:footer="0" w:header="0"/>
        </w:sectPr>
      </w:pPr>
    </w:p>
    <w:bookmarkStart w:id="170" w:name="page171"/>
    <w:bookmarkEnd w:id="170"/>
    <w:p>
      <w:pPr>
        <w:ind w:left="-614" w:right="380" w:firstLine="614"/>
        <w:spacing w:after="0" w:line="318" w:lineRule="auto"/>
        <w:tabs>
          <w:tab w:leader="none" w:pos="42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20" w:lineRule="exact"/>
        <w:rPr>
          <w:rFonts w:ascii="Arial" w:cs="Arial" w:eastAsia="Arial" w:hAnsi="Arial"/>
          <w:sz w:val="18"/>
          <w:szCs w:val="18"/>
          <w:color w:val="auto"/>
        </w:rPr>
      </w:pPr>
    </w:p>
    <w:p>
      <w:pPr>
        <w:ind w:left="426" w:hanging="426"/>
        <w:spacing w:after="0"/>
        <w:tabs>
          <w:tab w:leader="none" w:pos="42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614" w:right="20" w:firstLine="1226"/>
        <w:spacing w:after="0" w:line="263" w:lineRule="auto"/>
        <w:tabs>
          <w:tab w:leader="none" w:pos="1006"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the Holder may designate in writing from time to time. Notices shall be effective upon delivery.</w:t>
      </w:r>
    </w:p>
    <w:p>
      <w:pPr>
        <w:spacing w:after="0" w:line="167" w:lineRule="exact"/>
        <w:rPr>
          <w:rFonts w:ascii="Arial" w:cs="Arial" w:eastAsia="Arial" w:hAnsi="Arial"/>
          <w:sz w:val="20"/>
          <w:szCs w:val="20"/>
          <w:color w:val="auto"/>
        </w:rPr>
      </w:pPr>
    </w:p>
    <w:p>
      <w:pPr>
        <w:ind w:left="-614" w:right="20" w:firstLine="1226"/>
        <w:spacing w:after="0" w:line="259" w:lineRule="auto"/>
        <w:tabs>
          <w:tab w:leader="none" w:pos="1018" w:val="left"/>
        </w:tabs>
        <w:numPr>
          <w:ilvl w:val="1"/>
          <w:numId w:val="134"/>
        </w:numPr>
        <w:rPr>
          <w:rFonts w:ascii="Arial" w:cs="Arial" w:eastAsia="Arial" w:hAnsi="Arial"/>
          <w:sz w:val="20"/>
          <w:szCs w:val="20"/>
          <w:color w:val="auto"/>
        </w:rPr>
      </w:pPr>
      <w:r>
        <w:rPr>
          <w:rFonts w:ascii="Arial" w:cs="Arial" w:eastAsia="Arial" w:hAnsi="Arial"/>
          <w:sz w:val="20"/>
          <w:szCs w:val="20"/>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the Employment Agreement,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9" w:lineRule="exact"/>
        <w:rPr>
          <w:rFonts w:ascii="Arial" w:cs="Arial" w:eastAsia="Arial" w:hAnsi="Arial"/>
          <w:sz w:val="20"/>
          <w:szCs w:val="20"/>
          <w:color w:val="auto"/>
        </w:rPr>
      </w:pPr>
    </w:p>
    <w:p>
      <w:pPr>
        <w:ind w:left="-614" w:right="160" w:firstLine="614"/>
        <w:spacing w:after="0" w:line="275" w:lineRule="auto"/>
        <w:tabs>
          <w:tab w:leader="none" w:pos="423"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Conflict with Employment Agreement or Plan</w:t>
      </w:r>
      <w:r>
        <w:rPr>
          <w:rFonts w:ascii="Arial" w:cs="Arial" w:eastAsia="Arial" w:hAnsi="Arial"/>
          <w:sz w:val="20"/>
          <w:szCs w:val="20"/>
          <w:color w:val="auto"/>
        </w:rPr>
        <w:t>. In the event of any conflict between the terms of the Employment Agreement and the terms of the Grant Notice or these Award Terms and/or the terms of the Plan, the terms of the Employment Agreement, shall control.</w:t>
      </w:r>
    </w:p>
    <w:p>
      <w:pPr>
        <w:spacing w:after="0" w:line="152" w:lineRule="exact"/>
        <w:rPr>
          <w:rFonts w:ascii="Arial" w:cs="Arial" w:eastAsia="Arial" w:hAnsi="Arial"/>
          <w:sz w:val="20"/>
          <w:szCs w:val="20"/>
          <w:color w:val="auto"/>
        </w:rPr>
      </w:pPr>
    </w:p>
    <w:p>
      <w:pPr>
        <w:ind w:left="-614" w:firstLine="614"/>
        <w:spacing w:after="0" w:line="267" w:lineRule="auto"/>
        <w:tabs>
          <w:tab w:leader="none" w:pos="423"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 Plan, on the Stock Option and on any Shares acquired under the Plan, to the extent the Company determines it is necessary or advisable in order to facilitate the administration of the Plan, and to require the Holder to sign any additional agreements or undertakings that may be necessary to accomplish the foregoing.</w:t>
      </w:r>
    </w:p>
    <w:p>
      <w:pPr>
        <w:spacing w:after="0" w:line="162" w:lineRule="exact"/>
        <w:rPr>
          <w:rFonts w:ascii="Arial" w:cs="Arial" w:eastAsia="Arial" w:hAnsi="Arial"/>
          <w:sz w:val="20"/>
          <w:szCs w:val="20"/>
          <w:color w:val="auto"/>
        </w:rPr>
      </w:pPr>
    </w:p>
    <w:p>
      <w:pPr>
        <w:ind w:left="-614" w:right="100" w:firstLine="614"/>
        <w:spacing w:after="0" w:line="275" w:lineRule="auto"/>
        <w:tabs>
          <w:tab w:leader="none" w:pos="423"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Waiver</w:t>
      </w:r>
      <w:r>
        <w:rPr>
          <w:rFonts w:ascii="Arial" w:cs="Arial" w:eastAsia="Arial" w:hAnsi="Arial"/>
          <w:sz w:val="20"/>
          <w:szCs w:val="20"/>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66"/>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0786"/>
          </w:cols>
          <w:pgMar w:left="854" w:top="577" w:right="25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b w:val="1"/>
          <w:bCs w:val="1"/>
          <w:color w:val="auto"/>
        </w:rPr>
        <w:t>Exhibit 10.33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EMPLOYMENT AGREEMENT</w:t>
      </w:r>
    </w:p>
    <w:p>
      <w:pPr>
        <w:spacing w:after="0" w:line="216" w:lineRule="exact"/>
        <w:rPr>
          <w:sz w:val="20"/>
          <w:szCs w:val="20"/>
          <w:color w:val="auto"/>
        </w:rPr>
      </w:pPr>
    </w:p>
    <w:p>
      <w:pPr>
        <w:jc w:val="both"/>
        <w:ind w:firstLine="612"/>
        <w:spacing w:after="0" w:line="268" w:lineRule="auto"/>
        <w:rPr>
          <w:sz w:val="20"/>
          <w:szCs w:val="20"/>
          <w:color w:val="auto"/>
        </w:rPr>
      </w:pPr>
      <w:r>
        <w:rPr>
          <w:rFonts w:ascii="Arial" w:cs="Arial" w:eastAsia="Arial" w:hAnsi="Arial"/>
          <w:sz w:val="20"/>
          <w:szCs w:val="20"/>
          <w:color w:val="auto"/>
        </w:rPr>
        <w:t>THIS EMPLOYMENT AGREEMENT (this “Agreement”) is entered into as of the date signed by the Employer, between Activision Blizzard, Inc. (“Activision Blizzard” or the “Employer”, and, together with its subsidiaries, the “Activision Blizzard Group”), and Claudine Naughton Macartney (“you”).</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w:t>
      </w:r>
    </w:p>
    <w:p>
      <w:pPr>
        <w:spacing w:after="0" w:line="216" w:lineRule="exact"/>
        <w:rPr>
          <w:sz w:val="20"/>
          <w:szCs w:val="20"/>
          <w:color w:val="auto"/>
        </w:rPr>
      </w:pPr>
    </w:p>
    <w:p>
      <w:pPr>
        <w:jc w:val="both"/>
        <w:ind w:firstLine="612"/>
        <w:spacing w:after="0" w:line="283" w:lineRule="auto"/>
        <w:rPr>
          <w:sz w:val="20"/>
          <w:szCs w:val="20"/>
          <w:color w:val="auto"/>
        </w:rPr>
      </w:pPr>
      <w:r>
        <w:rPr>
          <w:rFonts w:ascii="Arial" w:cs="Arial" w:eastAsia="Arial" w:hAnsi="Arial"/>
          <w:sz w:val="20"/>
          <w:szCs w:val="20"/>
          <w:color w:val="auto"/>
        </w:rPr>
        <w:t>The Employer desires to employ you, and you desire to be so employed by the Employer, on the terms and subject to the conditions set forth in this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AGREEMENT</w:t>
      </w:r>
    </w:p>
    <w:p>
      <w:pPr>
        <w:spacing w:after="0" w:line="216" w:lineRule="exact"/>
        <w:rPr>
          <w:sz w:val="20"/>
          <w:szCs w:val="20"/>
          <w:color w:val="auto"/>
        </w:rPr>
      </w:pPr>
    </w:p>
    <w:p>
      <w:pPr>
        <w:jc w:val="both"/>
        <w:ind w:firstLine="612"/>
        <w:spacing w:after="0" w:line="283" w:lineRule="auto"/>
        <w:rPr>
          <w:sz w:val="20"/>
          <w:szCs w:val="20"/>
          <w:color w:val="auto"/>
        </w:rPr>
      </w:pPr>
      <w:r>
        <w:rPr>
          <w:rFonts w:ascii="Arial" w:cs="Arial" w:eastAsia="Arial" w:hAnsi="Arial"/>
          <w:sz w:val="20"/>
          <w:szCs w:val="20"/>
          <w:color w:val="auto"/>
        </w:rPr>
        <w:t>NOW, THEREFORE, in consideration of the premises and the mutual promises set forth in this Agreement, the Employer and you hereby agree as follows:</w:t>
      </w:r>
    </w:p>
    <w:p>
      <w:pPr>
        <w:spacing w:after="0" w:line="121" w:lineRule="exact"/>
        <w:rPr>
          <w:sz w:val="20"/>
          <w:szCs w:val="20"/>
          <w:color w:val="auto"/>
        </w:rPr>
      </w:pPr>
    </w:p>
    <w:p>
      <w:pPr>
        <w:ind w:left="760" w:hanging="758"/>
        <w:spacing w:after="0"/>
        <w:tabs>
          <w:tab w:leader="none" w:pos="76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Term of Employment</w:t>
      </w:r>
    </w:p>
    <w:p>
      <w:pPr>
        <w:spacing w:after="0" w:line="203" w:lineRule="exact"/>
        <w:rPr>
          <w:rFonts w:ascii="Arial" w:cs="Arial" w:eastAsia="Arial" w:hAnsi="Arial"/>
          <w:sz w:val="20"/>
          <w:szCs w:val="20"/>
          <w:color w:val="auto"/>
        </w:rPr>
      </w:pPr>
    </w:p>
    <w:p>
      <w:pPr>
        <w:jc w:val="both"/>
        <w:ind w:left="80" w:firstLine="610"/>
        <w:spacing w:after="0" w:line="260" w:lineRule="auto"/>
        <w:tabs>
          <w:tab w:leader="none" w:pos="1101"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term of your employment under this Agreement (the “Term”) shall commence on August 14, 2019 (the “Effective Date”) and shall end on July 31, 2021 (the “Expiration Date”) (or such earlier date on which your employment is terminated under Section 9). The Employer shall have the option to extend the Term by up to one year by notifying you in writing of its intent to do so at least six (6) months prior to the original Expiration Date. The final date of any such extended Term shall thereafter be referred to as the “Expiration Date” for purposes of this Agreement and the Term shall end on such date (or such earlier date on which your employment is terminated). Except as set forth in Section 11(s), upon the Expiration Date (or such earlier date on which your employment is terminated) all obligations and rights under this Agreement shall immediately lapse.</w:t>
      </w:r>
    </w:p>
    <w:p>
      <w:pPr>
        <w:spacing w:after="0" w:line="168" w:lineRule="exact"/>
        <w:rPr>
          <w:rFonts w:ascii="Arial" w:cs="Arial" w:eastAsia="Arial" w:hAnsi="Arial"/>
          <w:sz w:val="20"/>
          <w:szCs w:val="20"/>
          <w:color w:val="auto"/>
        </w:rPr>
      </w:pPr>
    </w:p>
    <w:p>
      <w:pPr>
        <w:jc w:val="both"/>
        <w:ind w:left="80" w:firstLine="610"/>
        <w:spacing w:after="0" w:line="275" w:lineRule="auto"/>
        <w:tabs>
          <w:tab w:leader="none" w:pos="1138" w:val="left"/>
        </w:tabs>
        <w:numPr>
          <w:ilvl w:val="1"/>
          <w:numId w:val="135"/>
        </w:numPr>
        <w:rPr>
          <w:rFonts w:ascii="Arial" w:cs="Arial" w:eastAsia="Arial" w:hAnsi="Arial"/>
          <w:sz w:val="20"/>
          <w:szCs w:val="20"/>
          <w:color w:val="auto"/>
        </w:rPr>
      </w:pPr>
      <w:r>
        <w:rPr>
          <w:rFonts w:ascii="Arial" w:cs="Arial" w:eastAsia="Arial" w:hAnsi="Arial"/>
          <w:sz w:val="20"/>
          <w:szCs w:val="20"/>
          <w:color w:val="auto"/>
        </w:rPr>
        <w:t>You and the Employer each agree to provide the other with at least six (6) months’ notice of any intent not to continue your employment following the Expiration Date. If your employment continues beyond the Expiration Date, you shall be an at-will employee whose employment may be terminated by either party to this Agreement at any time for any reason.</w:t>
      </w:r>
    </w:p>
    <w:p>
      <w:pPr>
        <w:spacing w:after="0" w:line="152" w:lineRule="exact"/>
        <w:rPr>
          <w:rFonts w:ascii="Arial" w:cs="Arial" w:eastAsia="Arial" w:hAnsi="Arial"/>
          <w:sz w:val="20"/>
          <w:szCs w:val="20"/>
          <w:color w:val="auto"/>
        </w:rPr>
      </w:pPr>
    </w:p>
    <w:p>
      <w:pPr>
        <w:ind w:left="320" w:hanging="318"/>
        <w:spacing w:after="0"/>
        <w:tabs>
          <w:tab w:leader="none" w:pos="320" w:val="left"/>
        </w:tabs>
        <w:numPr>
          <w:ilvl w:val="0"/>
          <w:numId w:val="135"/>
        </w:numPr>
        <w:rPr>
          <w:rFonts w:ascii="Arial" w:cs="Arial" w:eastAsia="Arial" w:hAnsi="Arial"/>
          <w:sz w:val="20"/>
          <w:szCs w:val="20"/>
          <w:b w:val="1"/>
          <w:bCs w:val="1"/>
          <w:color w:val="auto"/>
        </w:rPr>
      </w:pPr>
      <w:r>
        <w:rPr>
          <w:rFonts w:ascii="Arial" w:cs="Arial" w:eastAsia="Arial" w:hAnsi="Arial"/>
          <w:sz w:val="20"/>
          <w:szCs w:val="20"/>
          <w:u w:val="single" w:color="auto"/>
          <w:color w:val="auto"/>
        </w:rPr>
        <w:t>Compensation</w:t>
      </w:r>
    </w:p>
    <w:p>
      <w:pPr>
        <w:spacing w:after="0" w:line="229" w:lineRule="exact"/>
        <w:rPr>
          <w:rFonts w:ascii="Arial" w:cs="Arial" w:eastAsia="Arial" w:hAnsi="Arial"/>
          <w:sz w:val="20"/>
          <w:szCs w:val="20"/>
          <w:b w:val="1"/>
          <w:bCs w:val="1"/>
          <w:color w:val="auto"/>
        </w:rPr>
      </w:pPr>
    </w:p>
    <w:p>
      <w:pPr>
        <w:ind w:left="80" w:firstLine="610"/>
        <w:spacing w:after="0" w:line="297" w:lineRule="auto"/>
        <w:tabs>
          <w:tab w:leader="none" w:pos="1203" w:val="left"/>
        </w:tabs>
        <w:numPr>
          <w:ilvl w:val="1"/>
          <w:numId w:val="135"/>
        </w:numPr>
        <w:rPr>
          <w:rFonts w:ascii="Arial" w:cs="Arial" w:eastAsia="Arial" w:hAnsi="Arial"/>
          <w:sz w:val="20"/>
          <w:szCs w:val="20"/>
          <w:color w:val="auto"/>
        </w:rPr>
      </w:pPr>
      <w:r>
        <w:rPr>
          <w:rFonts w:ascii="Arial" w:cs="Arial" w:eastAsia="Arial" w:hAnsi="Arial"/>
          <w:sz w:val="20"/>
          <w:szCs w:val="20"/>
          <w:color w:val="auto"/>
        </w:rPr>
        <w:t>Subject to the provisions of this Agreement, in full consideration for all rights and services provided by you under this Agreement, during the Term you shall receive only the compensation set forth in this Section 2.</w:t>
      </w:r>
    </w:p>
    <w:p>
      <w:pPr>
        <w:spacing w:after="0" w:line="132" w:lineRule="exact"/>
        <w:rPr>
          <w:rFonts w:ascii="Arial" w:cs="Arial" w:eastAsia="Arial" w:hAnsi="Arial"/>
          <w:sz w:val="20"/>
          <w:szCs w:val="20"/>
          <w:color w:val="auto"/>
        </w:rPr>
      </w:pPr>
    </w:p>
    <w:p>
      <w:pPr>
        <w:jc w:val="both"/>
        <w:ind w:left="80" w:firstLine="610"/>
        <w:spacing w:after="0" w:line="275" w:lineRule="auto"/>
        <w:tabs>
          <w:tab w:leader="none" w:pos="1113" w:val="left"/>
        </w:tabs>
        <w:numPr>
          <w:ilvl w:val="1"/>
          <w:numId w:val="135"/>
        </w:numPr>
        <w:rPr>
          <w:rFonts w:ascii="Arial" w:cs="Arial" w:eastAsia="Arial" w:hAnsi="Arial"/>
          <w:sz w:val="20"/>
          <w:szCs w:val="20"/>
          <w:color w:val="auto"/>
        </w:rPr>
      </w:pPr>
      <w:r>
        <w:rPr>
          <w:rFonts w:ascii="Arial" w:cs="Arial" w:eastAsia="Arial" w:hAnsi="Arial"/>
          <w:sz w:val="20"/>
          <w:szCs w:val="20"/>
          <w:color w:val="auto"/>
        </w:rPr>
        <w:t>Commencing on the Effective Date, you shall receive an annual base salary (“Base Salary”) of $650,000, which shall be paid in accordance with the Employer’s payroll policies. Your Base Salary shall be reviewed periodically and may be increased by an amount determined by the Employer, in its sole and absolute discretion.</w:t>
      </w:r>
    </w:p>
    <w:p>
      <w:pPr>
        <w:spacing w:after="0" w:line="353"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1</w:t>
      </w:r>
    </w:p>
    <w:p>
      <w:pPr>
        <w:sectPr>
          <w:pgSz w:w="11900" w:h="16838" w:orient="portrait"/>
          <w:cols w:equalWidth="0" w:num="1">
            <w:col w:w="11420"/>
          </w:cols>
          <w:pgMar w:left="240" w:top="569" w:right="239" w:bottom="1440" w:gutter="0" w:footer="0" w:header="0"/>
        </w:sectPr>
      </w:pPr>
    </w:p>
    <w:bookmarkStart w:id="172" w:name="page173"/>
    <w:bookmarkEnd w:id="172"/>
    <w:p>
      <w:pPr>
        <w:jc w:val="both"/>
        <w:ind w:left="-610" w:firstLine="610"/>
        <w:spacing w:after="0" w:line="247" w:lineRule="auto"/>
        <w:tabs>
          <w:tab w:leader="none" w:pos="50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You will be eligible to receive an annual discretionary bonus (the “Annual Bonus”). Your target Annual Bonus for each calendar year will be seventy-five percent (75%) of your Base Salary. In all instances, the actual amount of the Annual Bonus, if any, shall be determined by the Employer, in its sole and absolute discretion, and may be based on, among other things, the portion of the year falling in the Term, your overall performance and the performance of the Employer, Activision Blizzard and the Activision Blizzard Group. The Annual Bonus, if any, will be paid at the same time bonuses for that year are generally paid to other executives, but in no event earlier than the first day of the first month, or later than the 15</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day of the third month, of the year following the year to which the Annual Bonus relates, and will be subject to taxes and withholdings. Except as otherwise set forth herein, you must remain continuously employed by the Activision Blizzard Group through the date on which an Annual Bonus, if any, is paid to be eligible to receive such Annual Bonus.</w:t>
      </w:r>
    </w:p>
    <w:p>
      <w:pPr>
        <w:spacing w:after="0" w:line="183" w:lineRule="exact"/>
        <w:rPr>
          <w:rFonts w:ascii="Arial" w:cs="Arial" w:eastAsia="Arial" w:hAnsi="Arial"/>
          <w:sz w:val="20"/>
          <w:szCs w:val="20"/>
          <w:color w:val="auto"/>
        </w:rPr>
      </w:pPr>
    </w:p>
    <w:p>
      <w:pPr>
        <w:jc w:val="both"/>
        <w:ind w:left="-610" w:firstLine="610"/>
        <w:spacing w:after="0" w:line="275" w:lineRule="auto"/>
        <w:tabs>
          <w:tab w:leader="none" w:pos="473" w:val="left"/>
        </w:tabs>
        <w:numPr>
          <w:ilvl w:val="0"/>
          <w:numId w:val="136"/>
        </w:numPr>
        <w:rPr>
          <w:rFonts w:ascii="Arial" w:cs="Arial" w:eastAsia="Arial" w:hAnsi="Arial"/>
          <w:sz w:val="20"/>
          <w:szCs w:val="20"/>
          <w:color w:val="auto"/>
        </w:rPr>
      </w:pPr>
      <w:r>
        <w:rPr>
          <w:rFonts w:ascii="Arial" w:cs="Arial" w:eastAsia="Arial" w:hAnsi="Arial"/>
          <w:sz w:val="20"/>
          <w:szCs w:val="20"/>
          <w:color w:val="auto"/>
        </w:rPr>
        <w:t>Subject to the approval of the Compensation Committee of the Board of Directors of Activision Blizzard (“</w:t>
      </w:r>
      <w:r>
        <w:rPr>
          <w:rFonts w:ascii="Arial" w:cs="Arial" w:eastAsia="Arial" w:hAnsi="Arial"/>
          <w:sz w:val="20"/>
          <w:szCs w:val="20"/>
          <w:b w:val="1"/>
          <w:bCs w:val="1"/>
          <w:i w:val="1"/>
          <w:iCs w:val="1"/>
          <w:color w:val="auto"/>
        </w:rPr>
        <w:t>Compensation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Committee</w:t>
      </w:r>
      <w:r>
        <w:rPr>
          <w:rFonts w:ascii="Arial" w:cs="Arial" w:eastAsia="Arial" w:hAnsi="Arial"/>
          <w:sz w:val="20"/>
          <w:szCs w:val="20"/>
          <w:color w:val="auto"/>
        </w:rPr>
        <w:t>”), Activision Blizzard shall grant to you equity awards with a target total grant value of $5,750,000 (and a total grant value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$6,612,500 if the 2019 Maximum PSU Grant Value (as defined below) were achieved) as follows:</w:t>
      </w:r>
    </w:p>
    <w:p>
      <w:pPr>
        <w:spacing w:after="0" w:line="152" w:lineRule="exact"/>
        <w:rPr>
          <w:rFonts w:ascii="Arial" w:cs="Arial" w:eastAsia="Arial" w:hAnsi="Arial"/>
          <w:sz w:val="20"/>
          <w:szCs w:val="20"/>
          <w:color w:val="auto"/>
        </w:rPr>
      </w:pPr>
    </w:p>
    <w:p>
      <w:pPr>
        <w:jc w:val="both"/>
        <w:ind w:left="530" w:hanging="300"/>
        <w:spacing w:after="0" w:line="271" w:lineRule="auto"/>
        <w:tabs>
          <w:tab w:leader="none" w:pos="530" w:val="left"/>
        </w:tabs>
        <w:numPr>
          <w:ilvl w:val="1"/>
          <w:numId w:val="136"/>
        </w:numPr>
        <w:rPr>
          <w:rFonts w:ascii="Arial" w:cs="Arial" w:eastAsia="Arial" w:hAnsi="Arial"/>
          <w:sz w:val="19"/>
          <w:szCs w:val="19"/>
          <w:color w:val="auto"/>
        </w:rPr>
      </w:pPr>
      <w:r>
        <w:rPr>
          <w:rFonts w:ascii="Arial" w:cs="Arial" w:eastAsia="Arial" w:hAnsi="Arial"/>
          <w:sz w:val="19"/>
          <w:szCs w:val="19"/>
          <w:color w:val="auto"/>
        </w:rPr>
        <w:t>Activision Blizzard shall grant to you non-qualified stock options to purchase shares of Activision Blizzard’s common stock with a total grant value of approximately $2,300,000 (the “</w:t>
      </w:r>
      <w:r>
        <w:rPr>
          <w:rFonts w:ascii="Arial" w:cs="Arial" w:eastAsia="Arial" w:hAnsi="Arial"/>
          <w:sz w:val="19"/>
          <w:szCs w:val="19"/>
          <w:b w:val="1"/>
          <w:bCs w:val="1"/>
          <w:i w:val="1"/>
          <w:iCs w:val="1"/>
          <w:color w:val="auto"/>
        </w:rPr>
        <w:t>2019 Options</w:t>
      </w:r>
      <w:r>
        <w:rPr>
          <w:rFonts w:ascii="Arial" w:cs="Arial" w:eastAsia="Arial" w:hAnsi="Arial"/>
          <w:sz w:val="19"/>
          <w:szCs w:val="19"/>
          <w:color w:val="auto"/>
        </w:rPr>
        <w:t>”). The actual number of stock options awarded to you on the grant date shall be determined based on the official closing price of Activision Blizzard’s common stock on the effective date of the grant, as reported by NASDAQ (the “</w:t>
      </w:r>
      <w:r>
        <w:rPr>
          <w:rFonts w:ascii="Arial" w:cs="Arial" w:eastAsia="Arial" w:hAnsi="Arial"/>
          <w:sz w:val="19"/>
          <w:szCs w:val="19"/>
          <w:b w:val="1"/>
          <w:bCs w:val="1"/>
          <w:i w:val="1"/>
          <w:iCs w:val="1"/>
          <w:color w:val="auto"/>
        </w:rPr>
        <w:t>Grant Date Price</w:t>
      </w:r>
      <w:r>
        <w:rPr>
          <w:rFonts w:ascii="Arial" w:cs="Arial" w:eastAsia="Arial" w:hAnsi="Arial"/>
          <w:sz w:val="19"/>
          <w:szCs w:val="19"/>
          <w:color w:val="auto"/>
        </w:rPr>
        <w:t>”), and an applicable binomial factor determined by Activision Blizzard. The number of stock options awarded shall be rounded to the nearest whole number, and Activision Blizzard retains the discretion to modify the methodology for such calculations as needed. The 2019 Options shall be awarded with an exercise price that is equal to the Grant Date Price. Finally, two-thirds of the 2019 Options shall vest on July 31, 2021, and one-third of the 2019 Options shall vest on July 31, 2022, in each case, subject to your remaining employed by the Activision Blizzard Group through the applicable vesting date.</w:t>
      </w:r>
    </w:p>
    <w:p>
      <w:pPr>
        <w:spacing w:after="0" w:line="202" w:lineRule="exact"/>
        <w:rPr>
          <w:rFonts w:ascii="Arial" w:cs="Arial" w:eastAsia="Arial" w:hAnsi="Arial"/>
          <w:sz w:val="19"/>
          <w:szCs w:val="19"/>
          <w:color w:val="auto"/>
        </w:rPr>
      </w:pPr>
    </w:p>
    <w:p>
      <w:pPr>
        <w:jc w:val="both"/>
        <w:ind w:left="530" w:hanging="300"/>
        <w:spacing w:after="0" w:line="287" w:lineRule="auto"/>
        <w:tabs>
          <w:tab w:leader="none" w:pos="53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Activision Blizzard shall grant to you performance-vesting restricted share units which represent the conditional right to receive shares of Activision Blizzard’s common stock (the “</w:t>
      </w:r>
      <w:r>
        <w:rPr>
          <w:rFonts w:ascii="Arial" w:cs="Arial" w:eastAsia="Arial" w:hAnsi="Arial"/>
          <w:sz w:val="18"/>
          <w:szCs w:val="18"/>
          <w:b w:val="1"/>
          <w:bCs w:val="1"/>
          <w:i w:val="1"/>
          <w:iCs w:val="1"/>
          <w:color w:val="auto"/>
        </w:rPr>
        <w:t>2019 Performance Share Units</w:t>
      </w:r>
      <w:r>
        <w:rPr>
          <w:rFonts w:ascii="Arial" w:cs="Arial" w:eastAsia="Arial" w:hAnsi="Arial"/>
          <w:sz w:val="18"/>
          <w:szCs w:val="18"/>
          <w:color w:val="auto"/>
        </w:rPr>
        <w:t>”), with a target value at the time of grant of approximately $3,450,000 (the “</w:t>
      </w:r>
      <w:r>
        <w:rPr>
          <w:rFonts w:ascii="Arial" w:cs="Arial" w:eastAsia="Arial" w:hAnsi="Arial"/>
          <w:sz w:val="18"/>
          <w:szCs w:val="18"/>
          <w:b w:val="1"/>
          <w:bCs w:val="1"/>
          <w:i w:val="1"/>
          <w:iCs w:val="1"/>
          <w:color w:val="auto"/>
        </w:rPr>
        <w:t>2019 Target PSU Grant Value</w:t>
      </w:r>
      <w:r>
        <w:rPr>
          <w:rFonts w:ascii="Arial" w:cs="Arial" w:eastAsia="Arial" w:hAnsi="Arial"/>
          <w:sz w:val="18"/>
          <w:szCs w:val="18"/>
          <w:color w:val="auto"/>
        </w:rPr>
        <w:t>”). The actual number of 2019 Performance Share Units awarded to you on the grant date shall be equal to the 2019 Target PSU Grant Value divided by the Grant Date Price (it being recognized that if the maximum performance objectives are met for all of the 2019 Performance Share Units, the value of the shares received upon vesting for all of the 2019 Performance Share Units would have been $4,312,500 at the time of grant of the 2019 Performance Share Units, representing 125% of the 2019 Target PSU Grant Value (the “</w:t>
      </w:r>
      <w:r>
        <w:rPr>
          <w:rFonts w:ascii="Arial" w:cs="Arial" w:eastAsia="Arial" w:hAnsi="Arial"/>
          <w:sz w:val="18"/>
          <w:szCs w:val="18"/>
          <w:b w:val="1"/>
          <w:bCs w:val="1"/>
          <w:i w:val="1"/>
          <w:iCs w:val="1"/>
          <w:color w:val="auto"/>
        </w:rPr>
        <w:t>2019</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Maximum PSU Grant Value</w:t>
      </w:r>
      <w:r>
        <w:rPr>
          <w:rFonts w:ascii="Arial" w:cs="Arial" w:eastAsia="Arial" w:hAnsi="Arial"/>
          <w:sz w:val="18"/>
          <w:szCs w:val="18"/>
          <w:color w:val="auto"/>
        </w:rPr>
        <w:t>”)). The number of 2019 Performance Share Units awarded shall be rounded to the nearest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 number and shall be determined by the Compensation Committee in its sole discretion, and Activision Blizzard retains the discretion to modify the methodology for such calculations as needed. Subject to your remaining employed by the Activision Blizzard Group through the applicable vesting dates, the actual number of shares of</w:t>
      </w:r>
    </w:p>
    <w:p>
      <w:pPr>
        <w:spacing w:after="0" w:line="142" w:lineRule="exact"/>
        <w:rPr>
          <w:sz w:val="20"/>
          <w:szCs w:val="20"/>
          <w:color w:val="auto"/>
        </w:rPr>
      </w:pPr>
    </w:p>
    <w:p>
      <w:pPr>
        <w:ind w:left="3130"/>
        <w:spacing w:after="0"/>
        <w:rPr>
          <w:sz w:val="20"/>
          <w:szCs w:val="20"/>
          <w:color w:val="auto"/>
        </w:rPr>
      </w:pPr>
      <w:r>
        <w:rPr>
          <w:rFonts w:ascii="Arial" w:cs="Arial" w:eastAsia="Arial" w:hAnsi="Arial"/>
          <w:sz w:val="17"/>
          <w:szCs w:val="17"/>
          <w:color w:val="auto"/>
        </w:rPr>
        <w:t>Page 2</w:t>
      </w:r>
    </w:p>
    <w:p>
      <w:pPr>
        <w:sectPr>
          <w:pgSz w:w="11900" w:h="16838" w:orient="portrait"/>
          <w:cols w:equalWidth="0" w:num="1">
            <w:col w:w="10730"/>
          </w:cols>
          <w:pgMar w:left="930" w:top="577" w:right="239" w:bottom="1440" w:gutter="0" w:footer="0" w:header="0"/>
        </w:sectPr>
      </w:pPr>
    </w:p>
    <w:bookmarkStart w:id="173" w:name="page174"/>
    <w:bookmarkEnd w:id="173"/>
    <w:p>
      <w:pPr>
        <w:ind w:left="20"/>
        <w:spacing w:after="0" w:line="243" w:lineRule="auto"/>
        <w:rPr>
          <w:sz w:val="20"/>
          <w:szCs w:val="20"/>
          <w:color w:val="auto"/>
        </w:rPr>
      </w:pPr>
      <w:r>
        <w:rPr>
          <w:rFonts w:ascii="Arial" w:cs="Arial" w:eastAsia="Arial" w:hAnsi="Arial"/>
          <w:sz w:val="20"/>
          <w:szCs w:val="20"/>
          <w:color w:val="auto"/>
        </w:rPr>
        <w:t>Activision Blizzard’s common stock (“Shares”) that shall be received on each of the applicable vesting dates is determined as follows:</w:t>
      </w:r>
    </w:p>
    <w:p>
      <w:pPr>
        <w:spacing w:after="0" w:line="210" w:lineRule="exact"/>
        <w:rPr>
          <w:sz w:val="20"/>
          <w:szCs w:val="20"/>
          <w:color w:val="auto"/>
        </w:rPr>
      </w:pPr>
    </w:p>
    <w:p>
      <w:pPr>
        <w:jc w:val="both"/>
        <w:ind w:left="640" w:hanging="308"/>
        <w:spacing w:after="0" w:line="287"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One-third of the 2019 Performance Share Units (the “</w:t>
      </w:r>
      <w:r>
        <w:rPr>
          <w:rFonts w:ascii="Arial" w:cs="Arial" w:eastAsia="Arial" w:hAnsi="Arial"/>
          <w:sz w:val="18"/>
          <w:szCs w:val="18"/>
          <w:b w:val="1"/>
          <w:bCs w:val="1"/>
          <w:i w:val="1"/>
          <w:iCs w:val="1"/>
          <w:color w:val="auto"/>
        </w:rPr>
        <w:t>First Tranche 2019 Performance Share Units</w:t>
      </w:r>
      <w:r>
        <w:rPr>
          <w:rFonts w:ascii="Arial" w:cs="Arial" w:eastAsia="Arial" w:hAnsi="Arial"/>
          <w:sz w:val="18"/>
          <w:szCs w:val="18"/>
          <w:color w:val="auto"/>
        </w:rPr>
        <w:t>”) shall vest on July 31, 2020, if, and only if, the Compensation Committee determines that non-GAAP operating income (calculated in the same manner as the 2019 AOP OI Objective (as defined below)) for 2019 for Activision Blizzard (“</w:t>
      </w:r>
      <w:r>
        <w:rPr>
          <w:rFonts w:ascii="Arial" w:cs="Arial" w:eastAsia="Arial" w:hAnsi="Arial"/>
          <w:sz w:val="18"/>
          <w:szCs w:val="18"/>
          <w:b w:val="1"/>
          <w:bCs w:val="1"/>
          <w:i w:val="1"/>
          <w:iCs w:val="1"/>
          <w:color w:val="auto"/>
        </w:rPr>
        <w:t>2019 OI</w:t>
      </w:r>
      <w:r>
        <w:rPr>
          <w:rFonts w:ascii="Arial" w:cs="Arial" w:eastAsia="Arial" w:hAnsi="Arial"/>
          <w:sz w:val="18"/>
          <w:szCs w:val="18"/>
          <w:color w:val="auto"/>
        </w:rPr>
        <w:t>”) is 90% or more of the annual operating plan operating income objective for Activision Blizzard established by the Board of Directors of Activision Blizzard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for 2019 (the “</w:t>
      </w:r>
      <w:r>
        <w:rPr>
          <w:rFonts w:ascii="Arial" w:cs="Arial" w:eastAsia="Arial" w:hAnsi="Arial"/>
          <w:sz w:val="18"/>
          <w:szCs w:val="18"/>
          <w:b w:val="1"/>
          <w:bCs w:val="1"/>
          <w:i w:val="1"/>
          <w:iCs w:val="1"/>
          <w:color w:val="auto"/>
        </w:rPr>
        <w:t>2019 AOP OI Objective</w:t>
      </w:r>
      <w:r>
        <w:rPr>
          <w:rFonts w:ascii="Arial" w:cs="Arial" w:eastAsia="Arial" w:hAnsi="Arial"/>
          <w:sz w:val="18"/>
          <w:szCs w:val="18"/>
          <w:color w:val="auto"/>
        </w:rPr>
        <w:t>”). If the 2019 OI is less than 90% of the 2019 AOP OI Objective, then the First Tranche 2019 Performance Share Units will not vest and shall be forfeited. If the 2019 OI is 90% or more of the 2019 AOP OI Objective, the number of Shares that shall be received with regard to the First Tranche 2019 Performance Share Units on the applicable vesting date shall be equal to the product of: (1) the number of First Tranche 2019 Performance Share Units; and (2) the ratio of the 2019 OI to the 2019 AOP OI Objective, up to a maximum of 125%.</w:t>
      </w:r>
    </w:p>
    <w:p>
      <w:pPr>
        <w:spacing w:after="0" w:line="189" w:lineRule="exact"/>
        <w:rPr>
          <w:rFonts w:ascii="Arial" w:cs="Arial" w:eastAsia="Arial" w:hAnsi="Arial"/>
          <w:sz w:val="18"/>
          <w:szCs w:val="18"/>
          <w:color w:val="auto"/>
        </w:rPr>
      </w:pPr>
    </w:p>
    <w:p>
      <w:pPr>
        <w:jc w:val="both"/>
        <w:ind w:left="640" w:hanging="308"/>
        <w:spacing w:after="0" w:line="271" w:lineRule="auto"/>
        <w:tabs>
          <w:tab w:leader="none" w:pos="6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One-third of the 2019 Performance Share Units (the “</w:t>
      </w:r>
      <w:r>
        <w:rPr>
          <w:rFonts w:ascii="Arial" w:cs="Arial" w:eastAsia="Arial" w:hAnsi="Arial"/>
          <w:sz w:val="19"/>
          <w:szCs w:val="19"/>
          <w:b w:val="1"/>
          <w:bCs w:val="1"/>
          <w:i w:val="1"/>
          <w:iCs w:val="1"/>
          <w:color w:val="auto"/>
        </w:rPr>
        <w:t>Second Tranche 2019 Performance Share Units</w:t>
      </w:r>
      <w:r>
        <w:rPr>
          <w:rFonts w:ascii="Arial" w:cs="Arial" w:eastAsia="Arial" w:hAnsi="Arial"/>
          <w:sz w:val="19"/>
          <w:szCs w:val="19"/>
          <w:color w:val="auto"/>
        </w:rPr>
        <w:t>”) shall vest on July 31, 2021, if, and only if, the Compensation Committee determines that non-GAAP operating income (calculated in the same manner as the 2020 AOP OI Objective (as defined below)) for 2020 for Activision Blizzard (“</w:t>
      </w:r>
      <w:r>
        <w:rPr>
          <w:rFonts w:ascii="Arial" w:cs="Arial" w:eastAsia="Arial" w:hAnsi="Arial"/>
          <w:sz w:val="19"/>
          <w:szCs w:val="19"/>
          <w:b w:val="1"/>
          <w:bCs w:val="1"/>
          <w:i w:val="1"/>
          <w:iCs w:val="1"/>
          <w:color w:val="auto"/>
        </w:rPr>
        <w:t>2020 OI</w:t>
      </w:r>
      <w:r>
        <w:rPr>
          <w:rFonts w:ascii="Arial" w:cs="Arial" w:eastAsia="Arial" w:hAnsi="Arial"/>
          <w:sz w:val="19"/>
          <w:szCs w:val="19"/>
          <w:color w:val="auto"/>
        </w:rPr>
        <w:t>”) is 90% or more of the annual operating plan operating income objective for Activision Blizzard established by the Board of Directors for 2020 (the “</w:t>
      </w:r>
      <w:r>
        <w:rPr>
          <w:rFonts w:ascii="Arial" w:cs="Arial" w:eastAsia="Arial" w:hAnsi="Arial"/>
          <w:sz w:val="19"/>
          <w:szCs w:val="19"/>
          <w:b w:val="1"/>
          <w:bCs w:val="1"/>
          <w:i w:val="1"/>
          <w:iCs w:val="1"/>
          <w:color w:val="auto"/>
        </w:rPr>
        <w:t>2020 AOP OI Objective</w:t>
      </w:r>
      <w:r>
        <w:rPr>
          <w:rFonts w:ascii="Arial" w:cs="Arial" w:eastAsia="Arial" w:hAnsi="Arial"/>
          <w:sz w:val="19"/>
          <w:szCs w:val="19"/>
          <w:color w:val="auto"/>
        </w:rPr>
        <w:t>”). If the 2020 OI is less than 90% of the 2020 AOP OI Objective, then the Second Tranche 2019 Performance Share Units will not vest and shall be forfeited. If the 2020 OI is 90% or more of the 2020 AOP OI Objective, the number of Shares that shall be received with regard to the Second Tranche 2019 Performance Share Units on the applicable vesting date shall be equal to the product of: (1) the number of Second Tranche 2019 Performance Share Units; and (2) the ratio of the 2020 OI to the 2020 AOP OI Objective, up to a maximum of 125%.</w:t>
      </w:r>
    </w:p>
    <w:p>
      <w:pPr>
        <w:spacing w:after="0" w:line="197" w:lineRule="exact"/>
        <w:rPr>
          <w:rFonts w:ascii="Arial" w:cs="Arial" w:eastAsia="Arial" w:hAnsi="Arial"/>
          <w:sz w:val="19"/>
          <w:szCs w:val="19"/>
          <w:color w:val="auto"/>
        </w:rPr>
      </w:pPr>
    </w:p>
    <w:p>
      <w:pPr>
        <w:jc w:val="both"/>
        <w:ind w:left="640" w:hanging="308"/>
        <w:spacing w:after="0" w:line="271" w:lineRule="auto"/>
        <w:tabs>
          <w:tab w:leader="none" w:pos="640" w:val="left"/>
        </w:tabs>
        <w:numPr>
          <w:ilvl w:val="0"/>
          <w:numId w:val="137"/>
        </w:numPr>
        <w:rPr>
          <w:rFonts w:ascii="Arial" w:cs="Arial" w:eastAsia="Arial" w:hAnsi="Arial"/>
          <w:sz w:val="19"/>
          <w:szCs w:val="19"/>
          <w:color w:val="auto"/>
        </w:rPr>
      </w:pPr>
      <w:r>
        <w:rPr>
          <w:rFonts w:ascii="Arial" w:cs="Arial" w:eastAsia="Arial" w:hAnsi="Arial"/>
          <w:sz w:val="19"/>
          <w:szCs w:val="19"/>
          <w:color w:val="auto"/>
        </w:rPr>
        <w:t>One-third of the 2019 Performance Share Units (the “</w:t>
      </w:r>
      <w:r>
        <w:rPr>
          <w:rFonts w:ascii="Arial" w:cs="Arial" w:eastAsia="Arial" w:hAnsi="Arial"/>
          <w:sz w:val="19"/>
          <w:szCs w:val="19"/>
          <w:b w:val="1"/>
          <w:bCs w:val="1"/>
          <w:i w:val="1"/>
          <w:iCs w:val="1"/>
          <w:color w:val="auto"/>
        </w:rPr>
        <w:t>Third Tranche 2019 Performance Share Units</w:t>
      </w:r>
      <w:r>
        <w:rPr>
          <w:rFonts w:ascii="Arial" w:cs="Arial" w:eastAsia="Arial" w:hAnsi="Arial"/>
          <w:sz w:val="19"/>
          <w:szCs w:val="19"/>
          <w:color w:val="auto"/>
        </w:rPr>
        <w:t>”) shall vest on July 31, 2022, if, and only if, the Compensation Committee determines that non-GAAP operating income (calculated in the same manner as the 2021 AOP OI Objective (as defined below)) for 2021 for Activision Blizzard (“</w:t>
      </w:r>
      <w:r>
        <w:rPr>
          <w:rFonts w:ascii="Arial" w:cs="Arial" w:eastAsia="Arial" w:hAnsi="Arial"/>
          <w:sz w:val="19"/>
          <w:szCs w:val="19"/>
          <w:b w:val="1"/>
          <w:bCs w:val="1"/>
          <w:i w:val="1"/>
          <w:iCs w:val="1"/>
          <w:color w:val="auto"/>
        </w:rPr>
        <w:t>2021 OI</w:t>
      </w:r>
      <w:r>
        <w:rPr>
          <w:rFonts w:ascii="Arial" w:cs="Arial" w:eastAsia="Arial" w:hAnsi="Arial"/>
          <w:sz w:val="19"/>
          <w:szCs w:val="19"/>
          <w:color w:val="auto"/>
        </w:rPr>
        <w:t>”) is 90% or more of the annual operating plan operating income objective for Activision Blizzard established by the Board of Directors for 2021 (the “</w:t>
      </w:r>
      <w:r>
        <w:rPr>
          <w:rFonts w:ascii="Arial" w:cs="Arial" w:eastAsia="Arial" w:hAnsi="Arial"/>
          <w:sz w:val="19"/>
          <w:szCs w:val="19"/>
          <w:b w:val="1"/>
          <w:bCs w:val="1"/>
          <w:i w:val="1"/>
          <w:iCs w:val="1"/>
          <w:color w:val="auto"/>
        </w:rPr>
        <w:t>2021 AOP OI Objective</w:t>
      </w:r>
      <w:r>
        <w:rPr>
          <w:rFonts w:ascii="Arial" w:cs="Arial" w:eastAsia="Arial" w:hAnsi="Arial"/>
          <w:sz w:val="19"/>
          <w:szCs w:val="19"/>
          <w:color w:val="auto"/>
        </w:rPr>
        <w:t>”). If the 2021 OI is less than 90% of the 2021 AOP OI Objective, then the Third Tranche 2019 Performance Share Units will not vest and shall be forfeited. If the 2021 OI is 90% or more of the 2021 AOP OI Objective, the number of Shares that shall be received with regard to the Third Tranche 2019 Performance Share Units on the applicable vesting date shall be equal to the product of: (1) the number of Third Tranche 2019 Performance Share</w:t>
      </w:r>
    </w:p>
    <w:p>
      <w:pPr>
        <w:spacing w:after="0" w:line="160"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Page 3</w:t>
      </w:r>
    </w:p>
    <w:p>
      <w:pPr>
        <w:sectPr>
          <w:pgSz w:w="11900" w:h="16838" w:orient="portrait"/>
          <w:cols w:equalWidth="0" w:num="1">
            <w:col w:w="10220"/>
          </w:cols>
          <w:pgMar w:left="1440" w:top="552" w:right="239" w:bottom="1440" w:gutter="0" w:footer="0" w:header="0"/>
        </w:sectPr>
      </w:pPr>
    </w:p>
    <w:bookmarkStart w:id="174" w:name="page175"/>
    <w:bookmarkEnd w:id="174"/>
    <w:p>
      <w:pPr>
        <w:jc w:val="center"/>
        <w:ind w:right="-139"/>
        <w:spacing w:after="0"/>
        <w:rPr>
          <w:sz w:val="20"/>
          <w:szCs w:val="20"/>
          <w:color w:val="auto"/>
        </w:rPr>
      </w:pPr>
      <w:r>
        <w:rPr>
          <w:rFonts w:ascii="Arial" w:cs="Arial" w:eastAsia="Arial" w:hAnsi="Arial"/>
          <w:sz w:val="20"/>
          <w:szCs w:val="20"/>
          <w:color w:val="auto"/>
        </w:rPr>
        <w:t>Units; and (2) the ratio of the 2021 OI to the 2021 AOP OI Objective, up to a maximum of 125%.</w:t>
      </w:r>
    </w:p>
    <w:p>
      <w:pPr>
        <w:spacing w:after="0" w:line="242" w:lineRule="exact"/>
        <w:rPr>
          <w:sz w:val="20"/>
          <w:szCs w:val="20"/>
          <w:color w:val="auto"/>
        </w:rPr>
      </w:pPr>
    </w:p>
    <w:p>
      <w:pPr>
        <w:jc w:val="both"/>
        <w:ind w:left="540"/>
        <w:spacing w:after="0" w:line="296" w:lineRule="auto"/>
        <w:rPr>
          <w:sz w:val="20"/>
          <w:szCs w:val="20"/>
          <w:color w:val="auto"/>
        </w:rPr>
      </w:pPr>
      <w:r>
        <w:rPr>
          <w:rFonts w:ascii="Arial" w:cs="Arial" w:eastAsia="Arial" w:hAnsi="Arial"/>
          <w:sz w:val="18"/>
          <w:szCs w:val="18"/>
          <w:color w:val="auto"/>
        </w:rPr>
        <w:t>Prior to the vesting of any portion of the 2019 Performance Share Units, as provided for in this provision, Activision Blizzard, in its sole discretion, may adjust the performance objective for the relevant fiscal year(s) by substituting the OI and AOP OI objective of one or more new, different or additional business units or activities for that of the original business unit or activity stated herein or by prorating or otherwise combining the OI and AOP OI objective of the applicable business units or activities, in each case for purposes of determining whether or not the conditions of the unvested 2019 Performance Share Units have been satisfied.</w:t>
      </w:r>
    </w:p>
    <w:p>
      <w:pPr>
        <w:spacing w:after="0" w:line="139" w:lineRule="exact"/>
        <w:rPr>
          <w:sz w:val="20"/>
          <w:szCs w:val="20"/>
          <w:color w:val="auto"/>
        </w:rPr>
      </w:pPr>
    </w:p>
    <w:p>
      <w:pPr>
        <w:jc w:val="both"/>
        <w:ind w:firstLine="536"/>
        <w:spacing w:after="0" w:line="256" w:lineRule="auto"/>
        <w:rPr>
          <w:sz w:val="20"/>
          <w:szCs w:val="20"/>
          <w:color w:val="auto"/>
        </w:rPr>
      </w:pPr>
      <w:r>
        <w:rPr>
          <w:rFonts w:ascii="Arial" w:cs="Arial" w:eastAsia="Arial" w:hAnsi="Arial"/>
          <w:sz w:val="20"/>
          <w:szCs w:val="20"/>
          <w:color w:val="auto"/>
        </w:rPr>
        <w:t>Collectively, the 2019 Options and the 2019 Performance Share Units shall be referred to as the “</w:t>
      </w:r>
      <w:r>
        <w:rPr>
          <w:rFonts w:ascii="Arial" w:cs="Arial" w:eastAsia="Arial" w:hAnsi="Arial"/>
          <w:sz w:val="20"/>
          <w:szCs w:val="20"/>
          <w:b w:val="1"/>
          <w:bCs w:val="1"/>
          <w:i w:val="1"/>
          <w:iCs w:val="1"/>
          <w:color w:val="auto"/>
        </w:rPr>
        <w:t>2019 Equity Awards</w:t>
      </w:r>
      <w:r>
        <w:rPr>
          <w:rFonts w:ascii="Arial" w:cs="Arial" w:eastAsia="Arial" w:hAnsi="Arial"/>
          <w:sz w:val="20"/>
          <w:szCs w:val="20"/>
          <w:color w:val="auto"/>
        </w:rPr>
        <w:t xml:space="preserve">.” You acknowledge that the grant of 2019 Equity Awards pursuant to this Section 2(d) is expressly conditioned upon approval by the Compensation Committee and that the Compensation Committee has discretion to approve or disapprove the grants and/or to determine and make modifications to the terms of the grants. The 2019 Equity Awards shall be subject to all terms of the Incentive Plan and Activision Blizzard’s standard forms of award agreement, and, in the event that Activision Blizzard determines that you are an Executive Officer (as defined by the Securities Exchange Act of 1934, as amended) of Activision Blizzard, the Employer’s Executive Stock Ownership Guidelines (including, but not limited to, all of the limitations on equity awards described therein) which are attached as </w:t>
      </w:r>
      <w:r>
        <w:rPr>
          <w:rFonts w:ascii="Arial" w:cs="Arial" w:eastAsia="Arial" w:hAnsi="Arial"/>
          <w:sz w:val="20"/>
          <w:szCs w:val="20"/>
          <w:u w:val="single" w:color="auto"/>
          <w:color w:val="auto"/>
        </w:rPr>
        <w:t>Exhibit E</w:t>
      </w:r>
      <w:r>
        <w:rPr>
          <w:rFonts w:ascii="Arial" w:cs="Arial" w:eastAsia="Arial" w:hAnsi="Arial"/>
          <w:sz w:val="20"/>
          <w:szCs w:val="20"/>
          <w:color w:val="auto"/>
        </w:rPr>
        <w:t>. In the event of a conflict between this Agreement and the terms of the Incentive Plan or award agreements, the Incentive Plan or the award agreements, as applicable, shall govern.</w:t>
      </w:r>
    </w:p>
    <w:p>
      <w:pPr>
        <w:spacing w:after="0" w:line="176" w:lineRule="exact"/>
        <w:rPr>
          <w:sz w:val="20"/>
          <w:szCs w:val="20"/>
          <w:color w:val="auto"/>
        </w:rPr>
      </w:pPr>
    </w:p>
    <w:p>
      <w:pPr>
        <w:jc w:val="both"/>
        <w:ind w:firstLine="610"/>
        <w:spacing w:after="0" w:line="269" w:lineRule="auto"/>
        <w:tabs>
          <w:tab w:leader="none" w:pos="102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Employer will provide you with a sign on bonus in the amount of $850,000 (less applicable taxes), which will be paid in two installments, contingent upon your being employed by the Activision Blizzard Group on each payment date. The first installment of $425,000 (less applicable taxes) will be paid within one month of the Effective Date (the “First Installment”), and will be earned on the first anniversary of the Effective Date. The second installment of $425,000 (less applicable taxes) will be paid on or about the first anniversary of the Effective Date (the “Second Installment”), and will be earned on the second anniversary of the Effective Date. Specifically, should your employment with the Employer terminate other than pursuant to Section 9(b), 9(c), 9(d) or 9(e) prior to the first anniversary of the Effective Date, you agree to repay the Employer 100% of the First Installment within 60 days of the termination of your employment and the Employer shall have no obligation to pay the Second Installment. Should your employment with the Employer terminate other than pursuant to Section 9(b), 9(c), 9(d) or 9(e) at any point after the first anniversary, but prior to the second anniversary, of the Effective Date, you agree to repay the Employer 100% of the Second Installment within 60 days of the termination of your employment. If you remain employed by the Activision Blizzard Group through the first anniversary of the Effective Date, or if you are terminated pursuant to Section 9(b), 9(c), 9(d) or 9(e) prior to the first anniversary of the Effective Date, the First Installment shall be fully earned as of such date such that if your employment subsequently terminates for any reason you will not have to repay any portion of that payment. If you remain employed by the Activision Blizzard Group through the second anniversary of the Effective Date, or if you are terminated pursuant to Section 9(b), 9(c), 9(d) or 9(e) prior to the second anniversary of the Effective Date, the Second Installment shall be fully earned as of such date such that if your employment subsequently terminates for any reason you will not have to repay any portion of that payment. The fact that</w:t>
      </w:r>
    </w:p>
    <w:p>
      <w:pPr>
        <w:spacing w:after="0" w:line="372"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Page 4</w:t>
      </w:r>
    </w:p>
    <w:p>
      <w:pPr>
        <w:sectPr>
          <w:pgSz w:w="11900" w:h="16838" w:orient="portrait"/>
          <w:cols w:equalWidth="0" w:num="1">
            <w:col w:w="11340"/>
          </w:cols>
          <w:pgMar w:left="320" w:top="552" w:right="239" w:bottom="1440" w:gutter="0" w:footer="0" w:header="0"/>
        </w:sectPr>
      </w:pPr>
    </w:p>
    <w:bookmarkStart w:id="175" w:name="page176"/>
    <w:bookmarkEnd w:id="175"/>
    <w:p>
      <w:pPr>
        <w:ind w:left="80"/>
        <w:spacing w:after="0" w:line="283" w:lineRule="auto"/>
        <w:rPr>
          <w:sz w:val="20"/>
          <w:szCs w:val="20"/>
          <w:color w:val="auto"/>
        </w:rPr>
      </w:pPr>
      <w:r>
        <w:rPr>
          <w:rFonts w:ascii="Arial" w:cs="Arial" w:eastAsia="Arial" w:hAnsi="Arial"/>
          <w:sz w:val="20"/>
          <w:szCs w:val="20"/>
          <w:color w:val="auto"/>
        </w:rPr>
        <w:t>you are receiving this bonus and the terms under which you will be required to repay the bonus in no way affect your other obligations under this Agreement.</w:t>
      </w:r>
    </w:p>
    <w:p>
      <w:pPr>
        <w:spacing w:after="0" w:line="146" w:lineRule="exact"/>
        <w:rPr>
          <w:sz w:val="20"/>
          <w:szCs w:val="20"/>
          <w:color w:val="auto"/>
        </w:rPr>
      </w:pPr>
    </w:p>
    <w:p>
      <w:pPr>
        <w:jc w:val="both"/>
        <w:ind w:left="80" w:firstLine="610"/>
        <w:spacing w:after="0" w:line="261" w:lineRule="auto"/>
        <w:tabs>
          <w:tab w:leader="none" w:pos="1130" w:val="left"/>
        </w:tabs>
        <w:numPr>
          <w:ilvl w:val="1"/>
          <w:numId w:val="139"/>
        </w:numPr>
        <w:rPr>
          <w:rFonts w:ascii="Arial" w:cs="Arial" w:eastAsia="Arial" w:hAnsi="Arial"/>
          <w:sz w:val="20"/>
          <w:szCs w:val="20"/>
          <w:color w:val="auto"/>
        </w:rPr>
      </w:pPr>
      <w:r>
        <w:rPr>
          <w:rFonts w:ascii="Arial" w:cs="Arial" w:eastAsia="Arial" w:hAnsi="Arial"/>
          <w:sz w:val="20"/>
          <w:szCs w:val="20"/>
          <w:color w:val="auto"/>
        </w:rPr>
        <w:t xml:space="preserve">In connection with your relocation to the Los Angeles area, you shall be entitled to the relocation benefits set forth in, and determined in accordance with and otherwise subject to the terms and conditions of, the “Relocation Summary” attached hereto as </w:t>
      </w:r>
      <w:r>
        <w:rPr>
          <w:rFonts w:ascii="Arial" w:cs="Arial" w:eastAsia="Arial" w:hAnsi="Arial"/>
          <w:sz w:val="20"/>
          <w:szCs w:val="20"/>
          <w:u w:val="single" w:color="auto"/>
          <w:color w:val="auto"/>
        </w:rPr>
        <w:t>Exhibit</w:t>
      </w:r>
      <w:r>
        <w:rPr>
          <w:rFonts w:ascii="Arial" w:cs="Arial" w:eastAsia="Arial" w:hAnsi="Arial"/>
          <w:sz w:val="20"/>
          <w:szCs w:val="20"/>
          <w:color w:val="auto"/>
        </w:rPr>
        <w:t xml:space="preserve"> </w:t>
      </w:r>
      <w:r>
        <w:rPr>
          <w:rFonts w:ascii="Arial" w:cs="Arial" w:eastAsia="Arial" w:hAnsi="Arial"/>
          <w:sz w:val="20"/>
          <w:szCs w:val="20"/>
          <w:u w:val="single" w:color="auto"/>
          <w:color w:val="auto"/>
        </w:rPr>
        <w:t>D</w:t>
      </w:r>
      <w:r>
        <w:rPr>
          <w:rFonts w:ascii="Arial" w:cs="Arial" w:eastAsia="Arial" w:hAnsi="Arial"/>
          <w:sz w:val="20"/>
          <w:szCs w:val="20"/>
          <w:color w:val="auto"/>
        </w:rPr>
        <w:t xml:space="preserve"> hereto. Notwithstanding anything to the contrary in this Agreement or in the Relocation Summary, should your employment with the Employer terminate other than pursuant to Section 9(b), 9(c), 9(d) or 9(e) prior to the first anniversary of the Effective Date, you agree to repay the Employer 100% of any relocation expenses for which you were reimbursed by the Employer within 60 days of the termination of your employment.</w:t>
      </w:r>
    </w:p>
    <w:p>
      <w:pPr>
        <w:spacing w:after="0" w:line="169" w:lineRule="exact"/>
        <w:rPr>
          <w:rFonts w:ascii="Arial" w:cs="Arial" w:eastAsia="Arial" w:hAnsi="Arial"/>
          <w:sz w:val="20"/>
          <w:szCs w:val="20"/>
          <w:color w:val="auto"/>
        </w:rPr>
      </w:pPr>
    </w:p>
    <w:p>
      <w:pPr>
        <w:ind w:left="320" w:hanging="318"/>
        <w:spacing w:after="0"/>
        <w:tabs>
          <w:tab w:leader="none" w:pos="320" w:val="left"/>
        </w:tabs>
        <w:numPr>
          <w:ilvl w:val="0"/>
          <w:numId w:val="140"/>
        </w:numPr>
        <w:rPr>
          <w:rFonts w:ascii="Arial" w:cs="Arial" w:eastAsia="Arial" w:hAnsi="Arial"/>
          <w:sz w:val="20"/>
          <w:szCs w:val="20"/>
          <w:b w:val="1"/>
          <w:bCs w:val="1"/>
          <w:color w:val="auto"/>
        </w:rPr>
      </w:pPr>
      <w:r>
        <w:rPr>
          <w:rFonts w:ascii="Arial" w:cs="Arial" w:eastAsia="Arial" w:hAnsi="Arial"/>
          <w:sz w:val="20"/>
          <w:szCs w:val="20"/>
          <w:u w:val="single" w:color="auto"/>
          <w:color w:val="auto"/>
        </w:rPr>
        <w:t>Title; Location</w:t>
      </w:r>
    </w:p>
    <w:p>
      <w:pPr>
        <w:spacing w:after="0" w:line="229" w:lineRule="exact"/>
        <w:rPr>
          <w:sz w:val="20"/>
          <w:szCs w:val="20"/>
          <w:color w:val="auto"/>
        </w:rPr>
      </w:pPr>
    </w:p>
    <w:p>
      <w:pPr>
        <w:jc w:val="both"/>
        <w:ind w:firstLine="612"/>
        <w:spacing w:after="0" w:line="268" w:lineRule="auto"/>
        <w:rPr>
          <w:sz w:val="20"/>
          <w:szCs w:val="20"/>
          <w:color w:val="auto"/>
        </w:rPr>
      </w:pPr>
      <w:r>
        <w:rPr>
          <w:rFonts w:ascii="Arial" w:cs="Arial" w:eastAsia="Arial" w:hAnsi="Arial"/>
          <w:sz w:val="20"/>
          <w:szCs w:val="20"/>
          <w:color w:val="auto"/>
        </w:rPr>
        <w:t xml:space="preserve">You shall serve as Chief Human Resources Officer, Activision Blizzard. Your principal place of business initially shall be the Employer’s headquarters in Santa Monica, California;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acknowledge and agree that you may be required to travel from time to time for business reasons.</w:t>
      </w:r>
    </w:p>
    <w:p>
      <w:pPr>
        <w:spacing w:after="0" w:line="160" w:lineRule="exact"/>
        <w:rPr>
          <w:sz w:val="20"/>
          <w:szCs w:val="20"/>
          <w:color w:val="auto"/>
        </w:rPr>
      </w:pPr>
    </w:p>
    <w:p>
      <w:pPr>
        <w:ind w:left="320" w:hanging="318"/>
        <w:spacing w:after="0"/>
        <w:tabs>
          <w:tab w:leader="none" w:pos="320" w:val="left"/>
        </w:tabs>
        <w:numPr>
          <w:ilvl w:val="0"/>
          <w:numId w:val="141"/>
        </w:numPr>
        <w:rPr>
          <w:rFonts w:ascii="Arial" w:cs="Arial" w:eastAsia="Arial" w:hAnsi="Arial"/>
          <w:sz w:val="20"/>
          <w:szCs w:val="20"/>
          <w:b w:val="1"/>
          <w:bCs w:val="1"/>
          <w:color w:val="auto"/>
        </w:rPr>
      </w:pPr>
      <w:r>
        <w:rPr>
          <w:rFonts w:ascii="Arial" w:cs="Arial" w:eastAsia="Arial" w:hAnsi="Arial"/>
          <w:sz w:val="20"/>
          <w:szCs w:val="20"/>
          <w:u w:val="single" w:color="auto"/>
          <w:color w:val="auto"/>
        </w:rPr>
        <w:t>Duties</w:t>
      </w:r>
    </w:p>
    <w:p>
      <w:pPr>
        <w:spacing w:after="0" w:line="229" w:lineRule="exact"/>
        <w:rPr>
          <w:sz w:val="20"/>
          <w:szCs w:val="20"/>
          <w:color w:val="auto"/>
        </w:rPr>
      </w:pPr>
    </w:p>
    <w:p>
      <w:pPr>
        <w:jc w:val="both"/>
        <w:ind w:firstLine="612"/>
        <w:spacing w:after="0" w:line="244" w:lineRule="exact"/>
        <w:rPr>
          <w:sz w:val="20"/>
          <w:szCs w:val="20"/>
          <w:color w:val="auto"/>
        </w:rPr>
      </w:pPr>
      <w:r>
        <w:rPr>
          <w:rFonts w:ascii="Arial" w:cs="Arial" w:eastAsia="Arial" w:hAnsi="Arial"/>
          <w:sz w:val="18"/>
          <w:szCs w:val="18"/>
          <w:color w:val="auto"/>
        </w:rPr>
        <w:t>You shall report directly to the Employer’s Chief Executive Officer (or such other executive of the Activision Blizzard Group as may be determined from time to time by it in its sole and absolute discretion) and shall have such duties commensurate with your position as may be assigned to you from time to time by the Employer’s Chief Executive Officer (or, as applicable, such other executive designated by the Employer). You are also required to read, review and observe all of the Activision Blizzard Group’s policies, procedures, rules and regulations in effect from time to time during the Term that apply to employees of the Employer, including, without limitation, the Code of Conduct, as amended from time to time. You shall devote your full</w:t>
      </w:r>
      <w:r>
        <w:rPr>
          <w:rFonts w:ascii="MS PGothic" w:cs="MS PGothic" w:eastAsia="MS PGothic" w:hAnsi="MS PGothic"/>
          <w:sz w:val="18"/>
          <w:szCs w:val="18"/>
          <w:color w:val="auto"/>
        </w:rPr>
        <w:t>‑</w:t>
      </w:r>
      <w:r>
        <w:rPr>
          <w:rFonts w:ascii="Arial" w:cs="Arial" w:eastAsia="Arial" w:hAnsi="Arial"/>
          <w:sz w:val="18"/>
          <w:szCs w:val="18"/>
          <w:color w:val="auto"/>
        </w:rPr>
        <w:t xml:space="preserve">time working time to the performance of your duties hereunder, shall faithfully serve the Employer, shall in all respects conform to and comply with the lawful directions and instructions given to you by the Employer’s Chief Executive Officer (or such other executive of the Activision Blizzard Group as may be determined from time to time by the Employer in its sole and absolute discretion) and shall use your best efforts to promote and serve the interests of the Activision Blizzard Group. Further, you shall at all times place the Employer’s interests above your own, not take any actions that would conflict with the Employer’s interests and shall perform all your duties for the Employer with the highest duty of care. Further, you shall not, directly or indirectly, render services of any kind to any other person or organization, whether on your own behalf or on behalf of others, without the consent of the Employer’s Chief Executive Officer or otherwise engage in activities that would interfere with your faithful and diligent performance of your duties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you may serve on civic or charitable boards or engage in charitable activities without remuneration if doing so is not inconsistent with, or adverse to, your employment hereunder.</w:t>
      </w:r>
    </w:p>
    <w:p>
      <w:pPr>
        <w:spacing w:after="0" w:line="190" w:lineRule="exact"/>
        <w:rPr>
          <w:sz w:val="20"/>
          <w:szCs w:val="20"/>
          <w:color w:val="auto"/>
        </w:rPr>
      </w:pPr>
    </w:p>
    <w:p>
      <w:pPr>
        <w:ind w:left="320" w:hanging="318"/>
        <w:spacing w:after="0"/>
        <w:tabs>
          <w:tab w:leader="none" w:pos="320" w:val="left"/>
        </w:tabs>
        <w:numPr>
          <w:ilvl w:val="0"/>
          <w:numId w:val="142"/>
        </w:numPr>
        <w:rPr>
          <w:rFonts w:ascii="Arial" w:cs="Arial" w:eastAsia="Arial" w:hAnsi="Arial"/>
          <w:sz w:val="20"/>
          <w:szCs w:val="20"/>
          <w:b w:val="1"/>
          <w:bCs w:val="1"/>
          <w:color w:val="auto"/>
        </w:rPr>
      </w:pPr>
      <w:r>
        <w:rPr>
          <w:rFonts w:ascii="Arial" w:cs="Arial" w:eastAsia="Arial" w:hAnsi="Arial"/>
          <w:sz w:val="20"/>
          <w:szCs w:val="20"/>
          <w:u w:val="single" w:color="auto"/>
          <w:color w:val="auto"/>
        </w:rPr>
        <w:t>Expenses</w:t>
      </w:r>
    </w:p>
    <w:p>
      <w:pPr>
        <w:spacing w:after="0" w:line="229" w:lineRule="exact"/>
        <w:rPr>
          <w:sz w:val="20"/>
          <w:szCs w:val="20"/>
          <w:color w:val="auto"/>
        </w:rPr>
      </w:pPr>
    </w:p>
    <w:p>
      <w:pPr>
        <w:jc w:val="both"/>
        <w:ind w:firstLine="612"/>
        <w:spacing w:after="0" w:line="268" w:lineRule="auto"/>
        <w:rPr>
          <w:sz w:val="20"/>
          <w:szCs w:val="20"/>
          <w:color w:val="auto"/>
        </w:rPr>
      </w:pPr>
      <w:r>
        <w:rPr>
          <w:rFonts w:ascii="Arial" w:cs="Arial" w:eastAsia="Arial" w:hAnsi="Arial"/>
          <w:sz w:val="20"/>
          <w:szCs w:val="20"/>
          <w:color w:val="auto"/>
        </w:rPr>
        <w:t>To the extent you incur necessary and reasonable travel or other business expenses in the course of your employment, you shall be reimbursed for such expenses, upon presentation of written documentation in accordance with the Employer’s policies in effect from time to time.</w:t>
      </w:r>
    </w:p>
    <w:p>
      <w:pPr>
        <w:spacing w:after="0" w:line="36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5</w:t>
      </w:r>
    </w:p>
    <w:p>
      <w:pPr>
        <w:sectPr>
          <w:pgSz w:w="11900" w:h="16838" w:orient="portrait"/>
          <w:cols w:equalWidth="0" w:num="1">
            <w:col w:w="11420"/>
          </w:cols>
          <w:pgMar w:left="240" w:top="577" w:right="239" w:bottom="1440" w:gutter="0" w:footer="0" w:header="0"/>
        </w:sectPr>
      </w:pPr>
    </w:p>
    <w:bookmarkStart w:id="176" w:name="page177"/>
    <w:bookmarkEnd w:id="176"/>
    <w:p>
      <w:pPr>
        <w:ind w:left="318" w:hanging="318"/>
        <w:spacing w:after="0"/>
        <w:tabs>
          <w:tab w:leader="none" w:pos="318" w:val="left"/>
        </w:tabs>
        <w:numPr>
          <w:ilvl w:val="0"/>
          <w:numId w:val="143"/>
        </w:numPr>
        <w:rPr>
          <w:rFonts w:ascii="Arial" w:cs="Arial" w:eastAsia="Arial" w:hAnsi="Arial"/>
          <w:sz w:val="20"/>
          <w:szCs w:val="20"/>
          <w:b w:val="1"/>
          <w:bCs w:val="1"/>
          <w:color w:val="auto"/>
        </w:rPr>
      </w:pPr>
      <w:r>
        <w:rPr>
          <w:rFonts w:ascii="Arial" w:cs="Arial" w:eastAsia="Arial" w:hAnsi="Arial"/>
          <w:sz w:val="20"/>
          <w:szCs w:val="20"/>
          <w:u w:val="single" w:color="auto"/>
          <w:color w:val="auto"/>
        </w:rPr>
        <w:t>Other Benefits</w:t>
      </w:r>
    </w:p>
    <w:p>
      <w:pPr>
        <w:spacing w:after="0" w:line="229" w:lineRule="exact"/>
        <w:rPr>
          <w:rFonts w:ascii="Arial" w:cs="Arial" w:eastAsia="Arial" w:hAnsi="Arial"/>
          <w:sz w:val="20"/>
          <w:szCs w:val="20"/>
          <w:b w:val="1"/>
          <w:bCs w:val="1"/>
          <w:color w:val="auto"/>
        </w:rPr>
      </w:pPr>
    </w:p>
    <w:p>
      <w:pPr>
        <w:jc w:val="both"/>
        <w:ind w:left="78" w:firstLine="610"/>
        <w:spacing w:after="0" w:line="259" w:lineRule="auto"/>
        <w:tabs>
          <w:tab w:leader="none" w:pos="1125" w:val="left"/>
        </w:tabs>
        <w:numPr>
          <w:ilvl w:val="1"/>
          <w:numId w:val="143"/>
        </w:numPr>
        <w:rPr>
          <w:rFonts w:ascii="Arial" w:cs="Arial" w:eastAsia="Arial" w:hAnsi="Arial"/>
          <w:sz w:val="20"/>
          <w:szCs w:val="20"/>
          <w:color w:val="auto"/>
        </w:rPr>
      </w:pPr>
      <w:r>
        <w:rPr>
          <w:rFonts w:ascii="Arial" w:cs="Arial" w:eastAsia="Arial" w:hAnsi="Arial"/>
          <w:sz w:val="20"/>
          <w:szCs w:val="20"/>
          <w:color w:val="auto"/>
        </w:rPr>
        <w:t>You shall be eligible to participate in all health, welfare, retirement, pension, life insurance, disability, perquisite and similar plans, programs and arrangements generally available to executives of the Employer from time to time during the Term, subject to the then-prevailing terms, conditions and eligibility requirements of each such plan, program, or arrangement. In addition to the foregoing benefits, Employer will provide you during the Term, at Employer’s expense, with a supplemental term life insurance policy with a face amount of $2,000,000 through a carrier of Employer’s choice (the “Target Face Amount”), subject to your insurability. If it is determined that you are insurable at a higher cost than a healthy individual of like age, the face amount of such insurance coverage will be reduced to the maximum face amount of coverage that may be obtained for the cost of coverage of the Target Face Amount for such healthy individual.</w:t>
      </w:r>
    </w:p>
    <w:p>
      <w:pPr>
        <w:spacing w:after="0" w:line="169" w:lineRule="exact"/>
        <w:rPr>
          <w:rFonts w:ascii="Arial" w:cs="Arial" w:eastAsia="Arial" w:hAnsi="Arial"/>
          <w:sz w:val="20"/>
          <w:szCs w:val="20"/>
          <w:color w:val="auto"/>
        </w:rPr>
      </w:pPr>
    </w:p>
    <w:p>
      <w:pPr>
        <w:jc w:val="both"/>
        <w:ind w:left="78" w:firstLine="610"/>
        <w:spacing w:after="0" w:line="253" w:lineRule="exact"/>
        <w:tabs>
          <w:tab w:leader="none" w:pos="1200" w:val="left"/>
        </w:tabs>
        <w:numPr>
          <w:ilvl w:val="1"/>
          <w:numId w:val="143"/>
        </w:numPr>
        <w:rPr>
          <w:rFonts w:ascii="Arial" w:cs="Arial" w:eastAsia="Arial" w:hAnsi="Arial"/>
          <w:sz w:val="19"/>
          <w:szCs w:val="19"/>
          <w:color w:val="auto"/>
        </w:rPr>
      </w:pPr>
      <w:r>
        <w:rPr>
          <w:rFonts w:ascii="Arial" w:cs="Arial" w:eastAsia="Arial" w:hAnsi="Arial"/>
          <w:sz w:val="19"/>
          <w:szCs w:val="19"/>
          <w:color w:val="auto"/>
        </w:rPr>
        <w:t>You expressly agree and acknowledge that, after the Expiration Date (or such earlier date on which your employment is terminated), you shall not be entitled to any additional benefits, except as specifically provided in this Agreement and the benefit plans in which you participate during the Term, and subject in each case to the then</w:t>
      </w:r>
      <w:r>
        <w:rPr>
          <w:rFonts w:ascii="MS PGothic" w:cs="MS PGothic" w:eastAsia="MS PGothic" w:hAnsi="MS PGothic"/>
          <w:sz w:val="19"/>
          <w:szCs w:val="19"/>
          <w:color w:val="auto"/>
        </w:rPr>
        <w:t>‑</w:t>
      </w:r>
      <w:r>
        <w:rPr>
          <w:rFonts w:ascii="Arial" w:cs="Arial" w:eastAsia="Arial" w:hAnsi="Arial"/>
          <w:sz w:val="19"/>
          <w:szCs w:val="19"/>
          <w:color w:val="auto"/>
        </w:rPr>
        <w:t>prevailing terms and conditions of each such plan.</w:t>
      </w:r>
    </w:p>
    <w:p>
      <w:pPr>
        <w:spacing w:after="0" w:line="186" w:lineRule="exact"/>
        <w:rPr>
          <w:rFonts w:ascii="Arial" w:cs="Arial" w:eastAsia="Arial" w:hAnsi="Arial"/>
          <w:sz w:val="19"/>
          <w:szCs w:val="19"/>
          <w:color w:val="auto"/>
        </w:rPr>
      </w:pPr>
    </w:p>
    <w:p>
      <w:pPr>
        <w:ind w:left="318" w:hanging="318"/>
        <w:spacing w:after="0"/>
        <w:tabs>
          <w:tab w:leader="none" w:pos="318" w:val="left"/>
        </w:tabs>
        <w:numPr>
          <w:ilvl w:val="0"/>
          <w:numId w:val="143"/>
        </w:numPr>
        <w:rPr>
          <w:rFonts w:ascii="Arial" w:cs="Arial" w:eastAsia="Arial" w:hAnsi="Arial"/>
          <w:sz w:val="20"/>
          <w:szCs w:val="20"/>
          <w:b w:val="1"/>
          <w:bCs w:val="1"/>
          <w:color w:val="auto"/>
        </w:rPr>
      </w:pPr>
      <w:r>
        <w:rPr>
          <w:rFonts w:ascii="Arial" w:cs="Arial" w:eastAsia="Arial" w:hAnsi="Arial"/>
          <w:sz w:val="20"/>
          <w:szCs w:val="20"/>
          <w:u w:val="single" w:color="auto"/>
          <w:color w:val="auto"/>
        </w:rPr>
        <w:t>Vacation and Paid Holidays</w:t>
      </w:r>
    </w:p>
    <w:p>
      <w:pPr>
        <w:spacing w:after="0" w:line="229" w:lineRule="exact"/>
        <w:rPr>
          <w:rFonts w:ascii="Arial" w:cs="Arial" w:eastAsia="Arial" w:hAnsi="Arial"/>
          <w:sz w:val="20"/>
          <w:szCs w:val="20"/>
          <w:b w:val="1"/>
          <w:bCs w:val="1"/>
          <w:color w:val="auto"/>
        </w:rPr>
      </w:pPr>
    </w:p>
    <w:p>
      <w:pPr>
        <w:jc w:val="both"/>
        <w:ind w:left="78" w:firstLine="610"/>
        <w:spacing w:after="0" w:line="275" w:lineRule="auto"/>
        <w:tabs>
          <w:tab w:leader="none" w:pos="1099"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You will generally be entitled to paid vacation days in accordance with the normal vacation policies of the Employer in effect from time to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will be entitled to accrue no less than twenty (20) paid vacation days per year unless your vacation balance exceeds the Employer’s then-current maximum.</w:t>
      </w:r>
    </w:p>
    <w:p>
      <w:pPr>
        <w:spacing w:after="0" w:line="152" w:lineRule="exact"/>
        <w:rPr>
          <w:rFonts w:ascii="Arial" w:cs="Arial" w:eastAsia="Arial" w:hAnsi="Arial"/>
          <w:sz w:val="20"/>
          <w:szCs w:val="20"/>
          <w:color w:val="auto"/>
        </w:rPr>
      </w:pPr>
    </w:p>
    <w:p>
      <w:pPr>
        <w:ind w:left="1098" w:hanging="410"/>
        <w:spacing w:after="0"/>
        <w:tabs>
          <w:tab w:leader="none" w:pos="1098" w:val="left"/>
        </w:tabs>
        <w:numPr>
          <w:ilvl w:val="1"/>
          <w:numId w:val="143"/>
        </w:numPr>
        <w:rPr>
          <w:rFonts w:ascii="Arial" w:cs="Arial" w:eastAsia="Arial" w:hAnsi="Arial"/>
          <w:sz w:val="20"/>
          <w:szCs w:val="20"/>
          <w:color w:val="auto"/>
        </w:rPr>
      </w:pPr>
      <w:r>
        <w:rPr>
          <w:rFonts w:ascii="Arial" w:cs="Arial" w:eastAsia="Arial" w:hAnsi="Arial"/>
          <w:sz w:val="20"/>
          <w:szCs w:val="20"/>
          <w:color w:val="auto"/>
        </w:rPr>
        <w:t>You shall be entitled to all paid holidays allowed by the Employer to its full-time employees in the United States.</w:t>
      </w:r>
    </w:p>
    <w:p>
      <w:pPr>
        <w:spacing w:after="0" w:line="229" w:lineRule="exact"/>
        <w:rPr>
          <w:rFonts w:ascii="Arial" w:cs="Arial" w:eastAsia="Arial" w:hAnsi="Arial"/>
          <w:sz w:val="20"/>
          <w:szCs w:val="20"/>
          <w:color w:val="auto"/>
        </w:rPr>
      </w:pPr>
    </w:p>
    <w:p>
      <w:pPr>
        <w:ind w:left="318" w:hanging="318"/>
        <w:spacing w:after="0"/>
        <w:tabs>
          <w:tab w:leader="none" w:pos="318" w:val="left"/>
        </w:tabs>
        <w:numPr>
          <w:ilvl w:val="0"/>
          <w:numId w:val="143"/>
        </w:numPr>
        <w:rPr>
          <w:rFonts w:ascii="Arial" w:cs="Arial" w:eastAsia="Arial" w:hAnsi="Arial"/>
          <w:sz w:val="20"/>
          <w:szCs w:val="20"/>
          <w:b w:val="1"/>
          <w:bCs w:val="1"/>
          <w:color w:val="auto"/>
        </w:rPr>
      </w:pPr>
      <w:r>
        <w:rPr>
          <w:rFonts w:ascii="Arial" w:cs="Arial" w:eastAsia="Arial" w:hAnsi="Arial"/>
          <w:sz w:val="20"/>
          <w:szCs w:val="20"/>
          <w:u w:val="single" w:color="auto"/>
          <w:color w:val="auto"/>
        </w:rPr>
        <w:t>Protection of the Employer’s Interests</w:t>
      </w:r>
    </w:p>
    <w:p>
      <w:pPr>
        <w:spacing w:after="0" w:line="200" w:lineRule="exact"/>
        <w:rPr>
          <w:rFonts w:ascii="Arial" w:cs="Arial" w:eastAsia="Arial" w:hAnsi="Arial"/>
          <w:sz w:val="20"/>
          <w:szCs w:val="20"/>
          <w:b w:val="1"/>
          <w:bCs w:val="1"/>
          <w:color w:val="auto"/>
        </w:rPr>
      </w:pPr>
    </w:p>
    <w:p>
      <w:pPr>
        <w:spacing w:after="0" w:line="233" w:lineRule="exact"/>
        <w:rPr>
          <w:rFonts w:ascii="Arial" w:cs="Arial" w:eastAsia="Arial" w:hAnsi="Arial"/>
          <w:sz w:val="20"/>
          <w:szCs w:val="20"/>
          <w:b w:val="1"/>
          <w:bCs w:val="1"/>
          <w:color w:val="auto"/>
        </w:rPr>
      </w:pPr>
    </w:p>
    <w:p>
      <w:pPr>
        <w:jc w:val="both"/>
        <w:ind w:left="78" w:firstLine="610"/>
        <w:spacing w:after="0" w:line="263" w:lineRule="auto"/>
        <w:tabs>
          <w:tab w:leader="none" w:pos="1125" w:val="left"/>
        </w:tabs>
        <w:numPr>
          <w:ilvl w:val="1"/>
          <w:numId w:val="143"/>
        </w:numPr>
        <w:rPr>
          <w:rFonts w:ascii="Arial" w:cs="Arial" w:eastAsia="Arial" w:hAnsi="Arial"/>
          <w:sz w:val="20"/>
          <w:szCs w:val="20"/>
          <w:color w:val="auto"/>
        </w:rPr>
      </w:pPr>
      <w:r>
        <w:rPr>
          <w:rFonts w:ascii="Arial" w:cs="Arial" w:eastAsia="Arial" w:hAnsi="Arial"/>
          <w:sz w:val="20"/>
          <w:szCs w:val="20"/>
          <w:color w:val="auto"/>
        </w:rPr>
        <w:t xml:space="preserve">Duty of Loyalty. During the Term, you will owe a “Duty of Loyalty” to the Employer, which includes, but is not limited to, you not competing in any manner, whether directly or indirectly, as a principal, employee, agent, owner, or otherwise, with any entity in the Activision Blizzard Group;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nothing in this Section 8(a) will limit your right to own up to five percent (5%) of any of the debt or equity securities of any business organization that is then required to file reports with the Securities and Exchange Commission pursuant to Section 13 or 15(d) of the Securities Exchange Act of 1934, as amended.</w:t>
      </w:r>
    </w:p>
    <w:p>
      <w:pPr>
        <w:spacing w:after="0" w:line="167" w:lineRule="exact"/>
        <w:rPr>
          <w:rFonts w:ascii="Arial" w:cs="Arial" w:eastAsia="Arial" w:hAnsi="Arial"/>
          <w:sz w:val="20"/>
          <w:szCs w:val="20"/>
          <w:color w:val="auto"/>
        </w:rPr>
      </w:pPr>
    </w:p>
    <w:p>
      <w:pPr>
        <w:jc w:val="both"/>
        <w:ind w:left="78" w:firstLine="610"/>
        <w:spacing w:after="0" w:line="293" w:lineRule="auto"/>
        <w:tabs>
          <w:tab w:leader="none" w:pos="113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Property of the Activision Blizzard Group. All rights worldwide with respect to any and all intellectual or other property of any nature produced, created or suggested by you, whether on your own time or not, alone or with others, during the term of your employment or resulting from your services which (i) relate in any manner at the time of conception or reduction to practice to the actual or demonstrably anticipated business of the Activision Blizzard Group, (ii) result from or are suggested by any task assigned to you or any work performed by you on behalf of the Activision Blizzard Group, (iii) were created using the time or resources of the Activision Blizzard Group, or (iv) are based on any property owned or idea conceived by the Activision Blizzard Group, shall be deemed to be a work made for hire and shall be the sole and exclusive property of the Activision Blizzard Group. You agree to execute, acknowledge and</w:t>
      </w:r>
    </w:p>
    <w:p>
      <w:pPr>
        <w:spacing w:after="0" w:line="344" w:lineRule="exact"/>
        <w:rPr>
          <w:sz w:val="20"/>
          <w:szCs w:val="20"/>
          <w:color w:val="auto"/>
        </w:rPr>
      </w:pPr>
    </w:p>
    <w:p>
      <w:pPr>
        <w:ind w:left="3818"/>
        <w:spacing w:after="0"/>
        <w:rPr>
          <w:sz w:val="20"/>
          <w:szCs w:val="20"/>
          <w:color w:val="auto"/>
        </w:rPr>
      </w:pPr>
      <w:r>
        <w:rPr>
          <w:rFonts w:ascii="Arial" w:cs="Arial" w:eastAsia="Arial" w:hAnsi="Arial"/>
          <w:sz w:val="17"/>
          <w:szCs w:val="17"/>
          <w:color w:val="auto"/>
        </w:rPr>
        <w:t>Page 6</w:t>
      </w:r>
    </w:p>
    <w:p>
      <w:pPr>
        <w:sectPr>
          <w:pgSz w:w="11900" w:h="16838" w:orient="portrait"/>
          <w:cols w:equalWidth="0" w:num="1">
            <w:col w:w="11418"/>
          </w:cols>
          <w:pgMar w:left="242" w:top="577" w:right="239" w:bottom="1440" w:gutter="0" w:footer="0" w:header="0"/>
        </w:sectPr>
      </w:pPr>
    </w:p>
    <w:bookmarkStart w:id="177" w:name="page178"/>
    <w:bookmarkEnd w:id="177"/>
    <w:p>
      <w:pPr>
        <w:jc w:val="both"/>
        <w:spacing w:after="0" w:line="293" w:lineRule="auto"/>
        <w:rPr>
          <w:sz w:val="20"/>
          <w:szCs w:val="20"/>
          <w:color w:val="auto"/>
        </w:rPr>
      </w:pPr>
      <w:r>
        <w:rPr>
          <w:rFonts w:ascii="Arial" w:cs="Arial" w:eastAsia="Arial" w:hAnsi="Arial"/>
          <w:sz w:val="18"/>
          <w:szCs w:val="18"/>
          <w:color w:val="auto"/>
        </w:rPr>
        <w:t>deliver to the Employer, at the Employer’s request, such further documents, including copyright and patent assignments, as the Employer finds appropriate to evidence the Activision Blizzard Group’s rights in such property. Your agreement to assign to the Activision Blizzard Group any of your rights as set forth in this Section 8(b) shall not apply to any invention that qualifies fully under the provisions of California Labor Code Section 2870, where no equipment, supplies, facility or trade secret information of the Activision Blizzard Group was used, where the invention was developed entirely upon your own time, where the invention does not relate to the Activision Blizzard Group’s business, and where the invention does not result from any work performed by you for the Activision Blizzard Group.</w:t>
      </w:r>
    </w:p>
    <w:p>
      <w:pPr>
        <w:spacing w:after="0" w:line="141" w:lineRule="exact"/>
        <w:rPr>
          <w:sz w:val="20"/>
          <w:szCs w:val="20"/>
          <w:color w:val="auto"/>
        </w:rPr>
      </w:pPr>
    </w:p>
    <w:p>
      <w:pPr>
        <w:jc w:val="both"/>
        <w:ind w:firstLine="610"/>
        <w:spacing w:after="0" w:line="267" w:lineRule="auto"/>
        <w:tabs>
          <w:tab w:leader="none" w:pos="104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Covenant Not to Shop. Other than during the final six (6) months of the Term, you shall not negotiate for employment with any entity or person outside of the Activision Blizzard Group. During the search process and thereafter you shall remain strictly subject to your continuing obligations under this Agreement, including, without limitation, your Duty of Loyalty, compliance with the Activision Blizzard Group’s policies and your confidentiality obligations.</w:t>
      </w:r>
    </w:p>
    <w:p>
      <w:pPr>
        <w:spacing w:after="0" w:line="162" w:lineRule="exact"/>
        <w:rPr>
          <w:rFonts w:ascii="Arial" w:cs="Arial" w:eastAsia="Arial" w:hAnsi="Arial"/>
          <w:sz w:val="20"/>
          <w:szCs w:val="20"/>
          <w:color w:val="auto"/>
        </w:rPr>
      </w:pPr>
    </w:p>
    <w:p>
      <w:pPr>
        <w:jc w:val="both"/>
        <w:ind w:firstLine="610"/>
        <w:spacing w:after="0" w:line="271" w:lineRule="auto"/>
        <w:tabs>
          <w:tab w:leader="none" w:pos="114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Confidentiality. You acknowledge, and the Employer agrees, that during your employment you will have access to and become informed of confidential and proprietary information concerning the Activision Blizzard Group. During your employment and at all times following the termination of your employment, confidential or proprietary information of any entity in the Activision Blizzard Group shall not be used by you or disclosed or made available by you to any person except as required in the course of your employment with the Activision Blizzard Group or as otherwise provided for in the Employee Confidential Information Agreement attached as Exhibit A hereto (the “Confidential Information Agreement”). Upon the termination of your employment (or at any time on the Employer’s request), you shall return to the Activision Blizzard Group all such information that exists, whether in electronic, written, or other form (and all copies or extracts thereof) under your control and shall not retain such information in any form, including without limitation on any devices, disks or other media. Without limiting the generality of the foregoing, you acknowledge signing and delivering to the Employer the Confidential Information Agreement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63" w:lineRule="exact"/>
        <w:rPr>
          <w:rFonts w:ascii="Arial" w:cs="Arial" w:eastAsia="Arial" w:hAnsi="Arial"/>
          <w:sz w:val="19"/>
          <w:szCs w:val="19"/>
          <w:color w:val="auto"/>
        </w:rPr>
      </w:pPr>
    </w:p>
    <w:p>
      <w:pPr>
        <w:jc w:val="both"/>
        <w:ind w:firstLine="610"/>
        <w:spacing w:after="0" w:line="272" w:lineRule="auto"/>
        <w:tabs>
          <w:tab w:leader="none" w:pos="1021" w:val="left"/>
        </w:tabs>
        <w:numPr>
          <w:ilvl w:val="0"/>
          <w:numId w:val="144"/>
        </w:numPr>
        <w:rPr>
          <w:rFonts w:ascii="Arial" w:cs="Arial" w:eastAsia="Arial" w:hAnsi="Arial"/>
          <w:sz w:val="19"/>
          <w:szCs w:val="19"/>
          <w:color w:val="auto"/>
        </w:rPr>
      </w:pPr>
      <w:r>
        <w:rPr>
          <w:rFonts w:ascii="Arial" w:cs="Arial" w:eastAsia="Arial" w:hAnsi="Arial"/>
          <w:sz w:val="19"/>
          <w:szCs w:val="19"/>
          <w:color w:val="auto"/>
        </w:rPr>
        <w:t>Return of Property and Resignation from Office. You acknowledge that, upon termination of your employment for any reason whatsoever (or at any time on the Employer’s request), you will promptly deliver to the Activision Blizzard Group or surrender to the Activision Blizzard Group’s representative all property of any entity in the Activision Blizzard Group, including, without limitation, all documents and other materials (and all copies thereof) relating to the Activision Blizzard Group’s business, all identification and access cards, all contact lists and third party business cards however and wherever preserved, and any equipment provided by any entity in the Activision Blizzard Group, including, without limitation, computers, telephones, personal digital assistants, memory cards and similar devices that you possess or have in your custody or under your control. You will cooperate with the Activision Blizzard Group by participating in interviews to share any knowledge you may have regarding the Activision Blizzard Group’s intellectual or other property with personnel designated by the Activision Blizzard Group. You also agree to resign from any office held by you within the Activision Blizzard Group immediately upon termination of your employment for any reason whatsoever (or at any time on</w:t>
      </w:r>
    </w:p>
    <w:p>
      <w:pPr>
        <w:spacing w:after="0" w:line="363"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Page 7</w:t>
      </w:r>
    </w:p>
    <w:p>
      <w:pPr>
        <w:sectPr>
          <w:pgSz w:w="11900" w:h="16838" w:orient="portrait"/>
          <w:cols w:equalWidth="0" w:num="1">
            <w:col w:w="11340"/>
          </w:cols>
          <w:pgMar w:left="320" w:top="577" w:right="239" w:bottom="1440" w:gutter="0" w:footer="0" w:header="0"/>
        </w:sectPr>
      </w:pPr>
    </w:p>
    <w:bookmarkStart w:id="178" w:name="page179"/>
    <w:bookmarkEnd w:id="178"/>
    <w:p>
      <w:pPr>
        <w:spacing w:after="0" w:line="283" w:lineRule="auto"/>
        <w:rPr>
          <w:sz w:val="20"/>
          <w:szCs w:val="20"/>
          <w:color w:val="auto"/>
        </w:rPr>
      </w:pPr>
      <w:r>
        <w:rPr>
          <w:rFonts w:ascii="Arial" w:cs="Arial" w:eastAsia="Arial" w:hAnsi="Arial"/>
          <w:sz w:val="20"/>
          <w:szCs w:val="20"/>
          <w:color w:val="auto"/>
        </w:rPr>
        <w:t>the Employer’s request) and you irrevocably appoint any person designated as the Activision Blizzard Group’s representative at that time as your delegate to effect such resignation.</w:t>
      </w:r>
    </w:p>
    <w:p>
      <w:pPr>
        <w:spacing w:after="0" w:line="146" w:lineRule="exact"/>
        <w:rPr>
          <w:sz w:val="20"/>
          <w:szCs w:val="20"/>
          <w:color w:val="auto"/>
        </w:rPr>
      </w:pPr>
    </w:p>
    <w:p>
      <w:pPr>
        <w:ind w:left="980" w:hanging="370"/>
        <w:spacing w:after="0"/>
        <w:tabs>
          <w:tab w:leader="none" w:pos="9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Covenant Not to Solicit.</w:t>
      </w:r>
    </w:p>
    <w:p>
      <w:pPr>
        <w:spacing w:after="0" w:line="229" w:lineRule="exact"/>
        <w:rPr>
          <w:rFonts w:ascii="Arial" w:cs="Arial" w:eastAsia="Arial" w:hAnsi="Arial"/>
          <w:sz w:val="20"/>
          <w:szCs w:val="20"/>
          <w:color w:val="auto"/>
        </w:rPr>
      </w:pPr>
    </w:p>
    <w:p>
      <w:pPr>
        <w:jc w:val="both"/>
        <w:ind w:left="1760" w:hanging="614"/>
        <w:spacing w:after="0" w:line="288" w:lineRule="auto"/>
        <w:tabs>
          <w:tab w:leader="none" w:pos="17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During your employment, you shall not, at any time or for any reason, either alone or jointly, with or on behalf of others, whether as principal, partner, agent, representative, equity holder, director, employee, consultant or otherwise, directly or indirectly: (a) offer employment to, or solicit the employment or engagement of, or otherwise entice away from the employment or engagement of the Activision Blizzard Group,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 or (b)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48" w:lineRule="exact"/>
        <w:rPr>
          <w:rFonts w:ascii="Arial" w:cs="Arial" w:eastAsia="Arial" w:hAnsi="Arial"/>
          <w:sz w:val="18"/>
          <w:szCs w:val="18"/>
          <w:color w:val="auto"/>
        </w:rPr>
      </w:pPr>
    </w:p>
    <w:p>
      <w:pPr>
        <w:jc w:val="both"/>
        <w:ind w:left="1760" w:hanging="614"/>
        <w:spacing w:after="0" w:line="275" w:lineRule="auto"/>
        <w:tabs>
          <w:tab w:leader="none" w:pos="1760" w:val="left"/>
        </w:tabs>
        <w:numPr>
          <w:ilvl w:val="1"/>
          <w:numId w:val="145"/>
        </w:numPr>
        <w:rPr>
          <w:rFonts w:ascii="Arial" w:cs="Arial" w:eastAsia="Arial" w:hAnsi="Arial"/>
          <w:sz w:val="19"/>
          <w:szCs w:val="19"/>
          <w:color w:val="auto"/>
        </w:rPr>
      </w:pPr>
      <w:r>
        <w:rPr>
          <w:rFonts w:ascii="Arial" w:cs="Arial" w:eastAsia="Arial" w:hAnsi="Arial"/>
          <w:sz w:val="19"/>
          <w:szCs w:val="19"/>
          <w:color w:val="auto"/>
        </w:rPr>
        <w:t>For a period of two (2) years following the termination of your employment for any reason whatsoever, you shall not, at any time or for any reason, either alone or jointly, with or on behalf of others, whether as principal, partner, agent, representative, equity holder, director, employee, consultant or otherwise, directly or indirectly solicit the employment or engagement of, either for your own account or for any other person, firm or company, any person employed or otherwise engaged by any entity in the Activision Blizzard Group, whether or not such person would commit any breach of a contract by reason of his or her leaving the service of the Activision Blizzard Group.</w:t>
      </w:r>
    </w:p>
    <w:p>
      <w:pPr>
        <w:spacing w:after="0" w:line="155" w:lineRule="exact"/>
        <w:rPr>
          <w:rFonts w:ascii="Arial" w:cs="Arial" w:eastAsia="Arial" w:hAnsi="Arial"/>
          <w:sz w:val="19"/>
          <w:szCs w:val="19"/>
          <w:color w:val="auto"/>
        </w:rPr>
      </w:pPr>
    </w:p>
    <w:p>
      <w:pPr>
        <w:jc w:val="both"/>
        <w:ind w:left="1760" w:hanging="614"/>
        <w:spacing w:after="0" w:line="296" w:lineRule="auto"/>
        <w:tabs>
          <w:tab w:leader="none" w:pos="17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During your employment and at all times following the termination of your employment for any reason whatsoever, you shall not, at any time or for any reason, use the confidential, trade secret information of the Activision Blizzard Group or any other unlawful means to directly or indirectly solicit, induce or entice any client, customer, contractor, licensor, agent, supplier, partner or other business relationship of any entity in the Activision Blizzard Group to terminate, discontinue, renegotiate or otherwise cease or modify its relationship with the Activision Blizzard Group.</w:t>
      </w:r>
    </w:p>
    <w:p>
      <w:pPr>
        <w:spacing w:after="0" w:line="138" w:lineRule="exact"/>
        <w:rPr>
          <w:rFonts w:ascii="Arial" w:cs="Arial" w:eastAsia="Arial" w:hAnsi="Arial"/>
          <w:sz w:val="18"/>
          <w:szCs w:val="18"/>
          <w:color w:val="auto"/>
        </w:rPr>
      </w:pPr>
    </w:p>
    <w:p>
      <w:pPr>
        <w:jc w:val="both"/>
        <w:ind w:left="1760" w:hanging="614"/>
        <w:spacing w:after="0" w:line="260" w:lineRule="auto"/>
        <w:tabs>
          <w:tab w:leader="none" w:pos="176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You expressly acknowledge and agree that the restrictions contained in this Section 8(f) are reasonably tailored to protect the Activision Blizzard Group’s confidential information and trade secrets and to ensure that you do not violate your Duty of Loyalty or any other fiduciary duty to the Employer, and are reasonable in all circumstances in scope, duration and all other respects. The provisions of this Section 8(f) shall survive the expiration or earlier termination of this Agreement.</w:t>
      </w:r>
    </w:p>
    <w:p>
      <w:pPr>
        <w:spacing w:after="0" w:line="370"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Page 8</w:t>
      </w:r>
    </w:p>
    <w:p>
      <w:pPr>
        <w:sectPr>
          <w:pgSz w:w="11900" w:h="16838" w:orient="portrait"/>
          <w:cols w:equalWidth="0" w:num="1">
            <w:col w:w="11340"/>
          </w:cols>
          <w:pgMar w:left="320" w:top="577" w:right="239" w:bottom="1440" w:gutter="0" w:footer="0" w:header="0"/>
        </w:sectPr>
      </w:pPr>
    </w:p>
    <w:bookmarkStart w:id="179" w:name="page180"/>
    <w:bookmarkEnd w:id="179"/>
    <w:p>
      <w:pPr>
        <w:ind w:left="318" w:hanging="318"/>
        <w:spacing w:after="0"/>
        <w:tabs>
          <w:tab w:leader="none" w:pos="318" w:val="left"/>
        </w:tabs>
        <w:numPr>
          <w:ilvl w:val="0"/>
          <w:numId w:val="146"/>
        </w:numPr>
        <w:rPr>
          <w:rFonts w:ascii="Arial" w:cs="Arial" w:eastAsia="Arial" w:hAnsi="Arial"/>
          <w:sz w:val="20"/>
          <w:szCs w:val="20"/>
          <w:b w:val="1"/>
          <w:bCs w:val="1"/>
          <w:color w:val="auto"/>
        </w:rPr>
      </w:pPr>
      <w:r>
        <w:rPr>
          <w:rFonts w:ascii="Arial" w:cs="Arial" w:eastAsia="Arial" w:hAnsi="Arial"/>
          <w:sz w:val="20"/>
          <w:szCs w:val="20"/>
          <w:u w:val="single" w:color="auto"/>
          <w:color w:val="auto"/>
        </w:rPr>
        <w:t>Termination of Employment</w:t>
      </w:r>
    </w:p>
    <w:p>
      <w:pPr>
        <w:spacing w:after="0" w:line="229" w:lineRule="exact"/>
        <w:rPr>
          <w:rFonts w:ascii="Arial" w:cs="Arial" w:eastAsia="Arial" w:hAnsi="Arial"/>
          <w:sz w:val="20"/>
          <w:szCs w:val="20"/>
          <w:b w:val="1"/>
          <w:bCs w:val="1"/>
          <w:color w:val="auto"/>
        </w:rPr>
      </w:pPr>
    </w:p>
    <w:p>
      <w:pPr>
        <w:ind w:left="1078" w:hanging="390"/>
        <w:spacing w:after="0"/>
        <w:tabs>
          <w:tab w:leader="none" w:pos="1078" w:val="left"/>
        </w:tabs>
        <w:numPr>
          <w:ilvl w:val="1"/>
          <w:numId w:val="146"/>
        </w:numPr>
        <w:rPr>
          <w:rFonts w:ascii="Arial" w:cs="Arial" w:eastAsia="Arial" w:hAnsi="Arial"/>
          <w:sz w:val="20"/>
          <w:szCs w:val="20"/>
          <w:color w:val="auto"/>
        </w:rPr>
      </w:pPr>
      <w:r>
        <w:rPr>
          <w:rFonts w:ascii="Arial" w:cs="Arial" w:eastAsia="Arial" w:hAnsi="Arial"/>
          <w:sz w:val="20"/>
          <w:szCs w:val="20"/>
          <w:color w:val="auto"/>
        </w:rPr>
        <w:t>By the Employer for Cause.</w:t>
      </w:r>
    </w:p>
    <w:p>
      <w:pPr>
        <w:spacing w:after="0" w:line="229" w:lineRule="exact"/>
        <w:rPr>
          <w:rFonts w:ascii="Arial" w:cs="Arial" w:eastAsia="Arial" w:hAnsi="Arial"/>
          <w:sz w:val="20"/>
          <w:szCs w:val="20"/>
          <w:color w:val="auto"/>
        </w:rPr>
      </w:pPr>
    </w:p>
    <w:p>
      <w:pPr>
        <w:jc w:val="both"/>
        <w:ind w:left="1838" w:hanging="614"/>
        <w:spacing w:after="0" w:line="287" w:lineRule="auto"/>
        <w:tabs>
          <w:tab w:leader="none" w:pos="1838" w:val="left"/>
        </w:tabs>
        <w:numPr>
          <w:ilvl w:val="2"/>
          <w:numId w:val="146"/>
        </w:numPr>
        <w:rPr>
          <w:rFonts w:ascii="Arial" w:cs="Arial" w:eastAsia="Arial" w:hAnsi="Arial"/>
          <w:sz w:val="18"/>
          <w:szCs w:val="18"/>
          <w:color w:val="auto"/>
        </w:rPr>
      </w:pPr>
      <w:r>
        <w:rPr>
          <w:rFonts w:ascii="Arial" w:cs="Arial" w:eastAsia="Arial" w:hAnsi="Arial"/>
          <w:sz w:val="18"/>
          <w:szCs w:val="18"/>
          <w:color w:val="auto"/>
        </w:rPr>
        <w:t>At any time during the Term, the Employer may terminate your employment for “</w:t>
      </w:r>
      <w:r>
        <w:rPr>
          <w:rFonts w:ascii="Arial" w:cs="Arial" w:eastAsia="Arial" w:hAnsi="Arial"/>
          <w:sz w:val="18"/>
          <w:szCs w:val="18"/>
          <w:i w:val="1"/>
          <w:iCs w:val="1"/>
          <w:color w:val="auto"/>
        </w:rPr>
        <w:t>Cause</w:t>
      </w:r>
      <w:r>
        <w:rPr>
          <w:rFonts w:ascii="Arial" w:cs="Arial" w:eastAsia="Arial" w:hAnsi="Arial"/>
          <w:sz w:val="18"/>
          <w:szCs w:val="18"/>
          <w:color w:val="auto"/>
        </w:rPr>
        <w:t>,” which shall mean a reasonable and good-faith determination by the Employer that you (i) engaged in gross negligence in the performance of your duties or willfully and continuously failed or refused to perform any duties reasonably requested in the course of your employment; (ii) engaged in fraud, dishonesty, or any other serious misconduct that causes or has the potential to cause, harm to any entity in the Activision Blizzard Group, including its business or reputation; (iii) materially violated any lawful directives or policies of the Activision Blizzard Group or any laws, rules or regulations applicable to your employment with the Activision Blizzard Group; (iv) materially breached this Agreement; (v) materially breached any proprietary information or confidentiality agreement with any entity in the Activision Blizzard Group; (vi) were convicted of, or pled guilty or no contest to, a felony or crime involving dishonesty or moral turpitude; or (vii) materially breached your fiduciary duties to the Activision Blizzard Group.</w:t>
      </w:r>
    </w:p>
    <w:p>
      <w:pPr>
        <w:spacing w:after="0" w:line="151" w:lineRule="exact"/>
        <w:rPr>
          <w:rFonts w:ascii="Arial" w:cs="Arial" w:eastAsia="Arial" w:hAnsi="Arial"/>
          <w:sz w:val="18"/>
          <w:szCs w:val="18"/>
          <w:color w:val="auto"/>
        </w:rPr>
      </w:pPr>
    </w:p>
    <w:p>
      <w:pPr>
        <w:jc w:val="both"/>
        <w:ind w:left="1838" w:hanging="614"/>
        <w:spacing w:after="0" w:line="270" w:lineRule="auto"/>
        <w:tabs>
          <w:tab w:leader="none" w:pos="1838" w:val="left"/>
        </w:tabs>
        <w:numPr>
          <w:ilvl w:val="2"/>
          <w:numId w:val="146"/>
        </w:numPr>
        <w:rPr>
          <w:rFonts w:ascii="Arial" w:cs="Arial" w:eastAsia="Arial" w:hAnsi="Arial"/>
          <w:sz w:val="19"/>
          <w:szCs w:val="19"/>
          <w:color w:val="auto"/>
        </w:rPr>
      </w:pPr>
      <w:r>
        <w:rPr>
          <w:rFonts w:ascii="Arial" w:cs="Arial" w:eastAsia="Arial" w:hAnsi="Arial"/>
          <w:sz w:val="19"/>
          <w:szCs w:val="19"/>
          <w:color w:val="auto"/>
        </w:rPr>
        <w:t>In the case of any termination for Cause that is curable without any residual damage (financial or otherwise) to the Employer or any entity in the Activision Blizzard Group, the Employer shall give you at least thirty (30) days written notice of its intent to terminate your employment; provided, that in no event shall any termination pursuant to clause (vi) of the definition of Cause be deemed curable. The notice shall specify (x) the effective date of your termination and (y) the particular acts or circumstances that constitute Cause for such termination. You shall be given the opportunity within fifteen (15) days after receiving the notice to explain why Cause does not exist or to cure any basis for Cause (other than a termination pursuant to clause (vi) of the definition thereof). Within fifteen (15) days after any such explanation or cure, the Employer will make its final determination regarding whether Cause exists and deliver such determination to you in writing. If the final decision is that Cause exists and no cure has occurred, your employment with the Employer shall be terminated for Cause as of the date of termination specified in the original notice. If the final decision is that Cause does not exist or a cure has occurred, your employment with the Employer shall not be terminated for Cause at that time.</w:t>
      </w:r>
    </w:p>
    <w:p>
      <w:pPr>
        <w:spacing w:after="0" w:line="161" w:lineRule="exact"/>
        <w:rPr>
          <w:rFonts w:ascii="Arial" w:cs="Arial" w:eastAsia="Arial" w:hAnsi="Arial"/>
          <w:sz w:val="19"/>
          <w:szCs w:val="19"/>
          <w:color w:val="auto"/>
        </w:rPr>
      </w:pPr>
    </w:p>
    <w:p>
      <w:pPr>
        <w:jc w:val="both"/>
        <w:ind w:left="1838" w:hanging="614"/>
        <w:spacing w:after="0" w:line="263" w:lineRule="auto"/>
        <w:tabs>
          <w:tab w:leader="none" w:pos="1838" w:val="left"/>
        </w:tabs>
        <w:numPr>
          <w:ilvl w:val="2"/>
          <w:numId w:val="146"/>
        </w:numPr>
        <w:rPr>
          <w:rFonts w:ascii="Arial" w:cs="Arial" w:eastAsia="Arial" w:hAnsi="Arial"/>
          <w:sz w:val="20"/>
          <w:szCs w:val="20"/>
          <w:color w:val="auto"/>
        </w:rPr>
      </w:pPr>
      <w:r>
        <w:rPr>
          <w:rFonts w:ascii="Arial" w:cs="Arial" w:eastAsia="Arial" w:hAnsi="Arial"/>
          <w:sz w:val="20"/>
          <w:szCs w:val="20"/>
          <w:color w:val="auto"/>
        </w:rPr>
        <w:t>If your employment terminates for any reason other than a termination by the Employer for Cause, at a time when the Employer had Cause to terminate you (or would have had Cause if it then knew all relevant facts) under clauses (i), (ii), (v), (vi) or (vii) of the definition of Cause, your termination shall be treated as a termination by the Employer for Cause.</w:t>
      </w:r>
    </w:p>
    <w:p>
      <w:pPr>
        <w:spacing w:after="0" w:line="365" w:lineRule="exact"/>
        <w:rPr>
          <w:sz w:val="20"/>
          <w:szCs w:val="20"/>
          <w:color w:val="auto"/>
        </w:rPr>
      </w:pPr>
    </w:p>
    <w:p>
      <w:pPr>
        <w:ind w:left="3818"/>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418"/>
          </w:cols>
          <w:pgMar w:left="242" w:top="577" w:right="239" w:bottom="1440" w:gutter="0" w:footer="0" w:header="0"/>
        </w:sectPr>
      </w:pPr>
    </w:p>
    <w:bookmarkStart w:id="180" w:name="page181"/>
    <w:bookmarkEnd w:id="180"/>
    <w:p>
      <w:pPr>
        <w:jc w:val="both"/>
        <w:ind w:left="78" w:firstLine="610"/>
        <w:spacing w:after="0" w:line="275" w:lineRule="auto"/>
        <w:tabs>
          <w:tab w:leader="none" w:pos="1111" w:val="left"/>
        </w:tabs>
        <w:numPr>
          <w:ilvl w:val="2"/>
          <w:numId w:val="147"/>
        </w:numPr>
        <w:rPr>
          <w:rFonts w:ascii="Arial" w:cs="Arial" w:eastAsia="Arial" w:hAnsi="Arial"/>
          <w:sz w:val="20"/>
          <w:szCs w:val="20"/>
          <w:color w:val="auto"/>
        </w:rPr>
      </w:pPr>
      <w:r>
        <w:rPr>
          <w:rFonts w:ascii="Arial" w:cs="Arial" w:eastAsia="Arial" w:hAnsi="Arial"/>
          <w:sz w:val="20"/>
          <w:szCs w:val="20"/>
          <w:color w:val="auto"/>
        </w:rPr>
        <w:t>By the Employer Without Cause. The Employer may terminate your employment without Cause at any time during the Term and such termination shall not be deemed a breach by the Employer of any term of this Agreement or any other duty or obligation, expressed or implied, which the Employer may owe to you pursuant to any principle or provision of law.</w:t>
      </w:r>
    </w:p>
    <w:p>
      <w:pPr>
        <w:spacing w:after="0" w:line="152" w:lineRule="exact"/>
        <w:rPr>
          <w:rFonts w:ascii="Arial" w:cs="Arial" w:eastAsia="Arial" w:hAnsi="Arial"/>
          <w:sz w:val="20"/>
          <w:szCs w:val="20"/>
          <w:color w:val="auto"/>
        </w:rPr>
      </w:pPr>
    </w:p>
    <w:p>
      <w:pPr>
        <w:jc w:val="both"/>
        <w:ind w:left="78" w:firstLine="610"/>
        <w:spacing w:after="0" w:line="258" w:lineRule="auto"/>
        <w:tabs>
          <w:tab w:leader="none" w:pos="1188" w:val="left"/>
        </w:tabs>
        <w:numPr>
          <w:ilvl w:val="2"/>
          <w:numId w:val="147"/>
        </w:numPr>
        <w:rPr>
          <w:rFonts w:ascii="Arial" w:cs="Arial" w:eastAsia="Arial" w:hAnsi="Arial"/>
          <w:sz w:val="20"/>
          <w:szCs w:val="20"/>
          <w:color w:val="auto"/>
        </w:rPr>
      </w:pPr>
      <w:r>
        <w:rPr>
          <w:rFonts w:ascii="Arial" w:cs="Arial" w:eastAsia="Arial" w:hAnsi="Arial"/>
          <w:sz w:val="20"/>
          <w:szCs w:val="20"/>
          <w:color w:val="auto"/>
        </w:rPr>
        <w:t xml:space="preserve">By You If Your Principal Place of Business Is Relocated Without Your Consent. At any time during the Term, you may terminate your employment if, without your written agreement or other voluntary action on your part, the Employer reassigns your principal place of business to a location that is more than fifty (50) miles from your principal place of business as of the Effective Date and that materially and adversely affects your commute;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you must (i) provide the Employer with written notice of your intent to terminate your employment under this Section 9(c) and a description of the event you believe gives you the right to do so within thirty (30) days after the initial existence of the event and (ii) the Employer shall have ninety (90) days after you provide the notice described above to cure any such default (the “Cure Period”). You will have five (5) days following the end of the Cure Period to terminate your employment, if the Employer does not cure, after which your ability to terminate your employment under this Section 9(c) will no longer exist.</w:t>
      </w:r>
    </w:p>
    <w:p>
      <w:pPr>
        <w:spacing w:after="0" w:line="171" w:lineRule="exact"/>
        <w:rPr>
          <w:rFonts w:ascii="Arial" w:cs="Arial" w:eastAsia="Arial" w:hAnsi="Arial"/>
          <w:sz w:val="20"/>
          <w:szCs w:val="20"/>
          <w:color w:val="auto"/>
        </w:rPr>
      </w:pPr>
    </w:p>
    <w:p>
      <w:pPr>
        <w:ind w:left="1098" w:hanging="410"/>
        <w:spacing w:after="0"/>
        <w:tabs>
          <w:tab w:leader="none" w:pos="1098" w:val="left"/>
        </w:tabs>
        <w:numPr>
          <w:ilvl w:val="2"/>
          <w:numId w:val="147"/>
        </w:numPr>
        <w:rPr>
          <w:rFonts w:ascii="Arial" w:cs="Arial" w:eastAsia="Arial" w:hAnsi="Arial"/>
          <w:sz w:val="18"/>
          <w:szCs w:val="18"/>
          <w:color w:val="auto"/>
        </w:rPr>
      </w:pPr>
      <w:r>
        <w:rPr>
          <w:rFonts w:ascii="Arial" w:cs="Arial" w:eastAsia="Arial" w:hAnsi="Arial"/>
          <w:sz w:val="18"/>
          <w:szCs w:val="18"/>
          <w:color w:val="auto"/>
        </w:rPr>
        <w:t>Death. In the event of your death during the Term, your employment shall terminate immediately as of the date of your death.</w:t>
      </w:r>
    </w:p>
    <w:p>
      <w:pPr>
        <w:spacing w:after="0" w:line="252" w:lineRule="exact"/>
        <w:rPr>
          <w:rFonts w:ascii="Arial" w:cs="Arial" w:eastAsia="Arial" w:hAnsi="Arial"/>
          <w:sz w:val="18"/>
          <w:szCs w:val="18"/>
          <w:color w:val="auto"/>
        </w:rPr>
      </w:pPr>
    </w:p>
    <w:p>
      <w:pPr>
        <w:jc w:val="both"/>
        <w:ind w:left="78" w:firstLine="610"/>
        <w:spacing w:after="0" w:line="272" w:lineRule="auto"/>
        <w:tabs>
          <w:tab w:leader="none" w:pos="1099" w:val="left"/>
        </w:tabs>
        <w:numPr>
          <w:ilvl w:val="2"/>
          <w:numId w:val="147"/>
        </w:numPr>
        <w:rPr>
          <w:rFonts w:ascii="Arial" w:cs="Arial" w:eastAsia="Arial" w:hAnsi="Arial"/>
          <w:sz w:val="19"/>
          <w:szCs w:val="19"/>
          <w:color w:val="auto"/>
        </w:rPr>
      </w:pPr>
      <w:r>
        <w:rPr>
          <w:rFonts w:ascii="Arial" w:cs="Arial" w:eastAsia="Arial" w:hAnsi="Arial"/>
          <w:sz w:val="19"/>
          <w:szCs w:val="19"/>
          <w:color w:val="auto"/>
        </w:rPr>
        <w:t>Disability. In the event that you are or become “</w:t>
      </w:r>
      <w:r>
        <w:rPr>
          <w:rFonts w:ascii="Arial" w:cs="Arial" w:eastAsia="Arial" w:hAnsi="Arial"/>
          <w:sz w:val="19"/>
          <w:szCs w:val="19"/>
          <w:b w:val="1"/>
          <w:bCs w:val="1"/>
          <w:i w:val="1"/>
          <w:iCs w:val="1"/>
          <w:color w:val="auto"/>
        </w:rPr>
        <w:t>disabled</w:t>
      </w:r>
      <w:r>
        <w:rPr>
          <w:rFonts w:ascii="Arial" w:cs="Arial" w:eastAsia="Arial" w:hAnsi="Arial"/>
          <w:sz w:val="19"/>
          <w:szCs w:val="19"/>
          <w:color w:val="auto"/>
        </w:rPr>
        <w:t>,” the Employer shall, to the extent permitted by applicable law, have the right to terminate your employment. For purposes of this Agreement, “disabled” shall mean that either (i) you are receiving benefits under any long-term disability plan of the Employer then in effect, or (ii) if there is no such long-term disability plan of the Employer then in effect, you have a long-term and continuous physical or mental impairment that renders you unable to perform the duties required of you under this Agreement, even with the Employer providing you a reasonable accommodation, as determined by a physician mutually acceptable to you and the Employer. You shall cooperate and make yourself available for any medical examination requested by the Employer with respect to any determination of whether you are disabled within ten (10) days of such a request. Without limiting the generality of the foregoing, to the extent provided by the Employer’s policies and practices then in effect, you shall not receive any Base Salary during any period in which you are disabled; provided, however, that nothing in this Section 9(e) shall impact any right you may have to any payments under the Employer’s short-term and long-term disability plans, if any.</w:t>
      </w:r>
    </w:p>
    <w:p>
      <w:pPr>
        <w:spacing w:after="0" w:line="163" w:lineRule="exact"/>
        <w:rPr>
          <w:rFonts w:ascii="Arial" w:cs="Arial" w:eastAsia="Arial" w:hAnsi="Arial"/>
          <w:sz w:val="19"/>
          <w:szCs w:val="19"/>
          <w:color w:val="auto"/>
        </w:rPr>
      </w:pPr>
    </w:p>
    <w:p>
      <w:pPr>
        <w:ind w:left="418" w:hanging="418"/>
        <w:spacing w:after="0"/>
        <w:tabs>
          <w:tab w:leader="none" w:pos="418" w:val="left"/>
        </w:tabs>
        <w:numPr>
          <w:ilvl w:val="0"/>
          <w:numId w:val="148"/>
        </w:numPr>
        <w:rPr>
          <w:rFonts w:ascii="Arial" w:cs="Arial" w:eastAsia="Arial" w:hAnsi="Arial"/>
          <w:sz w:val="20"/>
          <w:szCs w:val="20"/>
          <w:b w:val="1"/>
          <w:bCs w:val="1"/>
          <w:color w:val="auto"/>
        </w:rPr>
      </w:pPr>
      <w:r>
        <w:rPr>
          <w:rFonts w:ascii="Arial" w:cs="Arial" w:eastAsia="Arial" w:hAnsi="Arial"/>
          <w:sz w:val="20"/>
          <w:szCs w:val="20"/>
          <w:u w:val="single" w:color="auto"/>
          <w:color w:val="auto"/>
        </w:rPr>
        <w:t>Termination of Obligations and Severance Payments</w:t>
      </w:r>
    </w:p>
    <w:p>
      <w:pPr>
        <w:spacing w:after="0" w:line="229" w:lineRule="exact"/>
        <w:rPr>
          <w:rFonts w:ascii="Arial" w:cs="Arial" w:eastAsia="Arial" w:hAnsi="Arial"/>
          <w:sz w:val="20"/>
          <w:szCs w:val="20"/>
          <w:b w:val="1"/>
          <w:bCs w:val="1"/>
          <w:color w:val="auto"/>
        </w:rPr>
      </w:pPr>
    </w:p>
    <w:p>
      <w:pPr>
        <w:jc w:val="both"/>
        <w:ind w:left="-2" w:firstLine="614"/>
        <w:spacing w:after="0" w:line="275" w:lineRule="auto"/>
        <w:tabs>
          <w:tab w:leader="none" w:pos="1044" w:val="left"/>
        </w:tabs>
        <w:numPr>
          <w:ilvl w:val="1"/>
          <w:numId w:val="148"/>
        </w:numPr>
        <w:rPr>
          <w:rFonts w:ascii="Arial" w:cs="Arial" w:eastAsia="Arial" w:hAnsi="Arial"/>
          <w:sz w:val="19"/>
          <w:szCs w:val="19"/>
          <w:color w:val="auto"/>
        </w:rPr>
      </w:pPr>
      <w:r>
        <w:rPr>
          <w:rFonts w:ascii="Arial" w:cs="Arial" w:eastAsia="Arial" w:hAnsi="Arial"/>
          <w:sz w:val="19"/>
          <w:szCs w:val="19"/>
          <w:color w:val="auto"/>
        </w:rPr>
        <w:t>General. Upon the termination of your employment pursuant to Section 9, your rights and the Employer’s obligations to you under this Agreement shall immediately terminate except as provided in this Section 10 and Section 11(s), and you (or your heirs or estate, as applicable) shall be entitled to receive any amounts or benefits set forth below (subject in all cases to Sections 10(f), 11(q) and 11(r)). The payments and benefits provided pursuant to this Section 10 are (x) in lieu of any severance or income continuation protection under any plan of the Activision Blizzard Group that may now or hereafter exist and (y) deemed to satisfy and be in full and final settlement of all obligations of the Activision Blizzard Group to you under this Agreement. You shall have no further right to receive any other compensation benefits following your termination of employment for any reason except as set forth in this Section 10.</w:t>
      </w:r>
    </w:p>
    <w:p>
      <w:pPr>
        <w:spacing w:after="0" w:line="360" w:lineRule="exact"/>
        <w:rPr>
          <w:sz w:val="20"/>
          <w:szCs w:val="20"/>
          <w:color w:val="auto"/>
        </w:rPr>
      </w:pPr>
    </w:p>
    <w:p>
      <w:pPr>
        <w:ind w:left="3818"/>
        <w:spacing w:after="0"/>
        <w:rPr>
          <w:sz w:val="20"/>
          <w:szCs w:val="20"/>
          <w:color w:val="auto"/>
        </w:rPr>
      </w:pPr>
      <w:r>
        <w:rPr>
          <w:rFonts w:ascii="Arial" w:cs="Arial" w:eastAsia="Arial" w:hAnsi="Arial"/>
          <w:sz w:val="17"/>
          <w:szCs w:val="17"/>
          <w:color w:val="auto"/>
        </w:rPr>
        <w:t>Page 10</w:t>
      </w:r>
    </w:p>
    <w:p>
      <w:pPr>
        <w:sectPr>
          <w:pgSz w:w="11900" w:h="16838" w:orient="portrait"/>
          <w:cols w:equalWidth="0" w:num="1">
            <w:col w:w="11418"/>
          </w:cols>
          <w:pgMar w:left="242" w:top="577" w:right="239" w:bottom="1440" w:gutter="0" w:footer="0" w:header="0"/>
        </w:sectPr>
      </w:pPr>
    </w:p>
    <w:bookmarkStart w:id="181" w:name="page182"/>
    <w:bookmarkEnd w:id="181"/>
    <w:p>
      <w:pPr>
        <w:ind w:left="620"/>
        <w:spacing w:after="0"/>
        <w:rPr>
          <w:sz w:val="20"/>
          <w:szCs w:val="20"/>
          <w:color w:val="auto"/>
        </w:rPr>
      </w:pPr>
      <w:r>
        <w:rPr>
          <w:rFonts w:ascii="Arial" w:cs="Arial" w:eastAsia="Arial" w:hAnsi="Arial"/>
          <w:sz w:val="20"/>
          <w:szCs w:val="20"/>
          <w:color w:val="auto"/>
        </w:rPr>
        <w:t>For the purposes of this Agreement, the following terms shall have the following meanings:</w:t>
      </w:r>
    </w:p>
    <w:p>
      <w:pPr>
        <w:spacing w:after="0" w:line="216" w:lineRule="exact"/>
        <w:rPr>
          <w:sz w:val="20"/>
          <w:szCs w:val="20"/>
          <w:color w:val="auto"/>
        </w:rPr>
      </w:pPr>
    </w:p>
    <w:p>
      <w:pPr>
        <w:jc w:val="both"/>
        <w:ind w:firstLine="612"/>
        <w:spacing w:after="0" w:line="268" w:lineRule="auto"/>
        <w:rPr>
          <w:sz w:val="20"/>
          <w:szCs w:val="20"/>
          <w:color w:val="auto"/>
        </w:rPr>
      </w:pPr>
      <w:r>
        <w:rPr>
          <w:rFonts w:ascii="Arial" w:cs="Arial" w:eastAsia="Arial" w:hAnsi="Arial"/>
          <w:sz w:val="20"/>
          <w:szCs w:val="20"/>
          <w:color w:val="auto"/>
        </w:rPr>
        <w:t>“Basic Severance” shall mean payment of (1) any Base Salary earned but unpaid as of the Termination Date; (2) any business expenses incurred but not reimbursed under Section 5 as of the Termination Date; and (3) payment in lieu of any vacation accrued under Section 7 but unused as of the Termination Date.</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20"/>
          <w:szCs w:val="20"/>
          <w:color w:val="auto"/>
        </w:rPr>
        <w:t>“Bonus Severance” shall mean payment of:</w:t>
      </w:r>
    </w:p>
    <w:p>
      <w:pPr>
        <w:spacing w:after="0" w:line="216" w:lineRule="exact"/>
        <w:rPr>
          <w:sz w:val="20"/>
          <w:szCs w:val="20"/>
          <w:color w:val="auto"/>
        </w:rPr>
      </w:pPr>
    </w:p>
    <w:p>
      <w:pPr>
        <w:jc w:val="both"/>
        <w:ind w:left="1840" w:hanging="614"/>
        <w:spacing w:after="0" w:line="263" w:lineRule="auto"/>
        <w:tabs>
          <w:tab w:leader="none" w:pos="184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an amount equal to the Annual Bonus that the Employer determines, in its sole discretion, you would have received in accordance with Section 2(c) for any year that ended prior to the Termination Date had you remained employed through the date such bonus would have been otherwise been paid (in the event that your Termination Date occurs before such bonus would have been paid); and</w:t>
      </w:r>
    </w:p>
    <w:p>
      <w:pPr>
        <w:spacing w:after="0" w:line="164" w:lineRule="exact"/>
        <w:rPr>
          <w:rFonts w:ascii="Arial" w:cs="Arial" w:eastAsia="Arial" w:hAnsi="Arial"/>
          <w:sz w:val="20"/>
          <w:szCs w:val="20"/>
          <w:color w:val="auto"/>
        </w:rPr>
      </w:pPr>
    </w:p>
    <w:p>
      <w:pPr>
        <w:jc w:val="both"/>
        <w:ind w:left="1840" w:hanging="614"/>
        <w:spacing w:after="0" w:line="296" w:lineRule="auto"/>
        <w:tabs>
          <w:tab w:leader="none" w:pos="18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an amount equal to the Annual Bonus that the Employer determines, in its sole discretion, you would have received in accordance with Section 2(c) for the year in which your Termination Date occurs had you had remained employed through the date such bonus would have been paid, multiplied by a fraction, the numerator of which is the number corresponding to the calendar month in which the Termination Date occurs and the denominator of which is 12, where, for purposes of calculating the amount of such bonus, any goals will be measured by actual performance.</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0"/>
          <w:szCs w:val="20"/>
          <w:color w:val="auto"/>
        </w:rPr>
        <w:t>“Termination Date” shall mean the effective date of your termination of employment pursuant to Sections 9(a)-(e).</w:t>
      </w:r>
    </w:p>
    <w:p>
      <w:pPr>
        <w:spacing w:after="0" w:line="216" w:lineRule="exact"/>
        <w:rPr>
          <w:sz w:val="20"/>
          <w:szCs w:val="20"/>
          <w:color w:val="auto"/>
        </w:rPr>
      </w:pPr>
    </w:p>
    <w:p>
      <w:pPr>
        <w:ind w:left="1020" w:hanging="406"/>
        <w:spacing w:after="0"/>
        <w:tabs>
          <w:tab w:leader="none" w:pos="1020" w:val="left"/>
        </w:tabs>
        <w:numPr>
          <w:ilvl w:val="0"/>
          <w:numId w:val="150"/>
        </w:numPr>
        <w:rPr>
          <w:rFonts w:ascii="Arial" w:cs="Arial" w:eastAsia="Arial" w:hAnsi="Arial"/>
          <w:sz w:val="20"/>
          <w:szCs w:val="20"/>
          <w:color w:val="auto"/>
        </w:rPr>
      </w:pPr>
      <w:r>
        <w:rPr>
          <w:rFonts w:ascii="Arial" w:cs="Arial" w:eastAsia="Arial" w:hAnsi="Arial"/>
          <w:sz w:val="20"/>
          <w:szCs w:val="20"/>
          <w:color w:val="auto"/>
        </w:rPr>
        <w:t>Death. In the event your employment is terminated under Section 9(d):</w:t>
      </w:r>
    </w:p>
    <w:p>
      <w:pPr>
        <w:spacing w:after="0" w:line="229" w:lineRule="exact"/>
        <w:rPr>
          <w:rFonts w:ascii="Arial" w:cs="Arial" w:eastAsia="Arial" w:hAnsi="Arial"/>
          <w:sz w:val="20"/>
          <w:szCs w:val="20"/>
          <w:color w:val="auto"/>
        </w:rPr>
      </w:pPr>
    </w:p>
    <w:p>
      <w:pPr>
        <w:jc w:val="both"/>
        <w:ind w:left="1840" w:hanging="614"/>
        <w:spacing w:after="0" w:line="263" w:lineRule="auto"/>
        <w:tabs>
          <w:tab w:leader="none" w:pos="1840"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Basic Severance</w:t>
      </w:r>
      <w:r>
        <w:rPr>
          <w:rFonts w:ascii="Arial" w:cs="Arial" w:eastAsia="Arial" w:hAnsi="Arial"/>
          <w:sz w:val="20"/>
          <w:szCs w:val="20"/>
          <w:color w:val="auto"/>
        </w:rPr>
        <w:t>. Your heirs or estate,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64" w:lineRule="exact"/>
        <w:rPr>
          <w:rFonts w:ascii="Arial" w:cs="Arial" w:eastAsia="Arial" w:hAnsi="Arial"/>
          <w:sz w:val="20"/>
          <w:szCs w:val="20"/>
          <w:color w:val="auto"/>
        </w:rPr>
      </w:pPr>
    </w:p>
    <w:p>
      <w:pPr>
        <w:jc w:val="both"/>
        <w:ind w:left="1840" w:hanging="614"/>
        <w:spacing w:after="0" w:line="281" w:lineRule="auto"/>
        <w:tabs>
          <w:tab w:leader="none" w:pos="1840" w:val="left"/>
        </w:tabs>
        <w:numPr>
          <w:ilvl w:val="1"/>
          <w:numId w:val="150"/>
        </w:numPr>
        <w:rPr>
          <w:rFonts w:ascii="Arial" w:cs="Arial" w:eastAsia="Arial" w:hAnsi="Arial"/>
          <w:sz w:val="19"/>
          <w:szCs w:val="19"/>
          <w:color w:val="auto"/>
        </w:rPr>
      </w:pPr>
      <w:r>
        <w:rPr>
          <w:rFonts w:ascii="Arial" w:cs="Arial" w:eastAsia="Arial" w:hAnsi="Arial"/>
          <w:sz w:val="19"/>
          <w:szCs w:val="19"/>
          <w:u w:val="single" w:color="auto"/>
          <w:color w:val="auto"/>
        </w:rPr>
        <w:t>Lump Sum Payment of Two Times Base Salary</w:t>
      </w:r>
      <w:r>
        <w:rPr>
          <w:rFonts w:ascii="Arial" w:cs="Arial" w:eastAsia="Arial" w:hAnsi="Arial"/>
          <w:sz w:val="19"/>
          <w:szCs w:val="19"/>
          <w:color w:val="auto"/>
        </w:rPr>
        <w:t>. Your heirs or estate, as the case may be, shall receive payment of an amount equal to two (2) times the Base Salary (at the rate in effect as of the Termination Date) in a lump sum within thirty (30) days following the Termination Date; provided, however, that this amount shall be reduced by any payments to which you become entitled upon death under any Employer-sponsored plan;</w:t>
      </w:r>
    </w:p>
    <w:p>
      <w:pPr>
        <w:spacing w:after="0" w:line="149" w:lineRule="exact"/>
        <w:rPr>
          <w:rFonts w:ascii="Arial" w:cs="Arial" w:eastAsia="Arial" w:hAnsi="Arial"/>
          <w:sz w:val="19"/>
          <w:szCs w:val="19"/>
          <w:color w:val="auto"/>
        </w:rPr>
      </w:pPr>
    </w:p>
    <w:p>
      <w:pPr>
        <w:jc w:val="both"/>
        <w:ind w:left="1840" w:hanging="614"/>
        <w:spacing w:after="0" w:line="231" w:lineRule="auto"/>
        <w:tabs>
          <w:tab w:leader="none" w:pos="1840" w:val="left"/>
        </w:tabs>
        <w:numPr>
          <w:ilvl w:val="1"/>
          <w:numId w:val="150"/>
        </w:numPr>
        <w:rPr>
          <w:rFonts w:ascii="Arial" w:cs="Arial" w:eastAsia="Arial" w:hAnsi="Arial"/>
          <w:sz w:val="20"/>
          <w:szCs w:val="20"/>
          <w:color w:val="auto"/>
        </w:rPr>
      </w:pPr>
      <w:r>
        <w:rPr>
          <w:rFonts w:ascii="Arial" w:cs="Arial" w:eastAsia="Arial" w:hAnsi="Arial"/>
          <w:sz w:val="20"/>
          <w:szCs w:val="20"/>
          <w:u w:val="single" w:color="auto"/>
          <w:color w:val="auto"/>
        </w:rPr>
        <w:t>Bonus Severance</w:t>
      </w:r>
      <w:r>
        <w:rPr>
          <w:rFonts w:ascii="Arial" w:cs="Arial" w:eastAsia="Arial" w:hAnsi="Arial"/>
          <w:sz w:val="20"/>
          <w:szCs w:val="20"/>
          <w:color w:val="auto"/>
        </w:rPr>
        <w:t>. Your heirs or estate, as the case may be, shall receive payment of the Bonus Severance in a lump sum no later than the 15</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day of the third month of the year following the year to which the underlying amount relates; and</w:t>
      </w:r>
    </w:p>
    <w:p>
      <w:pPr>
        <w:spacing w:after="0" w:line="389"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11</w:t>
      </w:r>
    </w:p>
    <w:p>
      <w:pPr>
        <w:sectPr>
          <w:pgSz w:w="11900" w:h="16838" w:orient="portrait"/>
          <w:cols w:equalWidth="0" w:num="1">
            <w:col w:w="11420"/>
          </w:cols>
          <w:pgMar w:left="240" w:top="577" w:right="239" w:bottom="1440" w:gutter="0" w:footer="0" w:header="0"/>
        </w:sectPr>
      </w:pPr>
    </w:p>
    <w:bookmarkStart w:id="182" w:name="page183"/>
    <w:bookmarkEnd w:id="182"/>
    <w:p>
      <w:pPr>
        <w:jc w:val="both"/>
        <w:ind w:left="1226" w:hanging="614"/>
        <w:spacing w:after="0" w:line="268" w:lineRule="auto"/>
        <w:tabs>
          <w:tab w:leader="none" w:pos="1226" w:val="left"/>
        </w:tabs>
        <w:numPr>
          <w:ilvl w:val="1"/>
          <w:numId w:val="151"/>
        </w:numPr>
        <w:rPr>
          <w:rFonts w:ascii="Arial" w:cs="Arial" w:eastAsia="Arial" w:hAnsi="Arial"/>
          <w:sz w:val="20"/>
          <w:szCs w:val="20"/>
          <w:color w:val="auto"/>
        </w:rPr>
      </w:pPr>
      <w:r>
        <w:rPr>
          <w:rFonts w:ascii="Arial" w:cs="Arial" w:eastAsia="Arial" w:hAnsi="Arial"/>
          <w:sz w:val="20"/>
          <w:szCs w:val="20"/>
          <w:u w:val="single" w:color="auto"/>
          <w:color w:val="auto"/>
        </w:rPr>
        <w:t>Impact on Equity Awards</w:t>
      </w:r>
      <w:r>
        <w:rPr>
          <w:rFonts w:ascii="Arial" w:cs="Arial" w:eastAsia="Arial" w:hAnsi="Arial"/>
          <w:sz w:val="20"/>
          <w:szCs w:val="20"/>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60" w:lineRule="exact"/>
        <w:rPr>
          <w:rFonts w:ascii="Arial" w:cs="Arial" w:eastAsia="Arial" w:hAnsi="Arial"/>
          <w:sz w:val="20"/>
          <w:szCs w:val="20"/>
          <w:color w:val="auto"/>
        </w:rPr>
      </w:pPr>
    </w:p>
    <w:p>
      <w:pPr>
        <w:jc w:val="both"/>
        <w:ind w:left="-614" w:firstLine="614"/>
        <w:spacing w:after="0" w:line="275" w:lineRule="auto"/>
        <w:tabs>
          <w:tab w:leader="none" w:pos="432" w:val="left"/>
        </w:tabs>
        <w:numPr>
          <w:ilvl w:val="0"/>
          <w:numId w:val="152"/>
        </w:numPr>
        <w:rPr>
          <w:rFonts w:ascii="Arial" w:cs="Arial" w:eastAsia="Arial" w:hAnsi="Arial"/>
          <w:sz w:val="20"/>
          <w:szCs w:val="20"/>
          <w:color w:val="auto"/>
        </w:rPr>
      </w:pPr>
      <w:r>
        <w:rPr>
          <w:rFonts w:ascii="Arial" w:cs="Arial" w:eastAsia="Arial" w:hAnsi="Arial"/>
          <w:sz w:val="20"/>
          <w:szCs w:val="20"/>
          <w:color w:val="auto"/>
        </w:rPr>
        <w:t>Termination by the Employer Without Cause, by You if Your Principal Place of Business Is Relocated Without Your Consent or by the Employer if You Become Disabled. In the event the Employer terminates your employment under Section 9(b), you terminate your employment under Section 9(c) or the Employer terminates your employment under Section 9(e):</w:t>
      </w:r>
    </w:p>
    <w:p>
      <w:pPr>
        <w:spacing w:after="0" w:line="152" w:lineRule="exact"/>
        <w:rPr>
          <w:rFonts w:ascii="Arial" w:cs="Arial" w:eastAsia="Arial" w:hAnsi="Arial"/>
          <w:sz w:val="20"/>
          <w:szCs w:val="20"/>
          <w:color w:val="auto"/>
        </w:rPr>
      </w:pPr>
    </w:p>
    <w:p>
      <w:pPr>
        <w:jc w:val="both"/>
        <w:ind w:left="1226" w:hanging="614"/>
        <w:spacing w:after="0" w:line="263" w:lineRule="auto"/>
        <w:tabs>
          <w:tab w:leader="none" w:pos="1226"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Basic Severance</w:t>
      </w:r>
      <w:r>
        <w:rPr>
          <w:rFonts w:ascii="Arial" w:cs="Arial" w:eastAsia="Arial" w:hAnsi="Arial"/>
          <w:sz w:val="20"/>
          <w:szCs w:val="20"/>
          <w:color w:val="auto"/>
        </w:rPr>
        <w:t>. You or your legal representative, as the case may be,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164" w:lineRule="exact"/>
        <w:rPr>
          <w:rFonts w:ascii="Arial" w:cs="Arial" w:eastAsia="Arial" w:hAnsi="Arial"/>
          <w:sz w:val="20"/>
          <w:szCs w:val="20"/>
          <w:color w:val="auto"/>
        </w:rPr>
      </w:pPr>
    </w:p>
    <w:p>
      <w:pPr>
        <w:jc w:val="both"/>
        <w:ind w:left="1226" w:hanging="614"/>
        <w:spacing w:after="0" w:line="262" w:lineRule="auto"/>
        <w:tabs>
          <w:tab w:leader="none" w:pos="1226" w:val="left"/>
        </w:tabs>
        <w:numPr>
          <w:ilvl w:val="1"/>
          <w:numId w:val="152"/>
        </w:numPr>
        <w:rPr>
          <w:rFonts w:ascii="Arial" w:cs="Arial" w:eastAsia="Arial" w:hAnsi="Arial"/>
          <w:sz w:val="19"/>
          <w:szCs w:val="19"/>
          <w:color w:val="auto"/>
        </w:rPr>
      </w:pPr>
      <w:r>
        <w:rPr>
          <w:rFonts w:ascii="Arial" w:cs="Arial" w:eastAsia="Arial" w:hAnsi="Arial"/>
          <w:sz w:val="19"/>
          <w:szCs w:val="19"/>
          <w:u w:val="single" w:color="auto"/>
          <w:color w:val="auto"/>
        </w:rPr>
        <w:t>Salary Continuation</w:t>
      </w:r>
      <w:r>
        <w:rPr>
          <w:rFonts w:ascii="Arial" w:cs="Arial" w:eastAsia="Arial" w:hAnsi="Arial"/>
          <w:sz w:val="19"/>
          <w:szCs w:val="19"/>
          <w:color w:val="auto"/>
        </w:rPr>
        <w:t>. You or your legal representative, as the case may be, shall receive the payment of an amount equal to the Base Salary (at the rate in effect on the Termination Date) that you would have received had you remained employed through the Expiration Date, which amount shall be paid in equal installments commencing on the first payroll date following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following the Termination Date in accordance with the Employer’s payroll practices as in effect from time to time, provided that the first such payment shall include any installments relating to the 60 day period following the Termination Date; provided, however, that, to the extent doing so will not result in the imposition of additional taxes under Section 409A (“Section 409A”) of the Internal Revenue Code of 1986, as amended and the rules and regulations promulgated thereunder (the “Code”), this amount shall be reduced by any payments which you have received or to which you become entitled under any Employer-sponsored long-term disability plan. For purposes of this section, Expiration Date means July 31, 2021, if the Termination Date is prior to such date, and July 31, 2022, if the Termination Date is after July 31, 2021;</w:t>
      </w:r>
    </w:p>
    <w:p>
      <w:pPr>
        <w:spacing w:after="0" w:line="169" w:lineRule="exact"/>
        <w:rPr>
          <w:rFonts w:ascii="Arial" w:cs="Arial" w:eastAsia="Arial" w:hAnsi="Arial"/>
          <w:sz w:val="19"/>
          <w:szCs w:val="19"/>
          <w:color w:val="auto"/>
        </w:rPr>
      </w:pPr>
    </w:p>
    <w:p>
      <w:pPr>
        <w:jc w:val="both"/>
        <w:ind w:left="1226" w:hanging="614"/>
        <w:spacing w:after="0" w:line="231" w:lineRule="auto"/>
        <w:tabs>
          <w:tab w:leader="none" w:pos="1226"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Bonus Severance</w:t>
      </w:r>
      <w:r>
        <w:rPr>
          <w:rFonts w:ascii="Arial" w:cs="Arial" w:eastAsia="Arial" w:hAnsi="Arial"/>
          <w:sz w:val="20"/>
          <w:szCs w:val="20"/>
          <w:color w:val="auto"/>
        </w:rPr>
        <w:t>. You or your legal representative, as the case may be, shall receive payment of the Bonus Severance in a lump sum no later than the 15</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day of the third month of the year following the year to which the underlying amount relates;</w:t>
      </w:r>
    </w:p>
    <w:p>
      <w:pPr>
        <w:spacing w:after="0" w:line="189" w:lineRule="exact"/>
        <w:rPr>
          <w:rFonts w:ascii="Arial" w:cs="Arial" w:eastAsia="Arial" w:hAnsi="Arial"/>
          <w:sz w:val="20"/>
          <w:szCs w:val="20"/>
          <w:color w:val="auto"/>
        </w:rPr>
      </w:pPr>
    </w:p>
    <w:p>
      <w:pPr>
        <w:ind w:left="1226" w:hanging="614"/>
        <w:spacing w:after="0"/>
        <w:tabs>
          <w:tab w:leader="none" w:pos="1226" w:val="left"/>
        </w:tabs>
        <w:numPr>
          <w:ilvl w:val="1"/>
          <w:numId w:val="152"/>
        </w:numPr>
        <w:rPr>
          <w:rFonts w:ascii="Arial" w:cs="Arial" w:eastAsia="Arial" w:hAnsi="Arial"/>
          <w:sz w:val="20"/>
          <w:szCs w:val="20"/>
          <w:color w:val="auto"/>
        </w:rPr>
      </w:pPr>
      <w:r>
        <w:rPr>
          <w:rFonts w:ascii="Arial" w:cs="Arial" w:eastAsia="Arial" w:hAnsi="Arial"/>
          <w:sz w:val="20"/>
          <w:szCs w:val="20"/>
          <w:u w:val="single" w:color="auto"/>
          <w:color w:val="auto"/>
        </w:rPr>
        <w:t>Additional Severance</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jc w:val="both"/>
        <w:ind w:left="1226"/>
        <w:spacing w:after="0" w:line="285" w:lineRule="auto"/>
        <w:rPr>
          <w:rFonts w:ascii="Arial" w:cs="Arial" w:eastAsia="Arial" w:hAnsi="Arial"/>
          <w:sz w:val="20"/>
          <w:szCs w:val="20"/>
          <w:color w:val="auto"/>
        </w:rPr>
      </w:pPr>
      <w:r>
        <w:rPr>
          <w:rFonts w:ascii="Arial" w:cs="Arial" w:eastAsia="Arial" w:hAnsi="Arial"/>
          <w:sz w:val="19"/>
          <w:szCs w:val="19"/>
          <w:color w:val="auto"/>
        </w:rPr>
        <w:t>a. You or your legal representative, as the case may be, shall receive payment of $766,667, if and only if, (i) your employment is terminated pursuant to Section 9(b), 9(c) or 9(e), (ii) your Termination Date is after December 31, 2019, and (iii) the Compensation Committee determines, in its sole discretion, that Activision Blizzard’s [i] 2019 OI is $1 or greater and [ii] 2019 OI is 90% or greater than the 2019 AOP OI Objective; and</w:t>
      </w:r>
    </w:p>
    <w:p>
      <w:pPr>
        <w:spacing w:after="0" w:line="348" w:lineRule="exact"/>
        <w:rPr>
          <w:sz w:val="20"/>
          <w:szCs w:val="20"/>
          <w:color w:val="auto"/>
        </w:rPr>
      </w:pPr>
    </w:p>
    <w:p>
      <w:pPr>
        <w:ind w:left="3206"/>
        <w:spacing w:after="0"/>
        <w:rPr>
          <w:sz w:val="20"/>
          <w:szCs w:val="20"/>
          <w:color w:val="auto"/>
        </w:rPr>
      </w:pPr>
      <w:r>
        <w:rPr>
          <w:rFonts w:ascii="Arial" w:cs="Arial" w:eastAsia="Arial" w:hAnsi="Arial"/>
          <w:sz w:val="17"/>
          <w:szCs w:val="17"/>
          <w:color w:val="auto"/>
        </w:rPr>
        <w:t>Page 12</w:t>
      </w:r>
    </w:p>
    <w:p>
      <w:pPr>
        <w:sectPr>
          <w:pgSz w:w="11900" w:h="16838" w:orient="portrait"/>
          <w:cols w:equalWidth="0" w:num="1">
            <w:col w:w="10806"/>
          </w:cols>
          <w:pgMar w:left="854" w:top="577" w:right="239" w:bottom="1440" w:gutter="0" w:footer="0" w:header="0"/>
        </w:sectPr>
      </w:pPr>
    </w:p>
    <w:bookmarkStart w:id="183" w:name="page184"/>
    <w:bookmarkEnd w:id="183"/>
    <w:p>
      <w:pPr>
        <w:jc w:val="both"/>
        <w:ind w:left="640" w:hanging="2"/>
        <w:spacing w:after="0" w:line="267" w:lineRule="auto"/>
        <w:tabs>
          <w:tab w:leader="none" w:pos="988" w:val="left"/>
        </w:tabs>
        <w:numPr>
          <w:ilvl w:val="0"/>
          <w:numId w:val="153"/>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$766,667, if and only if, (i) your employment is terminated pursuant to Section 9(b), 9(c) or 9(e), (ii) your Termination Date is after December 31, 2020, and (iii) the Compensation Committee determines, in its sole discretion, that Activision Blizzard’s [i] 2020 OI is $1 or greater and [ii] 2020 OI is 90% or greater than the 2020 AOP OI Objective.</w:t>
      </w:r>
    </w:p>
    <w:p>
      <w:pPr>
        <w:spacing w:after="0" w:line="162" w:lineRule="exact"/>
        <w:rPr>
          <w:rFonts w:ascii="Arial" w:cs="Arial" w:eastAsia="Arial" w:hAnsi="Arial"/>
          <w:sz w:val="20"/>
          <w:szCs w:val="20"/>
          <w:color w:val="auto"/>
        </w:rPr>
      </w:pPr>
    </w:p>
    <w:p>
      <w:pPr>
        <w:jc w:val="both"/>
        <w:ind w:left="640" w:hanging="2"/>
        <w:spacing w:after="0" w:line="267" w:lineRule="auto"/>
        <w:tabs>
          <w:tab w:leader="none" w:pos="99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You or your legal representative, as the case may be, shall receive payment of $766,667, if and only if, (i) your employment is terminated pursuant to Section 9(b), 9(c) or 9(e), (ii) your Termination Date is after December 31, 2021, and (iii) the Compensation Committee determines, in its sole discretion, that Activision Blizzard’s [i] 2021 OI is $1 or greater and [ii] 2021 OI is 90% or greater than the 2021 AOP OI Objective</w:t>
      </w:r>
    </w:p>
    <w:p>
      <w:pPr>
        <w:spacing w:after="0" w:line="162" w:lineRule="exact"/>
        <w:rPr>
          <w:sz w:val="20"/>
          <w:szCs w:val="20"/>
          <w:color w:val="auto"/>
        </w:rPr>
      </w:pPr>
    </w:p>
    <w:p>
      <w:pPr>
        <w:jc w:val="both"/>
        <w:ind w:left="640"/>
        <w:spacing w:after="0" w:line="273" w:lineRule="auto"/>
        <w:rPr>
          <w:sz w:val="20"/>
          <w:szCs w:val="20"/>
          <w:color w:val="auto"/>
        </w:rPr>
      </w:pPr>
      <w:r>
        <w:rPr>
          <w:rFonts w:ascii="Arial" w:cs="Arial" w:eastAsia="Arial" w:hAnsi="Arial"/>
          <w:sz w:val="19"/>
          <w:szCs w:val="19"/>
          <w:color w:val="auto"/>
        </w:rPr>
        <w:t>The amounts set forth in Sections 10(c)(iv)a. through 10(c)(iv)c. are intended to be cumulative to the extent the applicable conditions are satisfied; provided, however, no payment pursuant to Section 10(c)(iv)a. or 10(c)(iv)b. shall be due to you if your Termination Date is on or after July 31, 2021, and no payment pursuant to Section 10(c)(iv)c. shall be due to you if your Termination Date is on or after July 31, 2022. All amounts owed pursuant to this Section 10(c)(iv) will be paid within 30 days after the date the Compensation Committee determines that the applicable OI conditions have been achieved (if any), provided that this is no sooner than the 60th day following the Termination Date, and will be subject to applicable taxes and withholdings.</w:t>
      </w:r>
    </w:p>
    <w:p>
      <w:pPr>
        <w:spacing w:after="0" w:line="160" w:lineRule="exact"/>
        <w:rPr>
          <w:sz w:val="20"/>
          <w:szCs w:val="20"/>
          <w:color w:val="auto"/>
        </w:rPr>
      </w:pPr>
    </w:p>
    <w:p>
      <w:pPr>
        <w:ind w:left="640" w:hanging="614"/>
        <w:spacing w:after="0"/>
        <w:tabs>
          <w:tab w:leader="none" w:pos="640"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Impact on Equity Awards</w:t>
      </w:r>
      <w:r>
        <w:rPr>
          <w:rFonts w:ascii="Arial" w:cs="Arial" w:eastAsia="Arial" w:hAnsi="Arial"/>
          <w:sz w:val="20"/>
          <w:szCs w:val="20"/>
          <w:color w:val="auto"/>
        </w:rPr>
        <w:t>.</w:t>
      </w:r>
    </w:p>
    <w:p>
      <w:pPr>
        <w:spacing w:after="0" w:line="216" w:lineRule="exact"/>
        <w:rPr>
          <w:rFonts w:ascii="Arial" w:cs="Arial" w:eastAsia="Arial" w:hAnsi="Arial"/>
          <w:sz w:val="20"/>
          <w:szCs w:val="20"/>
          <w:color w:val="auto"/>
        </w:rPr>
      </w:pPr>
    </w:p>
    <w:p>
      <w:pPr>
        <w:jc w:val="both"/>
        <w:ind w:left="640" w:hanging="2"/>
        <w:spacing w:after="0" w:line="275" w:lineRule="auto"/>
        <w:tabs>
          <w:tab w:leader="none" w:pos="1053" w:val="left"/>
        </w:tabs>
        <w:numPr>
          <w:ilvl w:val="1"/>
          <w:numId w:val="154"/>
        </w:numPr>
        <w:rPr>
          <w:rFonts w:ascii="Arial" w:cs="Arial" w:eastAsia="Arial" w:hAnsi="Arial"/>
          <w:sz w:val="20"/>
          <w:szCs w:val="20"/>
          <w:color w:val="auto"/>
        </w:rPr>
      </w:pPr>
      <w:r>
        <w:rPr>
          <w:rFonts w:ascii="Arial" w:cs="Arial" w:eastAsia="Arial" w:hAnsi="Arial"/>
          <w:sz w:val="20"/>
          <w:szCs w:val="20"/>
          <w:color w:val="auto"/>
        </w:rPr>
        <w:t>All outstanding equity awards shall cease to vest. All vested equity shall be handled in accordance with the applicable incentive plans and award agreements. Any equity awards that are not vested as of your Termination Date will be cancelled immediately; and</w:t>
      </w:r>
    </w:p>
    <w:p>
      <w:pPr>
        <w:spacing w:after="0" w:line="152" w:lineRule="exact"/>
        <w:rPr>
          <w:rFonts w:ascii="Arial" w:cs="Arial" w:eastAsia="Arial" w:hAnsi="Arial"/>
          <w:sz w:val="20"/>
          <w:szCs w:val="20"/>
          <w:color w:val="auto"/>
        </w:rPr>
      </w:pPr>
    </w:p>
    <w:p>
      <w:pPr>
        <w:jc w:val="both"/>
        <w:ind w:left="640" w:hanging="2"/>
        <w:spacing w:after="0" w:line="272" w:lineRule="auto"/>
        <w:tabs>
          <w:tab w:leader="none" w:pos="1103" w:val="left"/>
        </w:tabs>
        <w:numPr>
          <w:ilvl w:val="1"/>
          <w:numId w:val="154"/>
        </w:numPr>
        <w:rPr>
          <w:rFonts w:ascii="Arial" w:cs="Arial" w:eastAsia="Arial" w:hAnsi="Arial"/>
          <w:sz w:val="19"/>
          <w:szCs w:val="19"/>
          <w:color w:val="auto"/>
        </w:rPr>
      </w:pPr>
      <w:r>
        <w:rPr>
          <w:rFonts w:ascii="Arial" w:cs="Arial" w:eastAsia="Arial" w:hAnsi="Arial"/>
          <w:sz w:val="19"/>
          <w:szCs w:val="19"/>
          <w:color w:val="auto"/>
        </w:rPr>
        <w:t xml:space="preserve">In the event the Employer terminates your employment under Section 9(b) or 9(e), or you terminate your employment under Section 9(c), all unvested 2019 Performance Share Units will cease to vest and be cancelled immediately. Notwithstanding the foregoing, in the event that (i) your Termination Date occurs after the completion of one or more performance periods (i.e. fiscal years 2019, 2020 and/or 2021), (ii) your employment is terminated pursuant to Section 9(b), 9(c), or 9(e)); (iii) the Compensation Committee determines that the applicable performance objective(s) (i.e. 2019 Performance Objective, 2020 Performance Objective and/or 2021 Performance Objective) have been achieved for a performance period completed prior to your Termination Date, </w:t>
      </w:r>
      <w:r>
        <w:rPr>
          <w:rFonts w:ascii="Arial" w:cs="Arial" w:eastAsia="Arial" w:hAnsi="Arial"/>
          <w:sz w:val="19"/>
          <w:szCs w:val="19"/>
          <w:i w:val="1"/>
          <w:iCs w:val="1"/>
          <w:color w:val="auto"/>
        </w:rPr>
        <w:t>and</w:t>
      </w:r>
      <w:r>
        <w:rPr>
          <w:rFonts w:ascii="Arial" w:cs="Arial" w:eastAsia="Arial" w:hAnsi="Arial"/>
          <w:sz w:val="19"/>
          <w:szCs w:val="19"/>
          <w:color w:val="auto"/>
        </w:rPr>
        <w:t xml:space="preserve"> (iv) the applicable tranche (i.e. the First Tranche 2019 Performance Share Units, the Second Tranche 2019 Performance Share Units, and/or the Third Tranche 2019 Performance Share Units) has not vested as of the Termination Date, then an amount to be calculated as provided for below in Paragraph 10(c)(iv)b.[i] shall be paid to you, (the “PSU Termination Consideration”). This amount shall be paid</w:t>
      </w:r>
    </w:p>
    <w:p>
      <w:pPr>
        <w:spacing w:after="0" w:line="358"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Page 13</w:t>
      </w:r>
    </w:p>
    <w:p>
      <w:pPr>
        <w:sectPr>
          <w:pgSz w:w="11900" w:h="16838" w:orient="portrait"/>
          <w:cols w:equalWidth="0" w:num="1">
            <w:col w:w="10220"/>
          </w:cols>
          <w:pgMar w:left="1440" w:top="577" w:right="239" w:bottom="1440" w:gutter="0" w:footer="0" w:header="0"/>
        </w:sectPr>
      </w:pPr>
    </w:p>
    <w:bookmarkStart w:id="184" w:name="page185"/>
    <w:bookmarkEnd w:id="184"/>
    <w:p>
      <w:pPr>
        <w:jc w:val="both"/>
        <w:ind w:left="640"/>
        <w:spacing w:after="0" w:line="263" w:lineRule="auto"/>
        <w:rPr>
          <w:sz w:val="20"/>
          <w:szCs w:val="20"/>
          <w:color w:val="auto"/>
        </w:rPr>
      </w:pPr>
      <w:r>
        <w:rPr>
          <w:rFonts w:ascii="Arial" w:cs="Arial" w:eastAsia="Arial" w:hAnsi="Arial"/>
          <w:sz w:val="20"/>
          <w:szCs w:val="20"/>
          <w:color w:val="auto"/>
        </w:rPr>
        <w:t>within 30 days after the date the Compensation Committee determines that the applicable performance objective(s) (i.e. 2019 Performance Objective, 20</w:t>
      </w:r>
      <w:r>
        <w:rPr>
          <w:rFonts w:ascii="Arial" w:cs="Arial" w:eastAsia="Arial" w:hAnsi="Arial"/>
          <w:sz w:val="20"/>
          <w:szCs w:val="20"/>
          <w:color w:val="191919"/>
        </w:rPr>
        <w:t>20</w:t>
      </w:r>
      <w:r>
        <w:rPr>
          <w:rFonts w:ascii="Arial" w:cs="Arial" w:eastAsia="Arial" w:hAnsi="Arial"/>
          <w:sz w:val="20"/>
          <w:szCs w:val="20"/>
          <w:color w:val="auto"/>
        </w:rPr>
        <w:t xml:space="preserve"> Performance Objective and/or 202</w:t>
      </w:r>
      <w:r>
        <w:rPr>
          <w:rFonts w:ascii="Arial" w:cs="Arial" w:eastAsia="Arial" w:hAnsi="Arial"/>
          <w:sz w:val="20"/>
          <w:szCs w:val="20"/>
          <w:color w:val="191919"/>
        </w:rPr>
        <w:t>1</w:t>
      </w:r>
      <w:r>
        <w:rPr>
          <w:rFonts w:ascii="Arial" w:cs="Arial" w:eastAsia="Arial" w:hAnsi="Arial"/>
          <w:sz w:val="20"/>
          <w:szCs w:val="20"/>
          <w:color w:val="auto"/>
        </w:rPr>
        <w:t xml:space="preserve"> Performance Objective) have been achieved (if any), provided that this is no sooner than the 60th day following the Termination Date, and will be subject to applicable taxes and withholdings.</w:t>
      </w:r>
    </w:p>
    <w:p>
      <w:pPr>
        <w:spacing w:after="0" w:line="165" w:lineRule="exact"/>
        <w:rPr>
          <w:sz w:val="20"/>
          <w:szCs w:val="20"/>
          <w:color w:val="auto"/>
        </w:rPr>
      </w:pPr>
    </w:p>
    <w:p>
      <w:pPr>
        <w:jc w:val="both"/>
        <w:ind w:left="940" w:firstLine="4"/>
        <w:spacing w:after="0" w:line="273" w:lineRule="auto"/>
        <w:tabs>
          <w:tab w:leader="none" w:pos="1215"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formula for determining the PSU Termination Consideration for each applicable tranche of cancelled 2019 Performance Share Units, if any, (i.e. the First Tranche 2019 Performance Share Units, the Second Tranche 2019 Performance Share Units, and/or the Third Tranche 2019 Performance Share Units) is as follows: multiply the Grant Date Price by the product of the number of performance share units for the applicable tranche by the ratio, as determined by the Compensation Committee, in its discretion, of the non-GAAP operating income (the “</w:t>
      </w:r>
      <w:r>
        <w:rPr>
          <w:rFonts w:ascii="Arial" w:cs="Arial" w:eastAsia="Arial" w:hAnsi="Arial"/>
          <w:sz w:val="19"/>
          <w:szCs w:val="19"/>
          <w:i w:val="1"/>
          <w:iCs w:val="1"/>
          <w:color w:val="auto"/>
        </w:rPr>
        <w:t>OI</w:t>
      </w:r>
      <w:r>
        <w:rPr>
          <w:rFonts w:ascii="Arial" w:cs="Arial" w:eastAsia="Arial" w:hAnsi="Arial"/>
          <w:sz w:val="19"/>
          <w:szCs w:val="19"/>
          <w:color w:val="auto"/>
        </w:rPr>
        <w:t>”) for the applicable fiscal year to the AOP OI Objective for the applicable fiscal year (e.g. the performance objective for the applicable fiscal year), up to a maximum of 125%.</w:t>
      </w:r>
    </w:p>
    <w:p>
      <w:pPr>
        <w:spacing w:after="0" w:line="16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For clarity, the following examples are provided as illustration, but not by way of limitation:</w:t>
      </w:r>
    </w:p>
    <w:p>
      <w:pPr>
        <w:spacing w:after="0" w:line="255" w:lineRule="exact"/>
        <w:rPr>
          <w:sz w:val="20"/>
          <w:szCs w:val="20"/>
          <w:color w:val="auto"/>
        </w:rPr>
      </w:pPr>
    </w:p>
    <w:p>
      <w:pPr>
        <w:jc w:val="both"/>
        <w:ind w:left="640" w:firstLine="610"/>
        <w:spacing w:after="0" w:line="259" w:lineRule="auto"/>
        <w:tabs>
          <w:tab w:leader="none" w:pos="1552"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 the event that your employment terminates on January 1, 20</w:t>
      </w:r>
      <w:r>
        <w:rPr>
          <w:rFonts w:ascii="Arial" w:cs="Arial" w:eastAsia="Arial" w:hAnsi="Arial"/>
          <w:sz w:val="20"/>
          <w:szCs w:val="20"/>
          <w:color w:val="191919"/>
        </w:rPr>
        <w:t>20</w:t>
      </w:r>
      <w:r>
        <w:rPr>
          <w:rFonts w:ascii="Arial" w:cs="Arial" w:eastAsia="Arial" w:hAnsi="Arial"/>
          <w:sz w:val="20"/>
          <w:szCs w:val="20"/>
          <w:color w:val="auto"/>
        </w:rPr>
        <w:t>, pursuant to Section 9(b)</w:t>
      </w:r>
      <w:r>
        <w:rPr>
          <w:rFonts w:ascii="Arial" w:cs="Arial" w:eastAsia="Arial" w:hAnsi="Arial"/>
          <w:sz w:val="20"/>
          <w:szCs w:val="20"/>
          <w:color w:val="191919"/>
        </w:rPr>
        <w:t>,</w:t>
      </w:r>
      <w:r>
        <w:rPr>
          <w:rFonts w:ascii="Arial" w:cs="Arial" w:eastAsia="Arial" w:hAnsi="Arial"/>
          <w:sz w:val="20"/>
          <w:szCs w:val="20"/>
          <w:color w:val="auto"/>
        </w:rPr>
        <w:t xml:space="preserve"> 9(c) </w:t>
      </w:r>
      <w:r>
        <w:rPr>
          <w:rFonts w:ascii="Arial" w:cs="Arial" w:eastAsia="Arial" w:hAnsi="Arial"/>
          <w:sz w:val="20"/>
          <w:szCs w:val="20"/>
          <w:color w:val="191919"/>
        </w:rPr>
        <w:t>or 9(e)</w:t>
      </w:r>
      <w:r>
        <w:rPr>
          <w:rFonts w:ascii="Arial" w:cs="Arial" w:eastAsia="Arial" w:hAnsi="Arial"/>
          <w:sz w:val="20"/>
          <w:szCs w:val="20"/>
          <w:color w:val="auto"/>
        </w:rPr>
        <w:t xml:space="preserve">, the Compensation Committee determines that </w:t>
      </w:r>
      <w:r>
        <w:rPr>
          <w:rFonts w:ascii="Arial" w:cs="Arial" w:eastAsia="Arial" w:hAnsi="Arial"/>
          <w:sz w:val="20"/>
          <w:szCs w:val="20"/>
          <w:color w:val="191919"/>
        </w:rPr>
        <w:t>91</w:t>
      </w:r>
      <w:r>
        <w:rPr>
          <w:rFonts w:ascii="Arial" w:cs="Arial" w:eastAsia="Arial" w:hAnsi="Arial"/>
          <w:sz w:val="20"/>
          <w:szCs w:val="20"/>
          <w:color w:val="auto"/>
        </w:rPr>
        <w:t>% of the 201</w:t>
      </w:r>
      <w:r>
        <w:rPr>
          <w:rFonts w:ascii="Arial" w:cs="Arial" w:eastAsia="Arial" w:hAnsi="Arial"/>
          <w:sz w:val="20"/>
          <w:szCs w:val="20"/>
          <w:color w:val="191919"/>
        </w:rPr>
        <w:t>9</w:t>
      </w:r>
      <w:r>
        <w:rPr>
          <w:rFonts w:ascii="Arial" w:cs="Arial" w:eastAsia="Arial" w:hAnsi="Arial"/>
          <w:sz w:val="20"/>
          <w:szCs w:val="20"/>
          <w:color w:val="auto"/>
        </w:rPr>
        <w:t xml:space="preserve"> Performance Objective is achieved, the number of performance share units granted for the First Tranche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 is </w:t>
      </w:r>
      <w:r>
        <w:rPr>
          <w:rFonts w:ascii="Arial" w:cs="Arial" w:eastAsia="Arial" w:hAnsi="Arial"/>
          <w:sz w:val="20"/>
          <w:szCs w:val="20"/>
          <w:color w:val="191919"/>
        </w:rPr>
        <w:t>23,000</w:t>
      </w:r>
      <w:r>
        <w:rPr>
          <w:rFonts w:ascii="Arial" w:cs="Arial" w:eastAsia="Arial" w:hAnsi="Arial"/>
          <w:sz w:val="20"/>
          <w:szCs w:val="20"/>
          <w:color w:val="auto"/>
        </w:rPr>
        <w:t>, and the Grant Date Price is $</w:t>
      </w:r>
      <w:r>
        <w:rPr>
          <w:rFonts w:ascii="Arial" w:cs="Arial" w:eastAsia="Arial" w:hAnsi="Arial"/>
          <w:sz w:val="20"/>
          <w:szCs w:val="20"/>
          <w:color w:val="191919"/>
        </w:rPr>
        <w:t>5</w:t>
      </w:r>
      <w:r>
        <w:rPr>
          <w:rFonts w:ascii="Arial" w:cs="Arial" w:eastAsia="Arial" w:hAnsi="Arial"/>
          <w:sz w:val="20"/>
          <w:szCs w:val="20"/>
          <w:color w:val="auto"/>
        </w:rPr>
        <w:t>0, then $</w:t>
      </w:r>
      <w:r>
        <w:rPr>
          <w:rFonts w:ascii="Arial" w:cs="Arial" w:eastAsia="Arial" w:hAnsi="Arial"/>
          <w:sz w:val="20"/>
          <w:szCs w:val="20"/>
          <w:color w:val="191919"/>
        </w:rPr>
        <w:t>1,046,500</w:t>
      </w:r>
      <w:r>
        <w:rPr>
          <w:rFonts w:ascii="Arial" w:cs="Arial" w:eastAsia="Arial" w:hAnsi="Arial"/>
          <w:sz w:val="20"/>
          <w:szCs w:val="20"/>
          <w:color w:val="auto"/>
        </w:rPr>
        <w:t xml:space="preserve"> (less applicable taxes and withholdings) will be paid using the following calculation: $</w:t>
      </w:r>
      <w:r>
        <w:rPr>
          <w:rFonts w:ascii="Arial" w:cs="Arial" w:eastAsia="Arial" w:hAnsi="Arial"/>
          <w:sz w:val="20"/>
          <w:szCs w:val="20"/>
          <w:color w:val="191919"/>
        </w:rPr>
        <w:t>5</w:t>
      </w:r>
      <w:r>
        <w:rPr>
          <w:rFonts w:ascii="Arial" w:cs="Arial" w:eastAsia="Arial" w:hAnsi="Arial"/>
          <w:sz w:val="20"/>
          <w:szCs w:val="20"/>
          <w:color w:val="auto"/>
        </w:rPr>
        <w:t>0 x [</w:t>
      </w:r>
      <w:r>
        <w:rPr>
          <w:rFonts w:ascii="Arial" w:cs="Arial" w:eastAsia="Arial" w:hAnsi="Arial"/>
          <w:sz w:val="20"/>
          <w:szCs w:val="20"/>
          <w:color w:val="191919"/>
        </w:rPr>
        <w:t>23,000</w:t>
      </w:r>
      <w:r>
        <w:rPr>
          <w:rFonts w:ascii="Arial" w:cs="Arial" w:eastAsia="Arial" w:hAnsi="Arial"/>
          <w:sz w:val="20"/>
          <w:szCs w:val="20"/>
          <w:color w:val="auto"/>
        </w:rPr>
        <w:t xml:space="preserve"> x .</w:t>
      </w:r>
      <w:r>
        <w:rPr>
          <w:rFonts w:ascii="Arial" w:cs="Arial" w:eastAsia="Arial" w:hAnsi="Arial"/>
          <w:sz w:val="20"/>
          <w:szCs w:val="20"/>
          <w:color w:val="191919"/>
        </w:rPr>
        <w:t>91</w:t>
      </w:r>
      <w:r>
        <w:rPr>
          <w:rFonts w:ascii="Arial" w:cs="Arial" w:eastAsia="Arial" w:hAnsi="Arial"/>
          <w:sz w:val="20"/>
          <w:szCs w:val="20"/>
          <w:color w:val="auto"/>
        </w:rPr>
        <w:t>] = $</w:t>
      </w:r>
      <w:r>
        <w:rPr>
          <w:rFonts w:ascii="Arial" w:cs="Arial" w:eastAsia="Arial" w:hAnsi="Arial"/>
          <w:sz w:val="20"/>
          <w:szCs w:val="20"/>
          <w:color w:val="191919"/>
        </w:rPr>
        <w:t>1,046,500</w:t>
      </w:r>
      <w:r>
        <w:rPr>
          <w:rFonts w:ascii="Arial" w:cs="Arial" w:eastAsia="Arial" w:hAnsi="Arial"/>
          <w:sz w:val="20"/>
          <w:szCs w:val="20"/>
          <w:color w:val="auto"/>
        </w:rPr>
        <w:t xml:space="preserve">. You will receive no payment with respect to the cancelled Second </w:t>
      </w:r>
      <w:r>
        <w:rPr>
          <w:rFonts w:ascii="Arial" w:cs="Arial" w:eastAsia="Arial" w:hAnsi="Arial"/>
          <w:sz w:val="20"/>
          <w:szCs w:val="20"/>
          <w:color w:val="191919"/>
        </w:rPr>
        <w:t>or Third</w:t>
      </w:r>
      <w:r>
        <w:rPr>
          <w:rFonts w:ascii="Arial" w:cs="Arial" w:eastAsia="Arial" w:hAnsi="Arial"/>
          <w:sz w:val="20"/>
          <w:szCs w:val="20"/>
          <w:color w:val="auto"/>
        </w:rPr>
        <w:t xml:space="preserve"> Tranche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w:t>
      </w:r>
    </w:p>
    <w:p>
      <w:pPr>
        <w:spacing w:after="0" w:line="206" w:lineRule="exact"/>
        <w:rPr>
          <w:rFonts w:ascii="Arial" w:cs="Arial" w:eastAsia="Arial" w:hAnsi="Arial"/>
          <w:sz w:val="20"/>
          <w:szCs w:val="20"/>
          <w:color w:val="auto"/>
        </w:rPr>
      </w:pPr>
    </w:p>
    <w:p>
      <w:pPr>
        <w:ind w:left="640" w:right="160" w:firstLine="610"/>
        <w:spacing w:after="0" w:line="257" w:lineRule="auto"/>
        <w:tabs>
          <w:tab w:leader="none" w:pos="1541" w:val="left"/>
        </w:tabs>
        <w:numPr>
          <w:ilvl w:val="0"/>
          <w:numId w:val="156"/>
        </w:numPr>
        <w:rPr>
          <w:rFonts w:ascii="Arial" w:cs="Arial" w:eastAsia="Arial" w:hAnsi="Arial"/>
          <w:sz w:val="20"/>
          <w:szCs w:val="20"/>
          <w:color w:val="auto"/>
        </w:rPr>
      </w:pPr>
      <w:r>
        <w:rPr>
          <w:rFonts w:ascii="Arial" w:cs="Arial" w:eastAsia="Arial" w:hAnsi="Arial"/>
          <w:sz w:val="20"/>
          <w:szCs w:val="20"/>
          <w:color w:val="auto"/>
        </w:rPr>
        <w:t>in the event that your employment terminates on January 1, 20</w:t>
      </w:r>
      <w:r>
        <w:rPr>
          <w:rFonts w:ascii="Arial" w:cs="Arial" w:eastAsia="Arial" w:hAnsi="Arial"/>
          <w:sz w:val="20"/>
          <w:szCs w:val="20"/>
          <w:color w:val="191919"/>
        </w:rPr>
        <w:t>21</w:t>
      </w:r>
      <w:r>
        <w:rPr>
          <w:rFonts w:ascii="Arial" w:cs="Arial" w:eastAsia="Arial" w:hAnsi="Arial"/>
          <w:sz w:val="20"/>
          <w:szCs w:val="20"/>
          <w:color w:val="auto"/>
        </w:rPr>
        <w:t>, pursuant to Section 9(b)</w:t>
      </w:r>
      <w:r>
        <w:rPr>
          <w:rFonts w:ascii="Arial" w:cs="Arial" w:eastAsia="Arial" w:hAnsi="Arial"/>
          <w:sz w:val="20"/>
          <w:szCs w:val="20"/>
          <w:color w:val="191919"/>
        </w:rPr>
        <w:t>,</w:t>
      </w:r>
      <w:r>
        <w:rPr>
          <w:rFonts w:ascii="Arial" w:cs="Arial" w:eastAsia="Arial" w:hAnsi="Arial"/>
          <w:sz w:val="20"/>
          <w:szCs w:val="20"/>
          <w:color w:val="auto"/>
        </w:rPr>
        <w:t xml:space="preserve"> 9(c) </w:t>
      </w:r>
      <w:r>
        <w:rPr>
          <w:rFonts w:ascii="Arial" w:cs="Arial" w:eastAsia="Arial" w:hAnsi="Arial"/>
          <w:sz w:val="20"/>
          <w:szCs w:val="20"/>
          <w:color w:val="191919"/>
        </w:rPr>
        <w:t>or 9(e)</w:t>
      </w:r>
      <w:r>
        <w:rPr>
          <w:rFonts w:ascii="Arial" w:cs="Arial" w:eastAsia="Arial" w:hAnsi="Arial"/>
          <w:sz w:val="20"/>
          <w:szCs w:val="20"/>
          <w:color w:val="auto"/>
        </w:rPr>
        <w:t xml:space="preserve">, the Compensation Committee determines that </w:t>
      </w:r>
      <w:r>
        <w:rPr>
          <w:rFonts w:ascii="Arial" w:cs="Arial" w:eastAsia="Arial" w:hAnsi="Arial"/>
          <w:sz w:val="20"/>
          <w:szCs w:val="20"/>
          <w:color w:val="191919"/>
        </w:rPr>
        <w:t>83</w:t>
      </w:r>
      <w:r>
        <w:rPr>
          <w:rFonts w:ascii="Arial" w:cs="Arial" w:eastAsia="Arial" w:hAnsi="Arial"/>
          <w:sz w:val="20"/>
          <w:szCs w:val="20"/>
          <w:color w:val="auto"/>
        </w:rPr>
        <w:t>% of the 20</w:t>
      </w:r>
      <w:r>
        <w:rPr>
          <w:rFonts w:ascii="Arial" w:cs="Arial" w:eastAsia="Arial" w:hAnsi="Arial"/>
          <w:sz w:val="20"/>
          <w:szCs w:val="20"/>
          <w:color w:val="191919"/>
        </w:rPr>
        <w:t>20</w:t>
      </w:r>
      <w:r>
        <w:rPr>
          <w:rFonts w:ascii="Arial" w:cs="Arial" w:eastAsia="Arial" w:hAnsi="Arial"/>
          <w:sz w:val="20"/>
          <w:szCs w:val="20"/>
          <w:color w:val="auto"/>
        </w:rPr>
        <w:t xml:space="preserve"> Performance Objective is achieved, the Grant Date Price is $</w:t>
      </w:r>
      <w:r>
        <w:rPr>
          <w:rFonts w:ascii="Arial" w:cs="Arial" w:eastAsia="Arial" w:hAnsi="Arial"/>
          <w:sz w:val="20"/>
          <w:szCs w:val="20"/>
          <w:color w:val="191919"/>
        </w:rPr>
        <w:t>5</w:t>
      </w:r>
      <w:r>
        <w:rPr>
          <w:rFonts w:ascii="Arial" w:cs="Arial" w:eastAsia="Arial" w:hAnsi="Arial"/>
          <w:sz w:val="20"/>
          <w:szCs w:val="20"/>
          <w:color w:val="auto"/>
        </w:rPr>
        <w:t xml:space="preserve">0 and the number of performance share units granted for the </w:t>
      </w:r>
      <w:r>
        <w:rPr>
          <w:rFonts w:ascii="Arial" w:cs="Arial" w:eastAsia="Arial" w:hAnsi="Arial"/>
          <w:sz w:val="20"/>
          <w:szCs w:val="20"/>
          <w:color w:val="191919"/>
        </w:rPr>
        <w:t>Second</w:t>
      </w:r>
      <w:r>
        <w:rPr>
          <w:rFonts w:ascii="Arial" w:cs="Arial" w:eastAsia="Arial" w:hAnsi="Arial"/>
          <w:sz w:val="20"/>
          <w:szCs w:val="20"/>
          <w:color w:val="auto"/>
        </w:rPr>
        <w:t xml:space="preserve"> Tranche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 </w:t>
      </w:r>
      <w:r>
        <w:rPr>
          <w:rFonts w:ascii="Arial" w:cs="Arial" w:eastAsia="Arial" w:hAnsi="Arial"/>
          <w:sz w:val="20"/>
          <w:szCs w:val="20"/>
          <w:color w:val="191919"/>
        </w:rPr>
        <w:t>23,000</w:t>
      </w:r>
      <w:r>
        <w:rPr>
          <w:rFonts w:ascii="Arial" w:cs="Arial" w:eastAsia="Arial" w:hAnsi="Arial"/>
          <w:sz w:val="20"/>
          <w:szCs w:val="20"/>
          <w:color w:val="auto"/>
        </w:rPr>
        <w:t xml:space="preserve">, then no payment </w:t>
      </w:r>
      <w:r>
        <w:rPr>
          <w:rFonts w:ascii="Arial" w:cs="Arial" w:eastAsia="Arial" w:hAnsi="Arial"/>
          <w:sz w:val="20"/>
          <w:szCs w:val="20"/>
          <w:color w:val="191919"/>
        </w:rPr>
        <w:t>will be made to you</w:t>
      </w:r>
      <w:r>
        <w:rPr>
          <w:rFonts w:ascii="Arial" w:cs="Arial" w:eastAsia="Arial" w:hAnsi="Arial"/>
          <w:sz w:val="20"/>
          <w:szCs w:val="20"/>
          <w:color w:val="auto"/>
        </w:rPr>
        <w:t xml:space="preserve"> with respect to the </w:t>
      </w:r>
      <w:r>
        <w:rPr>
          <w:rFonts w:ascii="Arial" w:cs="Arial" w:eastAsia="Arial" w:hAnsi="Arial"/>
          <w:sz w:val="20"/>
          <w:szCs w:val="20"/>
          <w:color w:val="191919"/>
        </w:rPr>
        <w:t>Second</w:t>
      </w:r>
      <w:r>
        <w:rPr>
          <w:rFonts w:ascii="Arial" w:cs="Arial" w:eastAsia="Arial" w:hAnsi="Arial"/>
          <w:sz w:val="20"/>
          <w:szCs w:val="20"/>
          <w:color w:val="auto"/>
        </w:rPr>
        <w:t xml:space="preserv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 since the performance cut-in was not met</w:t>
      </w:r>
      <w:r>
        <w:rPr>
          <w:rFonts w:ascii="Arial" w:cs="Arial" w:eastAsia="Arial" w:hAnsi="Arial"/>
          <w:sz w:val="20"/>
          <w:szCs w:val="20"/>
          <w:color w:val="191919"/>
        </w:rPr>
        <w:t>. Also, no payment will be made with respect to the cancelled Third 2019</w:t>
      </w:r>
      <w:r>
        <w:rPr>
          <w:rFonts w:ascii="Arial" w:cs="Arial" w:eastAsia="Arial" w:hAnsi="Arial"/>
          <w:sz w:val="20"/>
          <w:szCs w:val="20"/>
          <w:color w:val="auto"/>
        </w:rPr>
        <w:t xml:space="preserve"> Performance Share Units, nor the First Tranche 2019 Performance Share Units since those have already vested or have had the opportunity to vest.</w:t>
      </w:r>
    </w:p>
    <w:p>
      <w:pPr>
        <w:spacing w:after="0" w:line="214" w:lineRule="exact"/>
        <w:rPr>
          <w:rFonts w:ascii="Arial" w:cs="Arial" w:eastAsia="Arial" w:hAnsi="Arial"/>
          <w:sz w:val="20"/>
          <w:szCs w:val="20"/>
          <w:color w:val="auto"/>
        </w:rPr>
      </w:pPr>
    </w:p>
    <w:p>
      <w:pPr>
        <w:ind w:left="640" w:right="140" w:firstLine="610"/>
        <w:spacing w:after="0" w:line="263" w:lineRule="auto"/>
        <w:tabs>
          <w:tab w:leader="none" w:pos="1529" w:val="left"/>
        </w:tabs>
        <w:numPr>
          <w:ilvl w:val="0"/>
          <w:numId w:val="156"/>
        </w:numPr>
        <w:rPr>
          <w:rFonts w:ascii="Arial" w:cs="Arial" w:eastAsia="Arial" w:hAnsi="Arial"/>
          <w:sz w:val="20"/>
          <w:szCs w:val="20"/>
          <w:color w:val="191919"/>
        </w:rPr>
      </w:pPr>
      <w:r>
        <w:rPr>
          <w:rFonts w:ascii="Arial" w:cs="Arial" w:eastAsia="Arial" w:hAnsi="Arial"/>
          <w:sz w:val="20"/>
          <w:szCs w:val="20"/>
          <w:color w:val="auto"/>
        </w:rPr>
        <w:t>in the event that your employment terminates on January 1, 20</w:t>
      </w:r>
      <w:r>
        <w:rPr>
          <w:rFonts w:ascii="Arial" w:cs="Arial" w:eastAsia="Arial" w:hAnsi="Arial"/>
          <w:sz w:val="20"/>
          <w:szCs w:val="20"/>
          <w:color w:val="191919"/>
        </w:rPr>
        <w:t>21</w:t>
      </w:r>
      <w:r>
        <w:rPr>
          <w:rFonts w:ascii="Arial" w:cs="Arial" w:eastAsia="Arial" w:hAnsi="Arial"/>
          <w:sz w:val="20"/>
          <w:szCs w:val="20"/>
          <w:color w:val="auto"/>
        </w:rPr>
        <w:t>, pursuant to Section 9(b)</w:t>
      </w:r>
      <w:r>
        <w:rPr>
          <w:rFonts w:ascii="Arial" w:cs="Arial" w:eastAsia="Arial" w:hAnsi="Arial"/>
          <w:sz w:val="20"/>
          <w:szCs w:val="20"/>
          <w:color w:val="191919"/>
        </w:rPr>
        <w:t>,</w:t>
      </w:r>
      <w:r>
        <w:rPr>
          <w:rFonts w:ascii="Arial" w:cs="Arial" w:eastAsia="Arial" w:hAnsi="Arial"/>
          <w:sz w:val="20"/>
          <w:szCs w:val="20"/>
          <w:color w:val="auto"/>
        </w:rPr>
        <w:t xml:space="preserve"> 9(c) </w:t>
      </w:r>
      <w:r>
        <w:rPr>
          <w:rFonts w:ascii="Arial" w:cs="Arial" w:eastAsia="Arial" w:hAnsi="Arial"/>
          <w:sz w:val="20"/>
          <w:szCs w:val="20"/>
          <w:color w:val="191919"/>
        </w:rPr>
        <w:t>or 9(e)</w:t>
      </w:r>
      <w:r>
        <w:rPr>
          <w:rFonts w:ascii="Arial" w:cs="Arial" w:eastAsia="Arial" w:hAnsi="Arial"/>
          <w:sz w:val="20"/>
          <w:szCs w:val="20"/>
          <w:color w:val="auto"/>
        </w:rPr>
        <w:t xml:space="preserve">, the Compensation Committee determines that </w:t>
      </w:r>
      <w:r>
        <w:rPr>
          <w:rFonts w:ascii="Arial" w:cs="Arial" w:eastAsia="Arial" w:hAnsi="Arial"/>
          <w:sz w:val="20"/>
          <w:szCs w:val="20"/>
          <w:color w:val="191919"/>
        </w:rPr>
        <w:t>135</w:t>
      </w:r>
      <w:r>
        <w:rPr>
          <w:rFonts w:ascii="Arial" w:cs="Arial" w:eastAsia="Arial" w:hAnsi="Arial"/>
          <w:sz w:val="20"/>
          <w:szCs w:val="20"/>
          <w:color w:val="auto"/>
        </w:rPr>
        <w:t>% of the 20</w:t>
      </w:r>
      <w:r>
        <w:rPr>
          <w:rFonts w:ascii="Arial" w:cs="Arial" w:eastAsia="Arial" w:hAnsi="Arial"/>
          <w:sz w:val="20"/>
          <w:szCs w:val="20"/>
          <w:color w:val="191919"/>
        </w:rPr>
        <w:t>20</w:t>
      </w:r>
      <w:r>
        <w:rPr>
          <w:rFonts w:ascii="Arial" w:cs="Arial" w:eastAsia="Arial" w:hAnsi="Arial"/>
          <w:sz w:val="20"/>
          <w:szCs w:val="20"/>
          <w:color w:val="auto"/>
        </w:rPr>
        <w:t xml:space="preserve"> Performance Objective is achieved, the Grant Date Price is $</w:t>
      </w:r>
      <w:r>
        <w:rPr>
          <w:rFonts w:ascii="Arial" w:cs="Arial" w:eastAsia="Arial" w:hAnsi="Arial"/>
          <w:sz w:val="20"/>
          <w:szCs w:val="20"/>
          <w:color w:val="191919"/>
        </w:rPr>
        <w:t>5</w:t>
      </w:r>
      <w:r>
        <w:rPr>
          <w:rFonts w:ascii="Arial" w:cs="Arial" w:eastAsia="Arial" w:hAnsi="Arial"/>
          <w:sz w:val="20"/>
          <w:szCs w:val="20"/>
          <w:color w:val="auto"/>
        </w:rPr>
        <w:t xml:space="preserve">0 and the number of performance share units granted for the </w:t>
      </w:r>
      <w:r>
        <w:rPr>
          <w:rFonts w:ascii="Arial" w:cs="Arial" w:eastAsia="Arial" w:hAnsi="Arial"/>
          <w:sz w:val="20"/>
          <w:szCs w:val="20"/>
          <w:color w:val="191919"/>
        </w:rPr>
        <w:t>Second</w:t>
      </w:r>
      <w:r>
        <w:rPr>
          <w:rFonts w:ascii="Arial" w:cs="Arial" w:eastAsia="Arial" w:hAnsi="Arial"/>
          <w:sz w:val="20"/>
          <w:szCs w:val="20"/>
          <w:color w:val="auto"/>
        </w:rPr>
        <w:t xml:space="preserve"> Tranche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 </w:t>
      </w:r>
      <w:r>
        <w:rPr>
          <w:rFonts w:ascii="Arial" w:cs="Arial" w:eastAsia="Arial" w:hAnsi="Arial"/>
          <w:sz w:val="20"/>
          <w:szCs w:val="20"/>
          <w:color w:val="191919"/>
        </w:rPr>
        <w:t>23,000</w:t>
      </w:r>
      <w:r>
        <w:rPr>
          <w:rFonts w:ascii="Arial" w:cs="Arial" w:eastAsia="Arial" w:hAnsi="Arial"/>
          <w:sz w:val="20"/>
          <w:szCs w:val="20"/>
          <w:color w:val="auto"/>
        </w:rPr>
        <w:t>,</w:t>
      </w:r>
    </w:p>
    <w:p>
      <w:pPr>
        <w:spacing w:after="0" w:line="161"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Page 14</w:t>
      </w:r>
    </w:p>
    <w:p>
      <w:pPr>
        <w:sectPr>
          <w:pgSz w:w="11900" w:h="16838" w:orient="portrait"/>
          <w:cols w:equalWidth="0" w:num="1">
            <w:col w:w="10220"/>
          </w:cols>
          <w:pgMar w:left="1440" w:top="577" w:right="239" w:bottom="1440" w:gutter="0" w:footer="0" w:header="0"/>
        </w:sectPr>
      </w:pPr>
    </w:p>
    <w:bookmarkStart w:id="185" w:name="page186"/>
    <w:bookmarkEnd w:id="185"/>
    <w:p>
      <w:pPr>
        <w:ind w:left="1840" w:right="100"/>
        <w:spacing w:after="0" w:line="263" w:lineRule="auto"/>
        <w:rPr>
          <w:sz w:val="20"/>
          <w:szCs w:val="20"/>
          <w:color w:val="auto"/>
        </w:rPr>
      </w:pPr>
      <w:r>
        <w:rPr>
          <w:rFonts w:ascii="Arial" w:cs="Arial" w:eastAsia="Arial" w:hAnsi="Arial"/>
          <w:sz w:val="20"/>
          <w:szCs w:val="20"/>
          <w:color w:val="auto"/>
        </w:rPr>
        <w:t>then $1,4</w:t>
      </w:r>
      <w:r>
        <w:rPr>
          <w:rFonts w:ascii="Arial" w:cs="Arial" w:eastAsia="Arial" w:hAnsi="Arial"/>
          <w:sz w:val="20"/>
          <w:szCs w:val="20"/>
          <w:color w:val="191919"/>
        </w:rPr>
        <w:t>37</w:t>
      </w:r>
      <w:r>
        <w:rPr>
          <w:rFonts w:ascii="Arial" w:cs="Arial" w:eastAsia="Arial" w:hAnsi="Arial"/>
          <w:sz w:val="20"/>
          <w:szCs w:val="20"/>
          <w:color w:val="auto"/>
        </w:rPr>
        <w:t>,</w:t>
      </w:r>
      <w:r>
        <w:rPr>
          <w:rFonts w:ascii="Arial" w:cs="Arial" w:eastAsia="Arial" w:hAnsi="Arial"/>
          <w:sz w:val="20"/>
          <w:szCs w:val="20"/>
          <w:color w:val="191919"/>
        </w:rPr>
        <w:t>50</w:t>
      </w:r>
      <w:r>
        <w:rPr>
          <w:rFonts w:ascii="Arial" w:cs="Arial" w:eastAsia="Arial" w:hAnsi="Arial"/>
          <w:sz w:val="20"/>
          <w:szCs w:val="20"/>
          <w:color w:val="auto"/>
        </w:rPr>
        <w:t>0 (less applicable taxes and withholdings) will be paid using the following calculation: $</w:t>
      </w:r>
      <w:r>
        <w:rPr>
          <w:rFonts w:ascii="Arial" w:cs="Arial" w:eastAsia="Arial" w:hAnsi="Arial"/>
          <w:sz w:val="20"/>
          <w:szCs w:val="20"/>
          <w:color w:val="191919"/>
        </w:rPr>
        <w:t>5</w:t>
      </w:r>
      <w:r>
        <w:rPr>
          <w:rFonts w:ascii="Arial" w:cs="Arial" w:eastAsia="Arial" w:hAnsi="Arial"/>
          <w:sz w:val="20"/>
          <w:szCs w:val="20"/>
          <w:color w:val="auto"/>
        </w:rPr>
        <w:t>0 x [</w:t>
      </w:r>
      <w:r>
        <w:rPr>
          <w:rFonts w:ascii="Arial" w:cs="Arial" w:eastAsia="Arial" w:hAnsi="Arial"/>
          <w:sz w:val="20"/>
          <w:szCs w:val="20"/>
          <w:color w:val="191919"/>
        </w:rPr>
        <w:t>23,000</w:t>
      </w:r>
      <w:r>
        <w:rPr>
          <w:rFonts w:ascii="Arial" w:cs="Arial" w:eastAsia="Arial" w:hAnsi="Arial"/>
          <w:sz w:val="20"/>
          <w:szCs w:val="20"/>
          <w:color w:val="auto"/>
        </w:rPr>
        <w:t xml:space="preserve"> x 1.25] = $1,4</w:t>
      </w:r>
      <w:r>
        <w:rPr>
          <w:rFonts w:ascii="Arial" w:cs="Arial" w:eastAsia="Arial" w:hAnsi="Arial"/>
          <w:sz w:val="20"/>
          <w:szCs w:val="20"/>
          <w:color w:val="191919"/>
        </w:rPr>
        <w:t>37</w:t>
      </w:r>
      <w:r>
        <w:rPr>
          <w:rFonts w:ascii="Arial" w:cs="Arial" w:eastAsia="Arial" w:hAnsi="Arial"/>
          <w:sz w:val="20"/>
          <w:szCs w:val="20"/>
          <w:color w:val="auto"/>
        </w:rPr>
        <w:t>,</w:t>
      </w:r>
      <w:r>
        <w:rPr>
          <w:rFonts w:ascii="Arial" w:cs="Arial" w:eastAsia="Arial" w:hAnsi="Arial"/>
          <w:sz w:val="20"/>
          <w:szCs w:val="20"/>
          <w:color w:val="191919"/>
        </w:rPr>
        <w:t>50</w:t>
      </w:r>
      <w:r>
        <w:rPr>
          <w:rFonts w:ascii="Arial" w:cs="Arial" w:eastAsia="Arial" w:hAnsi="Arial"/>
          <w:sz w:val="20"/>
          <w:szCs w:val="20"/>
          <w:color w:val="auto"/>
        </w:rPr>
        <w:t>0. You will receive no payment with respect to the cancelled Third Tranche 201</w:t>
      </w:r>
      <w:r>
        <w:rPr>
          <w:rFonts w:ascii="Arial" w:cs="Arial" w:eastAsia="Arial" w:hAnsi="Arial"/>
          <w:sz w:val="20"/>
          <w:szCs w:val="20"/>
          <w:color w:val="191919"/>
        </w:rPr>
        <w:t>9</w:t>
      </w:r>
      <w:r>
        <w:rPr>
          <w:rFonts w:ascii="Arial" w:cs="Arial" w:eastAsia="Arial" w:hAnsi="Arial"/>
          <w:sz w:val="20"/>
          <w:szCs w:val="20"/>
          <w:color w:val="auto"/>
        </w:rPr>
        <w:t xml:space="preserve"> Performance Share Units, nor the First Tranche 2019 Performance Share Units since those have already vested or have had the opportunity to vest</w:t>
      </w:r>
      <w:r>
        <w:rPr>
          <w:rFonts w:ascii="Arial" w:cs="Arial" w:eastAsia="Arial" w:hAnsi="Arial"/>
          <w:sz w:val="20"/>
          <w:szCs w:val="20"/>
          <w:color w:val="191919"/>
        </w:rPr>
        <w:t>.</w:t>
      </w:r>
    </w:p>
    <w:p>
      <w:pPr>
        <w:spacing w:after="0" w:line="203" w:lineRule="exact"/>
        <w:rPr>
          <w:sz w:val="20"/>
          <w:szCs w:val="20"/>
          <w:color w:val="auto"/>
        </w:rPr>
      </w:pPr>
    </w:p>
    <w:p>
      <w:pPr>
        <w:jc w:val="both"/>
        <w:ind w:left="1840" w:hanging="614"/>
        <w:spacing w:after="0" w:line="259" w:lineRule="auto"/>
        <w:tabs>
          <w:tab w:leader="none" w:pos="1840" w:val="left"/>
        </w:tabs>
        <w:numPr>
          <w:ilvl w:val="1"/>
          <w:numId w:val="157"/>
        </w:numPr>
        <w:rPr>
          <w:rFonts w:ascii="Arial" w:cs="Arial" w:eastAsia="Arial" w:hAnsi="Arial"/>
          <w:sz w:val="20"/>
          <w:szCs w:val="20"/>
          <w:color w:val="auto"/>
        </w:rPr>
      </w:pPr>
      <w:r>
        <w:rPr>
          <w:rFonts w:ascii="Arial" w:cs="Arial" w:eastAsia="Arial" w:hAnsi="Arial"/>
          <w:sz w:val="20"/>
          <w:szCs w:val="20"/>
          <w:u w:val="single" w:color="auto"/>
          <w:color w:val="auto"/>
        </w:rPr>
        <w:t>Medical Benefits</w:t>
      </w:r>
      <w:r>
        <w:rPr>
          <w:rFonts w:ascii="Arial" w:cs="Arial" w:eastAsia="Arial" w:hAnsi="Arial"/>
          <w:sz w:val="20"/>
          <w:szCs w:val="20"/>
          <w:color w:val="auto"/>
        </w:rPr>
        <w:t>. You and your then current spouse and minor children, if any, shall receive the same level of health/medical insurance or coverage (via COBRA or otherwise) that was provided to you immediately prior to the Termination Date for a one (1) year period, with the cost of such continued insurance or coverage being borne by the Employer, provided, however, if you become eligible for another company’s group health/medical insurance or coverage program, then you and your then current spouse and minor children, if any, shall cease to be eligible for coverage pursuant to this Section 10(c)(vi).</w:t>
      </w:r>
    </w:p>
    <w:p>
      <w:pPr>
        <w:spacing w:after="0" w:line="168" w:lineRule="exact"/>
        <w:rPr>
          <w:rFonts w:ascii="Arial" w:cs="Arial" w:eastAsia="Arial" w:hAnsi="Arial"/>
          <w:sz w:val="20"/>
          <w:szCs w:val="20"/>
          <w:color w:val="auto"/>
        </w:rPr>
      </w:pPr>
    </w:p>
    <w:p>
      <w:pPr>
        <w:jc w:val="both"/>
        <w:ind w:left="1840" w:hanging="614"/>
        <w:spacing w:after="0" w:line="242" w:lineRule="auto"/>
        <w:tabs>
          <w:tab w:leader="none" w:pos="1840" w:val="left"/>
        </w:tabs>
        <w:numPr>
          <w:ilvl w:val="1"/>
          <w:numId w:val="157"/>
        </w:numPr>
        <w:rPr>
          <w:rFonts w:ascii="Arial" w:cs="Arial" w:eastAsia="Arial" w:hAnsi="Arial"/>
          <w:sz w:val="20"/>
          <w:szCs w:val="20"/>
          <w:color w:val="auto"/>
        </w:rPr>
      </w:pPr>
      <w:r>
        <w:rPr>
          <w:rFonts w:ascii="Arial" w:cs="Arial" w:eastAsia="Arial" w:hAnsi="Arial"/>
          <w:sz w:val="20"/>
          <w:szCs w:val="20"/>
          <w:u w:val="single" w:color="auto"/>
          <w:color w:val="auto"/>
        </w:rPr>
        <w:t>Severance Conditioned Upon Release</w:t>
      </w:r>
      <w:r>
        <w:rPr>
          <w:rFonts w:ascii="Arial" w:cs="Arial" w:eastAsia="Arial" w:hAnsi="Arial"/>
          <w:sz w:val="20"/>
          <w:szCs w:val="20"/>
          <w:color w:val="auto"/>
        </w:rPr>
        <w:t>. Payments and benefits described in Sections 10(c)(ii)-10(c)(vi) are conditioned upon your or your legal representative’s execution of a waiver and release in a form prepared by the Employer and that release becoming effective and irrevocable in its entirety within 60 days of the Termination Date. Unless otherwise provided by the Employer, if the release referenced above does not become effective and irrevocable on or prior to the 60</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day following the Termination Date, you shall not be entitled to any payments under this Section 10(c) other than the Basic Severance.</w:t>
      </w:r>
    </w:p>
    <w:p>
      <w:pPr>
        <w:spacing w:after="0" w:line="184" w:lineRule="exact"/>
        <w:rPr>
          <w:rFonts w:ascii="Arial" w:cs="Arial" w:eastAsia="Arial" w:hAnsi="Arial"/>
          <w:sz w:val="20"/>
          <w:szCs w:val="20"/>
          <w:color w:val="auto"/>
        </w:rPr>
      </w:pPr>
    </w:p>
    <w:p>
      <w:pPr>
        <w:ind w:left="1100" w:hanging="486"/>
        <w:spacing w:after="0"/>
        <w:tabs>
          <w:tab w:leader="none" w:pos="110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Termination by the Employer For Cause. In the event your employment is terminated by the Employer under Section 9(a),</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then:</w:t>
      </w:r>
    </w:p>
    <w:p>
      <w:pPr>
        <w:spacing w:after="0" w:line="212" w:lineRule="exact"/>
        <w:rPr>
          <w:sz w:val="20"/>
          <w:szCs w:val="20"/>
          <w:color w:val="auto"/>
        </w:rPr>
      </w:pPr>
    </w:p>
    <w:p>
      <w:pPr>
        <w:jc w:val="both"/>
        <w:ind w:left="1840" w:hanging="614"/>
        <w:spacing w:after="0" w:line="288" w:lineRule="auto"/>
        <w:tabs>
          <w:tab w:leader="none" w:pos="1840"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 and</w:t>
      </w:r>
    </w:p>
    <w:p>
      <w:pPr>
        <w:spacing w:after="0" w:line="144" w:lineRule="exact"/>
        <w:rPr>
          <w:rFonts w:ascii="Arial" w:cs="Arial" w:eastAsia="Arial" w:hAnsi="Arial"/>
          <w:sz w:val="19"/>
          <w:szCs w:val="19"/>
          <w:color w:val="auto"/>
        </w:rPr>
      </w:pPr>
    </w:p>
    <w:p>
      <w:pPr>
        <w:ind w:left="1840" w:hanging="614"/>
        <w:spacing w:after="0" w:line="283" w:lineRule="auto"/>
        <w:tabs>
          <w:tab w:leader="none" w:pos="1840" w:val="left"/>
        </w:tabs>
        <w:numPr>
          <w:ilvl w:val="1"/>
          <w:numId w:val="159"/>
        </w:numPr>
        <w:rPr>
          <w:rFonts w:ascii="Arial" w:cs="Arial" w:eastAsia="Arial" w:hAnsi="Arial"/>
          <w:sz w:val="20"/>
          <w:szCs w:val="20"/>
          <w:color w:val="auto"/>
        </w:rPr>
      </w:pPr>
      <w:r>
        <w:rPr>
          <w:rFonts w:ascii="Arial" w:cs="Arial" w:eastAsia="Arial" w:hAnsi="Arial"/>
          <w:sz w:val="20"/>
          <w:szCs w:val="20"/>
          <w:u w:val="single" w:color="auto"/>
          <w:color w:val="auto"/>
        </w:rPr>
        <w:t>Impact on Equity Awards</w:t>
      </w:r>
      <w:r>
        <w:rPr>
          <w:rFonts w:ascii="Arial" w:cs="Arial" w:eastAsia="Arial" w:hAnsi="Arial"/>
          <w:sz w:val="20"/>
          <w:szCs w:val="20"/>
          <w:color w:val="auto"/>
        </w:rPr>
        <w:t>. All outstanding equity awards shall cease to vest and, whether or not vested, shall no longer be exercisable and shall be cancelled immediately.</w:t>
      </w:r>
    </w:p>
    <w:p>
      <w:pPr>
        <w:spacing w:after="0" w:line="146" w:lineRule="exact"/>
        <w:rPr>
          <w:rFonts w:ascii="Arial" w:cs="Arial" w:eastAsia="Arial" w:hAnsi="Arial"/>
          <w:sz w:val="20"/>
          <w:szCs w:val="20"/>
          <w:color w:val="auto"/>
        </w:rPr>
      </w:pPr>
    </w:p>
    <w:p>
      <w:pPr>
        <w:ind w:left="1020" w:hanging="406"/>
        <w:spacing w:after="0"/>
        <w:tabs>
          <w:tab w:leader="none" w:pos="102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Termination on the Expiration Date. In the event your employment terminates on the Expiration Date, then:</w:t>
      </w:r>
    </w:p>
    <w:p>
      <w:pPr>
        <w:spacing w:after="0" w:line="229" w:lineRule="exact"/>
        <w:rPr>
          <w:rFonts w:ascii="Arial" w:cs="Arial" w:eastAsia="Arial" w:hAnsi="Arial"/>
          <w:sz w:val="20"/>
          <w:szCs w:val="20"/>
          <w:color w:val="auto"/>
        </w:rPr>
      </w:pPr>
    </w:p>
    <w:p>
      <w:pPr>
        <w:jc w:val="both"/>
        <w:ind w:left="1840" w:hanging="614"/>
        <w:spacing w:after="0" w:line="288" w:lineRule="auto"/>
        <w:tabs>
          <w:tab w:leader="none" w:pos="1840"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Basic Severance</w:t>
      </w:r>
      <w:r>
        <w:rPr>
          <w:rFonts w:ascii="Arial" w:cs="Arial" w:eastAsia="Arial" w:hAnsi="Arial"/>
          <w:sz w:val="19"/>
          <w:szCs w:val="19"/>
          <w:color w:val="auto"/>
        </w:rPr>
        <w:t>. You shall receive payment of the Basic Severance in a lump sum within thirty (30) days following the Termination Date unless a different payment date is prescribed by an applicable compensation, incentive or benefit plan, in which case payment shall be made in accordance with such plan;</w:t>
      </w:r>
    </w:p>
    <w:p>
      <w:pPr>
        <w:spacing w:after="0" w:line="34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15</w:t>
      </w:r>
    </w:p>
    <w:p>
      <w:pPr>
        <w:sectPr>
          <w:pgSz w:w="11900" w:h="16838" w:orient="portrait"/>
          <w:cols w:equalWidth="0" w:num="1">
            <w:col w:w="11420"/>
          </w:cols>
          <w:pgMar w:left="240" w:top="577" w:right="239" w:bottom="1440" w:gutter="0" w:footer="0" w:header="0"/>
        </w:sectPr>
      </w:pPr>
    </w:p>
    <w:bookmarkStart w:id="186" w:name="page187"/>
    <w:bookmarkEnd w:id="186"/>
    <w:p>
      <w:pPr>
        <w:ind w:left="1838" w:hanging="614"/>
        <w:spacing w:after="0" w:line="227" w:lineRule="auto"/>
        <w:tabs>
          <w:tab w:leader="none" w:pos="1838" w:val="left"/>
        </w:tabs>
        <w:numPr>
          <w:ilvl w:val="2"/>
          <w:numId w:val="161"/>
        </w:numPr>
        <w:rPr>
          <w:rFonts w:ascii="Arial" w:cs="Arial" w:eastAsia="Arial" w:hAnsi="Arial"/>
          <w:sz w:val="20"/>
          <w:szCs w:val="20"/>
          <w:color w:val="auto"/>
        </w:rPr>
      </w:pPr>
      <w:r>
        <w:rPr>
          <w:rFonts w:ascii="Arial" w:cs="Arial" w:eastAsia="Arial" w:hAnsi="Arial"/>
          <w:sz w:val="20"/>
          <w:szCs w:val="20"/>
          <w:u w:val="single" w:color="auto"/>
          <w:color w:val="auto"/>
        </w:rPr>
        <w:t>Bonus Severance</w:t>
      </w:r>
      <w:r>
        <w:rPr>
          <w:rFonts w:ascii="Arial" w:cs="Arial" w:eastAsia="Arial" w:hAnsi="Arial"/>
          <w:sz w:val="20"/>
          <w:szCs w:val="20"/>
          <w:color w:val="auto"/>
        </w:rPr>
        <w:t>. You shall receive payment of the Bonus Severance in a lump sum no later than the 15</w:t>
      </w:r>
      <w:r>
        <w:rPr>
          <w:rFonts w:ascii="Arial" w:cs="Arial" w:eastAsia="Arial" w:hAnsi="Arial"/>
          <w:sz w:val="27"/>
          <w:szCs w:val="27"/>
          <w:color w:val="auto"/>
          <w:vertAlign w:val="superscript"/>
        </w:rPr>
        <w:t>th</w:t>
      </w:r>
      <w:r>
        <w:rPr>
          <w:rFonts w:ascii="Arial" w:cs="Arial" w:eastAsia="Arial" w:hAnsi="Arial"/>
          <w:sz w:val="20"/>
          <w:szCs w:val="20"/>
          <w:color w:val="auto"/>
        </w:rPr>
        <w:t xml:space="preserve"> day of the third month of the year following the year to which the underlying amount relates; and</w:t>
      </w:r>
    </w:p>
    <w:p>
      <w:pPr>
        <w:spacing w:after="0" w:line="187" w:lineRule="exact"/>
        <w:rPr>
          <w:rFonts w:ascii="Arial" w:cs="Arial" w:eastAsia="Arial" w:hAnsi="Arial"/>
          <w:sz w:val="20"/>
          <w:szCs w:val="20"/>
          <w:color w:val="auto"/>
        </w:rPr>
      </w:pPr>
    </w:p>
    <w:p>
      <w:pPr>
        <w:jc w:val="both"/>
        <w:ind w:left="1838" w:hanging="614"/>
        <w:spacing w:after="0" w:line="268" w:lineRule="auto"/>
        <w:tabs>
          <w:tab w:leader="none" w:pos="1838" w:val="left"/>
        </w:tabs>
        <w:numPr>
          <w:ilvl w:val="2"/>
          <w:numId w:val="161"/>
        </w:numPr>
        <w:rPr>
          <w:rFonts w:ascii="Arial" w:cs="Arial" w:eastAsia="Arial" w:hAnsi="Arial"/>
          <w:sz w:val="20"/>
          <w:szCs w:val="20"/>
          <w:color w:val="auto"/>
        </w:rPr>
      </w:pPr>
      <w:r>
        <w:rPr>
          <w:rFonts w:ascii="Arial" w:cs="Arial" w:eastAsia="Arial" w:hAnsi="Arial"/>
          <w:sz w:val="20"/>
          <w:szCs w:val="20"/>
          <w:u w:val="single" w:color="auto"/>
          <w:color w:val="auto"/>
        </w:rPr>
        <w:t>Impact on Equity Awards</w:t>
      </w:r>
      <w:r>
        <w:rPr>
          <w:rFonts w:ascii="Arial" w:cs="Arial" w:eastAsia="Arial" w:hAnsi="Arial"/>
          <w:sz w:val="20"/>
          <w:szCs w:val="20"/>
          <w:color w:val="auto"/>
        </w:rPr>
        <w:t>. All outstanding equity awards shall cease to vest. All vested equity shall be handled in accordance with the applicable incentive plans and award agreements. Any equity awards that are not vested as of your Termination Date will be cancelled immediately.</w:t>
      </w:r>
    </w:p>
    <w:p>
      <w:pPr>
        <w:spacing w:after="0" w:line="160" w:lineRule="exact"/>
        <w:rPr>
          <w:rFonts w:ascii="Arial" w:cs="Arial" w:eastAsia="Arial" w:hAnsi="Arial"/>
          <w:sz w:val="20"/>
          <w:szCs w:val="20"/>
          <w:color w:val="auto"/>
        </w:rPr>
      </w:pPr>
    </w:p>
    <w:p>
      <w:pPr>
        <w:ind w:left="1058" w:hanging="370"/>
        <w:spacing w:after="0"/>
        <w:tabs>
          <w:tab w:leader="none" w:pos="1058" w:val="left"/>
        </w:tabs>
        <w:numPr>
          <w:ilvl w:val="1"/>
          <w:numId w:val="162"/>
        </w:numPr>
        <w:rPr>
          <w:rFonts w:ascii="Arial" w:cs="Arial" w:eastAsia="Arial" w:hAnsi="Arial"/>
          <w:sz w:val="20"/>
          <w:szCs w:val="20"/>
          <w:color w:val="auto"/>
        </w:rPr>
      </w:pPr>
      <w:r>
        <w:rPr>
          <w:rFonts w:ascii="Arial" w:cs="Arial" w:eastAsia="Arial" w:hAnsi="Arial"/>
          <w:sz w:val="20"/>
          <w:szCs w:val="20"/>
          <w:color w:val="auto"/>
        </w:rPr>
        <w:t>Breach of Post-termination Obligations or Subsequent Employment.</w:t>
      </w:r>
    </w:p>
    <w:p>
      <w:pPr>
        <w:spacing w:after="0" w:line="229" w:lineRule="exact"/>
        <w:rPr>
          <w:rFonts w:ascii="Arial" w:cs="Arial" w:eastAsia="Arial" w:hAnsi="Arial"/>
          <w:sz w:val="20"/>
          <w:szCs w:val="20"/>
          <w:color w:val="auto"/>
        </w:rPr>
      </w:pPr>
    </w:p>
    <w:p>
      <w:pPr>
        <w:jc w:val="both"/>
        <w:ind w:left="1838" w:hanging="614"/>
        <w:spacing w:after="0" w:line="263" w:lineRule="auto"/>
        <w:tabs>
          <w:tab w:leader="none" w:pos="1838" w:val="left"/>
        </w:tabs>
        <w:numPr>
          <w:ilvl w:val="2"/>
          <w:numId w:val="162"/>
        </w:numPr>
        <w:rPr>
          <w:rFonts w:ascii="Arial" w:cs="Arial" w:eastAsia="Arial" w:hAnsi="Arial"/>
          <w:sz w:val="20"/>
          <w:szCs w:val="20"/>
          <w:color w:val="auto"/>
        </w:rPr>
      </w:pPr>
      <w:r>
        <w:rPr>
          <w:rFonts w:ascii="Arial" w:cs="Arial" w:eastAsia="Arial" w:hAnsi="Arial"/>
          <w:sz w:val="20"/>
          <w:szCs w:val="20"/>
          <w:u w:val="single" w:color="auto"/>
          <w:color w:val="auto"/>
        </w:rPr>
        <w:t>Breach of Post-termination Obligations</w:t>
      </w:r>
      <w:r>
        <w:rPr>
          <w:rFonts w:ascii="Arial" w:cs="Arial" w:eastAsia="Arial" w:hAnsi="Arial"/>
          <w:sz w:val="20"/>
          <w:szCs w:val="20"/>
          <w:color w:val="auto"/>
        </w:rPr>
        <w:t>. In the event that you breach any of your obligations under Section 8, the Employer’s obligation, if any, to make payments and provide benefits under Section 10 (other than payment of the Basic Severance) shall immediately and permanently cease and you shall not be entitled to any such payments or benefits.</w:t>
      </w:r>
    </w:p>
    <w:p>
      <w:pPr>
        <w:spacing w:after="0" w:line="164" w:lineRule="exact"/>
        <w:rPr>
          <w:rFonts w:ascii="Arial" w:cs="Arial" w:eastAsia="Arial" w:hAnsi="Arial"/>
          <w:sz w:val="20"/>
          <w:szCs w:val="20"/>
          <w:color w:val="auto"/>
        </w:rPr>
      </w:pPr>
    </w:p>
    <w:p>
      <w:pPr>
        <w:jc w:val="both"/>
        <w:ind w:left="1838" w:hanging="614"/>
        <w:spacing w:after="0" w:line="269" w:lineRule="auto"/>
        <w:tabs>
          <w:tab w:leader="none" w:pos="1838" w:val="left"/>
        </w:tabs>
        <w:numPr>
          <w:ilvl w:val="2"/>
          <w:numId w:val="162"/>
        </w:numPr>
        <w:rPr>
          <w:rFonts w:ascii="Arial" w:cs="Arial" w:eastAsia="Arial" w:hAnsi="Arial"/>
          <w:sz w:val="19"/>
          <w:szCs w:val="19"/>
          <w:color w:val="auto"/>
        </w:rPr>
      </w:pPr>
      <w:r>
        <w:rPr>
          <w:rFonts w:ascii="Arial" w:cs="Arial" w:eastAsia="Arial" w:hAnsi="Arial"/>
          <w:sz w:val="19"/>
          <w:szCs w:val="19"/>
          <w:u w:val="single" w:color="auto"/>
          <w:color w:val="auto"/>
        </w:rPr>
        <w:t>Subsequent Employment</w:t>
      </w:r>
      <w:r>
        <w:rPr>
          <w:rFonts w:ascii="Arial" w:cs="Arial" w:eastAsia="Arial" w:hAnsi="Arial"/>
          <w:sz w:val="19"/>
          <w:szCs w:val="19"/>
          <w:color w:val="auto"/>
        </w:rPr>
        <w:t xml:space="preserve">. Notwithstanding anything to the contrary contained herein, if, at any time during the Salary Continuation Period, you obtain subsequent employment and/or provide services of any kind for compensation, whether as principal, owner, partner, agent, shareholder, director, employee, consultant, advisor or otherwise, to any person, company, venture or other person or business entity, you must promptly notify the Employer and payments under Section 10(c)(ii) shall be refunded by you to the Employer (to the extent already paid) and shall be offset (to the extent payable in the future) by the amount of Base Compensation (as defined below) earned by, paid to, or granted to you during or with respect to the Salary Continuation Period. </w:t>
      </w:r>
      <w:r>
        <w:rPr>
          <w:rFonts w:ascii="Arial" w:cs="Arial" w:eastAsia="Arial" w:hAnsi="Arial"/>
          <w:sz w:val="19"/>
          <w:szCs w:val="19"/>
          <w:i w:val="1"/>
          <w:iCs w:val="1"/>
          <w:color w:val="auto"/>
        </w:rPr>
        <w:t>“Base Compensation”</w:t>
      </w:r>
      <w:r>
        <w:rPr>
          <w:rFonts w:ascii="Arial" w:cs="Arial" w:eastAsia="Arial" w:hAnsi="Arial"/>
          <w:sz w:val="19"/>
          <w:szCs w:val="19"/>
          <w:color w:val="auto"/>
        </w:rPr>
        <w:t xml:space="preserve"> shall mean the amount of your base salary or, if applicable, wages you earn (or are paid or granted) during or with respect to any subsequent employment or services arrangement; provided, however, such base salary or wages shall be deemed, in all cases, to equal no less than 35% of the total compensation (including, without limitation, any and all amounts of salary, bonus and all other kinds of cash or in-kind or equity-based compensation) you earn, are paid, or are granted during or with respect to such subsequent employment or services arrangement and which are paid to you, vest or otherwise accrue with respect to services performed by you, during or with respect to the Salary Continuation Period.</w:t>
      </w:r>
    </w:p>
    <w:p>
      <w:pPr>
        <w:spacing w:after="0" w:line="167" w:lineRule="exact"/>
        <w:rPr>
          <w:rFonts w:ascii="Arial" w:cs="Arial" w:eastAsia="Arial" w:hAnsi="Arial"/>
          <w:sz w:val="19"/>
          <w:szCs w:val="19"/>
          <w:color w:val="auto"/>
        </w:rPr>
      </w:pPr>
    </w:p>
    <w:p>
      <w:pPr>
        <w:ind w:left="418" w:hanging="418"/>
        <w:spacing w:after="0"/>
        <w:tabs>
          <w:tab w:leader="none" w:pos="418" w:val="left"/>
        </w:tabs>
        <w:numPr>
          <w:ilvl w:val="0"/>
          <w:numId w:val="163"/>
        </w:numPr>
        <w:rPr>
          <w:rFonts w:ascii="Arial" w:cs="Arial" w:eastAsia="Arial" w:hAnsi="Arial"/>
          <w:sz w:val="20"/>
          <w:szCs w:val="20"/>
          <w:b w:val="1"/>
          <w:bCs w:val="1"/>
          <w:color w:val="auto"/>
        </w:rPr>
      </w:pPr>
      <w:r>
        <w:rPr>
          <w:rFonts w:ascii="Arial" w:cs="Arial" w:eastAsia="Arial" w:hAnsi="Arial"/>
          <w:sz w:val="20"/>
          <w:szCs w:val="20"/>
          <w:u w:val="single" w:color="auto"/>
          <w:color w:val="auto"/>
        </w:rPr>
        <w:t>General Provisions</w:t>
      </w:r>
    </w:p>
    <w:p>
      <w:pPr>
        <w:spacing w:after="0" w:line="229" w:lineRule="exact"/>
        <w:rPr>
          <w:rFonts w:ascii="Arial" w:cs="Arial" w:eastAsia="Arial" w:hAnsi="Arial"/>
          <w:sz w:val="20"/>
          <w:szCs w:val="20"/>
          <w:b w:val="1"/>
          <w:bCs w:val="1"/>
          <w:color w:val="auto"/>
        </w:rPr>
      </w:pPr>
    </w:p>
    <w:p>
      <w:pPr>
        <w:jc w:val="both"/>
        <w:ind w:left="78" w:firstLine="610"/>
        <w:spacing w:after="0" w:line="263" w:lineRule="auto"/>
        <w:tabs>
          <w:tab w:leader="none" w:pos="116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Entire Agreement. This Agreement, together with the Confidential Information Agreement, the Activision Blizzard Group Dispute Resolution Agreement (the “Dispute Resolution Agreement”, as referenced in Section 11(k) below), and the New Employee Letter and Certification (as defined in Section 11(d)), and the Employer’s Executive Stock Ownership Guidelines, supersede all prior or contemporaneous agreements and statements, whether written or oral, concerning the terms of your employment with the Activision Blizzard Group, and no amendment</w:t>
      </w:r>
    </w:p>
    <w:p>
      <w:pPr>
        <w:spacing w:after="0" w:line="368" w:lineRule="exact"/>
        <w:rPr>
          <w:sz w:val="20"/>
          <w:szCs w:val="20"/>
          <w:color w:val="auto"/>
        </w:rPr>
      </w:pPr>
    </w:p>
    <w:p>
      <w:pPr>
        <w:ind w:left="3818"/>
        <w:spacing w:after="0"/>
        <w:rPr>
          <w:sz w:val="20"/>
          <w:szCs w:val="20"/>
          <w:color w:val="auto"/>
        </w:rPr>
      </w:pPr>
      <w:r>
        <w:rPr>
          <w:rFonts w:ascii="Arial" w:cs="Arial" w:eastAsia="Arial" w:hAnsi="Arial"/>
          <w:sz w:val="17"/>
          <w:szCs w:val="17"/>
          <w:color w:val="auto"/>
        </w:rPr>
        <w:t>Page 16</w:t>
      </w:r>
    </w:p>
    <w:p>
      <w:pPr>
        <w:sectPr>
          <w:pgSz w:w="11900" w:h="16838" w:orient="portrait"/>
          <w:cols w:equalWidth="0" w:num="1">
            <w:col w:w="11418"/>
          </w:cols>
          <w:pgMar w:left="242" w:top="568" w:right="239" w:bottom="1440" w:gutter="0" w:footer="0" w:header="0"/>
        </w:sectPr>
      </w:pPr>
    </w:p>
    <w:bookmarkStart w:id="187" w:name="page188"/>
    <w:bookmarkEnd w:id="187"/>
    <w:p>
      <w:pPr>
        <w:jc w:val="both"/>
        <w:spacing w:after="0" w:line="268" w:lineRule="auto"/>
        <w:rPr>
          <w:sz w:val="20"/>
          <w:szCs w:val="20"/>
          <w:color w:val="auto"/>
        </w:rPr>
      </w:pPr>
      <w:r>
        <w:rPr>
          <w:rFonts w:ascii="Arial" w:cs="Arial" w:eastAsia="Arial" w:hAnsi="Arial"/>
          <w:sz w:val="20"/>
          <w:szCs w:val="20"/>
          <w:color w:val="auto"/>
        </w:rPr>
        <w:t>or modification of these agreements shall be binding unless it is set forth in a writing signed by both the Employer and you. To the extent that this Agreement conflicts with any of the Employer’s policies, procedures, rules or regulations, this Agreement shall supersede the other policies, procedures, rules or regulations.</w:t>
      </w:r>
    </w:p>
    <w:p>
      <w:pPr>
        <w:spacing w:after="0" w:line="160" w:lineRule="exact"/>
        <w:rPr>
          <w:sz w:val="20"/>
          <w:szCs w:val="20"/>
          <w:color w:val="auto"/>
        </w:rPr>
      </w:pPr>
    </w:p>
    <w:p>
      <w:pPr>
        <w:jc w:val="both"/>
        <w:ind w:firstLine="610"/>
        <w:spacing w:after="0" w:line="275" w:lineRule="auto"/>
        <w:tabs>
          <w:tab w:leader="none" w:pos="108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Use of Employee’s Name and Likeness. You hereby irrevocably grant the Activision Blizzard Group the right, but not the obligation, to use your name or likeness in any product made by the Activision Blizzard Group or for any publicity or advertising purpose in any medium now known or hereafter existing.</w:t>
      </w:r>
    </w:p>
    <w:p>
      <w:pPr>
        <w:spacing w:after="0" w:line="152" w:lineRule="exact"/>
        <w:rPr>
          <w:rFonts w:ascii="Arial" w:cs="Arial" w:eastAsia="Arial" w:hAnsi="Arial"/>
          <w:sz w:val="20"/>
          <w:szCs w:val="20"/>
          <w:color w:val="auto"/>
        </w:rPr>
      </w:pPr>
    </w:p>
    <w:p>
      <w:pPr>
        <w:jc w:val="both"/>
        <w:ind w:firstLine="610"/>
        <w:spacing w:after="0" w:line="267" w:lineRule="auto"/>
        <w:tabs>
          <w:tab w:leader="none" w:pos="103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Assignment. This Agreement and the rights and obligations hereunder shall not be assignable or transferable by you without the prior written consent of the Employer. The Employer may assign this Agreement or all or any part of its rights and obligations under this Agreement at any time and following such assignment all references to the Employer shall be deemed to refer to such assignee and the Employer shall thereafter have no obligation under this Agreement.</w:t>
      </w:r>
    </w:p>
    <w:p>
      <w:pPr>
        <w:spacing w:after="0" w:line="162" w:lineRule="exact"/>
        <w:rPr>
          <w:rFonts w:ascii="Arial" w:cs="Arial" w:eastAsia="Arial" w:hAnsi="Arial"/>
          <w:sz w:val="20"/>
          <w:szCs w:val="20"/>
          <w:color w:val="auto"/>
        </w:rPr>
      </w:pPr>
    </w:p>
    <w:p>
      <w:pPr>
        <w:jc w:val="both"/>
        <w:ind w:firstLine="610"/>
        <w:spacing w:after="0" w:line="257" w:lineRule="auto"/>
        <w:tabs>
          <w:tab w:leader="none" w:pos="107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 xml:space="preserve">No Conflict with Prior Agreements. You represent to the Employer that neither your commencement of employment under this Agreement nor the performance of your duties under this Agreement conflicts or will conflict with any contractual or legal commitment on your part to any third party, nor does it or will it violate or interfere with any rights of any third party. If you have acquired any confidential or proprietary information in the course of your prior employment or otherwise in connection with your provision of services to any entity outside the Activision Blizzard Group, during the Term you will fully comply with any duties to such entity then-applicable to you not to disclose or otherwise use such information. Without limiting the generality of the foregoing, you acknowledge signing and delivering to the Employer the New Employee Letter and Certification attached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 (the “New Employee Letter and Certification”) as of the Effective Date and you agree that all terms and conditions contained in such agreement, and all of your obligations and commitments provided for in such agreement, shall be deemed, and hereby are, incorporated into this Agreement as if set forth in full herein.</w:t>
      </w:r>
    </w:p>
    <w:p>
      <w:pPr>
        <w:spacing w:after="0" w:line="176" w:lineRule="exact"/>
        <w:rPr>
          <w:rFonts w:ascii="Arial" w:cs="Arial" w:eastAsia="Arial" w:hAnsi="Arial"/>
          <w:sz w:val="20"/>
          <w:szCs w:val="20"/>
          <w:color w:val="auto"/>
        </w:rPr>
      </w:pPr>
    </w:p>
    <w:p>
      <w:pPr>
        <w:jc w:val="both"/>
        <w:ind w:firstLine="610"/>
        <w:spacing w:after="0" w:line="275" w:lineRule="auto"/>
        <w:tabs>
          <w:tab w:leader="none" w:pos="1098" w:val="left"/>
        </w:tabs>
        <w:numPr>
          <w:ilvl w:val="0"/>
          <w:numId w:val="164"/>
        </w:numPr>
        <w:rPr>
          <w:rFonts w:ascii="Arial" w:cs="Arial" w:eastAsia="Arial" w:hAnsi="Arial"/>
          <w:sz w:val="20"/>
          <w:szCs w:val="20"/>
          <w:color w:val="auto"/>
        </w:rPr>
      </w:pPr>
      <w:r>
        <w:rPr>
          <w:rFonts w:ascii="Arial" w:cs="Arial" w:eastAsia="Arial" w:hAnsi="Arial"/>
          <w:sz w:val="20"/>
          <w:szCs w:val="20"/>
          <w:color w:val="auto"/>
        </w:rPr>
        <w:t>Successors. This Agreement shall be binding on and inure to the benefit of the Employer and its successors and assigns, including successors by merger and operation of law. This Agreement shall also be binding on and inure to the benefit of you and your heirs, executors, administrators and legal representatives.</w:t>
      </w:r>
    </w:p>
    <w:p>
      <w:pPr>
        <w:spacing w:after="0" w:line="152" w:lineRule="exact"/>
        <w:rPr>
          <w:rFonts w:ascii="Arial" w:cs="Arial" w:eastAsia="Arial" w:hAnsi="Arial"/>
          <w:sz w:val="20"/>
          <w:szCs w:val="20"/>
          <w:color w:val="auto"/>
        </w:rPr>
      </w:pPr>
    </w:p>
    <w:p>
      <w:pPr>
        <w:jc w:val="both"/>
        <w:ind w:firstLine="610"/>
        <w:spacing w:after="0" w:line="263" w:lineRule="auto"/>
        <w:tabs>
          <w:tab w:leader="none" w:pos="999" w:val="left"/>
        </w:tabs>
        <w:numPr>
          <w:ilvl w:val="0"/>
          <w:numId w:val="164"/>
        </w:numPr>
        <w:rPr>
          <w:rFonts w:ascii="Arial" w:cs="Arial" w:eastAsia="Arial" w:hAnsi="Arial"/>
          <w:sz w:val="20"/>
          <w:szCs w:val="20"/>
          <w:color w:val="auto"/>
        </w:rPr>
      </w:pPr>
      <w:r>
        <w:rPr>
          <w:rFonts w:ascii="Arial" w:cs="Arial" w:eastAsia="Arial" w:hAnsi="Arial"/>
          <w:sz w:val="20"/>
          <w:szCs w:val="20"/>
          <w:color w:val="auto"/>
        </w:rPr>
        <w:t>Waiver. No waiver by you or the Employer at any time of any breach by the other party of, or compliance with, any condition or provision of this Agreement to be performed by such other party shall be deemed a waiver of similar or dissimilar provisions or conditions at the same or at any prior or subsequent time. No waiver of any provision of this Agreement shall be implied from any course of dealing between or among the parties hereto or from any failure by any party hereto to assert its rights hereunder on any occasion or series of occasions.</w:t>
      </w:r>
    </w:p>
    <w:p>
      <w:pPr>
        <w:spacing w:after="0" w:line="167" w:lineRule="exact"/>
        <w:rPr>
          <w:rFonts w:ascii="Arial" w:cs="Arial" w:eastAsia="Arial" w:hAnsi="Arial"/>
          <w:sz w:val="20"/>
          <w:szCs w:val="20"/>
          <w:color w:val="auto"/>
        </w:rPr>
      </w:pPr>
    </w:p>
    <w:p>
      <w:pPr>
        <w:jc w:val="both"/>
        <w:ind w:firstLine="610"/>
        <w:spacing w:after="0" w:line="318" w:lineRule="auto"/>
        <w:tabs>
          <w:tab w:leader="none" w:pos="105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Expiration. This Agreement does not constitute a commitment of the Employer with regard to your employment, express or implied, other than to the extent expressly provided for herein. Upon the Expiration Date, or, if earlier, the termination of this Agreement pursuant to Section 9, neither the Employer nor you shall have any obligation to the other with respect to your continued employment.</w:t>
      </w:r>
    </w:p>
    <w:p>
      <w:pPr>
        <w:spacing w:after="0" w:line="321"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Page 17</w:t>
      </w:r>
    </w:p>
    <w:p>
      <w:pPr>
        <w:sectPr>
          <w:pgSz w:w="11900" w:h="16838" w:orient="portrait"/>
          <w:cols w:equalWidth="0" w:num="1">
            <w:col w:w="11340"/>
          </w:cols>
          <w:pgMar w:left="320" w:top="577" w:right="239" w:bottom="1440" w:gutter="0" w:footer="0" w:header="0"/>
        </w:sectPr>
      </w:pPr>
    </w:p>
    <w:bookmarkStart w:id="188" w:name="page189"/>
    <w:bookmarkEnd w:id="188"/>
    <w:p>
      <w:pPr>
        <w:jc w:val="both"/>
        <w:ind w:left="-610" w:firstLine="610"/>
        <w:spacing w:after="0" w:line="275" w:lineRule="auto"/>
        <w:tabs>
          <w:tab w:leader="none" w:pos="56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Taxation. The Employer may withhold from any payments made under the Agreement all federal, state, city or other applicable taxes or amounts as shall be required or permitted pursuant to any law, governmental regulation or ruling or agreement with you.</w:t>
      </w:r>
    </w:p>
    <w:p>
      <w:pPr>
        <w:spacing w:after="0" w:line="152" w:lineRule="exact"/>
        <w:rPr>
          <w:rFonts w:ascii="Arial" w:cs="Arial" w:eastAsia="Arial" w:hAnsi="Arial"/>
          <w:sz w:val="20"/>
          <w:szCs w:val="20"/>
          <w:color w:val="auto"/>
        </w:rPr>
      </w:pPr>
    </w:p>
    <w:p>
      <w:pPr>
        <w:ind w:left="-610" w:firstLine="610"/>
        <w:spacing w:after="0" w:line="297" w:lineRule="auto"/>
        <w:tabs>
          <w:tab w:leader="none" w:pos="45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Immigration. In accordance with the Immigration Reform and Control Act of 1986, employment under this Agreement is conditioned upon satisfactory proof of your identity and legal ability to work in the United States.</w:t>
      </w:r>
    </w:p>
    <w:p>
      <w:pPr>
        <w:spacing w:after="0" w:line="132" w:lineRule="exact"/>
        <w:rPr>
          <w:rFonts w:ascii="Arial" w:cs="Arial" w:eastAsia="Arial" w:hAnsi="Arial"/>
          <w:sz w:val="20"/>
          <w:szCs w:val="20"/>
          <w:color w:val="auto"/>
        </w:rPr>
      </w:pPr>
    </w:p>
    <w:p>
      <w:pPr>
        <w:jc w:val="both"/>
        <w:ind w:left="-610" w:firstLine="610"/>
        <w:spacing w:after="0" w:line="275" w:lineRule="auto"/>
        <w:tabs>
          <w:tab w:leader="none" w:pos="517" w:val="left"/>
        </w:tabs>
        <w:numPr>
          <w:ilvl w:val="0"/>
          <w:numId w:val="165"/>
        </w:numPr>
        <w:rPr>
          <w:rFonts w:ascii="Arial" w:cs="Arial" w:eastAsia="Arial" w:hAnsi="Arial"/>
          <w:sz w:val="20"/>
          <w:szCs w:val="20"/>
          <w:color w:val="auto"/>
        </w:rPr>
      </w:pPr>
      <w:r>
        <w:rPr>
          <w:rFonts w:ascii="Arial" w:cs="Arial" w:eastAsia="Arial" w:hAnsi="Arial"/>
          <w:sz w:val="20"/>
          <w:szCs w:val="20"/>
          <w:color w:val="auto"/>
        </w:rPr>
        <w:t>Choice of Law. Except to the extent governed by federal law, this Agreement shall be governed by and construed in accordance with the laws of the State of California or whatever other state in which you were last employed by the Employer, without regard to conflict of law principles.</w:t>
      </w:r>
    </w:p>
    <w:p>
      <w:pPr>
        <w:spacing w:after="0" w:line="152" w:lineRule="exact"/>
        <w:rPr>
          <w:rFonts w:ascii="Arial" w:cs="Arial" w:eastAsia="Arial" w:hAnsi="Arial"/>
          <w:sz w:val="20"/>
          <w:szCs w:val="20"/>
          <w:color w:val="auto"/>
        </w:rPr>
      </w:pPr>
    </w:p>
    <w:p>
      <w:pPr>
        <w:ind w:left="-610" w:firstLine="610"/>
        <w:spacing w:after="0" w:line="356" w:lineRule="auto"/>
        <w:tabs>
          <w:tab w:leader="none" w:pos="42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Arbitration. Except as otherwise provided in this Agreement, both parties agree that any dispute or controversy between them will be settled by final and binding arbitration pursuant to the terms of the Dispute Resolution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87" w:lineRule="exact"/>
        <w:rPr>
          <w:rFonts w:ascii="Arial" w:cs="Arial" w:eastAsia="Arial" w:hAnsi="Arial"/>
          <w:sz w:val="18"/>
          <w:szCs w:val="18"/>
          <w:color w:val="auto"/>
        </w:rPr>
      </w:pPr>
    </w:p>
    <w:p>
      <w:pPr>
        <w:jc w:val="both"/>
        <w:ind w:left="-610" w:firstLine="610"/>
        <w:spacing w:after="0" w:line="290" w:lineRule="auto"/>
        <w:tabs>
          <w:tab w:leader="none" w:pos="39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Severability. It is expressly agreed by the parties that each of the provisions included in Section 8(f) is separate, distinct, and severable from the other and remaining provisions of Section 8(f), and that the invalidity or unenforceability of any Section 8(f) provision shall not affect the validity or enforceability of any other provision or provisions of this Agreement. If any provision of this Agreement is held to be illegal, invalid or unenforceable under, or would require the commission of any act contrary to, existing or future laws effective during the Term, such provisions shall be fully severable, the Agreement shall be construed and enforced as if such illegal, invalid or unenforceable provision had never comprised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legal and enforceable provision as similar in terms to such illegal, invalid or unenforceable provision as may be possible.</w:t>
      </w:r>
    </w:p>
    <w:p>
      <w:pPr>
        <w:spacing w:after="0" w:line="146" w:lineRule="exact"/>
        <w:rPr>
          <w:rFonts w:ascii="Arial" w:cs="Arial" w:eastAsia="Arial" w:hAnsi="Arial"/>
          <w:sz w:val="18"/>
          <w:szCs w:val="18"/>
          <w:color w:val="auto"/>
        </w:rPr>
      </w:pPr>
    </w:p>
    <w:p>
      <w:pPr>
        <w:jc w:val="both"/>
        <w:ind w:left="-610" w:firstLine="610"/>
        <w:spacing w:after="0" w:line="275" w:lineRule="auto"/>
        <w:tabs>
          <w:tab w:leader="none" w:pos="54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Services Unique. You recognize that the services being performed by you under this Agreement are of a special, unique, unusual, extraordinary and intellectual character giving them a peculiar value, the loss of which cannot be reasonably or adequately compensated for in damages in the event of a breach of this Agreement by you.</w:t>
      </w:r>
    </w:p>
    <w:p>
      <w:pPr>
        <w:spacing w:after="0" w:line="152" w:lineRule="exact"/>
        <w:rPr>
          <w:rFonts w:ascii="Arial" w:cs="Arial" w:eastAsia="Arial" w:hAnsi="Arial"/>
          <w:sz w:val="20"/>
          <w:szCs w:val="20"/>
          <w:color w:val="auto"/>
        </w:rPr>
      </w:pPr>
    </w:p>
    <w:p>
      <w:pPr>
        <w:jc w:val="both"/>
        <w:ind w:left="-610" w:firstLine="610"/>
        <w:spacing w:after="0" w:line="261" w:lineRule="auto"/>
        <w:tabs>
          <w:tab w:leader="none" w:pos="563" w:val="left"/>
        </w:tabs>
        <w:numPr>
          <w:ilvl w:val="0"/>
          <w:numId w:val="165"/>
        </w:numPr>
        <w:rPr>
          <w:rFonts w:ascii="Arial" w:cs="Arial" w:eastAsia="Arial" w:hAnsi="Arial"/>
          <w:sz w:val="20"/>
          <w:szCs w:val="20"/>
          <w:color w:val="auto"/>
        </w:rPr>
      </w:pPr>
      <w:r>
        <w:rPr>
          <w:rFonts w:ascii="Arial" w:cs="Arial" w:eastAsia="Arial" w:hAnsi="Arial"/>
          <w:sz w:val="20"/>
          <w:szCs w:val="20"/>
          <w:color w:val="auto"/>
        </w:rPr>
        <w:t>Injunctive Relief. In the event of a breach of or threatened breach of the provisions of this Agreement regarding the exclusivity of your services and the provisions of Section 8, you agree that any remedy at law would be inadequate. Accordingly, you agree that the Employer is entitled to obtain injunctive relief for such breaches or threatened breaches in any court of competent jurisdiction. The injunctive relief provided for in Exhibit B and this Section 11(n) is in addition to, and is not in limitation of, any and all other remedies at law or in equity otherwise available to the applicable party. The parties agree to waive the requirement of posting a bond in connection with a court or arbitrator’s issuance of an injunction.</w:t>
      </w:r>
    </w:p>
    <w:p>
      <w:pPr>
        <w:spacing w:after="0" w:line="169" w:lineRule="exact"/>
        <w:rPr>
          <w:rFonts w:ascii="Arial" w:cs="Arial" w:eastAsia="Arial" w:hAnsi="Arial"/>
          <w:sz w:val="20"/>
          <w:szCs w:val="20"/>
          <w:color w:val="auto"/>
        </w:rPr>
      </w:pPr>
    </w:p>
    <w:p>
      <w:pPr>
        <w:ind w:left="-610" w:firstLine="610"/>
        <w:spacing w:after="0" w:line="297" w:lineRule="auto"/>
        <w:tabs>
          <w:tab w:leader="none" w:pos="46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Remedies Cumulative. The remedies in this Agreement are not exclusive, and the parties shall have the right to pursue any other legal or equitable remedies to enforce the terms of this Agreement.</w:t>
      </w:r>
    </w:p>
    <w:p>
      <w:pPr>
        <w:spacing w:after="0" w:line="332" w:lineRule="exact"/>
        <w:rPr>
          <w:sz w:val="20"/>
          <w:szCs w:val="20"/>
          <w:color w:val="auto"/>
        </w:rPr>
      </w:pPr>
    </w:p>
    <w:p>
      <w:pPr>
        <w:ind w:left="3130"/>
        <w:spacing w:after="0"/>
        <w:rPr>
          <w:sz w:val="20"/>
          <w:szCs w:val="20"/>
          <w:color w:val="auto"/>
        </w:rPr>
      </w:pPr>
      <w:r>
        <w:rPr>
          <w:rFonts w:ascii="Arial" w:cs="Arial" w:eastAsia="Arial" w:hAnsi="Arial"/>
          <w:sz w:val="17"/>
          <w:szCs w:val="17"/>
          <w:color w:val="auto"/>
        </w:rPr>
        <w:t>Page 18</w:t>
      </w:r>
    </w:p>
    <w:p>
      <w:pPr>
        <w:sectPr>
          <w:pgSz w:w="11900" w:h="16838" w:orient="portrait"/>
          <w:cols w:equalWidth="0" w:num="1">
            <w:col w:w="10730"/>
          </w:cols>
          <w:pgMar w:left="930" w:top="577" w:right="239" w:bottom="1440" w:gutter="0" w:footer="0" w:header="0"/>
        </w:sectPr>
      </w:pPr>
    </w:p>
    <w:bookmarkStart w:id="189" w:name="page190"/>
    <w:bookmarkEnd w:id="189"/>
    <w:p>
      <w:pPr>
        <w:ind w:left="-610" w:firstLine="610"/>
        <w:spacing w:after="0" w:line="297" w:lineRule="auto"/>
        <w:tabs>
          <w:tab w:leader="none" w:pos="48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Headings. The headings set forth herein are included solely for the purpose of identification and shall not be used for the purpose of construing the meaning of the provisions of this Agreement.</w:t>
      </w:r>
    </w:p>
    <w:p>
      <w:pPr>
        <w:spacing w:after="0" w:line="132" w:lineRule="exact"/>
        <w:rPr>
          <w:rFonts w:ascii="Arial" w:cs="Arial" w:eastAsia="Arial" w:hAnsi="Arial"/>
          <w:sz w:val="20"/>
          <w:szCs w:val="20"/>
          <w:color w:val="auto"/>
        </w:rPr>
      </w:pPr>
    </w:p>
    <w:p>
      <w:pPr>
        <w:jc w:val="both"/>
        <w:ind w:left="-610" w:firstLine="610"/>
        <w:spacing w:after="0" w:line="285" w:lineRule="auto"/>
        <w:tabs>
          <w:tab w:leader="none" w:pos="46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Section 409A. To the extent applicable, it is intended that the Agreement comply with the provisions of Section 409A. The Agreement will be administered and interpreted in a manner consistent with this intent, and any provision that would cause the Agreement to fail to satisfy Section 409A will have no force and effect until amended to comply therewith (which amendment may be retroactive to the extent permitted by Section 409A). Notwithstanding anything contained herein to the contrary, to the extent any payment under this Agreement is subject to Section 409A, you shall not be considered to have terminated employment with the Employer for purposes of the Agreement and no payments shall be due to you under the Agreement which are payable upon your termination of employment unless you would be considered to have incurred a “separation from service” from the Employer within the meaning of Section 409A. To the extent required in order to avoid accelerated taxation and/or tax penalties under Section 409A, amounts that would otherwise be payable and benefits that would otherwise be provided pursuant to the Agreement during the six-month period immediately following your termination of employment shall instead be paid on the first business day after the date that is six months following your termination of employment (or upon your death, if earlier). In addition, for purposes of the Agreement, each amount to be paid or benefit to be provided to you pursuant to the Employment Agreement shall be construed as a separate identified payment for purposes of Section 409A. With respect to expenses eligible for reimbursement under the terms of the Agreement, (i) the amount of such expenses eligible for reimbursement in any taxable year shall not affect the expenses eligible for reimbursement in another taxable year and (ii) any reimbursements of such expenses shall be made no later than the end of the calendar year following the calendar year in which the related expenses were incurred, except, in each case, to the extent that the right to reimbursement does not provide for a “deferral of compensation” within the meaning of Section 409A;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reimbursements for any taxes to which you become entitled under the terms of the Agreement, the payment of such reimbursements shall be made by the Employer no later than the end of the calendar year following the calendar year in which you remit the related taxes.</w:t>
      </w:r>
    </w:p>
    <w:p>
      <w:pPr>
        <w:spacing w:after="0" w:line="395" w:lineRule="exact"/>
        <w:rPr>
          <w:rFonts w:ascii="Arial" w:cs="Arial" w:eastAsia="Arial" w:hAnsi="Arial"/>
          <w:sz w:val="18"/>
          <w:szCs w:val="18"/>
          <w:color w:val="auto"/>
        </w:rPr>
      </w:pPr>
    </w:p>
    <w:p>
      <w:pPr>
        <w:jc w:val="both"/>
        <w:ind w:left="-610" w:firstLine="610"/>
        <w:spacing w:after="0" w:line="244" w:lineRule="exact"/>
        <w:tabs>
          <w:tab w:leader="none" w:pos="528" w:val="left"/>
        </w:tabs>
        <w:numPr>
          <w:ilvl w:val="0"/>
          <w:numId w:val="166"/>
        </w:numPr>
        <w:rPr>
          <w:rFonts w:ascii="Arial" w:cs="Arial" w:eastAsia="Arial" w:hAnsi="Arial"/>
          <w:sz w:val="19"/>
          <w:szCs w:val="19"/>
          <w:color w:val="auto"/>
        </w:rPr>
      </w:pPr>
      <w:r>
        <w:rPr>
          <w:rFonts w:ascii="Arial" w:cs="Arial" w:eastAsia="Arial" w:hAnsi="Arial"/>
          <w:sz w:val="19"/>
          <w:szCs w:val="19"/>
          <w:color w:val="auto"/>
        </w:rPr>
        <w:t>Section 280G and Section 162(m). Notwithstanding anything herein to the contrary, in the event that you receive any payments or distributions, whether payable, distributed or distributable pursuant to the terms of this Agreement or otherwise, that constitute “parachute payments” within the meaning of Section 280G of the Code, and the net after</w:t>
      </w:r>
      <w:r>
        <w:rPr>
          <w:rFonts w:ascii="MS PGothic" w:cs="MS PGothic" w:eastAsia="MS PGothic" w:hAnsi="MS PGothic"/>
          <w:sz w:val="19"/>
          <w:szCs w:val="19"/>
          <w:color w:val="auto"/>
        </w:rPr>
        <w:t>‑</w:t>
      </w:r>
      <w:r>
        <w:rPr>
          <w:rFonts w:ascii="Arial" w:cs="Arial" w:eastAsia="Arial" w:hAnsi="Arial"/>
          <w:sz w:val="19"/>
          <w:szCs w:val="19"/>
          <w:color w:val="auto"/>
        </w:rPr>
        <w:t xml:space="preserve">tax amount of the parachute payment is less than the net after-tax amount if the aggregate payment to be made to you were three times your “base amount” (as defined in Section 280G(b)(3) of the Code), less $1.00, then the aggregate of the amounts constituting the parachute payment shall be reduced to an amount that will equal three times your base amount, less $1.00. To the extent the aggregate of the amounts constituting the parachute payments are required to be so reduced, the amounts provided under Section 10 of this Agreement shall be reduced (if necessary, to zero) with amounts that are payable first reduced first;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all events the payments provided under Section 10 of this Agreement which are not subject to Section 409A shall be reduced first. Similarly, you agree that no payments or distributions, whether payable, distributed or distributable pursuant to the terms of this Agreement or otherwise, shall be made to you if the Employer reasonably anticipates that Section 162(m) of the Code would prevent the Employer from receiving a deduction for such payment. If, however, any payment is not made pursuant to the previous</w:t>
      </w:r>
    </w:p>
    <w:p>
      <w:pPr>
        <w:spacing w:after="0" w:line="396" w:lineRule="exact"/>
        <w:rPr>
          <w:sz w:val="20"/>
          <w:szCs w:val="20"/>
          <w:color w:val="auto"/>
        </w:rPr>
      </w:pPr>
    </w:p>
    <w:p>
      <w:pPr>
        <w:ind w:left="3130"/>
        <w:spacing w:after="0"/>
        <w:rPr>
          <w:sz w:val="20"/>
          <w:szCs w:val="20"/>
          <w:color w:val="auto"/>
        </w:rPr>
      </w:pPr>
      <w:r>
        <w:rPr>
          <w:rFonts w:ascii="Arial" w:cs="Arial" w:eastAsia="Arial" w:hAnsi="Arial"/>
          <w:sz w:val="17"/>
          <w:szCs w:val="17"/>
          <w:color w:val="auto"/>
        </w:rPr>
        <w:t>Page 19</w:t>
      </w:r>
    </w:p>
    <w:p>
      <w:pPr>
        <w:sectPr>
          <w:pgSz w:w="11900" w:h="16838" w:orient="portrait"/>
          <w:cols w:equalWidth="0" w:num="1">
            <w:col w:w="10730"/>
          </w:cols>
          <w:pgMar w:left="930" w:top="577" w:right="239" w:bottom="1440" w:gutter="0" w:footer="0" w:header="0"/>
        </w:sectPr>
      </w:pPr>
    </w:p>
    <w:bookmarkStart w:id="190" w:name="page191"/>
    <w:bookmarkEnd w:id="190"/>
    <w:p>
      <w:pPr>
        <w:jc w:val="both"/>
        <w:ind w:left="80"/>
        <w:spacing w:after="0" w:line="268" w:lineRule="auto"/>
        <w:rPr>
          <w:sz w:val="20"/>
          <w:szCs w:val="20"/>
          <w:color w:val="auto"/>
        </w:rPr>
      </w:pPr>
      <w:r>
        <w:rPr>
          <w:rFonts w:ascii="Arial" w:cs="Arial" w:eastAsia="Arial" w:hAnsi="Arial"/>
          <w:sz w:val="20"/>
          <w:szCs w:val="20"/>
          <w:color w:val="auto"/>
        </w:rPr>
        <w:t>sentence, the Employer shall make such payment as soon as practicable in the first calendar year that it reasonably determines that it can do so and still receive a deduction for such payment. The determinations to be made with respect to this Section 11(r) shall be made by a certified public accounting firm designated by the Employer.</w:t>
      </w:r>
    </w:p>
    <w:p>
      <w:pPr>
        <w:spacing w:after="0" w:line="160" w:lineRule="exact"/>
        <w:rPr>
          <w:sz w:val="20"/>
          <w:szCs w:val="20"/>
          <w:color w:val="auto"/>
        </w:rPr>
      </w:pPr>
    </w:p>
    <w:p>
      <w:pPr>
        <w:ind w:left="80" w:firstLine="610"/>
        <w:spacing w:after="0" w:line="297" w:lineRule="auto"/>
        <w:tabs>
          <w:tab w:leader="none" w:pos="1128" w:val="left"/>
        </w:tabs>
        <w:numPr>
          <w:ilvl w:val="1"/>
          <w:numId w:val="167"/>
        </w:numPr>
        <w:rPr>
          <w:rFonts w:ascii="Arial" w:cs="Arial" w:eastAsia="Arial" w:hAnsi="Arial"/>
          <w:sz w:val="20"/>
          <w:szCs w:val="20"/>
          <w:color w:val="auto"/>
        </w:rPr>
      </w:pPr>
      <w:r>
        <w:rPr>
          <w:rFonts w:ascii="Arial" w:cs="Arial" w:eastAsia="Arial" w:hAnsi="Arial"/>
          <w:sz w:val="20"/>
          <w:szCs w:val="20"/>
          <w:color w:val="auto"/>
        </w:rPr>
        <w:t>Survivability. The provisions of Sections 2(e), 2(f), 8, 10, 11 and 12, as well as Exhibits A through E, the shall survive the termination or expiration of this Agreement</w:t>
      </w:r>
    </w:p>
    <w:p>
      <w:pPr>
        <w:spacing w:after="0" w:line="132" w:lineRule="exact"/>
        <w:rPr>
          <w:rFonts w:ascii="Arial" w:cs="Arial" w:eastAsia="Arial" w:hAnsi="Arial"/>
          <w:sz w:val="20"/>
          <w:szCs w:val="20"/>
          <w:color w:val="auto"/>
        </w:rPr>
      </w:pPr>
    </w:p>
    <w:p>
      <w:pPr>
        <w:ind w:left="80" w:firstLine="610"/>
        <w:spacing w:after="0" w:line="297" w:lineRule="auto"/>
        <w:tabs>
          <w:tab w:leader="none" w:pos="1067" w:val="left"/>
        </w:tabs>
        <w:numPr>
          <w:ilvl w:val="1"/>
          <w:numId w:val="167"/>
        </w:numPr>
        <w:rPr>
          <w:rFonts w:ascii="Arial" w:cs="Arial" w:eastAsia="Arial" w:hAnsi="Arial"/>
          <w:sz w:val="20"/>
          <w:szCs w:val="20"/>
          <w:color w:val="auto"/>
        </w:rPr>
      </w:pPr>
      <w:r>
        <w:rPr>
          <w:rFonts w:ascii="Arial" w:cs="Arial" w:eastAsia="Arial" w:hAnsi="Arial"/>
          <w:sz w:val="20"/>
          <w:szCs w:val="20"/>
          <w:color w:val="auto"/>
        </w:rPr>
        <w:t>Counterparts. This Agreement may be executed in counterparts, each of which shall be deemed an original and both of which together shall constitute one and the same instrument.</w:t>
      </w:r>
    </w:p>
    <w:p>
      <w:pPr>
        <w:spacing w:after="0" w:line="132" w:lineRule="exact"/>
        <w:rPr>
          <w:rFonts w:ascii="Arial" w:cs="Arial" w:eastAsia="Arial" w:hAnsi="Arial"/>
          <w:sz w:val="20"/>
          <w:szCs w:val="20"/>
          <w:color w:val="auto"/>
        </w:rPr>
      </w:pPr>
    </w:p>
    <w:p>
      <w:pPr>
        <w:jc w:val="both"/>
        <w:ind w:left="80" w:firstLine="610"/>
        <w:spacing w:after="0" w:line="267" w:lineRule="auto"/>
        <w:tabs>
          <w:tab w:leader="none" w:pos="1113" w:val="left"/>
        </w:tabs>
        <w:numPr>
          <w:ilvl w:val="1"/>
          <w:numId w:val="167"/>
        </w:numPr>
        <w:rPr>
          <w:rFonts w:ascii="Arial" w:cs="Arial" w:eastAsia="Arial" w:hAnsi="Arial"/>
          <w:sz w:val="20"/>
          <w:szCs w:val="20"/>
          <w:color w:val="auto"/>
        </w:rPr>
      </w:pPr>
      <w:r>
        <w:rPr>
          <w:rFonts w:ascii="Arial" w:cs="Arial" w:eastAsia="Arial" w:hAnsi="Arial"/>
          <w:sz w:val="20"/>
          <w:szCs w:val="20"/>
          <w:color w:val="auto"/>
        </w:rPr>
        <w:t>Legal Counsel. You acknowledge that you have been given the opportunity to consult with legal counsel or any other advisor of your own choosing regarding this Agreement. You understand and agree that any attorney retained by the Employer, the Activision Blizzard Group or any member of management who has discussed any term or condition of this Agreement with you or your advisor is only acting on behalf of the Employer and not on your behalf.</w:t>
      </w:r>
    </w:p>
    <w:p>
      <w:pPr>
        <w:spacing w:after="0" w:line="162" w:lineRule="exact"/>
        <w:rPr>
          <w:rFonts w:ascii="Arial" w:cs="Arial" w:eastAsia="Arial" w:hAnsi="Arial"/>
          <w:sz w:val="20"/>
          <w:szCs w:val="20"/>
          <w:color w:val="auto"/>
        </w:rPr>
      </w:pPr>
    </w:p>
    <w:p>
      <w:pPr>
        <w:ind w:left="80" w:firstLine="610"/>
        <w:spacing w:after="0" w:line="356" w:lineRule="auto"/>
        <w:tabs>
          <w:tab w:leader="none" w:pos="111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Right to Negotiate. You hereby acknowledge that you have been given the opportunity to participate in the negotiation of the terms of this Agreement. You acknowledge and confirm that you have read this Agreement and fully understand its terms and contents.</w:t>
      </w:r>
    </w:p>
    <w:p>
      <w:pPr>
        <w:spacing w:after="0" w:line="87" w:lineRule="exact"/>
        <w:rPr>
          <w:rFonts w:ascii="Arial" w:cs="Arial" w:eastAsia="Arial" w:hAnsi="Arial"/>
          <w:sz w:val="18"/>
          <w:szCs w:val="18"/>
          <w:color w:val="auto"/>
        </w:rPr>
      </w:pPr>
    </w:p>
    <w:p>
      <w:pPr>
        <w:jc w:val="both"/>
        <w:ind w:left="80" w:firstLine="610"/>
        <w:spacing w:after="0" w:line="275" w:lineRule="auto"/>
        <w:tabs>
          <w:tab w:leader="none" w:pos="1196" w:val="left"/>
        </w:tabs>
        <w:numPr>
          <w:ilvl w:val="1"/>
          <w:numId w:val="167"/>
        </w:numPr>
        <w:rPr>
          <w:rFonts w:ascii="Arial" w:cs="Arial" w:eastAsia="Arial" w:hAnsi="Arial"/>
          <w:sz w:val="20"/>
          <w:szCs w:val="20"/>
          <w:color w:val="auto"/>
        </w:rPr>
      </w:pPr>
      <w:r>
        <w:rPr>
          <w:rFonts w:ascii="Arial" w:cs="Arial" w:eastAsia="Arial" w:hAnsi="Arial"/>
          <w:sz w:val="20"/>
          <w:szCs w:val="20"/>
          <w:color w:val="auto"/>
        </w:rPr>
        <w:t>No Broker. You have given no indication, representation or commitment of any nature to any broker, finder, agent or other third party to the effect that any fees or commissions of any nature are, or under any circumstances might be, payable by the Activision Blizzard Group in connection with your employment under this Agreement.</w:t>
      </w:r>
    </w:p>
    <w:p>
      <w:pPr>
        <w:spacing w:after="0" w:line="152" w:lineRule="exact"/>
        <w:rPr>
          <w:rFonts w:ascii="Arial" w:cs="Arial" w:eastAsia="Arial" w:hAnsi="Arial"/>
          <w:sz w:val="20"/>
          <w:szCs w:val="20"/>
          <w:color w:val="auto"/>
        </w:rPr>
      </w:pPr>
    </w:p>
    <w:p>
      <w:pPr>
        <w:ind w:left="1120" w:hanging="430"/>
        <w:spacing w:after="0"/>
        <w:tabs>
          <w:tab w:leader="none" w:pos="112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All Terms Material. Your failure to comply with any of the terms of this Agreement shall constitute a material breach of this</w:t>
      </w:r>
    </w:p>
    <w:p>
      <w:pPr>
        <w:spacing w:after="0" w:line="41" w:lineRule="exact"/>
        <w:rPr>
          <w:rFonts w:ascii="Arial" w:cs="Arial" w:eastAsia="Arial" w:hAnsi="Arial"/>
          <w:sz w:val="19"/>
          <w:szCs w:val="19"/>
          <w:color w:val="auto"/>
        </w:rPr>
      </w:pPr>
    </w:p>
    <w:p>
      <w:pPr>
        <w:ind w:left="80"/>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211" w:lineRule="exact"/>
        <w:rPr>
          <w:rFonts w:ascii="Arial" w:cs="Arial" w:eastAsia="Arial" w:hAnsi="Arial"/>
          <w:sz w:val="19"/>
          <w:szCs w:val="19"/>
          <w:color w:val="auto"/>
        </w:rPr>
      </w:pPr>
    </w:p>
    <w:p>
      <w:pPr>
        <w:ind w:left="420" w:hanging="418"/>
        <w:spacing w:after="0"/>
        <w:tabs>
          <w:tab w:leader="none" w:pos="420" w:val="left"/>
        </w:tabs>
        <w:numPr>
          <w:ilvl w:val="0"/>
          <w:numId w:val="168"/>
        </w:numPr>
        <w:rPr>
          <w:rFonts w:ascii="Arial" w:cs="Arial" w:eastAsia="Arial" w:hAnsi="Arial"/>
          <w:sz w:val="20"/>
          <w:szCs w:val="20"/>
          <w:b w:val="1"/>
          <w:bCs w:val="1"/>
          <w:color w:val="auto"/>
        </w:rPr>
      </w:pPr>
      <w:r>
        <w:rPr>
          <w:rFonts w:ascii="Arial" w:cs="Arial" w:eastAsia="Arial" w:hAnsi="Arial"/>
          <w:sz w:val="20"/>
          <w:szCs w:val="20"/>
          <w:u w:val="single" w:color="auto"/>
          <w:color w:val="auto"/>
        </w:rPr>
        <w:t>Indemnification</w:t>
      </w:r>
    </w:p>
    <w:p>
      <w:pPr>
        <w:spacing w:after="0" w:line="229" w:lineRule="exact"/>
        <w:rPr>
          <w:sz w:val="20"/>
          <w:szCs w:val="20"/>
          <w:color w:val="auto"/>
        </w:rPr>
      </w:pPr>
    </w:p>
    <w:p>
      <w:pPr>
        <w:jc w:val="both"/>
        <w:ind w:firstLine="612"/>
        <w:spacing w:after="0" w:line="281" w:lineRule="auto"/>
        <w:rPr>
          <w:sz w:val="20"/>
          <w:szCs w:val="20"/>
          <w:color w:val="auto"/>
        </w:rPr>
      </w:pPr>
      <w:r>
        <w:rPr>
          <w:rFonts w:ascii="Arial" w:cs="Arial" w:eastAsia="Arial" w:hAnsi="Arial"/>
          <w:sz w:val="19"/>
          <w:szCs w:val="19"/>
          <w:color w:val="auto"/>
        </w:rPr>
        <w:t>The Employer agrees that it shall indemnify and hold you harmless to the fullest extent permitted by Delaware law from and against any and all third-party liabilities, costs and claims, and all expenses actually and reasonably incurred by you in connection therewith by reason of the fact that you are or were employed by the Activision Blizzard Group, including, without limitation, all costs and expenses actually and reasonably incurred by you in defense of litigation arising out of your employment hereunder.</w:t>
      </w:r>
    </w:p>
    <w:p>
      <w:pPr>
        <w:spacing w:after="0" w:line="188" w:lineRule="exact"/>
        <w:rPr>
          <w:sz w:val="20"/>
          <w:szCs w:val="20"/>
          <w:color w:val="auto"/>
        </w:rPr>
      </w:pPr>
    </w:p>
    <w:p>
      <w:pPr>
        <w:ind w:left="420" w:hanging="418"/>
        <w:spacing w:after="0"/>
        <w:tabs>
          <w:tab w:leader="none" w:pos="420" w:val="left"/>
        </w:tabs>
        <w:numPr>
          <w:ilvl w:val="0"/>
          <w:numId w:val="169"/>
        </w:numPr>
        <w:rPr>
          <w:rFonts w:ascii="Arial" w:cs="Arial" w:eastAsia="Arial" w:hAnsi="Arial"/>
          <w:sz w:val="20"/>
          <w:szCs w:val="20"/>
          <w:b w:val="1"/>
          <w:bCs w:val="1"/>
          <w:color w:val="auto"/>
        </w:rPr>
      </w:pPr>
      <w:r>
        <w:rPr>
          <w:rFonts w:ascii="Arial" w:cs="Arial" w:eastAsia="Arial" w:hAnsi="Arial"/>
          <w:sz w:val="20"/>
          <w:szCs w:val="20"/>
          <w:u w:val="single" w:color="auto"/>
          <w:color w:val="auto"/>
        </w:rPr>
        <w:t>Notices</w:t>
      </w:r>
    </w:p>
    <w:p>
      <w:pPr>
        <w:spacing w:after="0" w:line="229" w:lineRule="exact"/>
        <w:rPr>
          <w:sz w:val="20"/>
          <w:szCs w:val="20"/>
          <w:color w:val="auto"/>
        </w:rPr>
      </w:pPr>
    </w:p>
    <w:p>
      <w:pPr>
        <w:ind w:firstLine="612"/>
        <w:spacing w:after="0" w:line="311" w:lineRule="auto"/>
        <w:rPr>
          <w:sz w:val="20"/>
          <w:szCs w:val="20"/>
          <w:color w:val="auto"/>
        </w:rPr>
      </w:pPr>
      <w:r>
        <w:rPr>
          <w:rFonts w:ascii="Arial" w:cs="Arial" w:eastAsia="Arial" w:hAnsi="Arial"/>
          <w:sz w:val="19"/>
          <w:szCs w:val="19"/>
          <w:color w:val="auto"/>
        </w:rPr>
        <w:t>All notices which either party is required or may desire to give the other shall be in writing and given either personally, via email, or by United States mail or Federal Express, and addressed to the party to be given notice at the applicable addresses as follows:</w:t>
      </w:r>
    </w:p>
    <w:p>
      <w:pPr>
        <w:spacing w:after="0" w:line="200" w:lineRule="exact"/>
        <w:rPr>
          <w:sz w:val="20"/>
          <w:szCs w:val="20"/>
          <w:color w:val="auto"/>
        </w:rPr>
      </w:pPr>
    </w:p>
    <w:p>
      <w:pPr>
        <w:spacing w:after="0" w:line="365"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20</w:t>
      </w:r>
    </w:p>
    <w:p>
      <w:pPr>
        <w:sectPr>
          <w:pgSz w:w="11900" w:h="16838" w:orient="portrait"/>
          <w:cols w:equalWidth="0" w:num="1">
            <w:col w:w="11420"/>
          </w:cols>
          <w:pgMar w:left="240" w:top="577" w:right="239" w:bottom="1440" w:gutter="0" w:footer="0" w:header="0"/>
        </w:sectPr>
      </w:pPr>
    </w:p>
    <w:bookmarkStart w:id="191" w:name="page192"/>
    <w:bookmarkEnd w:id="191"/>
    <w:p>
      <w:pPr>
        <w:ind w:left="1320"/>
        <w:spacing w:after="0"/>
        <w:rPr>
          <w:sz w:val="20"/>
          <w:szCs w:val="20"/>
          <w:color w:val="auto"/>
        </w:rPr>
      </w:pPr>
      <w:r>
        <w:rPr>
          <w:rFonts w:ascii="Arial" w:cs="Arial" w:eastAsia="Arial" w:hAnsi="Arial"/>
          <w:sz w:val="18"/>
          <w:szCs w:val="18"/>
          <w:color w:val="auto"/>
        </w:rPr>
        <w:t>To the Employer: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Activision Blizzard, Inc.</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3100 Ocean Park Boulevard</w:t>
      </w:r>
    </w:p>
    <w:p>
      <w:pPr>
        <w:spacing w:after="0"/>
        <w:rPr>
          <w:sz w:val="20"/>
          <w:szCs w:val="20"/>
          <w:color w:val="auto"/>
        </w:rPr>
      </w:pPr>
      <w:r>
        <w:rPr>
          <w:rFonts w:ascii="Arial" w:cs="Arial" w:eastAsia="Arial" w:hAnsi="Arial"/>
          <w:sz w:val="18"/>
          <w:szCs w:val="18"/>
          <w:color w:val="auto"/>
        </w:rPr>
        <w:t>Santa Monica, California 90405</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Attention: Chief Legal Officer</w:t>
      </w:r>
    </w:p>
    <w:p>
      <w:pPr>
        <w:spacing w:after="0" w:line="200" w:lineRule="exact"/>
        <w:rPr>
          <w:sz w:val="20"/>
          <w:szCs w:val="20"/>
          <w:color w:val="auto"/>
        </w:rPr>
      </w:pPr>
    </w:p>
    <w:p>
      <w:pPr>
        <w:sectPr>
          <w:pgSz w:w="11900" w:h="16838" w:orient="portrait"/>
          <w:cols w:equalWidth="0" w:num="2">
            <w:col w:w="4080" w:space="720"/>
            <w:col w:w="6620"/>
          </w:cols>
          <w:pgMar w:left="240" w:top="718" w:right="239" w:bottom="1440" w:gutter="0" w:footer="0" w:header="0"/>
        </w:sectPr>
      </w:pPr>
    </w:p>
    <w:p>
      <w:pPr>
        <w:spacing w:after="0" w:line="11"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By email:</w:t>
      </w:r>
    </w:p>
    <w:p>
      <w:pPr>
        <w:spacing w:after="0" w:line="1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EmploymentAgreements@activision.com</w:t>
      </w:r>
    </w:p>
    <w:p>
      <w:pPr>
        <w:sectPr>
          <w:pgSz w:w="11900" w:h="16838" w:orient="portrait"/>
          <w:cols w:equalWidth="0" w:num="1">
            <w:col w:w="11420"/>
          </w:cols>
          <w:pgMar w:left="240" w:top="718" w:right="239" w:bottom="1440" w:gutter="0" w:footer="0" w:header="0"/>
          <w:type w:val="continuous"/>
        </w:sectPr>
      </w:pPr>
    </w:p>
    <w:p>
      <w:pPr>
        <w:spacing w:after="0" w:line="336"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 You:</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Claudine Naughton Macartney</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(last known address on file)</w:t>
      </w:r>
    </w:p>
    <w:p>
      <w:pPr>
        <w:spacing w:after="0" w:line="200" w:lineRule="exact"/>
        <w:rPr>
          <w:sz w:val="20"/>
          <w:szCs w:val="20"/>
          <w:color w:val="auto"/>
        </w:rPr>
      </w:pPr>
    </w:p>
    <w:p>
      <w:pPr>
        <w:sectPr>
          <w:pgSz w:w="11900" w:h="16838" w:orient="portrait"/>
          <w:cols w:equalWidth="0" w:num="2">
            <w:col w:w="4080" w:space="720"/>
            <w:col w:w="6620"/>
          </w:cols>
          <w:pgMar w:left="240" w:top="718" w:right="239" w:bottom="1440" w:gutter="0" w:footer="0" w:header="0"/>
          <w:type w:val="continuous"/>
        </w:sectPr>
      </w:pPr>
    </w:p>
    <w:p>
      <w:pPr>
        <w:spacing w:after="0" w:line="11" w:lineRule="exact"/>
        <w:rPr>
          <w:sz w:val="20"/>
          <w:szCs w:val="20"/>
          <w:color w:val="auto"/>
        </w:rPr>
      </w:pPr>
    </w:p>
    <w:p>
      <w:pPr>
        <w:ind w:left="4800"/>
        <w:spacing w:after="0"/>
        <w:rPr>
          <w:sz w:val="20"/>
          <w:szCs w:val="20"/>
          <w:color w:val="auto"/>
        </w:rPr>
      </w:pPr>
      <w:r>
        <w:rPr>
          <w:rFonts w:ascii="Arial" w:cs="Arial" w:eastAsia="Arial" w:hAnsi="Arial"/>
          <w:sz w:val="20"/>
          <w:szCs w:val="20"/>
          <w:color w:val="auto"/>
        </w:rPr>
        <w:t>By email:</w:t>
      </w:r>
    </w:p>
    <w:p>
      <w:pPr>
        <w:spacing w:after="0" w:line="18"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(last known email address on file)</w:t>
      </w:r>
    </w:p>
    <w:p>
      <w:pPr>
        <w:sectPr>
          <w:pgSz w:w="11900" w:h="16838" w:orient="portrait"/>
          <w:cols w:equalWidth="0" w:num="1">
            <w:col w:w="11420"/>
          </w:cols>
          <w:pgMar w:left="240" w:top="71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12"/>
        <w:spacing w:after="0" w:line="283" w:lineRule="auto"/>
        <w:rPr>
          <w:sz w:val="20"/>
          <w:szCs w:val="20"/>
          <w:color w:val="auto"/>
        </w:rPr>
      </w:pPr>
      <w:r>
        <w:rPr>
          <w:rFonts w:ascii="Arial" w:cs="Arial" w:eastAsia="Arial" w:hAnsi="Arial"/>
          <w:sz w:val="20"/>
          <w:szCs w:val="20"/>
          <w:color w:val="auto"/>
        </w:rPr>
        <w:t>Either party may by written notice designate a different address for giving of notices. The date of mailing of any such notices shall be deemed to be the date on which such notice is given.</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w:t>
      </w:r>
    </w:p>
    <w:p>
      <w:pPr>
        <w:spacing w:after="0" w:line="216"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auto"/>
        </w:rPr>
        <w:t>Employer</w:t>
      </w:r>
      <w:r>
        <w:rPr>
          <w:sz w:val="20"/>
          <w:szCs w:val="20"/>
          <w:color w:val="auto"/>
        </w:rPr>
        <w:tab/>
      </w:r>
      <w:r>
        <w:rPr>
          <w:rFonts w:ascii="Arial" w:cs="Arial" w:eastAsia="Arial" w:hAnsi="Arial"/>
          <w:sz w:val="20"/>
          <w:szCs w:val="20"/>
          <w:color w:val="auto"/>
        </w:rPr>
        <w:t>Employee</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ACTIVISION BLIZZARD, INC.</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gridSpan w:val="5"/>
          </w:tcPr>
          <w:p>
            <w:pPr>
              <w:spacing w:after="0"/>
              <w:rPr>
                <w:sz w:val="20"/>
                <w:szCs w:val="20"/>
                <w:color w:val="auto"/>
              </w:rPr>
            </w:pPr>
            <w:r>
              <w:rPr>
                <w:rFonts w:ascii="Arial" w:cs="Arial" w:eastAsia="Arial" w:hAnsi="Arial"/>
                <w:sz w:val="20"/>
                <w:szCs w:val="20"/>
                <w:color w:val="auto"/>
              </w:rPr>
              <w:t>By: /s/Chris B. Walther</w:t>
            </w:r>
          </w:p>
        </w:tc>
        <w:tc>
          <w:tcPr>
            <w:tcW w:w="20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20"/>
                <w:szCs w:val="20"/>
                <w:color w:val="auto"/>
                <w:w w:val="99"/>
              </w:rPr>
              <w:t>/s/ Claudine Naughton Macartney</w:t>
            </w:r>
          </w:p>
        </w:tc>
      </w:tr>
      <w:tr>
        <w:trPr>
          <w:trHeight w:val="20"/>
        </w:trPr>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77"/>
        </w:trPr>
        <w:tc>
          <w:tcPr>
            <w:tcW w:w="1380" w:type="dxa"/>
            <w:vAlign w:val="bottom"/>
            <w:gridSpan w:val="3"/>
          </w:tcPr>
          <w:p>
            <w:pPr>
              <w:jc w:val="right"/>
              <w:ind w:right="40"/>
              <w:spacing w:after="0"/>
              <w:rPr>
                <w:sz w:val="20"/>
                <w:szCs w:val="20"/>
                <w:color w:val="auto"/>
              </w:rPr>
            </w:pPr>
            <w:r>
              <w:rPr>
                <w:rFonts w:ascii="Arial" w:cs="Arial" w:eastAsia="Arial" w:hAnsi="Arial"/>
                <w:sz w:val="20"/>
                <w:szCs w:val="20"/>
                <w:color w:val="auto"/>
              </w:rPr>
              <w:t>Chris Walther</w:t>
            </w:r>
          </w:p>
        </w:tc>
        <w:tc>
          <w:tcPr>
            <w:tcW w:w="3900" w:type="dxa"/>
            <w:vAlign w:val="bottom"/>
            <w:gridSpan w:val="6"/>
          </w:tcPr>
          <w:p>
            <w:pPr>
              <w:ind w:left="360"/>
              <w:spacing w:after="0"/>
              <w:rPr>
                <w:sz w:val="20"/>
                <w:szCs w:val="20"/>
                <w:color w:val="auto"/>
              </w:rPr>
            </w:pPr>
            <w:r>
              <w:rPr>
                <w:rFonts w:ascii="Arial" w:cs="Arial" w:eastAsia="Arial" w:hAnsi="Arial"/>
                <w:sz w:val="20"/>
                <w:szCs w:val="20"/>
                <w:color w:val="auto"/>
              </w:rPr>
              <w:t>Claudine Naughton Macartney</w:t>
            </w:r>
          </w:p>
        </w:tc>
      </w:tr>
      <w:tr>
        <w:trPr>
          <w:trHeight w:val="260"/>
        </w:trPr>
        <w:tc>
          <w:tcPr>
            <w:tcW w:w="2120" w:type="dxa"/>
            <w:vAlign w:val="bottom"/>
            <w:gridSpan w:val="5"/>
          </w:tcPr>
          <w:p>
            <w:pPr>
              <w:jc w:val="right"/>
              <w:ind w:right="300"/>
              <w:spacing w:after="0"/>
              <w:rPr>
                <w:sz w:val="20"/>
                <w:szCs w:val="20"/>
                <w:color w:val="auto"/>
              </w:rPr>
            </w:pPr>
            <w:r>
              <w:rPr>
                <w:rFonts w:ascii="Arial" w:cs="Arial" w:eastAsia="Arial" w:hAnsi="Arial"/>
                <w:sz w:val="20"/>
                <w:szCs w:val="20"/>
                <w:color w:val="auto"/>
              </w:rPr>
              <w:t>Chief Legal Officer</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50"/>
        </w:trPr>
        <w:tc>
          <w:tcPr>
            <w:tcW w:w="1380" w:type="dxa"/>
            <w:vAlign w:val="bottom"/>
            <w:gridSpan w:val="3"/>
          </w:tcPr>
          <w:p>
            <w:pPr>
              <w:jc w:val="right"/>
              <w:ind w:right="40"/>
              <w:spacing w:after="0"/>
              <w:rPr>
                <w:sz w:val="20"/>
                <w:szCs w:val="20"/>
                <w:color w:val="auto"/>
              </w:rPr>
            </w:pPr>
            <w:r>
              <w:rPr>
                <w:rFonts w:ascii="Arial" w:cs="Arial" w:eastAsia="Arial" w:hAnsi="Arial"/>
                <w:sz w:val="20"/>
                <w:szCs w:val="20"/>
                <w:color w:val="auto"/>
                <w:w w:val="98"/>
              </w:rPr>
              <w:t>Date:   July 24,</w:t>
            </w:r>
          </w:p>
        </w:tc>
        <w:tc>
          <w:tcPr>
            <w:tcW w:w="620" w:type="dxa"/>
            <w:vAlign w:val="bottom"/>
          </w:tcPr>
          <w:p>
            <w:pPr>
              <w:jc w:val="right"/>
              <w:ind w:right="98"/>
              <w:spacing w:after="0"/>
              <w:rPr>
                <w:sz w:val="20"/>
                <w:szCs w:val="20"/>
                <w:color w:val="auto"/>
              </w:rPr>
            </w:pPr>
            <w:r>
              <w:rPr>
                <w:rFonts w:ascii="Arial" w:cs="Arial" w:eastAsia="Arial" w:hAnsi="Arial"/>
                <w:sz w:val="20"/>
                <w:szCs w:val="20"/>
                <w:color w:val="auto"/>
                <w:w w:val="89"/>
              </w:rPr>
              <w:t>2019</w:t>
            </w:r>
          </w:p>
        </w:tc>
        <w:tc>
          <w:tcPr>
            <w:tcW w:w="12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Arial" w:cs="Arial" w:eastAsia="Arial" w:hAnsi="Arial"/>
                <w:sz w:val="20"/>
                <w:szCs w:val="20"/>
                <w:color w:val="auto"/>
              </w:rPr>
              <w:t>Date:  July 23, 2019</w:t>
            </w:r>
          </w:p>
        </w:tc>
      </w:tr>
      <w:tr>
        <w:trPr>
          <w:trHeight w:val="20"/>
        </w:trPr>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Page 21</w:t>
      </w:r>
    </w:p>
    <w:p>
      <w:pPr>
        <w:sectPr>
          <w:pgSz w:w="11900" w:h="16838" w:orient="portrait"/>
          <w:cols w:equalWidth="0" w:num="1">
            <w:col w:w="11420"/>
          </w:cols>
          <w:pgMar w:left="240" w:top="718" w:right="239" w:bottom="1440" w:gutter="0" w:footer="0" w:header="0"/>
          <w:type w:val="continuous"/>
        </w:sectPr>
      </w:pPr>
    </w:p>
    <w:bookmarkStart w:id="192" w:name="page193"/>
    <w:bookmarkEnd w:id="192"/>
    <w:p>
      <w:pPr>
        <w:jc w:val="right"/>
        <w:spacing w:after="0"/>
        <w:rPr>
          <w:sz w:val="20"/>
          <w:szCs w:val="20"/>
          <w:color w:val="auto"/>
        </w:rPr>
      </w:pPr>
      <w:r>
        <w:rPr>
          <w:rFonts w:ascii="Arial" w:cs="Arial" w:eastAsia="Arial" w:hAnsi="Arial"/>
          <w:sz w:val="17"/>
          <w:szCs w:val="17"/>
          <w:b w:val="1"/>
          <w:bCs w:val="1"/>
          <w:color w:val="auto"/>
        </w:rPr>
        <w:t>Exhibit 21.1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220" w:type="dxa"/>
            <w:vAlign w:val="bottom"/>
          </w:tcPr>
          <w:p>
            <w:pPr>
              <w:ind w:left="2460"/>
              <w:spacing w:after="0"/>
              <w:rPr>
                <w:sz w:val="20"/>
                <w:szCs w:val="20"/>
                <w:color w:val="auto"/>
              </w:rPr>
            </w:pPr>
            <w:r>
              <w:rPr>
                <w:rFonts w:ascii="Arial" w:cs="Arial" w:eastAsia="Arial" w:hAnsi="Arial"/>
                <w:sz w:val="17"/>
                <w:szCs w:val="17"/>
                <w:b w:val="1"/>
                <w:bCs w:val="1"/>
                <w:color w:val="auto"/>
              </w:rPr>
              <w:t>MAJOR SUBSIDIARIES OF THE REGISTRANT AT DECEMBER 31, 2019</w:t>
            </w:r>
          </w:p>
        </w:tc>
        <w:tc>
          <w:tcPr>
            <w:tcW w:w="2320" w:type="dxa"/>
            <w:vAlign w:val="bottom"/>
          </w:tcPr>
          <w:p>
            <w:pPr>
              <w:spacing w:after="0"/>
              <w:rPr>
                <w:sz w:val="19"/>
                <w:szCs w:val="19"/>
                <w:color w:val="auto"/>
              </w:rPr>
            </w:pPr>
          </w:p>
        </w:tc>
      </w:tr>
      <w:tr>
        <w:trPr>
          <w:trHeight w:val="546"/>
        </w:trPr>
        <w:tc>
          <w:tcPr>
            <w:tcW w:w="82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Arial" w:cs="Arial" w:eastAsia="Arial" w:hAnsi="Arial"/>
                <w:sz w:val="17"/>
                <w:szCs w:val="17"/>
                <w:b w:val="1"/>
                <w:bCs w:val="1"/>
                <w:color w:val="auto"/>
                <w:w w:val="91"/>
              </w:rPr>
              <w:t>State or Other Jurisdiction of</w:t>
            </w:r>
          </w:p>
        </w:tc>
      </w:tr>
      <w:tr>
        <w:trPr>
          <w:trHeight w:val="204"/>
        </w:trPr>
        <w:tc>
          <w:tcPr>
            <w:tcW w:w="8220" w:type="dxa"/>
            <w:vAlign w:val="bottom"/>
          </w:tcPr>
          <w:p>
            <w:pPr>
              <w:spacing w:after="0"/>
              <w:rPr>
                <w:sz w:val="17"/>
                <w:szCs w:val="17"/>
                <w:color w:val="auto"/>
              </w:rPr>
            </w:pPr>
          </w:p>
        </w:tc>
        <w:tc>
          <w:tcPr>
            <w:tcW w:w="2320" w:type="dxa"/>
            <w:vAlign w:val="bottom"/>
          </w:tcPr>
          <w:p>
            <w:pPr>
              <w:ind w:left="600"/>
              <w:spacing w:after="0"/>
              <w:rPr>
                <w:sz w:val="20"/>
                <w:szCs w:val="20"/>
                <w:color w:val="auto"/>
              </w:rPr>
            </w:pPr>
            <w:r>
              <w:rPr>
                <w:rFonts w:ascii="Arial" w:cs="Arial" w:eastAsia="Arial" w:hAnsi="Arial"/>
                <w:sz w:val="17"/>
                <w:szCs w:val="17"/>
                <w:b w:val="1"/>
                <w:bCs w:val="1"/>
                <w:color w:val="auto"/>
              </w:rPr>
              <w:t>Incorporation or</w:t>
            </w:r>
          </w:p>
        </w:tc>
      </w:tr>
      <w:tr>
        <w:trPr>
          <w:trHeight w:val="219"/>
        </w:trPr>
        <w:tc>
          <w:tcPr>
            <w:tcW w:w="8220" w:type="dxa"/>
            <w:vAlign w:val="bottom"/>
          </w:tcPr>
          <w:p>
            <w:pPr>
              <w:ind w:left="40"/>
              <w:spacing w:after="0"/>
              <w:rPr>
                <w:sz w:val="20"/>
                <w:szCs w:val="20"/>
                <w:color w:val="auto"/>
              </w:rPr>
            </w:pPr>
            <w:r>
              <w:rPr>
                <w:rFonts w:ascii="Arial" w:cs="Arial" w:eastAsia="Arial" w:hAnsi="Arial"/>
                <w:sz w:val="17"/>
                <w:szCs w:val="17"/>
                <w:b w:val="1"/>
                <w:bCs w:val="1"/>
                <w:color w:val="auto"/>
              </w:rPr>
              <w:t>Name of Subsidiary</w:t>
            </w:r>
          </w:p>
        </w:tc>
        <w:tc>
          <w:tcPr>
            <w:tcW w:w="2320" w:type="dxa"/>
            <w:vAlign w:val="bottom"/>
          </w:tcPr>
          <w:p>
            <w:pPr>
              <w:ind w:left="740"/>
              <w:spacing w:after="0"/>
              <w:rPr>
                <w:sz w:val="20"/>
                <w:szCs w:val="20"/>
                <w:color w:val="auto"/>
              </w:rPr>
            </w:pPr>
            <w:r>
              <w:rPr>
                <w:rFonts w:ascii="Arial" w:cs="Arial" w:eastAsia="Arial" w:hAnsi="Arial"/>
                <w:sz w:val="17"/>
                <w:szCs w:val="17"/>
                <w:b w:val="1"/>
                <w:bCs w:val="1"/>
                <w:color w:val="auto"/>
              </w:rPr>
              <w:t>Organization</w:t>
            </w:r>
          </w:p>
        </w:tc>
      </w:tr>
      <w:tr>
        <w:trPr>
          <w:trHeight w:val="27"/>
        </w:trPr>
        <w:tc>
          <w:tcPr>
            <w:tcW w:w="8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Activision Blizzard International B.V.</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Netherlands</w:t>
            </w:r>
          </w:p>
        </w:tc>
      </w:tr>
      <w:tr>
        <w:trPr>
          <w:trHeight w:val="228"/>
        </w:trPr>
        <w:tc>
          <w:tcPr>
            <w:tcW w:w="8220" w:type="dxa"/>
            <w:vAlign w:val="bottom"/>
          </w:tcPr>
          <w:p>
            <w:pPr>
              <w:ind w:left="40"/>
              <w:spacing w:after="0"/>
              <w:rPr>
                <w:sz w:val="20"/>
                <w:szCs w:val="20"/>
                <w:color w:val="auto"/>
              </w:rPr>
            </w:pPr>
            <w:r>
              <w:rPr>
                <w:rFonts w:ascii="Arial" w:cs="Arial" w:eastAsia="Arial" w:hAnsi="Arial"/>
                <w:sz w:val="17"/>
                <w:szCs w:val="17"/>
                <w:color w:val="auto"/>
              </w:rPr>
              <w:t>Activision Blizzard Media Limited</w:t>
            </w:r>
          </w:p>
        </w:tc>
        <w:tc>
          <w:tcPr>
            <w:tcW w:w="2320" w:type="dxa"/>
            <w:vAlign w:val="bottom"/>
          </w:tcPr>
          <w:p>
            <w:pPr>
              <w:ind w:left="140"/>
              <w:spacing w:after="0"/>
              <w:rPr>
                <w:sz w:val="20"/>
                <w:szCs w:val="20"/>
                <w:color w:val="auto"/>
              </w:rPr>
            </w:pPr>
            <w:r>
              <w:rPr>
                <w:rFonts w:ascii="Arial" w:cs="Arial" w:eastAsia="Arial" w:hAnsi="Arial"/>
                <w:sz w:val="17"/>
                <w:szCs w:val="17"/>
                <w:color w:val="auto"/>
              </w:rPr>
              <w:t>United Kingdom</w:t>
            </w:r>
          </w:p>
        </w:tc>
      </w:tr>
      <w:tr>
        <w:trPr>
          <w:trHeight w:val="27"/>
        </w:trPr>
        <w:tc>
          <w:tcPr>
            <w:tcW w:w="8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Activision Blizzard UK Limited</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United Kingdom</w:t>
            </w:r>
          </w:p>
        </w:tc>
      </w:tr>
      <w:tr>
        <w:trPr>
          <w:trHeight w:val="228"/>
        </w:trPr>
        <w:tc>
          <w:tcPr>
            <w:tcW w:w="8220" w:type="dxa"/>
            <w:vAlign w:val="bottom"/>
          </w:tcPr>
          <w:p>
            <w:pPr>
              <w:ind w:left="40"/>
              <w:spacing w:after="0"/>
              <w:rPr>
                <w:sz w:val="20"/>
                <w:szCs w:val="20"/>
                <w:color w:val="auto"/>
              </w:rPr>
            </w:pPr>
            <w:r>
              <w:rPr>
                <w:rFonts w:ascii="Arial" w:cs="Arial" w:eastAsia="Arial" w:hAnsi="Arial"/>
                <w:sz w:val="17"/>
                <w:szCs w:val="17"/>
                <w:color w:val="auto"/>
              </w:rPr>
              <w:t>Activision Publishing, Inc.</w:t>
            </w:r>
          </w:p>
        </w:tc>
        <w:tc>
          <w:tcPr>
            <w:tcW w:w="2320" w:type="dxa"/>
            <w:vAlign w:val="bottom"/>
          </w:tcPr>
          <w:p>
            <w:pPr>
              <w:ind w:left="140"/>
              <w:spacing w:after="0"/>
              <w:rPr>
                <w:sz w:val="20"/>
                <w:szCs w:val="20"/>
                <w:color w:val="auto"/>
              </w:rPr>
            </w:pPr>
            <w:r>
              <w:rPr>
                <w:rFonts w:ascii="Arial" w:cs="Arial" w:eastAsia="Arial" w:hAnsi="Arial"/>
                <w:sz w:val="17"/>
                <w:szCs w:val="17"/>
                <w:color w:val="auto"/>
              </w:rPr>
              <w:t>U.S.-Delaware</w:t>
            </w:r>
          </w:p>
        </w:tc>
      </w:tr>
      <w:tr>
        <w:trPr>
          <w:trHeight w:val="27"/>
        </w:trPr>
        <w:tc>
          <w:tcPr>
            <w:tcW w:w="8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ATVI C.V.</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Netherlands</w:t>
            </w:r>
          </w:p>
        </w:tc>
      </w:tr>
      <w:tr>
        <w:trPr>
          <w:trHeight w:val="228"/>
        </w:trPr>
        <w:tc>
          <w:tcPr>
            <w:tcW w:w="8220" w:type="dxa"/>
            <w:vAlign w:val="bottom"/>
          </w:tcPr>
          <w:p>
            <w:pPr>
              <w:ind w:left="40"/>
              <w:spacing w:after="0"/>
              <w:rPr>
                <w:sz w:val="20"/>
                <w:szCs w:val="20"/>
                <w:color w:val="auto"/>
              </w:rPr>
            </w:pPr>
            <w:r>
              <w:rPr>
                <w:rFonts w:ascii="Arial" w:cs="Arial" w:eastAsia="Arial" w:hAnsi="Arial"/>
                <w:sz w:val="17"/>
                <w:szCs w:val="17"/>
                <w:color w:val="auto"/>
              </w:rPr>
              <w:t>Blizzard Entertainment, Inc.</w:t>
            </w:r>
          </w:p>
        </w:tc>
        <w:tc>
          <w:tcPr>
            <w:tcW w:w="2320" w:type="dxa"/>
            <w:vAlign w:val="bottom"/>
          </w:tcPr>
          <w:p>
            <w:pPr>
              <w:ind w:left="140"/>
              <w:spacing w:after="0"/>
              <w:rPr>
                <w:sz w:val="20"/>
                <w:szCs w:val="20"/>
                <w:color w:val="auto"/>
              </w:rPr>
            </w:pPr>
            <w:r>
              <w:rPr>
                <w:rFonts w:ascii="Arial" w:cs="Arial" w:eastAsia="Arial" w:hAnsi="Arial"/>
                <w:sz w:val="17"/>
                <w:szCs w:val="17"/>
                <w:color w:val="auto"/>
              </w:rPr>
              <w:t>U.S.-Delaware</w:t>
            </w:r>
          </w:p>
        </w:tc>
      </w:tr>
      <w:tr>
        <w:trPr>
          <w:trHeight w:val="26"/>
        </w:trPr>
        <w:tc>
          <w:tcPr>
            <w:tcW w:w="8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Blizzard Entertainment SAS</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France</w:t>
            </w:r>
          </w:p>
        </w:tc>
      </w:tr>
      <w:tr>
        <w:trPr>
          <w:trHeight w:val="229"/>
        </w:trPr>
        <w:tc>
          <w:tcPr>
            <w:tcW w:w="8220" w:type="dxa"/>
            <w:vAlign w:val="bottom"/>
          </w:tcPr>
          <w:p>
            <w:pPr>
              <w:ind w:left="40"/>
              <w:spacing w:after="0"/>
              <w:rPr>
                <w:sz w:val="20"/>
                <w:szCs w:val="20"/>
                <w:color w:val="auto"/>
              </w:rPr>
            </w:pPr>
            <w:r>
              <w:rPr>
                <w:rFonts w:ascii="Arial" w:cs="Arial" w:eastAsia="Arial" w:hAnsi="Arial"/>
                <w:sz w:val="17"/>
                <w:szCs w:val="17"/>
                <w:color w:val="auto"/>
              </w:rPr>
              <w:t>King.com (US), LLC</w:t>
            </w:r>
          </w:p>
        </w:tc>
        <w:tc>
          <w:tcPr>
            <w:tcW w:w="2320" w:type="dxa"/>
            <w:vAlign w:val="bottom"/>
          </w:tcPr>
          <w:p>
            <w:pPr>
              <w:ind w:left="140"/>
              <w:spacing w:after="0"/>
              <w:rPr>
                <w:sz w:val="20"/>
                <w:szCs w:val="20"/>
                <w:color w:val="auto"/>
              </w:rPr>
            </w:pPr>
            <w:r>
              <w:rPr>
                <w:rFonts w:ascii="Arial" w:cs="Arial" w:eastAsia="Arial" w:hAnsi="Arial"/>
                <w:sz w:val="17"/>
                <w:szCs w:val="17"/>
                <w:color w:val="auto"/>
              </w:rPr>
              <w:t>U.S.-Delaware</w:t>
            </w:r>
          </w:p>
        </w:tc>
      </w:tr>
      <w:tr>
        <w:trPr>
          <w:trHeight w:val="26"/>
        </w:trPr>
        <w:tc>
          <w:tcPr>
            <w:tcW w:w="82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King.com Limited</w:t>
            </w:r>
          </w:p>
        </w:tc>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Malta</w:t>
            </w:r>
          </w:p>
        </w:tc>
      </w:tr>
      <w:tr>
        <w:trPr>
          <w:trHeight w:val="229"/>
        </w:trPr>
        <w:tc>
          <w:tcPr>
            <w:tcW w:w="8220" w:type="dxa"/>
            <w:vAlign w:val="bottom"/>
          </w:tcPr>
          <w:p>
            <w:pPr>
              <w:ind w:left="40"/>
              <w:spacing w:after="0"/>
              <w:rPr>
                <w:sz w:val="20"/>
                <w:szCs w:val="20"/>
                <w:color w:val="auto"/>
              </w:rPr>
            </w:pPr>
            <w:r>
              <w:rPr>
                <w:rFonts w:ascii="Arial" w:cs="Arial" w:eastAsia="Arial" w:hAnsi="Arial"/>
                <w:sz w:val="17"/>
                <w:szCs w:val="17"/>
                <w:color w:val="auto"/>
              </w:rPr>
              <w:t>Midasplayer AB</w:t>
            </w:r>
          </w:p>
        </w:tc>
        <w:tc>
          <w:tcPr>
            <w:tcW w:w="2320" w:type="dxa"/>
            <w:vAlign w:val="bottom"/>
          </w:tcPr>
          <w:p>
            <w:pPr>
              <w:ind w:left="140"/>
              <w:spacing w:after="0"/>
              <w:rPr>
                <w:sz w:val="20"/>
                <w:szCs w:val="20"/>
                <w:color w:val="auto"/>
              </w:rPr>
            </w:pPr>
            <w:r>
              <w:rPr>
                <w:rFonts w:ascii="Arial" w:cs="Arial" w:eastAsia="Arial" w:hAnsi="Arial"/>
                <w:sz w:val="17"/>
                <w:szCs w:val="17"/>
                <w:color w:val="auto"/>
              </w:rPr>
              <w:t>Sweden</w:t>
            </w:r>
          </w:p>
        </w:tc>
      </w:tr>
    </w:tbl>
    <w:p>
      <w:pPr>
        <w:sectPr>
          <w:pgSz w:w="11900" w:h="16838" w:orient="portrait"/>
          <w:cols w:equalWidth="0" w:num="1">
            <w:col w:w="10980"/>
          </w:cols>
          <w:pgMar w:left="680" w:top="531"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7"/>
          <w:szCs w:val="17"/>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7" w:lineRule="exact"/>
        <w:rPr>
          <w:sz w:val="20"/>
          <w:szCs w:val="20"/>
          <w:color w:val="auto"/>
        </w:rPr>
      </w:pPr>
    </w:p>
    <w:p>
      <w:pPr>
        <w:ind w:right="80" w:firstLine="382"/>
        <w:spacing w:after="0" w:line="208" w:lineRule="exact"/>
        <w:rPr>
          <w:sz w:val="20"/>
          <w:szCs w:val="20"/>
          <w:color w:val="auto"/>
        </w:rPr>
      </w:pPr>
      <w:r>
        <w:rPr>
          <w:rFonts w:ascii="Arial" w:cs="Arial" w:eastAsia="Arial" w:hAnsi="Arial"/>
          <w:sz w:val="16"/>
          <w:szCs w:val="16"/>
          <w:color w:val="auto"/>
        </w:rPr>
        <w:t>We hereby consent to the incorporation by reference in the Registration Statements on Form S-3 (No. 333-233617) and Form S-8 (No. 333-153661, 333-165123, 333-167428, 333-196956, 333-209825 and 333-209864) of Activision Blizzard, Inc. of our report dated February 27, 2020 relating to the financial statements and financial statement schedule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February 27, 2020</w:t>
      </w:r>
    </w:p>
    <w:p>
      <w:pPr>
        <w:sectPr>
          <w:pgSz w:w="11900" w:h="16838" w:orient="portrait"/>
          <w:cols w:equalWidth="0" w:num="1">
            <w:col w:w="11420"/>
          </w:cols>
          <w:pgMar w:left="240" w:top="531"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b w:val="1"/>
          <w:bCs w:val="1"/>
          <w:color w:val="auto"/>
        </w:rPr>
        <w:t>Exhibit 31.1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 Robert A. Kotick, certify that:</w:t>
      </w:r>
    </w:p>
    <w:p>
      <w:pPr>
        <w:spacing w:after="0" w:line="111" w:lineRule="exact"/>
        <w:rPr>
          <w:sz w:val="20"/>
          <w:szCs w:val="20"/>
          <w:color w:val="auto"/>
        </w:rPr>
      </w:pPr>
    </w:p>
    <w:p>
      <w:pPr>
        <w:ind w:left="620" w:hanging="618"/>
        <w:spacing w:after="0"/>
        <w:tabs>
          <w:tab w:leader="none" w:pos="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110" w:lineRule="exact"/>
        <w:rPr>
          <w:rFonts w:ascii="Arial" w:cs="Arial" w:eastAsia="Arial" w:hAnsi="Arial"/>
          <w:sz w:val="17"/>
          <w:szCs w:val="17"/>
          <w:color w:val="auto"/>
        </w:rPr>
      </w:pPr>
    </w:p>
    <w:p>
      <w:pPr>
        <w:ind w:left="620" w:right="160" w:hanging="618"/>
        <w:spacing w:after="0" w:line="343" w:lineRule="auto"/>
        <w:tabs>
          <w:tab w:leader="none" w:pos="62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right="240" w:hanging="618"/>
        <w:spacing w:after="0" w:line="274" w:lineRule="auto"/>
        <w:tabs>
          <w:tab w:leader="none" w:pos="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jc w:val="both"/>
        <w:ind w:left="620" w:right="60" w:hanging="618"/>
        <w:spacing w:after="0" w:line="262" w:lineRule="auto"/>
        <w:tabs>
          <w:tab w:leader="none" w:pos="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20" w:right="60" w:hanging="606"/>
        <w:spacing w:after="0" w:line="262" w:lineRule="auto"/>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20" w:right="60" w:hanging="606"/>
        <w:spacing w:after="0" w:line="262" w:lineRule="auto"/>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ind w:left="1220" w:right="100" w:hanging="606"/>
        <w:spacing w:after="0" w:line="307" w:lineRule="auto"/>
        <w:tabs>
          <w:tab w:leader="none" w:pos="122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6"/>
          <w:szCs w:val="16"/>
          <w:color w:val="auto"/>
        </w:rPr>
      </w:pPr>
    </w:p>
    <w:p>
      <w:pPr>
        <w:jc w:val="both"/>
        <w:ind w:left="1220" w:right="120" w:hanging="606"/>
        <w:spacing w:after="0" w:line="262" w:lineRule="auto"/>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20" w:hanging="618"/>
        <w:spacing w:after="0" w:line="274" w:lineRule="auto"/>
        <w:tabs>
          <w:tab w:leader="none" w:pos="6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7"/>
          <w:szCs w:val="17"/>
          <w:color w:val="auto"/>
        </w:rPr>
      </w:pPr>
    </w:p>
    <w:p>
      <w:pPr>
        <w:ind w:left="1220" w:right="20" w:hanging="606"/>
        <w:spacing w:after="0" w:line="274" w:lineRule="auto"/>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220" w:right="80" w:hanging="606"/>
        <w:spacing w:after="0" w:line="274" w:lineRule="auto"/>
        <w:tabs>
          <w:tab w:leader="none" w:pos="122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2020</w:t>
      </w:r>
    </w:p>
    <w:p>
      <w:pPr>
        <w:spacing w:after="0" w:line="26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868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1">
                      <a:extLst>
                        <a:ext uri="{28A0092B-C50C-407E-A947-70E740481C1C}"/>
                      </a:extLst>
                    </a:blip>
                    <a:srcRect/>
                    <a:stretch>
                      <a:fillRect/>
                    </a:stretch>
                  </pic:blipFill>
                  <pic:spPr bwMode="auto">
                    <a:xfrm>
                      <a:off x="0" y="0"/>
                      <a:ext cx="3408680" cy="15875"/>
                    </a:xfrm>
                    <a:prstGeom prst="rect">
                      <a:avLst/>
                    </a:prstGeom>
                    <a:noFill/>
                  </pic:spPr>
                </pic:pic>
              </a:graphicData>
            </a:graphic>
          </wp:anchor>
        </w:drawing>
      </w:r>
    </w:p>
    <w:p>
      <w:pPr>
        <w:spacing w:after="0" w:line="7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Robert A. Kotick</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Chief Executive Officer and</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Principal Executive Officer of</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420"/>
          </w:cols>
          <w:pgMar w:left="240" w:top="53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b w:val="1"/>
          <w:bCs w:val="1"/>
          <w:color w:val="auto"/>
        </w:rPr>
        <w:t>Exhibit 31.2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 Dennis Durkin, certify that:</w:t>
      </w:r>
    </w:p>
    <w:p>
      <w:pPr>
        <w:spacing w:after="0" w:line="111" w:lineRule="exact"/>
        <w:rPr>
          <w:sz w:val="20"/>
          <w:szCs w:val="20"/>
          <w:color w:val="auto"/>
        </w:rPr>
      </w:pPr>
    </w:p>
    <w:p>
      <w:pPr>
        <w:ind w:left="620" w:hanging="618"/>
        <w:spacing w:after="0"/>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Activision Blizzard, Inc.;</w:t>
      </w:r>
    </w:p>
    <w:p>
      <w:pPr>
        <w:spacing w:after="0" w:line="110" w:lineRule="exact"/>
        <w:rPr>
          <w:rFonts w:ascii="Arial" w:cs="Arial" w:eastAsia="Arial" w:hAnsi="Arial"/>
          <w:sz w:val="17"/>
          <w:szCs w:val="17"/>
          <w:color w:val="auto"/>
        </w:rPr>
      </w:pPr>
    </w:p>
    <w:p>
      <w:pPr>
        <w:ind w:left="620" w:right="160" w:hanging="618"/>
        <w:spacing w:after="0" w:line="343" w:lineRule="auto"/>
        <w:tabs>
          <w:tab w:leader="none" w:pos="620" w:val="left"/>
        </w:tabs>
        <w:numPr>
          <w:ilvl w:val="0"/>
          <w:numId w:val="17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5"/>
          <w:szCs w:val="15"/>
          <w:color w:val="auto"/>
        </w:rPr>
      </w:pPr>
    </w:p>
    <w:p>
      <w:pPr>
        <w:ind w:left="620" w:right="240" w:hanging="618"/>
        <w:spacing w:after="0" w:line="274" w:lineRule="auto"/>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7"/>
          <w:szCs w:val="17"/>
          <w:color w:val="auto"/>
        </w:rPr>
      </w:pPr>
    </w:p>
    <w:p>
      <w:pPr>
        <w:jc w:val="both"/>
        <w:ind w:left="620" w:right="60" w:hanging="618"/>
        <w:spacing w:after="0" w:line="262" w:lineRule="auto"/>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7"/>
          <w:szCs w:val="17"/>
          <w:color w:val="auto"/>
        </w:rPr>
      </w:pPr>
    </w:p>
    <w:p>
      <w:pPr>
        <w:ind w:left="1220" w:right="60" w:hanging="606"/>
        <w:spacing w:after="0" w:line="262" w:lineRule="auto"/>
        <w:tabs>
          <w:tab w:leader="none" w:pos="12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20" w:right="60" w:hanging="606"/>
        <w:spacing w:after="0" w:line="262" w:lineRule="auto"/>
        <w:tabs>
          <w:tab w:leader="none" w:pos="12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7"/>
          <w:szCs w:val="17"/>
          <w:color w:val="auto"/>
        </w:rPr>
      </w:pPr>
    </w:p>
    <w:p>
      <w:pPr>
        <w:ind w:left="1220" w:right="100" w:hanging="606"/>
        <w:spacing w:after="0" w:line="307" w:lineRule="auto"/>
        <w:tabs>
          <w:tab w:leader="none" w:pos="12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6"/>
          <w:szCs w:val="16"/>
          <w:color w:val="auto"/>
        </w:rPr>
      </w:pPr>
    </w:p>
    <w:p>
      <w:pPr>
        <w:jc w:val="both"/>
        <w:ind w:left="1220" w:right="120" w:hanging="606"/>
        <w:spacing w:after="0" w:line="262" w:lineRule="auto"/>
        <w:tabs>
          <w:tab w:leader="none" w:pos="12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7"/>
          <w:szCs w:val="17"/>
          <w:color w:val="auto"/>
        </w:rPr>
      </w:pPr>
    </w:p>
    <w:p>
      <w:pPr>
        <w:ind w:left="620" w:right="20" w:hanging="618"/>
        <w:spacing w:after="0" w:line="274" w:lineRule="auto"/>
        <w:tabs>
          <w:tab w:leader="none" w:pos="6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7"/>
          <w:szCs w:val="17"/>
          <w:color w:val="auto"/>
        </w:rPr>
      </w:pPr>
    </w:p>
    <w:p>
      <w:pPr>
        <w:ind w:left="1220" w:right="20" w:hanging="606"/>
        <w:spacing w:after="0" w:line="274" w:lineRule="auto"/>
        <w:tabs>
          <w:tab w:leader="none" w:pos="12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1220" w:right="80" w:hanging="606"/>
        <w:spacing w:after="0" w:line="274" w:lineRule="auto"/>
        <w:tabs>
          <w:tab w:leader="none" w:pos="12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27, 2020</w:t>
      </w:r>
    </w:p>
    <w:p>
      <w:pPr>
        <w:spacing w:after="0" w:line="26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868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2">
                      <a:extLst>
                        <a:ext uri="{28A0092B-C50C-407E-A947-70E740481C1C}"/>
                      </a:extLst>
                    </a:blip>
                    <a:srcRect/>
                    <a:stretch>
                      <a:fillRect/>
                    </a:stretch>
                  </pic:blipFill>
                  <pic:spPr bwMode="auto">
                    <a:xfrm>
                      <a:off x="0" y="0"/>
                      <a:ext cx="3408680" cy="15875"/>
                    </a:xfrm>
                    <a:prstGeom prst="rect">
                      <a:avLst/>
                    </a:prstGeom>
                    <a:noFill/>
                  </pic:spPr>
                </pic:pic>
              </a:graphicData>
            </a:graphic>
          </wp:anchor>
        </w:drawing>
      </w:r>
    </w:p>
    <w:p>
      <w:pPr>
        <w:spacing w:after="0" w:line="7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Dennis Durkin</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Chief Financial Officer, Principal Financial Officer, and</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Principal Accounting Officer of</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Activision Blizzard, Inc.</w:t>
      </w:r>
    </w:p>
    <w:p>
      <w:pPr>
        <w:sectPr>
          <w:pgSz w:w="11900" w:h="16838" w:orient="portrait"/>
          <w:cols w:equalWidth="0" w:num="1">
            <w:col w:w="11420"/>
          </w:cols>
          <w:pgMar w:left="240" w:top="53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b w:val="1"/>
          <w:bCs w:val="1"/>
          <w:color w:val="auto"/>
        </w:rPr>
        <w:t>Exhibit 32.1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ind w:right="80" w:firstLine="612"/>
        <w:spacing w:after="0" w:line="262" w:lineRule="auto"/>
        <w:rPr>
          <w:sz w:val="20"/>
          <w:szCs w:val="20"/>
          <w:color w:val="auto"/>
        </w:rPr>
      </w:pPr>
      <w:r>
        <w:rPr>
          <w:rFonts w:ascii="Arial" w:cs="Arial" w:eastAsia="Arial" w:hAnsi="Arial"/>
          <w:sz w:val="17"/>
          <w:szCs w:val="17"/>
          <w:color w:val="auto"/>
        </w:rPr>
        <w:t>In connection with the Annual Report of Activision Blizzard, Inc. (the “Company”) on Form 10-K for the year ended December 31, 2019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76" w:lineRule="exact"/>
        <w:rPr>
          <w:sz w:val="20"/>
          <w:szCs w:val="20"/>
          <w:color w:val="auto"/>
        </w:rPr>
      </w:pPr>
    </w:p>
    <w:p>
      <w:pPr>
        <w:ind w:left="1220" w:hanging="606"/>
        <w:spacing w:after="0"/>
        <w:tabs>
          <w:tab w:leader="none" w:pos="12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right="340" w:firstLine="614"/>
        <w:spacing w:after="0" w:line="525" w:lineRule="auto"/>
        <w:tabs>
          <w:tab w:leader="none" w:pos="122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27, 2020</w:t>
      </w:r>
    </w:p>
    <w:p>
      <w:pPr>
        <w:spacing w:after="0" w:line="11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868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3">
                      <a:extLst>
                        <a:ext uri="{28A0092B-C50C-407E-A947-70E740481C1C}"/>
                      </a:extLst>
                    </a:blip>
                    <a:srcRect/>
                    <a:stretch>
                      <a:fillRect/>
                    </a:stretch>
                  </pic:blipFill>
                  <pic:spPr bwMode="auto">
                    <a:xfrm>
                      <a:off x="0" y="0"/>
                      <a:ext cx="3408680" cy="16510"/>
                    </a:xfrm>
                    <a:prstGeom prst="rect">
                      <a:avLst/>
                    </a:prstGeom>
                    <a:noFill/>
                  </pic:spPr>
                </pic:pic>
              </a:graphicData>
            </a:graphic>
          </wp:anchor>
        </w:drawing>
      </w:r>
    </w:p>
    <w:p>
      <w:pPr>
        <w:spacing w:after="0" w:line="7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Robert A. Kotick</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Chief Executive Officer and</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Principal Executive Officer of</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Activision Blizzard, Inc.</w:t>
      </w:r>
    </w:p>
    <w:p>
      <w:pPr>
        <w:spacing w:after="0" w:line="47"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3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b w:val="1"/>
          <w:bCs w:val="1"/>
          <w:color w:val="auto"/>
        </w:rPr>
        <w:t>Exhibit 32.2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1" w:lineRule="exact"/>
        <w:rPr>
          <w:sz w:val="20"/>
          <w:szCs w:val="20"/>
          <w:color w:val="auto"/>
        </w:rPr>
      </w:pPr>
    </w:p>
    <w:p>
      <w:pPr>
        <w:jc w:val="both"/>
        <w:ind w:right="320" w:firstLine="612"/>
        <w:spacing w:after="0" w:line="286"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2019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58" w:lineRule="exact"/>
        <w:rPr>
          <w:sz w:val="20"/>
          <w:szCs w:val="20"/>
          <w:color w:val="auto"/>
        </w:rPr>
      </w:pPr>
    </w:p>
    <w:p>
      <w:pPr>
        <w:ind w:left="1220" w:hanging="606"/>
        <w:spacing w:after="0"/>
        <w:tabs>
          <w:tab w:leader="none" w:pos="12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2" w:lineRule="exact"/>
        <w:rPr>
          <w:rFonts w:ascii="Arial" w:cs="Arial" w:eastAsia="Arial" w:hAnsi="Arial"/>
          <w:sz w:val="17"/>
          <w:szCs w:val="17"/>
          <w:color w:val="auto"/>
        </w:rPr>
      </w:pPr>
    </w:p>
    <w:p>
      <w:pPr>
        <w:ind w:right="340" w:firstLine="614"/>
        <w:spacing w:after="0" w:line="525" w:lineRule="auto"/>
        <w:tabs>
          <w:tab w:leader="none" w:pos="122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 Date: February 27, 2020</w:t>
      </w:r>
    </w:p>
    <w:p>
      <w:pPr>
        <w:spacing w:after="0" w:line="114"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868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4">
                      <a:extLst>
                        <a:ext uri="{28A0092B-C50C-407E-A947-70E740481C1C}"/>
                      </a:extLst>
                    </a:blip>
                    <a:srcRect/>
                    <a:stretch>
                      <a:fillRect/>
                    </a:stretch>
                  </pic:blipFill>
                  <pic:spPr bwMode="auto">
                    <a:xfrm>
                      <a:off x="0" y="0"/>
                      <a:ext cx="3408680" cy="16510"/>
                    </a:xfrm>
                    <a:prstGeom prst="rect">
                      <a:avLst/>
                    </a:prstGeom>
                    <a:noFill/>
                  </pic:spPr>
                </pic:pic>
              </a:graphicData>
            </a:graphic>
          </wp:anchor>
        </w:drawing>
      </w:r>
    </w:p>
    <w:p>
      <w:pPr>
        <w:spacing w:after="0" w:line="78" w:lineRule="exact"/>
        <w:rPr>
          <w:sz w:val="20"/>
          <w:szCs w:val="20"/>
          <w:color w:val="auto"/>
        </w:rPr>
      </w:pPr>
    </w:p>
    <w:p>
      <w:pPr>
        <w:ind w:left="6080"/>
        <w:spacing w:after="0"/>
        <w:rPr>
          <w:sz w:val="20"/>
          <w:szCs w:val="20"/>
          <w:color w:val="auto"/>
        </w:rPr>
      </w:pPr>
      <w:r>
        <w:rPr>
          <w:rFonts w:ascii="Arial" w:cs="Arial" w:eastAsia="Arial" w:hAnsi="Arial"/>
          <w:sz w:val="17"/>
          <w:szCs w:val="17"/>
          <w:color w:val="auto"/>
        </w:rPr>
        <w:t>Dennis Durkin</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Chief Financial Officer, Principal Financial Officer, and</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Principal Accounting Officer of</w:t>
      </w:r>
    </w:p>
    <w:p>
      <w:pPr>
        <w:spacing w:after="0" w:line="72" w:lineRule="exact"/>
        <w:rPr>
          <w:sz w:val="20"/>
          <w:szCs w:val="20"/>
          <w:color w:val="auto"/>
        </w:rPr>
      </w:pPr>
    </w:p>
    <w:p>
      <w:pPr>
        <w:ind w:left="6080"/>
        <w:spacing w:after="0"/>
        <w:rPr>
          <w:sz w:val="20"/>
          <w:szCs w:val="20"/>
          <w:color w:val="auto"/>
        </w:rPr>
      </w:pPr>
      <w:r>
        <w:rPr>
          <w:rFonts w:ascii="Arial" w:cs="Arial" w:eastAsia="Arial" w:hAnsi="Arial"/>
          <w:sz w:val="17"/>
          <w:szCs w:val="17"/>
          <w:i w:val="1"/>
          <w:iCs w:val="1"/>
          <w:color w:val="auto"/>
        </w:rPr>
        <w:t>Activision Blizzard, Inc.</w:t>
      </w:r>
    </w:p>
    <w:p>
      <w:pPr>
        <w:spacing w:after="0" w:line="47"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
      <w:numFmt w:val="bullet"/>
      <w:start w:val="1"/>
    </w:lvl>
  </w:abstractNum>
  <w:abstractNum w:abstractNumId="1">
    <w:nsid w:val="4C04A8AF"/>
    <w:multiLevelType w:val="hybridMultilevel"/>
    <w:lvl w:ilvl="0">
      <w:lvlJc w:val="left"/>
      <w:lvlText w:val="(%1)"/>
      <w:numFmt w:val="decimal"/>
      <w:start w:val="4"/>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1)"/>
      <w:numFmt w:val="decimal"/>
      <w:start w:val="1"/>
    </w:lvl>
  </w:abstractNum>
  <w:abstractNum w:abstractNumId="6">
    <w:nsid w:val="68EBC550"/>
    <w:multiLevelType w:val="hybridMultilevel"/>
    <w:lvl w:ilvl="0">
      <w:lvlJc w:val="left"/>
      <w:lvlText w:val="(%1)"/>
      <w:numFmt w:val="decimal"/>
      <w:start w:val="1"/>
    </w:lvl>
  </w:abstractNum>
  <w:abstractNum w:abstractNumId="7">
    <w:nsid w:val="2DF6D648"/>
    <w:multiLevelType w:val="hybridMultilevel"/>
    <w:lvl w:ilvl="0">
      <w:lvlJc w:val="left"/>
      <w:lvlText w:val="•"/>
      <w:numFmt w:val="bullet"/>
      <w:start w:val="1"/>
    </w:lvl>
  </w:abstractNum>
  <w:abstractNum w:abstractNumId="8">
    <w:nsid w:val="46B7D447"/>
    <w:multiLevelType w:val="hybridMultilevel"/>
    <w:lvl w:ilvl="0">
      <w:lvlJc w:val="left"/>
      <w:lvlText w:val="•"/>
      <w:numFmt w:val="bullet"/>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1)"/>
      <w:numFmt w:val="decimal"/>
      <w:start w:val="1"/>
    </w:lvl>
  </w:abstractNum>
  <w:abstractNum w:abstractNumId="18">
    <w:nsid w:val="7055A5F5"/>
    <w:multiLevelType w:val="hybridMultilevel"/>
    <w:lvl w:ilvl="0">
      <w:lvlJc w:val="left"/>
      <w:lvlText w:val="(%1)"/>
      <w:numFmt w:val="decimal"/>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
      <w:numFmt w:val="bullet"/>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1)"/>
      <w:numFmt w:val="decimal"/>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abstractNum>
  <w:abstractNum w:abstractNumId="29">
    <w:nsid w:val="73A1821B"/>
    <w:multiLevelType w:val="hybridMultilevel"/>
    <w:lvl w:ilvl="0">
      <w:lvlJc w:val="left"/>
      <w:lvlText w:val="•"/>
      <w:numFmt w:val="bullet"/>
      <w:start w:val="1"/>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
      <w:numFmt w:val="bullet"/>
      <w:start w:val="1"/>
    </w:lvl>
  </w:abstractNum>
  <w:abstractNum w:abstractNumId="32">
    <w:nsid w:val="3FA62ACA"/>
    <w:multiLevelType w:val="hybridMultilevel"/>
    <w:lvl w:ilvl="0">
      <w:lvlJc w:val="left"/>
      <w:lvlText w:val="(%1)"/>
      <w:numFmt w:val="decimal"/>
      <w:start w:val="1"/>
    </w:lvl>
  </w:abstractNum>
  <w:abstractNum w:abstractNumId="33">
    <w:nsid w:val="14FCE74E"/>
    <w:multiLevelType w:val="hybridMultilevel"/>
    <w:lvl w:ilvl="0">
      <w:lvlJc w:val="left"/>
      <w:lvlText w:val="•"/>
      <w:numFmt w:val="bullet"/>
      <w:start w:val="1"/>
    </w:lvl>
  </w:abstractNum>
  <w:abstractNum w:abstractNumId="34">
    <w:nsid w:val="6A3DD3E8"/>
    <w:multiLevelType w:val="hybridMultilevel"/>
    <w:lvl w:ilvl="0">
      <w:lvlJc w:val="left"/>
      <w:lvlText w:val="•"/>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1)"/>
      <w:numFmt w:val="decimal"/>
      <w:start w:val="2"/>
    </w:lvl>
  </w:abstractNum>
  <w:abstractNum w:abstractNumId="46">
    <w:nsid w:val="51088277"/>
    <w:multiLevelType w:val="hybridMultilevel"/>
    <w:lvl w:ilvl="0">
      <w:lvlJc w:val="left"/>
      <w:lvlText w:val="(%1)"/>
      <w:numFmt w:val="lowerLetter"/>
      <w:start w:val="1"/>
    </w:lvl>
  </w:abstractNum>
  <w:abstractNum w:abstractNumId="47">
    <w:nsid w:val="1CA0C5FA"/>
    <w:multiLevelType w:val="hybridMultilevel"/>
    <w:lvl w:ilvl="0">
      <w:lvlJc w:val="left"/>
      <w:lvlText w:val="2"/>
      <w:numFmt w:val="bullet"/>
      <w:start w:val="1"/>
    </w:lvl>
  </w:abstractNum>
  <w:abstractNum w:abstractNumId="48">
    <w:nsid w:val="53584BCB"/>
    <w:multiLevelType w:val="hybridMultilevel"/>
    <w:lvl w:ilvl="0">
      <w:lvlJc w:val="left"/>
      <w:lvlText w:val="3"/>
      <w:numFmt w:val="bullet"/>
      <w:start w:val="1"/>
    </w:lvl>
  </w:abstractNum>
  <w:abstractNum w:abstractNumId="49">
    <w:nsid w:val="415E286C"/>
    <w:multiLevelType w:val="hybridMultilevel"/>
    <w:lvl w:ilvl="0">
      <w:lvlJc w:val="left"/>
      <w:lvlText w:val="(%1)"/>
      <w:numFmt w:val="decimal"/>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1)"/>
      <w:numFmt w:val="decimal"/>
      <w:start w:val="1"/>
    </w:lvl>
  </w:abstractNum>
  <w:abstractNum w:abstractNumId="54">
    <w:nsid w:val="E7FFA2B"/>
    <w:multiLevelType w:val="hybridMultilevel"/>
    <w:lvl w:ilvl="0">
      <w:lvlJc w:val="left"/>
      <w:lvlText w:val="(%1)"/>
      <w:numFmt w:val="decimal"/>
      <w:start w:val="1"/>
    </w:lvl>
  </w:abstractNum>
  <w:abstractNum w:abstractNumId="55">
    <w:nsid w:val="3C5991AA"/>
    <w:multiLevelType w:val="hybridMultilevel"/>
    <w:lvl w:ilvl="0">
      <w:lvlJc w:val="left"/>
      <w:lvlText w:val="(%1)"/>
      <w:numFmt w:val="decimal"/>
      <w:start w:val="2"/>
    </w:lvl>
  </w:abstractNum>
  <w:abstractNum w:abstractNumId="56">
    <w:nsid w:val="4BD8591A"/>
    <w:multiLevelType w:val="hybridMultilevel"/>
    <w:lvl w:ilvl="0">
      <w:lvlJc w:val="left"/>
      <w:lvlText w:val="(%1)"/>
      <w:numFmt w:val="decimal"/>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1)"/>
      <w:numFmt w:val="decimal"/>
      <w:start w:val="1"/>
    </w:lvl>
  </w:abstractNum>
  <w:abstractNum w:abstractNumId="60">
    <w:nsid w:val="6C80EC70"/>
    <w:multiLevelType w:val="hybridMultilevel"/>
    <w:lvl w:ilvl="0">
      <w:lvlJc w:val="left"/>
      <w:lvlText w:val="(%1)"/>
      <w:numFmt w:val="decimal"/>
      <w:start w:val="1"/>
    </w:lvl>
  </w:abstractNum>
  <w:abstractNum w:abstractNumId="61">
    <w:nsid w:val="379E21B5"/>
    <w:multiLevelType w:val="hybridMultilevel"/>
    <w:lvl w:ilvl="0">
      <w:lvlJc w:val="left"/>
      <w:lvlText w:val="(%1)"/>
      <w:numFmt w:val="decimal"/>
      <w:start w:val="1"/>
    </w:lvl>
  </w:abstractNum>
  <w:abstractNum w:abstractNumId="62">
    <w:nsid w:val="69E373"/>
    <w:multiLevelType w:val="hybridMultilevel"/>
    <w:lvl w:ilvl="0">
      <w:lvlJc w:val="left"/>
      <w:lvlText w:val="(%1)"/>
      <w:numFmt w:val="decimal"/>
      <w:start w:val="1"/>
    </w:lvl>
  </w:abstractNum>
  <w:abstractNum w:abstractNumId="63">
    <w:nsid w:val="2C27173B"/>
    <w:multiLevelType w:val="hybridMultilevel"/>
    <w:lvl w:ilvl="0">
      <w:lvlJc w:val="left"/>
      <w:lvlText w:val="(%1)"/>
      <w:numFmt w:val="decimal"/>
      <w:start w:val="1"/>
    </w:lvl>
  </w:abstractNum>
  <w:abstractNum w:abstractNumId="64">
    <w:nsid w:val="4C9B0904"/>
    <w:multiLevelType w:val="hybridMultilevel"/>
    <w:lvl w:ilvl="0">
      <w:lvlJc w:val="left"/>
      <w:lvlText w:val="*"/>
      <w:numFmt w:val="bullet"/>
      <w:start w:val="1"/>
    </w:lvl>
  </w:abstractNum>
  <w:abstractNum w:abstractNumId="65">
    <w:nsid w:val="6AA7B75C"/>
    <w:multiLevelType w:val="hybridMultilevel"/>
    <w:lvl w:ilvl="0">
      <w:lvlJc w:val="left"/>
      <w:lvlText w:val="(%1)"/>
      <w:numFmt w:val="lowerRoman"/>
      <w:start w:val="3"/>
    </w:lvl>
  </w:abstractNum>
  <w:abstractNum w:abstractNumId="66">
    <w:nsid w:val="1DF029D3"/>
    <w:multiLevelType w:val="hybridMultilevel"/>
    <w:lvl w:ilvl="0">
      <w:lvlJc w:val="left"/>
      <w:lvlText w:val="•"/>
      <w:numFmt w:val="bullet"/>
      <w:start w:val="1"/>
    </w:lvl>
  </w:abstractNum>
  <w:abstractNum w:abstractNumId="67">
    <w:nsid w:val="5675FF36"/>
    <w:multiLevelType w:val="hybridMultilevel"/>
    <w:lvl w:ilvl="0">
      <w:lvlJc w:val="left"/>
      <w:lvlText w:val="(%1)"/>
      <w:numFmt w:val="decimal"/>
      <w:start w:val="1"/>
    </w:lvl>
  </w:abstractNum>
  <w:abstractNum w:abstractNumId="68">
    <w:nsid w:val="3DD15094"/>
    <w:multiLevelType w:val="hybridMultilevel"/>
    <w:lvl w:ilvl="0">
      <w:lvlJc w:val="left"/>
      <w:lvlText w:val="(%1)"/>
      <w:numFmt w:val="decimal"/>
      <w:start w:val="1"/>
    </w:lvl>
  </w:abstractNum>
  <w:abstractNum w:abstractNumId="69">
    <w:nsid w:val="3DB012B3"/>
    <w:multiLevelType w:val="hybridMultilevel"/>
    <w:lvl w:ilvl="0">
      <w:lvlJc w:val="left"/>
      <w:lvlText w:val="(%1)"/>
      <w:numFmt w:val="decimal"/>
      <w:start w:val="1"/>
    </w:lvl>
  </w:abstractNum>
  <w:abstractNum w:abstractNumId="70">
    <w:nsid w:val="2708C9AF"/>
    <w:multiLevelType w:val="hybridMultilevel"/>
    <w:lvl w:ilvl="0">
      <w:lvlJc w:val="left"/>
      <w:lvlText w:val="(%1)"/>
      <w:numFmt w:val="upperLetter"/>
      <w:start w:val="1"/>
    </w:lvl>
  </w:abstractNum>
  <w:abstractNum w:abstractNumId="71">
    <w:nsid w:val="5B25ACE2"/>
    <w:multiLevelType w:val="hybridMultilevel"/>
    <w:lvl w:ilvl="0">
      <w:lvlJc w:val="left"/>
      <w:lvlText w:val="(%1)"/>
      <w:numFmt w:val="lowerRoman"/>
      <w:start w:val="3"/>
    </w:lvl>
  </w:abstractNum>
  <w:abstractNum w:abstractNumId="72">
    <w:nsid w:val="175DFCF0"/>
    <w:multiLevelType w:val="hybridMultilevel"/>
    <w:lvl w:ilvl="0">
      <w:lvlJc w:val="left"/>
      <w:lvlText w:val="*"/>
      <w:numFmt w:val="bullet"/>
      <w:start w:val="1"/>
    </w:lvl>
    <w:lvl w:ilvl="1">
      <w:lvlJc w:val="left"/>
      <w:lvlText w:val="%2"/>
      <w:numFmt w:val="decimal"/>
      <w:start w:val="104"/>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1."/>
      <w:numFmt w:val="decimal"/>
      <w:start w:val="1"/>
    </w:lvl>
    <w:lvl w:ilvl="1">
      <w:lvlJc w:val="left"/>
      <w:lvlText w:val="%2"/>
      <w:numFmt w:val="lowerLetter"/>
      <w:start w:val="1"/>
    </w:lvl>
  </w:abstractNum>
  <w:abstractNum w:abstractNumId="79">
    <w:nsid w:val="2C6E4AFD"/>
    <w:multiLevelType w:val="hybridMultilevel"/>
    <w:lvl w:ilvl="0">
      <w:lvlJc w:val="left"/>
      <w:lvlText w:val="%1"/>
      <w:numFmt w:val="decimal"/>
      <w:start w:val="1"/>
    </w:lvl>
    <w:lvl w:ilvl="1">
      <w:lvlJc w:val="left"/>
      <w:lvlText w:val="(%2)"/>
      <w:numFmt w:val="lowerLetter"/>
      <w:start w:val="2"/>
    </w:lvl>
  </w:abstractNum>
  <w:abstractNum w:abstractNumId="80">
    <w:nsid w:val="17A1B582"/>
    <w:multiLevelType w:val="hybridMultilevel"/>
    <w:lvl w:ilvl="0">
      <w:lvlJc w:val="left"/>
      <w:lvlText w:val="%1."/>
      <w:numFmt w:val="decimal"/>
      <w:start w:val="2"/>
    </w:lvl>
    <w:lvl w:ilvl="1">
      <w:lvlJc w:val="left"/>
      <w:lvlText w:val="(%2)"/>
      <w:numFmt w:val="lowerLetter"/>
      <w:start w:val="1"/>
    </w:lvl>
  </w:abstractNum>
  <w:abstractNum w:abstractNumId="81">
    <w:nsid w:val="4DF72E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82">
    <w:nsid w:val="5046B5A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83">
    <w:nsid w:val="5D888A0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84">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85">
    <w:nsid w:val="5EC6AFD4"/>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1"/>
    </w:lvl>
  </w:abstractNum>
  <w:abstractNum w:abstractNumId="86">
    <w:nsid w:val="19E21BB2"/>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3"/>
    </w:lvl>
  </w:abstractNum>
  <w:abstractNum w:abstractNumId="87">
    <w:nsid w:val="75E0858A"/>
    <w:multiLevelType w:val="hybridMultilevel"/>
    <w:lvl w:ilvl="0">
      <w:lvlJc w:val="left"/>
      <w:lvlText w:val="%1."/>
      <w:numFmt w:val="decimal"/>
      <w:start w:val="9"/>
    </w:lvl>
    <w:lvl w:ilvl="1">
      <w:lvlJc w:val="left"/>
      <w:lvlText w:val="(%2)"/>
      <w:numFmt w:val="lowerLetter"/>
      <w:start w:val="1"/>
    </w:lvl>
  </w:abstractNum>
  <w:abstractNum w:abstractNumId="88">
    <w:nsid w:val="57A61A29"/>
    <w:multiLevelType w:val="hybridMultilevel"/>
    <w:lvl w:ilvl="0">
      <w:lvlJc w:val="left"/>
      <w:lvlText w:val="%1"/>
      <w:numFmt w:val="decimal"/>
      <w:start w:val="1"/>
    </w:lvl>
    <w:lvl w:ilvl="1">
      <w:lvlJc w:val="left"/>
      <w:lvlText w:val="(%2)"/>
      <w:numFmt w:val="lowerLetter"/>
      <w:start w:val="2"/>
    </w:lvl>
  </w:abstractNum>
  <w:abstractNum w:abstractNumId="89">
    <w:nsid w:val="5399C654"/>
    <w:multiLevelType w:val="hybridMultilevel"/>
    <w:lvl w:ilvl="0">
      <w:lvlJc w:val="left"/>
      <w:lvlText w:val="%1."/>
      <w:numFmt w:val="decimal"/>
      <w:start w:val="13"/>
    </w:lvl>
    <w:lvl w:ilvl="1">
      <w:lvlJc w:val="left"/>
      <w:lvlText w:val="%2"/>
      <w:numFmt w:val="lowerLetter"/>
      <w:start w:val="1"/>
    </w:lvl>
  </w:abstractNum>
  <w:abstractNum w:abstractNumId="90">
    <w:nsid w:val="20EE1348"/>
    <w:multiLevelType w:val="hybridMultilevel"/>
    <w:lvl w:ilvl="0">
      <w:lvlJc w:val="left"/>
      <w:lvlText w:val="%1."/>
      <w:numFmt w:val="decimal"/>
      <w:start w:val="15"/>
    </w:lvl>
  </w:abstractNum>
  <w:abstractNum w:abstractNumId="91">
    <w:nsid w:val="4427069A"/>
    <w:multiLevelType w:val="hybridMultilevel"/>
    <w:lvl w:ilvl="0">
      <w:lvlJc w:val="left"/>
      <w:lvlText w:val="%1."/>
      <w:numFmt w:val="decimal"/>
      <w:start w:val="17"/>
    </w:lvl>
    <w:lvl w:ilvl="1">
      <w:lvlJc w:val="left"/>
      <w:lvlText w:val="(%2)"/>
      <w:numFmt w:val="lowerLetter"/>
      <w:start w:val="1"/>
    </w:lvl>
  </w:abstractNum>
  <w:abstractNum w:abstractNumId="92">
    <w:nsid w:val="B37E80A"/>
    <w:multiLevelType w:val="hybridMultilevel"/>
    <w:lvl w:ilvl="0">
      <w:lvlJc w:val="left"/>
      <w:lvlText w:val="%1."/>
      <w:numFmt w:val="decimal"/>
      <w:start w:val="21"/>
    </w:lvl>
  </w:abstractNum>
  <w:abstractNum w:abstractNumId="93">
    <w:nsid w:val="2157F6BC"/>
    <w:multiLevelType w:val="hybridMultilevel"/>
    <w:lvl w:ilvl="0">
      <w:lvlJc w:val="left"/>
      <w:lvlText w:val="%1."/>
      <w:numFmt w:val="decimal"/>
      <w:start w:val="1"/>
    </w:lvl>
    <w:lvl w:ilvl="1">
      <w:lvlJc w:val="left"/>
      <w:lvlText w:val="(%2)"/>
      <w:numFmt w:val="lowerLetter"/>
      <w:start w:val="1"/>
    </w:lvl>
  </w:abstractNum>
  <w:abstractNum w:abstractNumId="94">
    <w:nsid w:val="704E1DD5"/>
    <w:multiLevelType w:val="hybridMultilevel"/>
    <w:lvl w:ilvl="0">
      <w:lvlJc w:val="left"/>
      <w:lvlText w:val="(%1)"/>
      <w:numFmt w:val="lowerRoman"/>
      <w:start w:val="1"/>
    </w:lvl>
  </w:abstractNum>
  <w:abstractNum w:abstractNumId="95">
    <w:nsid w:val="57D2F10E"/>
    <w:multiLevelType w:val="hybridMultilevel"/>
    <w:lvl w:ilvl="0">
      <w:lvlJc w:val="left"/>
      <w:lvlText w:val="%1."/>
      <w:numFmt w:val="decimal"/>
      <w:start w:val="2"/>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1."/>
      <w:numFmt w:val="decimal"/>
      <w:start w:val="1"/>
    </w:lvl>
    <w:lvl w:ilvl="1">
      <w:lvlJc w:val="left"/>
      <w:lvlText w:val="(%2)"/>
      <w:numFmt w:val="lowerLetter"/>
      <w:start w:val="1"/>
    </w:lvl>
  </w:abstractNum>
  <w:abstractNum w:abstractNumId="100">
    <w:nsid w:val="4BEE5A5B"/>
    <w:multiLevelType w:val="hybridMultilevel"/>
    <w:lvl w:ilvl="0">
      <w:lvlJc w:val="left"/>
      <w:lvlText w:val="(%1)"/>
      <w:numFmt w:val="lowerLetter"/>
      <w:start w:val="2"/>
    </w:lvl>
  </w:abstractNum>
  <w:abstractNum w:abstractNumId="101">
    <w:nsid w:val="5551B9F3"/>
    <w:multiLevelType w:val="hybridMultilevel"/>
    <w:lvl w:ilvl="0">
      <w:lvlJc w:val="left"/>
      <w:lvlText w:val="%1."/>
      <w:numFmt w:val="decimal"/>
      <w:start w:val="2"/>
    </w:lvl>
    <w:lvl w:ilvl="1">
      <w:lvlJc w:val="left"/>
      <w:lvlText w:val="(%2)"/>
      <w:numFmt w:val="lowerLetter"/>
      <w:start w:val="1"/>
    </w:lvl>
  </w:abstractNum>
  <w:abstractNum w:abstractNumId="102">
    <w:nsid w:val="24F6AB8E"/>
    <w:multiLevelType w:val="hybridMultilevel"/>
    <w:lvl w:ilvl="0">
      <w:lvlJc w:val="left"/>
      <w:lvlText w:val="%1"/>
      <w:numFmt w:val="decimal"/>
      <w:start w:val="1"/>
    </w:lvl>
    <w:lvl w:ilvl="1">
      <w:lvlJc w:val="left"/>
      <w:lvlText w:val="(%2)"/>
      <w:numFmt w:val="lowerLetter"/>
      <w:start w:val="3"/>
    </w:lvl>
  </w:abstractNum>
  <w:abstractNum w:abstractNumId="103">
    <w:nsid w:val="634C574C"/>
    <w:multiLevelType w:val="hybridMultilevel"/>
    <w:lvl w:ilvl="0">
      <w:lvlJc w:val="left"/>
      <w:lvlText w:val="%1."/>
      <w:numFmt w:val="decimal"/>
      <w:start w:val="5"/>
    </w:lvl>
    <w:lvl w:ilvl="1">
      <w:lvlJc w:val="left"/>
      <w:lvlText w:val="%2"/>
      <w:numFmt w:val="lowerLetter"/>
      <w:start w:val="1"/>
    </w:lvl>
  </w:abstractNum>
  <w:abstractNum w:abstractNumId="104">
    <w:nsid w:val="24E99DD7"/>
    <w:multiLevelType w:val="hybridMultilevel"/>
    <w:lvl w:ilvl="0">
      <w:lvlJc w:val="left"/>
      <w:lvlText w:val="%1."/>
      <w:numFmt w:val="decimal"/>
      <w:start w:val="9"/>
    </w:lvl>
  </w:abstractNum>
  <w:abstractNum w:abstractNumId="105">
    <w:nsid w:val="2A31B62D"/>
    <w:multiLevelType w:val="hybridMultilevel"/>
    <w:lvl w:ilvl="0">
      <w:lvlJc w:val="left"/>
      <w:lvlText w:val="%1."/>
      <w:numFmt w:val="decimal"/>
      <w:start w:val="12"/>
    </w:lvl>
    <w:lvl w:ilvl="1">
      <w:lvlJc w:val="left"/>
      <w:lvlText w:val="(%2)"/>
      <w:numFmt w:val="lowerLetter"/>
      <w:start w:val="1"/>
    </w:lvl>
  </w:abstractNum>
  <w:abstractNum w:abstractNumId="106">
    <w:nsid w:val="1849C29B"/>
    <w:multiLevelType w:val="hybridMultilevel"/>
    <w:lvl w:ilvl="0">
      <w:lvlJc w:val="left"/>
      <w:lvlText w:val="%1"/>
      <w:numFmt w:val="decimal"/>
      <w:start w:val="1"/>
    </w:lvl>
    <w:lvl w:ilvl="1">
      <w:lvlJc w:val="left"/>
      <w:lvlText w:val="(%2)"/>
      <w:numFmt w:val="lowerLetter"/>
      <w:start w:val="2"/>
    </w:lvl>
  </w:abstractNum>
  <w:abstractNum w:abstractNumId="107">
    <w:nsid w:val="7DFF9D09"/>
    <w:multiLevelType w:val="hybridMultilevel"/>
    <w:lvl w:ilvl="0">
      <w:lvlJc w:val="left"/>
      <w:lvlText w:val="%1."/>
      <w:numFmt w:val="decimal"/>
      <w:start w:val="15"/>
    </w:lvl>
    <w:lvl w:ilvl="1">
      <w:lvlJc w:val="left"/>
      <w:lvlText w:val="%2"/>
      <w:numFmt w:val="lowerLetter"/>
      <w:start w:val="1"/>
    </w:lvl>
  </w:abstractNum>
  <w:abstractNum w:abstractNumId="108">
    <w:nsid w:val="754342"/>
    <w:multiLevelType w:val="hybridMultilevel"/>
    <w:lvl w:ilvl="0">
      <w:lvlJc w:val="left"/>
      <w:lvlText w:val="%1."/>
      <w:numFmt w:val="decimal"/>
      <w:start w:val="16"/>
    </w:lvl>
  </w:abstractNum>
  <w:abstractNum w:abstractNumId="109">
    <w:nsid w:val="69E7F3E5"/>
    <w:multiLevelType w:val="hybridMultilevel"/>
    <w:lvl w:ilvl="0">
      <w:lvlJc w:val="left"/>
      <w:lvlText w:val="%1."/>
      <w:numFmt w:val="decimal"/>
      <w:start w:val="18"/>
    </w:lvl>
    <w:lvl w:ilvl="1">
      <w:lvlJc w:val="left"/>
      <w:lvlText w:val="(%2)"/>
      <w:numFmt w:val="lowerLetter"/>
      <w:start w:val="1"/>
    </w:lvl>
  </w:abstractNum>
  <w:abstractNum w:abstractNumId="110">
    <w:nsid w:val="2A6DE806"/>
    <w:multiLevelType w:val="hybridMultilevel"/>
    <w:lvl w:ilvl="0">
      <w:lvlJc w:val="left"/>
      <w:lvlText w:val="%1."/>
      <w:numFmt w:val="decimal"/>
      <w:start w:val="22"/>
    </w:lvl>
  </w:abstractNum>
  <w:abstractNum w:abstractNumId="111">
    <w:nsid w:val="1816F8C4"/>
    <w:multiLevelType w:val="hybridMultilevel"/>
    <w:lvl w:ilvl="0">
      <w:lvlJc w:val="left"/>
      <w:lvlText w:val="%1."/>
      <w:numFmt w:val="decimal"/>
      <w:start w:val="1"/>
    </w:lvl>
    <w:lvl w:ilvl="1">
      <w:lvlJc w:val="left"/>
      <w:lvlText w:val="(%2)"/>
      <w:numFmt w:val="lowerLetter"/>
      <w:start w:val="1"/>
    </w:lvl>
  </w:abstractNum>
  <w:abstractNum w:abstractNumId="112">
    <w:nsid w:val="37DF2233"/>
    <w:multiLevelType w:val="hybridMultilevel"/>
    <w:lvl w:ilvl="0">
      <w:lvlJc w:val="left"/>
      <w:lvlText w:val="(%1)"/>
      <w:numFmt w:val="lowerRoman"/>
      <w:start w:val="1"/>
    </w:lvl>
  </w:abstractNum>
  <w:abstractNum w:abstractNumId="113">
    <w:nsid w:val="7AB49DAF"/>
    <w:multiLevelType w:val="hybridMultilevel"/>
    <w:lvl w:ilvl="0">
      <w:lvlJc w:val="left"/>
      <w:lvlText w:val="%1."/>
      <w:numFmt w:val="decimal"/>
      <w:start w:val="2"/>
    </w:lvl>
  </w:abstractNum>
  <w:abstractNum w:abstractNumId="114">
    <w:nsid w:val="759F82CD"/>
    <w:multiLevelType w:val="hybridMultilevel"/>
    <w:lvl w:ilvl="0">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
      <w:numFmt w:val="bullet"/>
      <w:start w:val="1"/>
    </w:lvl>
  </w:abstractNum>
  <w:abstractNum w:abstractNumId="117">
    <w:nsid w:val="F819E7F"/>
    <w:multiLevelType w:val="hybridMultilevel"/>
    <w:lvl w:ilvl="0">
      <w:lvlJc w:val="left"/>
      <w:lvlText w:val="•"/>
      <w:numFmt w:val="bullet"/>
      <w:start w:val="1"/>
    </w:lvl>
  </w:abstractNum>
  <w:abstractNum w:abstractNumId="118">
    <w:nsid w:val="57C7D42D"/>
    <w:multiLevelType w:val="hybridMultilevel"/>
    <w:lvl w:ilvl="0">
      <w:lvlJc w:val="left"/>
      <w:lvlText w:val="•"/>
      <w:numFmt w:val="bullet"/>
      <w:start w:val="1"/>
    </w:lvl>
  </w:abstractNum>
  <w:abstractNum w:abstractNumId="119">
    <w:nsid w:val="312167AD"/>
    <w:multiLevelType w:val="hybridMultilevel"/>
    <w:lvl w:ilvl="0">
      <w:lvlJc w:val="left"/>
      <w:lvlText w:val="%1."/>
      <w:numFmt w:val="decimal"/>
      <w:start w:val="1"/>
    </w:lvl>
    <w:lvl w:ilvl="1">
      <w:lvlJc w:val="left"/>
      <w:lvlText w:val="(%2)"/>
      <w:numFmt w:val="lowerLetter"/>
      <w:start w:val="1"/>
    </w:lvl>
  </w:abstractNum>
  <w:abstractNum w:abstractNumId="120">
    <w:nsid w:val="631B64D4"/>
    <w:multiLevelType w:val="hybridMultilevel"/>
    <w:lvl w:ilvl="0">
      <w:lvlJc w:val="left"/>
      <w:lvlText w:val="(%1)"/>
      <w:numFmt w:val="lowerRoman"/>
      <w:start w:val="1"/>
    </w:lvl>
  </w:abstractNum>
  <w:abstractNum w:abstractNumId="121">
    <w:nsid w:val="78B5E776"/>
    <w:multiLevelType w:val="hybridMultilevel"/>
    <w:lvl w:ilvl="0">
      <w:lvlJc w:val="left"/>
      <w:lvlText w:val="%1"/>
      <w:numFmt w:val="decimal"/>
      <w:start w:val="1"/>
    </w:lvl>
    <w:lvl w:ilvl="1">
      <w:lvlJc w:val="left"/>
      <w:lvlText w:val="(%2)"/>
      <w:numFmt w:val="lowerLetter"/>
      <w:start w:val="2"/>
    </w:lvl>
  </w:abstractNum>
  <w:abstractNum w:abstractNumId="122">
    <w:nsid w:val="75486E47"/>
    <w:multiLevelType w:val="hybridMultilevel"/>
    <w:lvl w:ilvl="0">
      <w:lvlJc w:val="left"/>
      <w:lvlText w:val="%1."/>
      <w:numFmt w:val="decimal"/>
      <w:start w:val="2"/>
    </w:lvl>
    <w:lvl w:ilvl="1">
      <w:lvlJc w:val="left"/>
      <w:lvlText w:val="(%2)"/>
      <w:numFmt w:val="lowerLetter"/>
      <w:start w:val="1"/>
    </w:lvl>
  </w:abstractNum>
  <w:abstractNum w:abstractNumId="123">
    <w:nsid w:val="6E534CDE"/>
    <w:multiLevelType w:val="hybridMultilevel"/>
    <w:lvl w:ilvl="0">
      <w:lvlJc w:val="left"/>
      <w:lvlText w:val="%1"/>
      <w:numFmt w:val="decimal"/>
      <w:start w:val="1"/>
    </w:lvl>
    <w:lvl w:ilvl="1">
      <w:lvlJc w:val="left"/>
      <w:lvlText w:val="(%2)"/>
      <w:numFmt w:val="lowerLetter"/>
      <w:start w:val="5"/>
    </w:lvl>
  </w:abstractNum>
  <w:abstractNum w:abstractNumId="124">
    <w:nsid w:val="1A0DDE32"/>
    <w:multiLevelType w:val="hybridMultilevel"/>
    <w:lvl w:ilvl="0">
      <w:lvlJc w:val="left"/>
      <w:lvlText w:val="%1."/>
      <w:numFmt w:val="decimal"/>
      <w:start w:val="4"/>
    </w:lvl>
    <w:lvl w:ilvl="1">
      <w:lvlJc w:val="left"/>
      <w:lvlText w:val="(%2)"/>
      <w:numFmt w:val="lowerLetter"/>
      <w:start w:val="1"/>
    </w:lvl>
  </w:abstractNum>
  <w:abstractNum w:abstractNumId="125">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26">
    <w:nsid w:val="46263DEC"/>
    <w:multiLevelType w:val="hybridMultilevel"/>
    <w:lvl w:ilvl="0">
      <w:lvlJc w:val="left"/>
      <w:lvlText w:val="(%1)"/>
      <w:numFmt w:val="lowerLetter"/>
      <w:start w:val="35"/>
    </w:lvl>
    <w:lvl w:ilvl="1">
      <w:lvlJc w:val="left"/>
      <w:lvlText w:val="%2."/>
      <w:numFmt w:val="decimal"/>
      <w:start w:val="5"/>
    </w:lvl>
    <w:lvl w:ilvl="2">
      <w:lvlJc w:val="left"/>
      <w:lvlText w:val="(%3)"/>
      <w:numFmt w:val="lowerLetter"/>
      <w:start w:val="3"/>
    </w:lvl>
  </w:abstractNum>
  <w:abstractNum w:abstractNumId="127">
    <w:nsid w:val="260D8C4A"/>
    <w:multiLevelType w:val="hybridMultilevel"/>
    <w:lvl w:ilvl="0">
      <w:lvlJc w:val="left"/>
      <w:lvlText w:val="%1."/>
      <w:numFmt w:val="decimal"/>
      <w:start w:val="8"/>
    </w:lvl>
  </w:abstractNum>
  <w:abstractNum w:abstractNumId="128">
    <w:nsid w:val="73D4D3C4"/>
    <w:multiLevelType w:val="hybridMultilevel"/>
    <w:lvl w:ilvl="0">
      <w:lvlJc w:val="left"/>
      <w:lvlText w:val="%1."/>
      <w:numFmt w:val="decimal"/>
      <w:start w:val="11"/>
    </w:lvl>
  </w:abstractNum>
  <w:abstractNum w:abstractNumId="129">
    <w:nsid w:val="746F2E30"/>
    <w:multiLevelType w:val="hybridMultilevel"/>
    <w:lvl w:ilvl="0">
      <w:lvlJc w:val="left"/>
      <w:lvlText w:val="(%1)"/>
      <w:numFmt w:val="lowerLetter"/>
      <w:start w:val="1"/>
    </w:lvl>
    <w:lvl w:ilvl="1">
      <w:lvlJc w:val="left"/>
      <w:lvlText w:val="(%2)"/>
      <w:numFmt w:val="lowerLetter"/>
      <w:start w:val="2"/>
    </w:lvl>
  </w:abstractNum>
  <w:abstractNum w:abstractNumId="130">
    <w:nsid w:val="6FDE8AF6"/>
    <w:multiLevelType w:val="hybridMultilevel"/>
    <w:lvl w:ilvl="0">
      <w:lvlJc w:val="left"/>
      <w:lvlText w:val="%1."/>
      <w:numFmt w:val="decimal"/>
      <w:start w:val="14"/>
    </w:lvl>
  </w:abstractNum>
  <w:abstractNum w:abstractNumId="131">
    <w:nsid w:val="3FC32E20"/>
    <w:multiLevelType w:val="hybridMultilevel"/>
    <w:lvl w:ilvl="0">
      <w:lvlJc w:val="left"/>
      <w:lvlText w:val="%1."/>
      <w:numFmt w:val="decimal"/>
      <w:start w:val="15"/>
    </w:lvl>
  </w:abstractNum>
  <w:abstractNum w:abstractNumId="132">
    <w:nsid w:val="49C0E823"/>
    <w:multiLevelType w:val="hybridMultilevel"/>
    <w:lvl w:ilvl="0">
      <w:lvlJc w:val="left"/>
      <w:lvlText w:val="%1."/>
      <w:numFmt w:val="decimal"/>
      <w:start w:val="16"/>
    </w:lvl>
    <w:lvl w:ilvl="1">
      <w:lvlJc w:val="left"/>
      <w:lvlText w:val="(%2)"/>
      <w:numFmt w:val="lowerLetter"/>
      <w:start w:val="1"/>
    </w:lvl>
  </w:abstractNum>
  <w:abstractNum w:abstractNumId="133">
    <w:nsid w:val="14D53685"/>
    <w:multiLevelType w:val="hybridMultilevel"/>
    <w:lvl w:ilvl="0">
      <w:lvlJc w:val="left"/>
      <w:lvlText w:val="%1."/>
      <w:numFmt w:val="decimal"/>
      <w:start w:val="20"/>
    </w:lvl>
    <w:lvl w:ilvl="1">
      <w:lvlJc w:val="left"/>
      <w:lvlText w:val="(%2)"/>
      <w:numFmt w:val="lowerLetter"/>
      <w:start w:val="1"/>
    </w:lvl>
  </w:abstractNum>
  <w:abstractNum w:abstractNumId="134">
    <w:nsid w:val="230F856C"/>
    <w:multiLevelType w:val="hybridMultilevel"/>
    <w:lvl w:ilvl="0">
      <w:lvlJc w:val="left"/>
      <w:lvlText w:val="%1."/>
      <w:numFmt w:val="decimal"/>
      <w:start w:val="1"/>
    </w:lvl>
    <w:lvl w:ilvl="1">
      <w:lvlJc w:val="left"/>
      <w:lvlText w:val="(%2)"/>
      <w:numFmt w:val="lowerLetter"/>
      <w:start w:val="1"/>
    </w:lvl>
  </w:abstractNum>
  <w:abstractNum w:abstractNumId="135">
    <w:nsid w:val="6EAA85FB"/>
    <w:multiLevelType w:val="hybridMultilevel"/>
    <w:lvl w:ilvl="0">
      <w:lvlJc w:val="left"/>
      <w:lvlText w:val="(%1)"/>
      <w:numFmt w:val="lowerLetter"/>
      <w:start w:val="3"/>
    </w:lvl>
    <w:lvl w:ilvl="1">
      <w:lvlJc w:val="left"/>
      <w:lvlText w:val="%2."/>
      <w:numFmt w:val="lowerLetter"/>
      <w:start w:val="1"/>
    </w:lvl>
  </w:abstractNum>
  <w:abstractNum w:abstractNumId="136">
    <w:nsid w:val="3F06ECB2"/>
    <w:multiLevelType w:val="hybridMultilevel"/>
    <w:lvl w:ilvl="0">
      <w:lvlJc w:val="left"/>
      <w:lvlText w:val="%1."/>
      <w:numFmt w:val="lowerRoman"/>
      <w:start w:val="1"/>
    </w:lvl>
  </w:abstractNum>
  <w:abstractNum w:abstractNumId="137">
    <w:nsid w:val="3B594807"/>
    <w:multiLevelType w:val="hybridMultilevel"/>
    <w:lvl w:ilvl="0">
      <w:lvlJc w:val="left"/>
      <w:lvlText w:val="(%1)"/>
      <w:numFmt w:val="lowerLetter"/>
      <w:start w:val="5"/>
    </w:lvl>
  </w:abstractNum>
  <w:abstractNum w:abstractNumId="138">
    <w:nsid w:val="6CAA2304"/>
    <w:multiLevelType w:val="hybridMultilevel"/>
    <w:lvl w:ilvl="0">
      <w:lvlJc w:val="left"/>
      <w:lvlText w:val="%1"/>
      <w:numFmt w:val="decimal"/>
      <w:start w:val="1"/>
    </w:lvl>
    <w:lvl w:ilvl="1">
      <w:lvlJc w:val="left"/>
      <w:lvlText w:val="(%2)"/>
      <w:numFmt w:val="lowerLetter"/>
      <w:start w:val="6"/>
    </w:lvl>
  </w:abstractNum>
  <w:abstractNum w:abstractNumId="139">
    <w:nsid w:val="3F7C2FF4"/>
    <w:multiLevelType w:val="hybridMultilevel"/>
    <w:lvl w:ilvl="0">
      <w:lvlJc w:val="left"/>
      <w:lvlText w:val="%1."/>
      <w:numFmt w:val="decimal"/>
      <w:start w:val="3"/>
    </w:lvl>
    <w:lvl w:ilvl="1">
      <w:lvlJc w:val="left"/>
      <w:lvlText w:val="%2"/>
      <w:numFmt w:val="lowerLetter"/>
      <w:start w:val="1"/>
    </w:lvl>
  </w:abstractNum>
  <w:abstractNum w:abstractNumId="140">
    <w:nsid w:val="25413BEC"/>
    <w:multiLevelType w:val="hybridMultilevel"/>
    <w:lvl w:ilvl="0">
      <w:lvlJc w:val="left"/>
      <w:lvlText w:val="%1."/>
      <w:numFmt w:val="decimal"/>
      <w:start w:val="4"/>
    </w:lvl>
  </w:abstractNum>
  <w:abstractNum w:abstractNumId="141">
    <w:nsid w:val="17180B0B"/>
    <w:multiLevelType w:val="hybridMultilevel"/>
    <w:lvl w:ilvl="0">
      <w:lvlJc w:val="left"/>
      <w:lvlText w:val="%1."/>
      <w:numFmt w:val="decimal"/>
      <w:start w:val="5"/>
    </w:lvl>
  </w:abstractNum>
  <w:abstractNum w:abstractNumId="142">
    <w:nsid w:val="579328B9"/>
    <w:multiLevelType w:val="hybridMultilevel"/>
    <w:lvl w:ilvl="0">
      <w:lvlJc w:val="left"/>
      <w:lvlText w:val="%1."/>
      <w:numFmt w:val="decimal"/>
      <w:start w:val="6"/>
    </w:lvl>
    <w:lvl w:ilvl="1">
      <w:lvlJc w:val="left"/>
      <w:lvlText w:val="(%2)"/>
      <w:numFmt w:val="lowerLetter"/>
      <w:start w:val="1"/>
    </w:lvl>
  </w:abstractNum>
  <w:abstractNum w:abstractNumId="143">
    <w:nsid w:val="5D205E20"/>
    <w:multiLevelType w:val="hybridMultilevel"/>
    <w:lvl w:ilvl="0">
      <w:lvlJc w:val="left"/>
      <w:lvlText w:val="(%1)"/>
      <w:numFmt w:val="lowerLetter"/>
      <w:start w:val="3"/>
    </w:lvl>
  </w:abstractNum>
  <w:abstractNum w:abstractNumId="144">
    <w:nsid w:val="11CCA8BA"/>
    <w:multiLevelType w:val="hybridMultilevel"/>
    <w:lvl w:ilvl="0">
      <w:lvlJc w:val="left"/>
      <w:lvlText w:val="(%1)"/>
      <w:numFmt w:val="lowerLetter"/>
      <w:start w:val="6"/>
    </w:lvl>
    <w:lvl w:ilvl="1">
      <w:lvlJc w:val="left"/>
      <w:lvlText w:val="(%2)"/>
      <w:numFmt w:val="lowerRoman"/>
      <w:start w:val="1"/>
    </w:lvl>
  </w:abstractNum>
  <w:abstractNum w:abstractNumId="145">
    <w:nsid w:val="4D32AB86"/>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6">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47">
    <w:nsid w:val="6B47F63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148">
    <w:nsid w:val="5CB44A05"/>
    <w:multiLevelType w:val="hybridMultilevel"/>
    <w:lvl w:ilvl="0">
      <w:lvlJc w:val="left"/>
      <w:lvlText w:val="(%1)"/>
      <w:numFmt w:val="lowerRoman"/>
      <w:start w:val="1"/>
    </w:lvl>
  </w:abstractNum>
  <w:abstractNum w:abstractNumId="149">
    <w:nsid w:val="16CF80F1"/>
    <w:multiLevelType w:val="hybridMultilevel"/>
    <w:lvl w:ilvl="0">
      <w:lvlJc w:val="left"/>
      <w:lvlText w:val="(%1)"/>
      <w:numFmt w:val="lowerLetter"/>
      <w:start w:val="2"/>
    </w:lvl>
    <w:lvl w:ilvl="1">
      <w:lvlJc w:val="left"/>
      <w:lvlText w:val="(%2)"/>
      <w:numFmt w:val="lowerRoman"/>
      <w:start w:val="1"/>
    </w:lvl>
  </w:abstractNum>
  <w:abstractNum w:abstractNumId="150">
    <w:nsid w:val="1C695DEC"/>
    <w:multiLevelType w:val="hybridMultilevel"/>
    <w:lvl w:ilvl="0">
      <w:lvlJc w:val="left"/>
      <w:lvlText w:val="%1"/>
      <w:numFmt w:val="lowerLetter"/>
      <w:start w:val="1"/>
    </w:lvl>
    <w:lvl w:ilvl="1">
      <w:lvlJc w:val="left"/>
      <w:lvlText w:val="(%2)"/>
      <w:numFmt w:val="lowerRoman"/>
      <w:start w:val="4"/>
    </w:lvl>
  </w:abstractNum>
  <w:abstractNum w:abstractNumId="151">
    <w:nsid w:val="3FCFAED9"/>
    <w:multiLevelType w:val="hybridMultilevel"/>
    <w:lvl w:ilvl="0">
      <w:lvlJc w:val="left"/>
      <w:lvlText w:val="(%1)"/>
      <w:numFmt w:val="lowerLetter"/>
      <w:start w:val="3"/>
    </w:lvl>
    <w:lvl w:ilvl="1">
      <w:lvlJc w:val="left"/>
      <w:lvlText w:val="(%2)"/>
      <w:numFmt w:val="lowerRoman"/>
      <w:start w:val="1"/>
    </w:lvl>
  </w:abstractNum>
  <w:abstractNum w:abstractNumId="152">
    <w:nsid w:val="F856867"/>
    <w:multiLevelType w:val="hybridMultilevel"/>
    <w:lvl w:ilvl="0">
      <w:lvlJc w:val="left"/>
      <w:lvlText w:val="%1."/>
      <w:numFmt w:val="lowerLetter"/>
      <w:start w:val="2"/>
    </w:lvl>
  </w:abstractNum>
  <w:abstractNum w:abstractNumId="153">
    <w:nsid w:val="11B1CC33"/>
    <w:multiLevelType w:val="hybridMultilevel"/>
    <w:lvl w:ilvl="0">
      <w:lvlJc w:val="left"/>
      <w:lvlText w:val="(%1)"/>
      <w:numFmt w:val="lowerRoman"/>
      <w:start w:val="5"/>
    </w:lvl>
    <w:lvl w:ilvl="1">
      <w:lvlJc w:val="left"/>
      <w:lvlText w:val="%2."/>
      <w:numFmt w:val="lowerLetter"/>
      <w:start w:val="1"/>
    </w:lvl>
  </w:abstractNum>
  <w:abstractNum w:abstractNumId="154">
    <w:nsid w:val="2E22FBB7"/>
    <w:multiLevelType w:val="hybridMultilevel"/>
    <w:lvl w:ilvl="0">
      <w:lvlJc w:val="left"/>
      <w:lvlText w:val="[%1]"/>
      <w:numFmt w:val="lowerRoman"/>
      <w:start w:val="1"/>
    </w:lvl>
  </w:abstractNum>
  <w:abstractNum w:abstractNumId="155">
    <w:nsid w:val="29934699"/>
    <w:multiLevelType w:val="hybridMultilevel"/>
    <w:lvl w:ilvl="0">
      <w:lvlJc w:val="left"/>
      <w:lvlText w:val="(%1)"/>
      <w:numFmt w:val="lowerLetter"/>
      <w:start w:val="24"/>
    </w:lvl>
  </w:abstractNum>
  <w:abstractNum w:abstractNumId="156">
    <w:nsid w:val="77485850"/>
    <w:multiLevelType w:val="hybridMultilevel"/>
    <w:lvl w:ilvl="0">
      <w:lvlJc w:val="left"/>
      <w:lvlText w:val="%1"/>
      <w:numFmt w:val="lowerLetter"/>
      <w:start w:val="1"/>
    </w:lvl>
    <w:lvl w:ilvl="1">
      <w:lvlJc w:val="left"/>
      <w:lvlText w:val="(%2)"/>
      <w:numFmt w:val="lowerRoman"/>
      <w:start w:val="6"/>
    </w:lvl>
  </w:abstractNum>
  <w:abstractNum w:abstractNumId="157">
    <w:nsid w:val="744939A3"/>
    <w:multiLevelType w:val="hybridMultilevel"/>
    <w:lvl w:ilvl="0">
      <w:lvlJc w:val="left"/>
      <w:lvlText w:val="(%1)"/>
      <w:numFmt w:val="lowerLetter"/>
      <w:start w:val="4"/>
    </w:lvl>
    <w:lvl w:ilvl="1">
      <w:lvlJc w:val="left"/>
      <w:lvlText w:val="%2"/>
      <w:numFmt w:val="lowerRoman"/>
      <w:start w:val="1"/>
    </w:lvl>
  </w:abstractNum>
  <w:abstractNum w:abstractNumId="158">
    <w:nsid w:val="4FA0D2E3"/>
    <w:multiLevelType w:val="hybridMultilevel"/>
    <w:lvl w:ilvl="0">
      <w:lvlJc w:val="left"/>
      <w:lvlText w:val="%1"/>
      <w:numFmt w:val="lowerLetter"/>
      <w:start w:val="1"/>
    </w:lvl>
    <w:lvl w:ilvl="1">
      <w:lvlJc w:val="left"/>
      <w:lvlText w:val="(%2)"/>
      <w:numFmt w:val="lowerRoman"/>
      <w:start w:val="1"/>
    </w:lvl>
  </w:abstractNum>
  <w:abstractNum w:abstractNumId="159">
    <w:nsid w:val="6B1D2C14"/>
    <w:multiLevelType w:val="hybridMultilevel"/>
    <w:lvl w:ilvl="0">
      <w:lvlJc w:val="left"/>
      <w:lvlText w:val="(%1)"/>
      <w:numFmt w:val="lowerLetter"/>
      <w:start w:val="5"/>
    </w:lvl>
    <w:lvl w:ilvl="1">
      <w:lvlJc w:val="left"/>
      <w:lvlText w:val="(%2)"/>
      <w:numFmt w:val="lowerRoman"/>
      <w:start w:val="1"/>
    </w:lvl>
  </w:abstractNum>
  <w:abstractNum w:abstractNumId="160">
    <w:nsid w:val="68B867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61">
    <w:nsid w:val="3F7F5DD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62">
    <w:nsid w:val="2AE05A34"/>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63">
    <w:nsid w:val="32794FF7"/>
    <w:multiLevelType w:val="hybridMultilevel"/>
    <w:lvl w:ilvl="0">
      <w:lvlJc w:val="left"/>
      <w:lvlText w:val="(%1)"/>
      <w:numFmt w:val="lowerLetter"/>
      <w:start w:val="2"/>
    </w:lvl>
  </w:abstractNum>
  <w:abstractNum w:abstractNumId="164">
    <w:nsid w:val="5454945E"/>
    <w:multiLevelType w:val="hybridMultilevel"/>
    <w:lvl w:ilvl="0">
      <w:lvlJc w:val="left"/>
      <w:lvlText w:val="(%1)"/>
      <w:numFmt w:val="lowerLetter"/>
      <w:start w:val="8"/>
    </w:lvl>
  </w:abstractNum>
  <w:abstractNum w:abstractNumId="165">
    <w:nsid w:val="4DEFDFA0"/>
    <w:multiLevelType w:val="hybridMultilevel"/>
    <w:lvl w:ilvl="0">
      <w:lvlJc w:val="left"/>
      <w:lvlText w:val="(%1)"/>
      <w:numFmt w:val="lowerLetter"/>
      <w:start w:val="16"/>
    </w:lvl>
  </w:abstractNum>
  <w:abstractNum w:abstractNumId="166">
    <w:nsid w:val="2123D5F2"/>
    <w:multiLevelType w:val="hybridMultilevel"/>
    <w:lvl w:ilvl="0">
      <w:lvlJc w:val="left"/>
      <w:lvlText w:val="%1"/>
      <w:numFmt w:val="decimal"/>
      <w:start w:val="1"/>
    </w:lvl>
    <w:lvl w:ilvl="1">
      <w:lvlJc w:val="left"/>
      <w:lvlText w:val="(%2)"/>
      <w:numFmt w:val="lowerLetter"/>
      <w:start w:val="19"/>
    </w:lvl>
  </w:abstractNum>
  <w:abstractNum w:abstractNumId="167">
    <w:nsid w:val="135B8110"/>
    <w:multiLevelType w:val="hybridMultilevel"/>
    <w:lvl w:ilvl="0">
      <w:lvlJc w:val="left"/>
      <w:lvlText w:val="%1."/>
      <w:numFmt w:val="decimal"/>
      <w:start w:val="12"/>
    </w:lvl>
    <w:lvl w:ilvl="1">
      <w:lvlJc w:val="left"/>
      <w:lvlText w:val="%2"/>
      <w:numFmt w:val="lowerLetter"/>
      <w:start w:val="1"/>
    </w:lvl>
  </w:abstractNum>
  <w:abstractNum w:abstractNumId="168">
    <w:nsid w:val="94927A8"/>
    <w:multiLevelType w:val="hybridMultilevel"/>
    <w:lvl w:ilvl="0">
      <w:lvlJc w:val="left"/>
      <w:lvlText w:val="%1."/>
      <w:numFmt w:val="decimal"/>
      <w:start w:val="13"/>
    </w:lvl>
  </w:abstractNum>
  <w:abstractNum w:abstractNumId="169">
    <w:nsid w:val="DCDF8F6"/>
    <w:multiLevelType w:val="hybridMultilevel"/>
    <w:lvl w:ilvl="0">
      <w:lvlJc w:val="left"/>
      <w:lvlText w:val="%1."/>
      <w:numFmt w:val="decimal"/>
      <w:start w:val="1"/>
    </w:lvl>
    <w:lvl w:ilvl="1">
      <w:lvlJc w:val="left"/>
      <w:lvlText w:val="(%2)"/>
      <w:numFmt w:val="lowerLetter"/>
      <w:start w:val="1"/>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42" Type="http://schemas.openxmlformats.org/officeDocument/2006/relationships/image" Target="media/image22.png"/><Relationship Id="rId73" Type="http://schemas.openxmlformats.org/officeDocument/2006/relationships/image" Target="media/image23.png"/><Relationship Id="rId74" Type="http://schemas.openxmlformats.org/officeDocument/2006/relationships/image" Target="media/image24.png"/><Relationship Id="rId75" Type="http://schemas.openxmlformats.org/officeDocument/2006/relationships/image" Target="media/image25.png"/><Relationship Id="rId76" Type="http://schemas.openxmlformats.org/officeDocument/2006/relationships/image" Target="media/image26.png"/><Relationship Id="rId77" Type="http://schemas.openxmlformats.org/officeDocument/2006/relationships/image" Target="media/image27.png"/><Relationship Id="rId78" Type="http://schemas.openxmlformats.org/officeDocument/2006/relationships/image" Target="media/image28.png"/><Relationship Id="rId79" Type="http://schemas.openxmlformats.org/officeDocument/2006/relationships/image" Target="media/image29.png"/><Relationship Id="rId80" Type="http://schemas.openxmlformats.org/officeDocument/2006/relationships/image" Target="media/image30.png"/><Relationship Id="rId81" Type="http://schemas.openxmlformats.org/officeDocument/2006/relationships/image" Target="media/image31.png"/><Relationship Id="rId82" Type="http://schemas.openxmlformats.org/officeDocument/2006/relationships/image" Target="media/image32.png"/><Relationship Id="rId83" Type="http://schemas.openxmlformats.org/officeDocument/2006/relationships/image" Target="media/image33.png"/><Relationship Id="rId84" Type="http://schemas.openxmlformats.org/officeDocument/2006/relationships/image" Target="media/image34.png"/><Relationship Id="rId29" Type="http://schemas.openxmlformats.org/officeDocument/2006/relationships/hyperlink" Target="http://www.sec.gov/Archives/edgar/data/718877/000110465914044513/a14-14950_1ex3d1.htm" TargetMode="External"/><Relationship Id="rId30" Type="http://schemas.openxmlformats.org/officeDocument/2006/relationships/hyperlink" Target="http://www.sec.gov/Archives/edgar/data/718877/000110465918019359/a18-8728_1ex3d1.htm#Exhibit3_1_094603" TargetMode="External"/><Relationship Id="rId31" Type="http://schemas.openxmlformats.org/officeDocument/2006/relationships/hyperlink" Target="http://www.sec.gov/Archives/edgar/data/718877/000110465916145484/a16-18230_4ex4d1.htm" TargetMode="External"/><Relationship Id="rId32" Type="http://schemas.openxmlformats.org/officeDocument/2006/relationships/hyperlink" Target="http://www.sec.gov/Archives/edgar/data/718877/000110465917035716/a17-13961_3ex4d1.htm" TargetMode="External"/><Relationship Id="rId33" Type="http://schemas.openxmlformats.org/officeDocument/2006/relationships/hyperlink" Target="http://www.sec.gov/Archives/edgar/data/718877/000110465917035716/a17-13961_3ex4d2.htm" TargetMode="External"/><Relationship Id="rId34" Type="http://schemas.openxmlformats.org/officeDocument/2006/relationships/hyperlink" Target="http://www.sec.gov/Archives/edgar/data/718877/000110465912043056/a12-14498_1ex10d1.htm" TargetMode="External"/><Relationship Id="rId35" Type="http://schemas.openxmlformats.org/officeDocument/2006/relationships/hyperlink" Target="http://www.sec.gov/Archives/edgar/data/718877/000110465914044513/a14-14950_1ex10d1.htm" TargetMode="External"/><Relationship Id="rId36" Type="http://schemas.openxmlformats.org/officeDocument/2006/relationships/hyperlink" Target="http://www.sec.gov/Archives/edgar/data/718877/000104746917001072/a2230993zex-10_14.htm" TargetMode="External"/><Relationship Id="rId37" Type="http://schemas.openxmlformats.org/officeDocument/2006/relationships/hyperlink" Target="http://www.sec.gov/Archives/edgar/data/718877/000104746909002015/a2190811zex-10_44.htm" TargetMode="External"/><Relationship Id="rId38" Type="http://schemas.openxmlformats.org/officeDocument/2006/relationships/hyperlink" Target="http://www.sec.gov/Archives/edgar/data/718877/000104746909002015/a2190811zex-10_45.htm" TargetMode="External"/><Relationship Id="rId39" Type="http://schemas.openxmlformats.org/officeDocument/2006/relationships/hyperlink" Target="http://www.sec.gov/Archives/edgar/data/718877/000110465913038868/a13-8588_1ex10d5.htm" TargetMode="External"/><Relationship Id="rId40" Type="http://schemas.openxmlformats.org/officeDocument/2006/relationships/hyperlink" Target="http://www.sec.gov/Archives/edgar/data/718877/000110465913038868/a13-8588_1ex10d6.htm" TargetMode="External"/><Relationship Id="rId41" Type="http://schemas.openxmlformats.org/officeDocument/2006/relationships/hyperlink" Target="http://www.sec.gov/Archives/edgar/data/718877/000110465914057005/a14-14115_1ex10d1.htm" TargetMode="External"/><Relationship Id="rId43" Type="http://schemas.openxmlformats.org/officeDocument/2006/relationships/hyperlink" Target="http://www.sec.gov/Archives/edgar/data/718877/000110465914057005/a14-14115_1ex10d2.htm" TargetMode="External"/><Relationship Id="rId44" Type="http://schemas.openxmlformats.org/officeDocument/2006/relationships/hyperlink" Target="http://www.sec.gov/Archives/edgar/data/718877/000110465914057005/a14-14115_1ex10d4.htm" TargetMode="External"/><Relationship Id="rId45" Type="http://schemas.openxmlformats.org/officeDocument/2006/relationships/hyperlink" Target="http://www.sec.gov/Archives/edgar/data/718877/000110465914057005/a14-14115_1ex10d5.htm" TargetMode="External"/><Relationship Id="rId46" Type="http://schemas.openxmlformats.org/officeDocument/2006/relationships/hyperlink" Target="http://www.sec.gov/Archives/edgar/data/718877/000110465914076552/a14-19826_1ex10d1.htm" TargetMode="External"/><Relationship Id="rId47" Type="http://schemas.openxmlformats.org/officeDocument/2006/relationships/hyperlink" Target="http://www.sec.gov/Archives/edgar/data/718877/000110465914076552/a14-19826_1ex10d2.htm" TargetMode="External"/><Relationship Id="rId48" Type="http://schemas.openxmlformats.org/officeDocument/2006/relationships/hyperlink" Target="http://www.sec.gov/Archives/edgar/data/718877/000110465914076552/a14-19826_1ex10d3.htm" TargetMode="External"/><Relationship Id="rId49" Type="http://schemas.openxmlformats.org/officeDocument/2006/relationships/hyperlink" Target="http://www.sec.gov/Archives/edgar/data/718877/000104746917001072/a2230993zex-10_44.htm" TargetMode="External"/><Relationship Id="rId50" Type="http://schemas.openxmlformats.org/officeDocument/2006/relationships/hyperlink" Target="http://www.sec.gov/Archives/edgar/data/718877/000104746917001072/a2230993zex-10_45.htm" TargetMode="External"/><Relationship Id="rId51" Type="http://schemas.openxmlformats.org/officeDocument/2006/relationships/hyperlink" Target="http://www.sec.gov/Archives/edgar/data/718877/000104746917001072/a2230993zex-10_46.htm" TargetMode="External"/><Relationship Id="rId52" Type="http://schemas.openxmlformats.org/officeDocument/2006/relationships/hyperlink" Target="http://www.sec.gov/Archives/edgar/data/718877/000110465917029920/a17-8921_1ex10d2.htm" TargetMode="External"/><Relationship Id="rId53" Type="http://schemas.openxmlformats.org/officeDocument/2006/relationships/hyperlink" Target="http://www.sec.gov/Archives/edgar/data/718877/000110465917029920/a17-8921_1ex10d3.htm" TargetMode="External"/><Relationship Id="rId54" Type="http://schemas.openxmlformats.org/officeDocument/2006/relationships/hyperlink" Target="http://www.sec.gov/Archives/edgar/data/718877/000104746919000788/a2237840zex-10_21.htm" TargetMode="External"/><Relationship Id="rId55" Type="http://schemas.openxmlformats.org/officeDocument/2006/relationships/hyperlink" Target="http://www.sec.gov/Archives/edgar/data/718877/000104746919000788/a2237840zex-10_20.htm" TargetMode="External"/><Relationship Id="rId56" Type="http://schemas.openxmlformats.org/officeDocument/2006/relationships/hyperlink" Target="http://www.sec.gov/Archives/edgar/data/718877/000110465914057005/a14-14115_1ex10d6.htm" TargetMode="External"/><Relationship Id="rId57" Type="http://schemas.openxmlformats.org/officeDocument/2006/relationships/hyperlink" Target="http://www.sec.gov/Archives/edgar/data/718877/000110465915076727/a15-18056_1ex10d1.htm" TargetMode="External"/><Relationship Id="rId58" Type="http://schemas.openxmlformats.org/officeDocument/2006/relationships/hyperlink" Target="http://www.sec.gov/Archives/edgar/data/718877/000071887719000004/atvi33119ex102.htm" TargetMode="External"/><Relationship Id="rId59" Type="http://schemas.openxmlformats.org/officeDocument/2006/relationships/hyperlink" Target="http://www.sec.gov/Archives/edgar/data/718877/000104746919000788/a2237840zex-10_24.htm" TargetMode="External"/><Relationship Id="rId60" Type="http://schemas.openxmlformats.org/officeDocument/2006/relationships/hyperlink" Target="http://www.sec.gov/Archives/edgar/data/718877/000110465916159113/a16-22182_1ex10d1.htm" TargetMode="External"/><Relationship Id="rId61" Type="http://schemas.openxmlformats.org/officeDocument/2006/relationships/hyperlink" Target="http://www.sec.gov/Archives/edgar/data/718877/000104746919000788/a2237840zex-10_26.htm" TargetMode="External"/><Relationship Id="rId62" Type="http://schemas.openxmlformats.org/officeDocument/2006/relationships/hyperlink" Target="http://www.sec.gov/Archives/edgar/data/718877/000104746919000788/a2237840zex-10_27.htm" TargetMode="External"/><Relationship Id="rId63" Type="http://schemas.openxmlformats.org/officeDocument/2006/relationships/hyperlink" Target="http://www.sec.gov/Archives/edgar/data/718877/000110465917031924/a17-12902_1ex10d1.htm" TargetMode="External"/><Relationship Id="rId64" Type="http://schemas.openxmlformats.org/officeDocument/2006/relationships/hyperlink" Target="http://www.sec.gov/Archives/edgar/data/718877/000110465918049238/a18-14094_1ex10d1.htm" TargetMode="External"/><Relationship Id="rId65" Type="http://schemas.openxmlformats.org/officeDocument/2006/relationships/hyperlink" Target="http://www.sec.gov/Archives/edgar/data/718877/000110465913076443/a13-22471_1ex10d1.htm" TargetMode="External"/><Relationship Id="rId66" Type="http://schemas.openxmlformats.org/officeDocument/2006/relationships/hyperlink" Target="http://www.sec.gov/Archives/edgar/data/718877/000110465915075068/a15-22145_1ex10d1.htm" TargetMode="External"/><Relationship Id="rId67" Type="http://schemas.openxmlformats.org/officeDocument/2006/relationships/hyperlink" Target="http://www.sec.gov/Archives/edgar/data/718877/000110465915079610/a15-23082_1ex10d1.htm" TargetMode="External"/><Relationship Id="rId68" Type="http://schemas.openxmlformats.org/officeDocument/2006/relationships/hyperlink" Target="http://www.sec.gov/Archives/edgar/data/718877/000110465915084685/a15-24656_1ex10d1.htm" TargetMode="External"/><Relationship Id="rId69" Type="http://schemas.openxmlformats.org/officeDocument/2006/relationships/hyperlink" Target="http://www.sec.gov/Archives/edgar/data/718877/000110465916109325/a16-7653_1ex10d1.htm" TargetMode="External"/><Relationship Id="rId70" Type="http://schemas.openxmlformats.org/officeDocument/2006/relationships/hyperlink" Target="http://www.sec.gov/Archives/edgar/data/718877/000110465916141094/a16-17371_1ex10d1.htm" TargetMode="External"/><Relationship Id="rId71" Type="http://schemas.openxmlformats.org/officeDocument/2006/relationships/hyperlink" Target="http://www.sec.gov/Archives/edgar/data/718877/000110465917006608/a17-3790_1ex10d1.htm" TargetMode="External"/><Relationship Id="rId72" Type="http://schemas.openxmlformats.org/officeDocument/2006/relationships/hyperlink" Target="http://www.sec.gov/Archives/edgar/data/718877/000110465918054148/a18-23018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2020-02-27T15:45:22Z</dcterms:created>
  <dcterms:modified xsi:type="dcterms:W3CDTF">2020-02-27T15:45:22Z</dcterms:modified>
</cp:coreProperties>
</file>